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37664" w14:textId="64C7B975" w:rsidR="0068325C" w:rsidRPr="007F3D01" w:rsidRDefault="0048051C" w:rsidP="0048051C">
      <w:pPr>
        <w:pStyle w:val="Pagedecouverture"/>
        <w:rPr>
          <w:noProof/>
          <w:lang w:val="en-IE"/>
        </w:rPr>
      </w:pPr>
      <w:bookmarkStart w:id="0" w:name="LW_BM_COVERPAGE"/>
      <w:r>
        <w:rPr>
          <w:noProof/>
          <w:lang w:val="en-IE"/>
        </w:rPr>
        <w:pict w14:anchorId="3A13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2BA5290-DEF5-4C82-8F77-076631B647A4" style="width:455.25pt;height:378.75pt">
            <v:imagedata r:id="rId11" o:title=""/>
          </v:shape>
        </w:pict>
      </w:r>
    </w:p>
    <w:bookmarkEnd w:id="0"/>
    <w:p w14:paraId="17F37665" w14:textId="77777777" w:rsidR="0068325C" w:rsidRPr="007F3D01" w:rsidRDefault="0068325C">
      <w:pPr>
        <w:rPr>
          <w:noProof/>
          <w:lang w:val="en-IE"/>
        </w:rPr>
        <w:sectPr w:rsidR="0068325C" w:rsidRPr="007F3D01" w:rsidSect="0048051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17F37666" w14:textId="77777777" w:rsidR="0068325C" w:rsidRPr="007F3D01" w:rsidRDefault="0091419F">
      <w:pPr>
        <w:widowControl/>
        <w:shd w:val="clear" w:color="auto" w:fill="auto"/>
        <w:autoSpaceDE/>
        <w:autoSpaceDN/>
        <w:adjustRightInd/>
        <w:spacing w:before="0" w:line="276" w:lineRule="auto"/>
        <w:jc w:val="left"/>
        <w:rPr>
          <w:noProof/>
          <w:lang w:val="en-IE"/>
        </w:rPr>
      </w:pPr>
      <w:bookmarkStart w:id="1" w:name="_GoBack"/>
      <w:bookmarkEnd w:id="1"/>
      <w:r w:rsidRPr="007F3D01">
        <w:rPr>
          <w:b/>
          <w:noProof/>
          <w:lang w:val="en-IE"/>
        </w:rPr>
        <w:br w:type="page"/>
      </w:r>
    </w:p>
    <w:p w14:paraId="76702790" w14:textId="1D706B26" w:rsidR="00595BAA" w:rsidRDefault="00595BAA">
      <w:pPr>
        <w:pStyle w:val="TOC1"/>
        <w:rPr>
          <w:rFonts w:asciiTheme="minorHAnsi" w:hAnsiTheme="minorHAnsi" w:cstheme="minorBidi"/>
          <w:kern w:val="2"/>
          <w:lang w:val="en-US" w:eastAsia="en-US"/>
          <w14:ligatures w14:val="standardContextual"/>
        </w:rPr>
      </w:pPr>
      <w:r>
        <w:rPr>
          <w:lang w:val="en-IE"/>
        </w:rPr>
        <w:lastRenderedPageBreak/>
        <w:fldChar w:fldCharType="begin"/>
      </w:r>
      <w:r>
        <w:rPr>
          <w:lang w:val="en-IE"/>
        </w:rPr>
        <w:instrText xml:space="preserve"> TOC \o "1-3" \h \z \u </w:instrText>
      </w:r>
      <w:r>
        <w:rPr>
          <w:lang w:val="en-IE"/>
        </w:rPr>
        <w:fldChar w:fldCharType="separate"/>
      </w:r>
      <w:hyperlink w:anchor="_Toc166055450" w:history="1">
        <w:r w:rsidRPr="00D7639E">
          <w:rPr>
            <w:rStyle w:val="Hyperlink"/>
            <w:lang w:val="en-IE"/>
          </w:rPr>
          <w:t>1</w:t>
        </w:r>
        <w:r>
          <w:rPr>
            <w:rFonts w:asciiTheme="minorHAnsi" w:hAnsiTheme="minorHAnsi" w:cstheme="minorBidi"/>
            <w:kern w:val="2"/>
            <w:lang w:val="en-US" w:eastAsia="en-US"/>
            <w14:ligatures w14:val="standardContextual"/>
          </w:rPr>
          <w:tab/>
        </w:r>
        <w:r w:rsidRPr="00D7639E">
          <w:rPr>
            <w:rStyle w:val="Hyperlink"/>
            <w:lang w:val="en-IE"/>
          </w:rPr>
          <w:t>INTRODUCTION</w:t>
        </w:r>
        <w:r>
          <w:rPr>
            <w:webHidden/>
          </w:rPr>
          <w:tab/>
        </w:r>
        <w:r>
          <w:rPr>
            <w:webHidden/>
          </w:rPr>
          <w:fldChar w:fldCharType="begin"/>
        </w:r>
        <w:r>
          <w:rPr>
            <w:webHidden/>
          </w:rPr>
          <w:instrText xml:space="preserve"> PAGEREF _Toc166055450 \h </w:instrText>
        </w:r>
        <w:r>
          <w:rPr>
            <w:webHidden/>
          </w:rPr>
        </w:r>
        <w:r>
          <w:rPr>
            <w:webHidden/>
          </w:rPr>
          <w:fldChar w:fldCharType="separate"/>
        </w:r>
        <w:r w:rsidR="006154E9">
          <w:rPr>
            <w:webHidden/>
          </w:rPr>
          <w:t>2</w:t>
        </w:r>
        <w:r>
          <w:rPr>
            <w:webHidden/>
          </w:rPr>
          <w:fldChar w:fldCharType="end"/>
        </w:r>
      </w:hyperlink>
    </w:p>
    <w:p w14:paraId="47AABB9E" w14:textId="2E1C6F50" w:rsidR="00595BAA" w:rsidRDefault="0048051C">
      <w:pPr>
        <w:pStyle w:val="TOC1"/>
        <w:rPr>
          <w:rFonts w:asciiTheme="minorHAnsi" w:hAnsiTheme="minorHAnsi" w:cstheme="minorBidi"/>
          <w:kern w:val="2"/>
          <w:lang w:val="en-US" w:eastAsia="en-US"/>
          <w14:ligatures w14:val="standardContextual"/>
        </w:rPr>
      </w:pPr>
      <w:hyperlink w:anchor="_Toc166055451" w:history="1">
        <w:r w:rsidR="00595BAA" w:rsidRPr="00D7639E">
          <w:rPr>
            <w:rStyle w:val="Hyperlink"/>
            <w:lang w:val="en-IE"/>
          </w:rPr>
          <w:t>2</w:t>
        </w:r>
        <w:r w:rsidR="00595BAA">
          <w:rPr>
            <w:rFonts w:asciiTheme="minorHAnsi" w:hAnsiTheme="minorHAnsi" w:cstheme="minorBidi"/>
            <w:kern w:val="2"/>
            <w:lang w:val="en-US" w:eastAsia="en-US"/>
            <w14:ligatures w14:val="standardContextual"/>
          </w:rPr>
          <w:tab/>
        </w:r>
        <w:r w:rsidR="00595BAA" w:rsidRPr="00D7639E">
          <w:rPr>
            <w:rStyle w:val="Hyperlink"/>
            <w:lang w:val="en-IE"/>
          </w:rPr>
          <w:t>RADIOACTIVE WASTE AND SPENT FUEL IN THE EUROPEAN UNION</w:t>
        </w:r>
        <w:r w:rsidR="00595BAA">
          <w:rPr>
            <w:webHidden/>
          </w:rPr>
          <w:tab/>
        </w:r>
        <w:r w:rsidR="00595BAA">
          <w:rPr>
            <w:webHidden/>
          </w:rPr>
          <w:fldChar w:fldCharType="begin"/>
        </w:r>
        <w:r w:rsidR="00595BAA">
          <w:rPr>
            <w:webHidden/>
          </w:rPr>
          <w:instrText xml:space="preserve"> PAGEREF _Toc166055451 \h </w:instrText>
        </w:r>
        <w:r w:rsidR="00595BAA">
          <w:rPr>
            <w:webHidden/>
          </w:rPr>
        </w:r>
        <w:r w:rsidR="00595BAA">
          <w:rPr>
            <w:webHidden/>
          </w:rPr>
          <w:fldChar w:fldCharType="separate"/>
        </w:r>
        <w:r w:rsidR="006154E9">
          <w:rPr>
            <w:webHidden/>
          </w:rPr>
          <w:t>3</w:t>
        </w:r>
        <w:r w:rsidR="00595BAA">
          <w:rPr>
            <w:webHidden/>
          </w:rPr>
          <w:fldChar w:fldCharType="end"/>
        </w:r>
      </w:hyperlink>
    </w:p>
    <w:p w14:paraId="7BEC836C" w14:textId="23653571" w:rsidR="00595BAA" w:rsidRDefault="0048051C">
      <w:pPr>
        <w:pStyle w:val="TOC2"/>
        <w:tabs>
          <w:tab w:val="left" w:pos="960"/>
        </w:tabs>
        <w:rPr>
          <w:rFonts w:asciiTheme="minorHAnsi" w:eastAsiaTheme="minorEastAsia" w:hAnsiTheme="minorHAnsi" w:cstheme="minorBidi"/>
          <w:noProof/>
          <w:kern w:val="2"/>
          <w:sz w:val="22"/>
          <w:szCs w:val="22"/>
          <w:lang w:val="en-US"/>
          <w14:ligatures w14:val="standardContextual"/>
        </w:rPr>
      </w:pPr>
      <w:hyperlink w:anchor="_Toc166055452" w:history="1">
        <w:r w:rsidR="00595BAA" w:rsidRPr="00D7639E">
          <w:rPr>
            <w:rStyle w:val="Hyperlink"/>
            <w:noProof/>
            <w:lang w:val="en-IE"/>
          </w:rPr>
          <w:t>2.1</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Origin of radioactive waste and spent fuel</w:t>
        </w:r>
        <w:r w:rsidR="00595BAA">
          <w:rPr>
            <w:noProof/>
            <w:webHidden/>
          </w:rPr>
          <w:tab/>
        </w:r>
        <w:r w:rsidR="00595BAA">
          <w:rPr>
            <w:noProof/>
            <w:webHidden/>
          </w:rPr>
          <w:fldChar w:fldCharType="begin"/>
        </w:r>
        <w:r w:rsidR="00595BAA">
          <w:rPr>
            <w:noProof/>
            <w:webHidden/>
          </w:rPr>
          <w:instrText xml:space="preserve"> PAGEREF _Toc166055452 \h </w:instrText>
        </w:r>
        <w:r w:rsidR="00595BAA">
          <w:rPr>
            <w:noProof/>
            <w:webHidden/>
          </w:rPr>
        </w:r>
        <w:r w:rsidR="00595BAA">
          <w:rPr>
            <w:noProof/>
            <w:webHidden/>
          </w:rPr>
          <w:fldChar w:fldCharType="separate"/>
        </w:r>
        <w:r w:rsidR="006154E9">
          <w:rPr>
            <w:noProof/>
            <w:webHidden/>
          </w:rPr>
          <w:t>3</w:t>
        </w:r>
        <w:r w:rsidR="00595BAA">
          <w:rPr>
            <w:noProof/>
            <w:webHidden/>
          </w:rPr>
          <w:fldChar w:fldCharType="end"/>
        </w:r>
      </w:hyperlink>
    </w:p>
    <w:p w14:paraId="3B7ABD12" w14:textId="6A1AF19B" w:rsidR="00595BAA" w:rsidRDefault="0048051C">
      <w:pPr>
        <w:pStyle w:val="TOC2"/>
        <w:tabs>
          <w:tab w:val="left" w:pos="960"/>
        </w:tabs>
        <w:rPr>
          <w:rFonts w:asciiTheme="minorHAnsi" w:eastAsiaTheme="minorEastAsia" w:hAnsiTheme="minorHAnsi" w:cstheme="minorBidi"/>
          <w:noProof/>
          <w:kern w:val="2"/>
          <w:sz w:val="22"/>
          <w:szCs w:val="22"/>
          <w:lang w:val="en-US"/>
          <w14:ligatures w14:val="standardContextual"/>
        </w:rPr>
      </w:pPr>
      <w:hyperlink w:anchor="_Toc166055453" w:history="1">
        <w:r w:rsidR="00595BAA" w:rsidRPr="00D7639E">
          <w:rPr>
            <w:rStyle w:val="Hyperlink"/>
            <w:noProof/>
            <w:lang w:val="en-IE"/>
          </w:rPr>
          <w:t>2.2</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Inventory estimates and trends</w:t>
        </w:r>
        <w:r w:rsidR="00595BAA">
          <w:rPr>
            <w:noProof/>
            <w:webHidden/>
          </w:rPr>
          <w:tab/>
        </w:r>
        <w:r w:rsidR="00595BAA">
          <w:rPr>
            <w:noProof/>
            <w:webHidden/>
          </w:rPr>
          <w:fldChar w:fldCharType="begin"/>
        </w:r>
        <w:r w:rsidR="00595BAA">
          <w:rPr>
            <w:noProof/>
            <w:webHidden/>
          </w:rPr>
          <w:instrText xml:space="preserve"> PAGEREF _Toc166055453 \h </w:instrText>
        </w:r>
        <w:r w:rsidR="00595BAA">
          <w:rPr>
            <w:noProof/>
            <w:webHidden/>
          </w:rPr>
        </w:r>
        <w:r w:rsidR="00595BAA">
          <w:rPr>
            <w:noProof/>
            <w:webHidden/>
          </w:rPr>
          <w:fldChar w:fldCharType="separate"/>
        </w:r>
        <w:r w:rsidR="006154E9">
          <w:rPr>
            <w:noProof/>
            <w:webHidden/>
          </w:rPr>
          <w:t>4</w:t>
        </w:r>
        <w:r w:rsidR="00595BAA">
          <w:rPr>
            <w:noProof/>
            <w:webHidden/>
          </w:rPr>
          <w:fldChar w:fldCharType="end"/>
        </w:r>
      </w:hyperlink>
    </w:p>
    <w:p w14:paraId="6EB438AC" w14:textId="59B4C15D" w:rsidR="00595BAA" w:rsidRDefault="0048051C">
      <w:pPr>
        <w:pStyle w:val="TOC2"/>
        <w:tabs>
          <w:tab w:val="left" w:pos="960"/>
        </w:tabs>
        <w:rPr>
          <w:rFonts w:asciiTheme="minorHAnsi" w:eastAsiaTheme="minorEastAsia" w:hAnsiTheme="minorHAnsi" w:cstheme="minorBidi"/>
          <w:noProof/>
          <w:kern w:val="2"/>
          <w:sz w:val="22"/>
          <w:szCs w:val="22"/>
          <w:lang w:val="en-US"/>
          <w14:ligatures w14:val="standardContextual"/>
        </w:rPr>
      </w:pPr>
      <w:hyperlink w:anchor="_Toc166055454" w:history="1">
        <w:r w:rsidR="00595BAA" w:rsidRPr="00D7639E">
          <w:rPr>
            <w:rStyle w:val="Hyperlink"/>
            <w:noProof/>
            <w:lang w:val="en-IE"/>
          </w:rPr>
          <w:t>2.3</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Future prospects</w:t>
        </w:r>
        <w:r w:rsidR="00595BAA">
          <w:rPr>
            <w:noProof/>
            <w:webHidden/>
          </w:rPr>
          <w:tab/>
        </w:r>
        <w:r w:rsidR="00595BAA">
          <w:rPr>
            <w:noProof/>
            <w:webHidden/>
          </w:rPr>
          <w:fldChar w:fldCharType="begin"/>
        </w:r>
        <w:r w:rsidR="00595BAA">
          <w:rPr>
            <w:noProof/>
            <w:webHidden/>
          </w:rPr>
          <w:instrText xml:space="preserve"> PAGEREF _Toc166055454 \h </w:instrText>
        </w:r>
        <w:r w:rsidR="00595BAA">
          <w:rPr>
            <w:noProof/>
            <w:webHidden/>
          </w:rPr>
        </w:r>
        <w:r w:rsidR="00595BAA">
          <w:rPr>
            <w:noProof/>
            <w:webHidden/>
          </w:rPr>
          <w:fldChar w:fldCharType="separate"/>
        </w:r>
        <w:r w:rsidR="006154E9">
          <w:rPr>
            <w:noProof/>
            <w:webHidden/>
          </w:rPr>
          <w:t>7</w:t>
        </w:r>
        <w:r w:rsidR="00595BAA">
          <w:rPr>
            <w:noProof/>
            <w:webHidden/>
          </w:rPr>
          <w:fldChar w:fldCharType="end"/>
        </w:r>
      </w:hyperlink>
    </w:p>
    <w:p w14:paraId="12EF1639" w14:textId="515FF44B" w:rsidR="00595BAA" w:rsidRDefault="0048051C">
      <w:pPr>
        <w:pStyle w:val="TOC2"/>
        <w:tabs>
          <w:tab w:val="left" w:pos="960"/>
        </w:tabs>
        <w:rPr>
          <w:rFonts w:asciiTheme="minorHAnsi" w:eastAsiaTheme="minorEastAsia" w:hAnsiTheme="minorHAnsi" w:cstheme="minorBidi"/>
          <w:noProof/>
          <w:kern w:val="2"/>
          <w:sz w:val="22"/>
          <w:szCs w:val="22"/>
          <w:lang w:val="en-US"/>
          <w14:ligatures w14:val="standardContextual"/>
        </w:rPr>
      </w:pPr>
      <w:hyperlink w:anchor="_Toc166055455" w:history="1">
        <w:r w:rsidR="00595BAA" w:rsidRPr="00D7639E">
          <w:rPr>
            <w:rStyle w:val="Hyperlink"/>
            <w:noProof/>
            <w:lang w:val="en-IE"/>
          </w:rPr>
          <w:t>2.4</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Trends and challenges</w:t>
        </w:r>
        <w:r w:rsidR="00595BAA">
          <w:rPr>
            <w:noProof/>
            <w:webHidden/>
          </w:rPr>
          <w:tab/>
        </w:r>
        <w:r w:rsidR="00595BAA">
          <w:rPr>
            <w:noProof/>
            <w:webHidden/>
          </w:rPr>
          <w:fldChar w:fldCharType="begin"/>
        </w:r>
        <w:r w:rsidR="00595BAA">
          <w:rPr>
            <w:noProof/>
            <w:webHidden/>
          </w:rPr>
          <w:instrText xml:space="preserve"> PAGEREF _Toc166055455 \h </w:instrText>
        </w:r>
        <w:r w:rsidR="00595BAA">
          <w:rPr>
            <w:noProof/>
            <w:webHidden/>
          </w:rPr>
        </w:r>
        <w:r w:rsidR="00595BAA">
          <w:rPr>
            <w:noProof/>
            <w:webHidden/>
          </w:rPr>
          <w:fldChar w:fldCharType="separate"/>
        </w:r>
        <w:r w:rsidR="006154E9">
          <w:rPr>
            <w:noProof/>
            <w:webHidden/>
          </w:rPr>
          <w:t>8</w:t>
        </w:r>
        <w:r w:rsidR="00595BAA">
          <w:rPr>
            <w:noProof/>
            <w:webHidden/>
          </w:rPr>
          <w:fldChar w:fldCharType="end"/>
        </w:r>
      </w:hyperlink>
    </w:p>
    <w:p w14:paraId="7934465F" w14:textId="4CC39787" w:rsidR="00595BAA" w:rsidRDefault="0048051C">
      <w:pPr>
        <w:pStyle w:val="TOC1"/>
        <w:rPr>
          <w:rFonts w:asciiTheme="minorHAnsi" w:hAnsiTheme="minorHAnsi" w:cstheme="minorBidi"/>
          <w:kern w:val="2"/>
          <w:lang w:val="en-US" w:eastAsia="en-US"/>
          <w14:ligatures w14:val="standardContextual"/>
        </w:rPr>
      </w:pPr>
      <w:hyperlink w:anchor="_Toc166055456" w:history="1">
        <w:r w:rsidR="00595BAA" w:rsidRPr="00D7639E">
          <w:rPr>
            <w:rStyle w:val="Hyperlink"/>
            <w:lang w:val="en-IE"/>
          </w:rPr>
          <w:t>3</w:t>
        </w:r>
        <w:r w:rsidR="00595BAA">
          <w:rPr>
            <w:rFonts w:asciiTheme="minorHAnsi" w:hAnsiTheme="minorHAnsi" w:cstheme="minorBidi"/>
            <w:kern w:val="2"/>
            <w:lang w:val="en-US" w:eastAsia="en-US"/>
            <w14:ligatures w14:val="standardContextual"/>
          </w:rPr>
          <w:tab/>
        </w:r>
        <w:r w:rsidR="00595BAA" w:rsidRPr="00D7639E">
          <w:rPr>
            <w:rStyle w:val="Hyperlink"/>
            <w:lang w:val="en-IE"/>
          </w:rPr>
          <w:t>ENSURING SAFE AND RESPONSIBLE MANAGEMENT OF SPENT FUEL AND RADIOACTIVE WASTE</w:t>
        </w:r>
        <w:r w:rsidR="00595BAA">
          <w:rPr>
            <w:webHidden/>
          </w:rPr>
          <w:tab/>
        </w:r>
        <w:r w:rsidR="00595BAA">
          <w:rPr>
            <w:webHidden/>
          </w:rPr>
          <w:fldChar w:fldCharType="begin"/>
        </w:r>
        <w:r w:rsidR="00595BAA">
          <w:rPr>
            <w:webHidden/>
          </w:rPr>
          <w:instrText xml:space="preserve"> PAGEREF _Toc166055456 \h </w:instrText>
        </w:r>
        <w:r w:rsidR="00595BAA">
          <w:rPr>
            <w:webHidden/>
          </w:rPr>
        </w:r>
        <w:r w:rsidR="00595BAA">
          <w:rPr>
            <w:webHidden/>
          </w:rPr>
          <w:fldChar w:fldCharType="separate"/>
        </w:r>
        <w:r w:rsidR="006154E9">
          <w:rPr>
            <w:webHidden/>
          </w:rPr>
          <w:t>9</w:t>
        </w:r>
        <w:r w:rsidR="00595BAA">
          <w:rPr>
            <w:webHidden/>
          </w:rPr>
          <w:fldChar w:fldCharType="end"/>
        </w:r>
      </w:hyperlink>
    </w:p>
    <w:p w14:paraId="657C9728" w14:textId="3448C200" w:rsidR="00595BAA" w:rsidRDefault="0048051C">
      <w:pPr>
        <w:pStyle w:val="TOC2"/>
        <w:tabs>
          <w:tab w:val="left" w:pos="960"/>
        </w:tabs>
        <w:rPr>
          <w:rFonts w:asciiTheme="minorHAnsi" w:eastAsiaTheme="minorEastAsia" w:hAnsiTheme="minorHAnsi" w:cstheme="minorBidi"/>
          <w:noProof/>
          <w:kern w:val="2"/>
          <w:sz w:val="22"/>
          <w:szCs w:val="22"/>
          <w:lang w:val="en-US"/>
          <w14:ligatures w14:val="standardContextual"/>
        </w:rPr>
      </w:pPr>
      <w:hyperlink w:anchor="_Toc166055457" w:history="1">
        <w:r w:rsidR="00595BAA" w:rsidRPr="00D7639E">
          <w:rPr>
            <w:rStyle w:val="Hyperlink"/>
            <w:noProof/>
            <w:lang w:val="en-IE"/>
          </w:rPr>
          <w:t>3.1</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National frameworks</w:t>
        </w:r>
        <w:r w:rsidR="00595BAA">
          <w:rPr>
            <w:noProof/>
            <w:webHidden/>
          </w:rPr>
          <w:tab/>
        </w:r>
        <w:r w:rsidR="00595BAA">
          <w:rPr>
            <w:noProof/>
            <w:webHidden/>
          </w:rPr>
          <w:fldChar w:fldCharType="begin"/>
        </w:r>
        <w:r w:rsidR="00595BAA">
          <w:rPr>
            <w:noProof/>
            <w:webHidden/>
          </w:rPr>
          <w:instrText xml:space="preserve"> PAGEREF _Toc166055457 \h </w:instrText>
        </w:r>
        <w:r w:rsidR="00595BAA">
          <w:rPr>
            <w:noProof/>
            <w:webHidden/>
          </w:rPr>
        </w:r>
        <w:r w:rsidR="00595BAA">
          <w:rPr>
            <w:noProof/>
            <w:webHidden/>
          </w:rPr>
          <w:fldChar w:fldCharType="separate"/>
        </w:r>
        <w:r w:rsidR="006154E9">
          <w:rPr>
            <w:noProof/>
            <w:webHidden/>
          </w:rPr>
          <w:t>9</w:t>
        </w:r>
        <w:r w:rsidR="00595BAA">
          <w:rPr>
            <w:noProof/>
            <w:webHidden/>
          </w:rPr>
          <w:fldChar w:fldCharType="end"/>
        </w:r>
      </w:hyperlink>
    </w:p>
    <w:p w14:paraId="77BFC20E" w14:textId="55A25C3B"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58" w:history="1">
        <w:r w:rsidR="00595BAA" w:rsidRPr="00D7639E">
          <w:rPr>
            <w:rStyle w:val="Hyperlink"/>
            <w:noProof/>
            <w:lang w:val="en-IE"/>
          </w:rPr>
          <w:t>3.1.1</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Competent regulatory authorities</w:t>
        </w:r>
        <w:r w:rsidR="00595BAA">
          <w:rPr>
            <w:noProof/>
            <w:webHidden/>
          </w:rPr>
          <w:tab/>
        </w:r>
        <w:r w:rsidR="00595BAA">
          <w:rPr>
            <w:noProof/>
            <w:webHidden/>
          </w:rPr>
          <w:fldChar w:fldCharType="begin"/>
        </w:r>
        <w:r w:rsidR="00595BAA">
          <w:rPr>
            <w:noProof/>
            <w:webHidden/>
          </w:rPr>
          <w:instrText xml:space="preserve"> PAGEREF _Toc166055458 \h </w:instrText>
        </w:r>
        <w:r w:rsidR="00595BAA">
          <w:rPr>
            <w:noProof/>
            <w:webHidden/>
          </w:rPr>
        </w:r>
        <w:r w:rsidR="00595BAA">
          <w:rPr>
            <w:noProof/>
            <w:webHidden/>
          </w:rPr>
          <w:fldChar w:fldCharType="separate"/>
        </w:r>
        <w:r w:rsidR="006154E9">
          <w:rPr>
            <w:noProof/>
            <w:webHidden/>
          </w:rPr>
          <w:t>9</w:t>
        </w:r>
        <w:r w:rsidR="00595BAA">
          <w:rPr>
            <w:noProof/>
            <w:webHidden/>
          </w:rPr>
          <w:fldChar w:fldCharType="end"/>
        </w:r>
      </w:hyperlink>
    </w:p>
    <w:p w14:paraId="12847BD7" w14:textId="691D92AB"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59" w:history="1">
        <w:r w:rsidR="00595BAA" w:rsidRPr="00D7639E">
          <w:rPr>
            <w:rStyle w:val="Hyperlink"/>
            <w:noProof/>
            <w:lang w:val="en-IE"/>
          </w:rPr>
          <w:t>3.1.2</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Licence holders</w:t>
        </w:r>
        <w:r w:rsidR="00595BAA">
          <w:rPr>
            <w:noProof/>
            <w:webHidden/>
          </w:rPr>
          <w:tab/>
        </w:r>
        <w:r w:rsidR="00595BAA">
          <w:rPr>
            <w:noProof/>
            <w:webHidden/>
          </w:rPr>
          <w:fldChar w:fldCharType="begin"/>
        </w:r>
        <w:r w:rsidR="00595BAA">
          <w:rPr>
            <w:noProof/>
            <w:webHidden/>
          </w:rPr>
          <w:instrText xml:space="preserve"> PAGEREF _Toc166055459 \h </w:instrText>
        </w:r>
        <w:r w:rsidR="00595BAA">
          <w:rPr>
            <w:noProof/>
            <w:webHidden/>
          </w:rPr>
        </w:r>
        <w:r w:rsidR="00595BAA">
          <w:rPr>
            <w:noProof/>
            <w:webHidden/>
          </w:rPr>
          <w:fldChar w:fldCharType="separate"/>
        </w:r>
        <w:r w:rsidR="006154E9">
          <w:rPr>
            <w:noProof/>
            <w:webHidden/>
          </w:rPr>
          <w:t>10</w:t>
        </w:r>
        <w:r w:rsidR="00595BAA">
          <w:rPr>
            <w:noProof/>
            <w:webHidden/>
          </w:rPr>
          <w:fldChar w:fldCharType="end"/>
        </w:r>
      </w:hyperlink>
    </w:p>
    <w:p w14:paraId="7F8F982E" w14:textId="7BE0A67B"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0" w:history="1">
        <w:r w:rsidR="00595BAA" w:rsidRPr="00D7639E">
          <w:rPr>
            <w:rStyle w:val="Hyperlink"/>
            <w:noProof/>
            <w:lang w:val="en-IE"/>
          </w:rPr>
          <w:t>3.1.3</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Expertise and skills</w:t>
        </w:r>
        <w:r w:rsidR="00595BAA">
          <w:rPr>
            <w:noProof/>
            <w:webHidden/>
          </w:rPr>
          <w:tab/>
        </w:r>
        <w:r w:rsidR="00595BAA">
          <w:rPr>
            <w:noProof/>
            <w:webHidden/>
          </w:rPr>
          <w:fldChar w:fldCharType="begin"/>
        </w:r>
        <w:r w:rsidR="00595BAA">
          <w:rPr>
            <w:noProof/>
            <w:webHidden/>
          </w:rPr>
          <w:instrText xml:space="preserve"> PAGEREF _Toc166055460 \h </w:instrText>
        </w:r>
        <w:r w:rsidR="00595BAA">
          <w:rPr>
            <w:noProof/>
            <w:webHidden/>
          </w:rPr>
        </w:r>
        <w:r w:rsidR="00595BAA">
          <w:rPr>
            <w:noProof/>
            <w:webHidden/>
          </w:rPr>
          <w:fldChar w:fldCharType="separate"/>
        </w:r>
        <w:r w:rsidR="006154E9">
          <w:rPr>
            <w:noProof/>
            <w:webHidden/>
          </w:rPr>
          <w:t>10</w:t>
        </w:r>
        <w:r w:rsidR="00595BAA">
          <w:rPr>
            <w:noProof/>
            <w:webHidden/>
          </w:rPr>
          <w:fldChar w:fldCharType="end"/>
        </w:r>
      </w:hyperlink>
    </w:p>
    <w:p w14:paraId="42CE1BF0" w14:textId="169670F5"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1" w:history="1">
        <w:r w:rsidR="00595BAA" w:rsidRPr="00D7639E">
          <w:rPr>
            <w:rStyle w:val="Hyperlink"/>
            <w:noProof/>
            <w:lang w:val="en-IE"/>
          </w:rPr>
          <w:t>3.1.4</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Financial resources</w:t>
        </w:r>
        <w:r w:rsidR="00595BAA">
          <w:rPr>
            <w:noProof/>
            <w:webHidden/>
          </w:rPr>
          <w:tab/>
        </w:r>
        <w:r w:rsidR="00595BAA">
          <w:rPr>
            <w:noProof/>
            <w:webHidden/>
          </w:rPr>
          <w:fldChar w:fldCharType="begin"/>
        </w:r>
        <w:r w:rsidR="00595BAA">
          <w:rPr>
            <w:noProof/>
            <w:webHidden/>
          </w:rPr>
          <w:instrText xml:space="preserve"> PAGEREF _Toc166055461 \h </w:instrText>
        </w:r>
        <w:r w:rsidR="00595BAA">
          <w:rPr>
            <w:noProof/>
            <w:webHidden/>
          </w:rPr>
        </w:r>
        <w:r w:rsidR="00595BAA">
          <w:rPr>
            <w:noProof/>
            <w:webHidden/>
          </w:rPr>
          <w:fldChar w:fldCharType="separate"/>
        </w:r>
        <w:r w:rsidR="006154E9">
          <w:rPr>
            <w:noProof/>
            <w:webHidden/>
          </w:rPr>
          <w:t>10</w:t>
        </w:r>
        <w:r w:rsidR="00595BAA">
          <w:rPr>
            <w:noProof/>
            <w:webHidden/>
          </w:rPr>
          <w:fldChar w:fldCharType="end"/>
        </w:r>
      </w:hyperlink>
    </w:p>
    <w:p w14:paraId="7812B082" w14:textId="3103D6AE"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2" w:history="1">
        <w:r w:rsidR="00595BAA" w:rsidRPr="00D7639E">
          <w:rPr>
            <w:rStyle w:val="Hyperlink"/>
            <w:noProof/>
            <w:lang w:val="en-IE"/>
          </w:rPr>
          <w:t>3.1.5</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Transparency and public participation</w:t>
        </w:r>
        <w:r w:rsidR="00595BAA">
          <w:rPr>
            <w:noProof/>
            <w:webHidden/>
          </w:rPr>
          <w:tab/>
        </w:r>
        <w:r w:rsidR="00595BAA">
          <w:rPr>
            <w:noProof/>
            <w:webHidden/>
          </w:rPr>
          <w:fldChar w:fldCharType="begin"/>
        </w:r>
        <w:r w:rsidR="00595BAA">
          <w:rPr>
            <w:noProof/>
            <w:webHidden/>
          </w:rPr>
          <w:instrText xml:space="preserve"> PAGEREF _Toc166055462 \h </w:instrText>
        </w:r>
        <w:r w:rsidR="00595BAA">
          <w:rPr>
            <w:noProof/>
            <w:webHidden/>
          </w:rPr>
        </w:r>
        <w:r w:rsidR="00595BAA">
          <w:rPr>
            <w:noProof/>
            <w:webHidden/>
          </w:rPr>
          <w:fldChar w:fldCharType="separate"/>
        </w:r>
        <w:r w:rsidR="006154E9">
          <w:rPr>
            <w:noProof/>
            <w:webHidden/>
          </w:rPr>
          <w:t>11</w:t>
        </w:r>
        <w:r w:rsidR="00595BAA">
          <w:rPr>
            <w:noProof/>
            <w:webHidden/>
          </w:rPr>
          <w:fldChar w:fldCharType="end"/>
        </w:r>
      </w:hyperlink>
    </w:p>
    <w:p w14:paraId="000A61C4" w14:textId="3A61E365"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3" w:history="1">
        <w:r w:rsidR="00595BAA" w:rsidRPr="00D7639E">
          <w:rPr>
            <w:rStyle w:val="Hyperlink"/>
            <w:noProof/>
            <w:lang w:val="en-IE"/>
          </w:rPr>
          <w:t>3.1.6</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Infringements</w:t>
        </w:r>
        <w:r w:rsidR="00595BAA">
          <w:rPr>
            <w:noProof/>
            <w:webHidden/>
          </w:rPr>
          <w:tab/>
        </w:r>
        <w:r w:rsidR="00595BAA">
          <w:rPr>
            <w:noProof/>
            <w:webHidden/>
          </w:rPr>
          <w:fldChar w:fldCharType="begin"/>
        </w:r>
        <w:r w:rsidR="00595BAA">
          <w:rPr>
            <w:noProof/>
            <w:webHidden/>
          </w:rPr>
          <w:instrText xml:space="preserve"> PAGEREF _Toc166055463 \h </w:instrText>
        </w:r>
        <w:r w:rsidR="00595BAA">
          <w:rPr>
            <w:noProof/>
            <w:webHidden/>
          </w:rPr>
        </w:r>
        <w:r w:rsidR="00595BAA">
          <w:rPr>
            <w:noProof/>
            <w:webHidden/>
          </w:rPr>
          <w:fldChar w:fldCharType="separate"/>
        </w:r>
        <w:r w:rsidR="006154E9">
          <w:rPr>
            <w:noProof/>
            <w:webHidden/>
          </w:rPr>
          <w:t>12</w:t>
        </w:r>
        <w:r w:rsidR="00595BAA">
          <w:rPr>
            <w:noProof/>
            <w:webHidden/>
          </w:rPr>
          <w:fldChar w:fldCharType="end"/>
        </w:r>
      </w:hyperlink>
    </w:p>
    <w:p w14:paraId="29555D78" w14:textId="141A7A99" w:rsidR="00595BAA" w:rsidRDefault="0048051C">
      <w:pPr>
        <w:pStyle w:val="TOC2"/>
        <w:tabs>
          <w:tab w:val="left" w:pos="960"/>
        </w:tabs>
        <w:rPr>
          <w:rFonts w:asciiTheme="minorHAnsi" w:eastAsiaTheme="minorEastAsia" w:hAnsiTheme="minorHAnsi" w:cstheme="minorBidi"/>
          <w:noProof/>
          <w:kern w:val="2"/>
          <w:sz w:val="22"/>
          <w:szCs w:val="22"/>
          <w:lang w:val="en-US"/>
          <w14:ligatures w14:val="standardContextual"/>
        </w:rPr>
      </w:pPr>
      <w:hyperlink w:anchor="_Toc166055464" w:history="1">
        <w:r w:rsidR="00595BAA" w:rsidRPr="00D7639E">
          <w:rPr>
            <w:rStyle w:val="Hyperlink"/>
            <w:noProof/>
            <w:lang w:val="en-IE"/>
          </w:rPr>
          <w:t>3.2</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National programmes</w:t>
        </w:r>
        <w:r w:rsidR="00595BAA">
          <w:rPr>
            <w:noProof/>
            <w:webHidden/>
          </w:rPr>
          <w:tab/>
        </w:r>
        <w:r w:rsidR="00595BAA">
          <w:rPr>
            <w:noProof/>
            <w:webHidden/>
          </w:rPr>
          <w:fldChar w:fldCharType="begin"/>
        </w:r>
        <w:r w:rsidR="00595BAA">
          <w:rPr>
            <w:noProof/>
            <w:webHidden/>
          </w:rPr>
          <w:instrText xml:space="preserve"> PAGEREF _Toc166055464 \h </w:instrText>
        </w:r>
        <w:r w:rsidR="00595BAA">
          <w:rPr>
            <w:noProof/>
            <w:webHidden/>
          </w:rPr>
        </w:r>
        <w:r w:rsidR="00595BAA">
          <w:rPr>
            <w:noProof/>
            <w:webHidden/>
          </w:rPr>
          <w:fldChar w:fldCharType="separate"/>
        </w:r>
        <w:r w:rsidR="006154E9">
          <w:rPr>
            <w:noProof/>
            <w:webHidden/>
          </w:rPr>
          <w:t>12</w:t>
        </w:r>
        <w:r w:rsidR="00595BAA">
          <w:rPr>
            <w:noProof/>
            <w:webHidden/>
          </w:rPr>
          <w:fldChar w:fldCharType="end"/>
        </w:r>
      </w:hyperlink>
    </w:p>
    <w:p w14:paraId="4AEF8016" w14:textId="1E297C73"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5" w:history="1">
        <w:r w:rsidR="00595BAA" w:rsidRPr="00D7639E">
          <w:rPr>
            <w:rStyle w:val="Hyperlink"/>
            <w:noProof/>
            <w:lang w:val="en-IE"/>
          </w:rPr>
          <w:t>3.2.1</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State of progress</w:t>
        </w:r>
        <w:r w:rsidR="00595BAA">
          <w:rPr>
            <w:noProof/>
            <w:webHidden/>
          </w:rPr>
          <w:tab/>
        </w:r>
        <w:r w:rsidR="00595BAA">
          <w:rPr>
            <w:noProof/>
            <w:webHidden/>
          </w:rPr>
          <w:fldChar w:fldCharType="begin"/>
        </w:r>
        <w:r w:rsidR="00595BAA">
          <w:rPr>
            <w:noProof/>
            <w:webHidden/>
          </w:rPr>
          <w:instrText xml:space="preserve"> PAGEREF _Toc166055465 \h </w:instrText>
        </w:r>
        <w:r w:rsidR="00595BAA">
          <w:rPr>
            <w:noProof/>
            <w:webHidden/>
          </w:rPr>
        </w:r>
        <w:r w:rsidR="00595BAA">
          <w:rPr>
            <w:noProof/>
            <w:webHidden/>
          </w:rPr>
          <w:fldChar w:fldCharType="separate"/>
        </w:r>
        <w:r w:rsidR="006154E9">
          <w:rPr>
            <w:noProof/>
            <w:webHidden/>
          </w:rPr>
          <w:t>12</w:t>
        </w:r>
        <w:r w:rsidR="00595BAA">
          <w:rPr>
            <w:noProof/>
            <w:webHidden/>
          </w:rPr>
          <w:fldChar w:fldCharType="end"/>
        </w:r>
      </w:hyperlink>
    </w:p>
    <w:p w14:paraId="6111BC02" w14:textId="398EBE49"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6" w:history="1">
        <w:r w:rsidR="00595BAA" w:rsidRPr="00D7639E">
          <w:rPr>
            <w:rStyle w:val="Hyperlink"/>
            <w:noProof/>
            <w:lang w:val="en-IE"/>
          </w:rPr>
          <w:t>3.2.2</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Main plans and policies</w:t>
        </w:r>
        <w:r w:rsidR="00595BAA">
          <w:rPr>
            <w:noProof/>
            <w:webHidden/>
          </w:rPr>
          <w:tab/>
        </w:r>
        <w:r w:rsidR="00595BAA">
          <w:rPr>
            <w:noProof/>
            <w:webHidden/>
          </w:rPr>
          <w:fldChar w:fldCharType="begin"/>
        </w:r>
        <w:r w:rsidR="00595BAA">
          <w:rPr>
            <w:noProof/>
            <w:webHidden/>
          </w:rPr>
          <w:instrText xml:space="preserve"> PAGEREF _Toc166055466 \h </w:instrText>
        </w:r>
        <w:r w:rsidR="00595BAA">
          <w:rPr>
            <w:noProof/>
            <w:webHidden/>
          </w:rPr>
        </w:r>
        <w:r w:rsidR="00595BAA">
          <w:rPr>
            <w:noProof/>
            <w:webHidden/>
          </w:rPr>
          <w:fldChar w:fldCharType="separate"/>
        </w:r>
        <w:r w:rsidR="006154E9">
          <w:rPr>
            <w:noProof/>
            <w:webHidden/>
          </w:rPr>
          <w:t>13</w:t>
        </w:r>
        <w:r w:rsidR="00595BAA">
          <w:rPr>
            <w:noProof/>
            <w:webHidden/>
          </w:rPr>
          <w:fldChar w:fldCharType="end"/>
        </w:r>
      </w:hyperlink>
    </w:p>
    <w:p w14:paraId="006687C6" w14:textId="5002EBDE"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7" w:history="1">
        <w:r w:rsidR="00595BAA" w:rsidRPr="00D7639E">
          <w:rPr>
            <w:rStyle w:val="Hyperlink"/>
            <w:noProof/>
            <w:lang w:val="en-IE"/>
          </w:rPr>
          <w:t>3.2.3</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Monitoring progress towards implementation</w:t>
        </w:r>
        <w:r w:rsidR="00595BAA">
          <w:rPr>
            <w:noProof/>
            <w:webHidden/>
          </w:rPr>
          <w:tab/>
        </w:r>
        <w:r w:rsidR="00595BAA">
          <w:rPr>
            <w:noProof/>
            <w:webHidden/>
          </w:rPr>
          <w:fldChar w:fldCharType="begin"/>
        </w:r>
        <w:r w:rsidR="00595BAA">
          <w:rPr>
            <w:noProof/>
            <w:webHidden/>
          </w:rPr>
          <w:instrText xml:space="preserve"> PAGEREF _Toc166055467 \h </w:instrText>
        </w:r>
        <w:r w:rsidR="00595BAA">
          <w:rPr>
            <w:noProof/>
            <w:webHidden/>
          </w:rPr>
        </w:r>
        <w:r w:rsidR="00595BAA">
          <w:rPr>
            <w:noProof/>
            <w:webHidden/>
          </w:rPr>
          <w:fldChar w:fldCharType="separate"/>
        </w:r>
        <w:r w:rsidR="006154E9">
          <w:rPr>
            <w:noProof/>
            <w:webHidden/>
          </w:rPr>
          <w:t>13</w:t>
        </w:r>
        <w:r w:rsidR="00595BAA">
          <w:rPr>
            <w:noProof/>
            <w:webHidden/>
          </w:rPr>
          <w:fldChar w:fldCharType="end"/>
        </w:r>
      </w:hyperlink>
    </w:p>
    <w:p w14:paraId="787371BF" w14:textId="25C14C2F"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8" w:history="1">
        <w:r w:rsidR="00595BAA" w:rsidRPr="00D7639E">
          <w:rPr>
            <w:rStyle w:val="Hyperlink"/>
            <w:noProof/>
            <w:lang w:val="en-IE"/>
          </w:rPr>
          <w:t>3.2.4</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Research, development and demonstration activities</w:t>
        </w:r>
        <w:r w:rsidR="00595BAA">
          <w:rPr>
            <w:noProof/>
            <w:webHidden/>
          </w:rPr>
          <w:tab/>
        </w:r>
        <w:r w:rsidR="00595BAA">
          <w:rPr>
            <w:noProof/>
            <w:webHidden/>
          </w:rPr>
          <w:fldChar w:fldCharType="begin"/>
        </w:r>
        <w:r w:rsidR="00595BAA">
          <w:rPr>
            <w:noProof/>
            <w:webHidden/>
          </w:rPr>
          <w:instrText xml:space="preserve"> PAGEREF _Toc166055468 \h </w:instrText>
        </w:r>
        <w:r w:rsidR="00595BAA">
          <w:rPr>
            <w:noProof/>
            <w:webHidden/>
          </w:rPr>
        </w:r>
        <w:r w:rsidR="00595BAA">
          <w:rPr>
            <w:noProof/>
            <w:webHidden/>
          </w:rPr>
          <w:fldChar w:fldCharType="separate"/>
        </w:r>
        <w:r w:rsidR="006154E9">
          <w:rPr>
            <w:noProof/>
            <w:webHidden/>
          </w:rPr>
          <w:t>14</w:t>
        </w:r>
        <w:r w:rsidR="00595BAA">
          <w:rPr>
            <w:noProof/>
            <w:webHidden/>
          </w:rPr>
          <w:fldChar w:fldCharType="end"/>
        </w:r>
      </w:hyperlink>
    </w:p>
    <w:p w14:paraId="7FDF9CC7" w14:textId="6E70D8BC" w:rsidR="00595BAA" w:rsidRDefault="0048051C">
      <w:pPr>
        <w:pStyle w:val="TOC3"/>
        <w:tabs>
          <w:tab w:val="left" w:pos="1320"/>
          <w:tab w:val="right" w:leader="dot" w:pos="9074"/>
        </w:tabs>
        <w:rPr>
          <w:rFonts w:asciiTheme="minorHAnsi" w:eastAsiaTheme="minorEastAsia" w:hAnsiTheme="minorHAnsi" w:cstheme="minorBidi"/>
          <w:noProof/>
          <w:kern w:val="2"/>
          <w:sz w:val="22"/>
          <w:szCs w:val="22"/>
          <w:lang w:val="en-US"/>
          <w14:ligatures w14:val="standardContextual"/>
        </w:rPr>
      </w:pPr>
      <w:hyperlink w:anchor="_Toc166055469" w:history="1">
        <w:r w:rsidR="00595BAA" w:rsidRPr="00D7639E">
          <w:rPr>
            <w:rStyle w:val="Hyperlink"/>
            <w:noProof/>
            <w:lang w:val="en-IE"/>
          </w:rPr>
          <w:t>3.2.5</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Infringements</w:t>
        </w:r>
        <w:r w:rsidR="00595BAA">
          <w:rPr>
            <w:noProof/>
            <w:webHidden/>
          </w:rPr>
          <w:tab/>
        </w:r>
        <w:r w:rsidR="00595BAA">
          <w:rPr>
            <w:noProof/>
            <w:webHidden/>
          </w:rPr>
          <w:fldChar w:fldCharType="begin"/>
        </w:r>
        <w:r w:rsidR="00595BAA">
          <w:rPr>
            <w:noProof/>
            <w:webHidden/>
          </w:rPr>
          <w:instrText xml:space="preserve"> PAGEREF _Toc166055469 \h </w:instrText>
        </w:r>
        <w:r w:rsidR="00595BAA">
          <w:rPr>
            <w:noProof/>
            <w:webHidden/>
          </w:rPr>
        </w:r>
        <w:r w:rsidR="00595BAA">
          <w:rPr>
            <w:noProof/>
            <w:webHidden/>
          </w:rPr>
          <w:fldChar w:fldCharType="separate"/>
        </w:r>
        <w:r w:rsidR="006154E9">
          <w:rPr>
            <w:noProof/>
            <w:webHidden/>
          </w:rPr>
          <w:t>14</w:t>
        </w:r>
        <w:r w:rsidR="00595BAA">
          <w:rPr>
            <w:noProof/>
            <w:webHidden/>
          </w:rPr>
          <w:fldChar w:fldCharType="end"/>
        </w:r>
      </w:hyperlink>
    </w:p>
    <w:p w14:paraId="408E7834" w14:textId="430D9B7D" w:rsidR="00595BAA" w:rsidRDefault="0048051C">
      <w:pPr>
        <w:pStyle w:val="TOC2"/>
        <w:tabs>
          <w:tab w:val="left" w:pos="960"/>
        </w:tabs>
        <w:rPr>
          <w:rFonts w:asciiTheme="minorHAnsi" w:eastAsiaTheme="minorEastAsia" w:hAnsiTheme="minorHAnsi" w:cstheme="minorBidi"/>
          <w:noProof/>
          <w:kern w:val="2"/>
          <w:sz w:val="22"/>
          <w:szCs w:val="22"/>
          <w:lang w:val="en-US"/>
          <w14:ligatures w14:val="standardContextual"/>
        </w:rPr>
      </w:pPr>
      <w:hyperlink w:anchor="_Toc166055470" w:history="1">
        <w:r w:rsidR="00595BAA" w:rsidRPr="00D7639E">
          <w:rPr>
            <w:rStyle w:val="Hyperlink"/>
            <w:noProof/>
            <w:lang w:val="en-IE"/>
          </w:rPr>
          <w:t>3.3</w:t>
        </w:r>
        <w:r w:rsidR="00595BAA">
          <w:rPr>
            <w:rFonts w:asciiTheme="minorHAnsi" w:eastAsiaTheme="minorEastAsia" w:hAnsiTheme="minorHAnsi" w:cstheme="minorBidi"/>
            <w:noProof/>
            <w:kern w:val="2"/>
            <w:sz w:val="22"/>
            <w:szCs w:val="22"/>
            <w:lang w:val="en-US"/>
            <w14:ligatures w14:val="standardContextual"/>
          </w:rPr>
          <w:tab/>
        </w:r>
        <w:r w:rsidR="00595BAA" w:rsidRPr="00D7639E">
          <w:rPr>
            <w:rStyle w:val="Hyperlink"/>
            <w:noProof/>
            <w:lang w:val="en-IE"/>
          </w:rPr>
          <w:t>Self-assessment and international peer reviews</w:t>
        </w:r>
        <w:r w:rsidR="00595BAA">
          <w:rPr>
            <w:noProof/>
            <w:webHidden/>
          </w:rPr>
          <w:tab/>
        </w:r>
        <w:r w:rsidR="00595BAA">
          <w:rPr>
            <w:noProof/>
            <w:webHidden/>
          </w:rPr>
          <w:fldChar w:fldCharType="begin"/>
        </w:r>
        <w:r w:rsidR="00595BAA">
          <w:rPr>
            <w:noProof/>
            <w:webHidden/>
          </w:rPr>
          <w:instrText xml:space="preserve"> PAGEREF _Toc166055470 \h </w:instrText>
        </w:r>
        <w:r w:rsidR="00595BAA">
          <w:rPr>
            <w:noProof/>
            <w:webHidden/>
          </w:rPr>
        </w:r>
        <w:r w:rsidR="00595BAA">
          <w:rPr>
            <w:noProof/>
            <w:webHidden/>
          </w:rPr>
          <w:fldChar w:fldCharType="separate"/>
        </w:r>
        <w:r w:rsidR="006154E9">
          <w:rPr>
            <w:noProof/>
            <w:webHidden/>
          </w:rPr>
          <w:t>15</w:t>
        </w:r>
        <w:r w:rsidR="00595BAA">
          <w:rPr>
            <w:noProof/>
            <w:webHidden/>
          </w:rPr>
          <w:fldChar w:fldCharType="end"/>
        </w:r>
      </w:hyperlink>
    </w:p>
    <w:p w14:paraId="34A62ABF" w14:textId="7CDF3081" w:rsidR="00595BAA" w:rsidRDefault="0048051C">
      <w:pPr>
        <w:pStyle w:val="TOC1"/>
        <w:rPr>
          <w:rFonts w:asciiTheme="minorHAnsi" w:hAnsiTheme="minorHAnsi" w:cstheme="minorBidi"/>
          <w:kern w:val="2"/>
          <w:lang w:val="en-US" w:eastAsia="en-US"/>
          <w14:ligatures w14:val="standardContextual"/>
        </w:rPr>
      </w:pPr>
      <w:hyperlink w:anchor="_Toc166055471" w:history="1">
        <w:r w:rsidR="00595BAA" w:rsidRPr="00D7639E">
          <w:rPr>
            <w:rStyle w:val="Hyperlink"/>
            <w:lang w:val="en-IE"/>
          </w:rPr>
          <w:t>4</w:t>
        </w:r>
        <w:r w:rsidR="00595BAA">
          <w:rPr>
            <w:rFonts w:asciiTheme="minorHAnsi" w:hAnsiTheme="minorHAnsi" w:cstheme="minorBidi"/>
            <w:kern w:val="2"/>
            <w:lang w:val="en-US" w:eastAsia="en-US"/>
            <w14:ligatures w14:val="standardContextual"/>
          </w:rPr>
          <w:tab/>
        </w:r>
        <w:r w:rsidR="00595BAA" w:rsidRPr="00D7639E">
          <w:rPr>
            <w:rStyle w:val="Hyperlink"/>
            <w:lang w:val="en-IE"/>
          </w:rPr>
          <w:t>CONCLUSIONS</w:t>
        </w:r>
        <w:r w:rsidR="00595BAA">
          <w:rPr>
            <w:webHidden/>
          </w:rPr>
          <w:tab/>
        </w:r>
        <w:r w:rsidR="00595BAA">
          <w:rPr>
            <w:webHidden/>
          </w:rPr>
          <w:fldChar w:fldCharType="begin"/>
        </w:r>
        <w:r w:rsidR="00595BAA">
          <w:rPr>
            <w:webHidden/>
          </w:rPr>
          <w:instrText xml:space="preserve"> PAGEREF _Toc166055471 \h </w:instrText>
        </w:r>
        <w:r w:rsidR="00595BAA">
          <w:rPr>
            <w:webHidden/>
          </w:rPr>
        </w:r>
        <w:r w:rsidR="00595BAA">
          <w:rPr>
            <w:webHidden/>
          </w:rPr>
          <w:fldChar w:fldCharType="separate"/>
        </w:r>
        <w:r w:rsidR="006154E9">
          <w:rPr>
            <w:webHidden/>
          </w:rPr>
          <w:t>15</w:t>
        </w:r>
        <w:r w:rsidR="00595BAA">
          <w:rPr>
            <w:webHidden/>
          </w:rPr>
          <w:fldChar w:fldCharType="end"/>
        </w:r>
      </w:hyperlink>
    </w:p>
    <w:p w14:paraId="17F37677" w14:textId="65C2C2A4" w:rsidR="0068325C" w:rsidRPr="007F3D01" w:rsidRDefault="00595BAA">
      <w:pPr>
        <w:rPr>
          <w:noProof/>
          <w:lang w:val="en-IE"/>
        </w:rPr>
      </w:pPr>
      <w:r>
        <w:rPr>
          <w:rFonts w:eastAsiaTheme="minorEastAsia"/>
          <w:noProof/>
          <w:sz w:val="22"/>
          <w:szCs w:val="22"/>
          <w:lang w:val="en-IE" w:eastAsia="en-GB"/>
        </w:rPr>
        <w:fldChar w:fldCharType="end"/>
      </w:r>
    </w:p>
    <w:p w14:paraId="17F37678" w14:textId="77777777" w:rsidR="0068325C" w:rsidRPr="007F3D01" w:rsidRDefault="0091419F" w:rsidP="0070351D">
      <w:pPr>
        <w:pStyle w:val="Heading1"/>
        <w:rPr>
          <w:noProof/>
          <w:lang w:val="en-IE"/>
        </w:rPr>
      </w:pPr>
      <w:r w:rsidRPr="007F3D01">
        <w:rPr>
          <w:noProof/>
          <w:lang w:val="en-IE"/>
        </w:rPr>
        <w:br w:type="page"/>
      </w:r>
      <w:bookmarkStart w:id="2" w:name="_Toc10039589"/>
      <w:bookmarkStart w:id="3" w:name="_Toc166055450"/>
      <w:r w:rsidRPr="007F3D01">
        <w:rPr>
          <w:noProof/>
          <w:lang w:val="en-IE"/>
        </w:rPr>
        <w:t>INTRODUCTION</w:t>
      </w:r>
      <w:bookmarkEnd w:id="2"/>
      <w:bookmarkEnd w:id="3"/>
    </w:p>
    <w:p w14:paraId="4D1BB7D1" w14:textId="44405DDD" w:rsidR="00CE4A01" w:rsidRDefault="0091419F">
      <w:pPr>
        <w:spacing w:line="276" w:lineRule="auto"/>
        <w:rPr>
          <w:noProof/>
          <w:lang w:val="en-IE"/>
        </w:rPr>
      </w:pPr>
      <w:r w:rsidRPr="007F3D01">
        <w:rPr>
          <w:noProof/>
          <w:lang w:val="en-IE"/>
        </w:rPr>
        <w:t>Under Article 14(2) of Council Directive 2011/70/Euratom</w:t>
      </w:r>
      <w:r w:rsidRPr="007F3D01">
        <w:rPr>
          <w:noProof/>
          <w:vertAlign w:val="superscript"/>
          <w:lang w:val="en-IE"/>
        </w:rPr>
        <w:footnoteReference w:id="2"/>
      </w:r>
      <w:r w:rsidRPr="007F3D01">
        <w:rPr>
          <w:noProof/>
          <w:lang w:val="en-IE"/>
        </w:rPr>
        <w:t xml:space="preserve"> on the responsible and safe management of spent fuel</w:t>
      </w:r>
      <w:r w:rsidRPr="007F3D01">
        <w:rPr>
          <w:rStyle w:val="FootnoteReference"/>
          <w:noProof/>
          <w:lang w:val="en-IE"/>
        </w:rPr>
        <w:footnoteReference w:id="3"/>
      </w:r>
      <w:r w:rsidRPr="007F3D01">
        <w:rPr>
          <w:noProof/>
          <w:lang w:val="en-IE"/>
        </w:rPr>
        <w:t xml:space="preserve"> and radioactive waste</w:t>
      </w:r>
      <w:r w:rsidRPr="007F3D01">
        <w:rPr>
          <w:rStyle w:val="FootnoteReference"/>
          <w:noProof/>
          <w:lang w:val="en-IE"/>
        </w:rPr>
        <w:footnoteReference w:id="4"/>
      </w:r>
      <w:r w:rsidRPr="007F3D01">
        <w:rPr>
          <w:noProof/>
          <w:lang w:val="en-IE"/>
        </w:rPr>
        <w:t xml:space="preserve"> ('the Directive') the Commission </w:t>
      </w:r>
      <w:r w:rsidR="00CE4A01">
        <w:rPr>
          <w:noProof/>
          <w:lang w:val="en-IE"/>
        </w:rPr>
        <w:t xml:space="preserve">must </w:t>
      </w:r>
      <w:r w:rsidRPr="007F3D01">
        <w:rPr>
          <w:noProof/>
          <w:lang w:val="en-IE"/>
        </w:rPr>
        <w:t>submit to the European Parliament and Council</w:t>
      </w:r>
      <w:r w:rsidR="00CE4A01">
        <w:rPr>
          <w:noProof/>
          <w:lang w:val="en-IE"/>
        </w:rPr>
        <w:t>:</w:t>
      </w:r>
    </w:p>
    <w:p w14:paraId="6F290BA5" w14:textId="483E1913" w:rsidR="00CE4A01" w:rsidRDefault="0091419F" w:rsidP="00CE4A01">
      <w:pPr>
        <w:pStyle w:val="ListParagraph"/>
        <w:numPr>
          <w:ilvl w:val="0"/>
          <w:numId w:val="21"/>
        </w:numPr>
        <w:spacing w:line="276" w:lineRule="auto"/>
        <w:rPr>
          <w:noProof/>
          <w:lang w:val="en-IE"/>
        </w:rPr>
      </w:pPr>
      <w:r w:rsidRPr="00983490">
        <w:rPr>
          <w:noProof/>
          <w:lang w:val="en-IE"/>
        </w:rPr>
        <w:t>progress report</w:t>
      </w:r>
      <w:r w:rsidR="00766006" w:rsidRPr="00983490">
        <w:rPr>
          <w:noProof/>
          <w:lang w:val="en-IE"/>
        </w:rPr>
        <w:t>s</w:t>
      </w:r>
      <w:r w:rsidRPr="00983490">
        <w:rPr>
          <w:noProof/>
          <w:lang w:val="en-IE"/>
        </w:rPr>
        <w:t xml:space="preserve"> on the implementation of this Directive</w:t>
      </w:r>
      <w:r w:rsidR="00CE4A01">
        <w:rPr>
          <w:noProof/>
          <w:lang w:val="en-IE"/>
        </w:rPr>
        <w:t>;</w:t>
      </w:r>
      <w:r w:rsidRPr="00983490">
        <w:rPr>
          <w:noProof/>
          <w:lang w:val="en-IE"/>
        </w:rPr>
        <w:t xml:space="preserve"> and</w:t>
      </w:r>
    </w:p>
    <w:p w14:paraId="17F37679" w14:textId="7F63C053" w:rsidR="0068325C" w:rsidRPr="00983490" w:rsidRDefault="0091419F" w:rsidP="00983490">
      <w:pPr>
        <w:pStyle w:val="ListParagraph"/>
        <w:numPr>
          <w:ilvl w:val="0"/>
          <w:numId w:val="21"/>
        </w:numPr>
        <w:spacing w:line="276" w:lineRule="auto"/>
        <w:rPr>
          <w:noProof/>
          <w:lang w:val="en-IE"/>
        </w:rPr>
      </w:pPr>
      <w:r w:rsidRPr="00983490">
        <w:rPr>
          <w:noProof/>
          <w:lang w:val="en-IE"/>
        </w:rPr>
        <w:t xml:space="preserve">an inventory of radioactive waste and spent fuel present in the </w:t>
      </w:r>
      <w:r w:rsidR="008C737D">
        <w:rPr>
          <w:noProof/>
          <w:lang w:val="en-IE"/>
        </w:rPr>
        <w:t xml:space="preserve">European Atomic Energy </w:t>
      </w:r>
      <w:r w:rsidRPr="00983490">
        <w:rPr>
          <w:noProof/>
          <w:lang w:val="en-IE"/>
        </w:rPr>
        <w:t xml:space="preserve">Community’s </w:t>
      </w:r>
      <w:bookmarkStart w:id="4" w:name="_Hlk157711771"/>
      <w:r w:rsidR="00983490">
        <w:rPr>
          <w:noProof/>
          <w:lang w:val="en-IE"/>
        </w:rPr>
        <w:t xml:space="preserve">(‘the Community’) </w:t>
      </w:r>
      <w:bookmarkEnd w:id="4"/>
      <w:r w:rsidRPr="00983490">
        <w:rPr>
          <w:noProof/>
          <w:lang w:val="en-IE"/>
        </w:rPr>
        <w:t xml:space="preserve">territory </w:t>
      </w:r>
      <w:r w:rsidR="008961BA" w:rsidRPr="00983490">
        <w:rPr>
          <w:noProof/>
          <w:lang w:val="en-IE"/>
        </w:rPr>
        <w:t xml:space="preserve">and the </w:t>
      </w:r>
      <w:r w:rsidRPr="00983490">
        <w:rPr>
          <w:noProof/>
          <w:lang w:val="en-IE"/>
        </w:rPr>
        <w:t xml:space="preserve">future </w:t>
      </w:r>
      <w:r w:rsidR="008961BA" w:rsidRPr="00983490">
        <w:rPr>
          <w:noProof/>
          <w:lang w:val="en-IE"/>
        </w:rPr>
        <w:t>prospects</w:t>
      </w:r>
      <w:r w:rsidR="00766006" w:rsidRPr="00983490">
        <w:rPr>
          <w:noProof/>
          <w:lang w:val="en-IE"/>
        </w:rPr>
        <w:t>, on the basis of Member States’ national reports due every</w:t>
      </w:r>
      <w:r w:rsidR="00CE4A01">
        <w:rPr>
          <w:noProof/>
          <w:lang w:val="en-IE"/>
        </w:rPr>
        <w:t xml:space="preserve"> 3</w:t>
      </w:r>
      <w:r w:rsidR="00766006" w:rsidRPr="00983490">
        <w:rPr>
          <w:noProof/>
          <w:lang w:val="en-IE"/>
        </w:rPr>
        <w:t xml:space="preserve"> years as per Article 14(1) of the Directive</w:t>
      </w:r>
      <w:r w:rsidR="00766006" w:rsidRPr="007F3D01">
        <w:rPr>
          <w:rStyle w:val="FootnoteReference"/>
          <w:noProof/>
          <w:lang w:val="en-IE"/>
        </w:rPr>
        <w:footnoteReference w:id="5"/>
      </w:r>
      <w:r w:rsidRPr="00983490">
        <w:rPr>
          <w:noProof/>
          <w:lang w:val="en-IE"/>
        </w:rPr>
        <w:t>.</w:t>
      </w:r>
    </w:p>
    <w:p w14:paraId="17F3767A" w14:textId="32337722" w:rsidR="0068325C" w:rsidRPr="007F3D01" w:rsidRDefault="00FF0975">
      <w:pPr>
        <w:spacing w:line="276" w:lineRule="auto"/>
        <w:rPr>
          <w:noProof/>
          <w:lang w:val="en-IE"/>
        </w:rPr>
      </w:pPr>
      <w:r w:rsidRPr="007F3D01">
        <w:rPr>
          <w:noProof/>
          <w:lang w:val="en-IE"/>
        </w:rPr>
        <w:t>The Commission presented two progress reports</w:t>
      </w:r>
      <w:r w:rsidRPr="007F3D01">
        <w:rPr>
          <w:rStyle w:val="FootnoteReference"/>
          <w:noProof/>
          <w:lang w:val="en-IE"/>
        </w:rPr>
        <w:footnoteReference w:id="6"/>
      </w:r>
      <w:r w:rsidRPr="007F3D01">
        <w:rPr>
          <w:noProof/>
          <w:vertAlign w:val="superscript"/>
          <w:lang w:val="en-IE"/>
        </w:rPr>
        <w:t>,</w:t>
      </w:r>
      <w:r w:rsidRPr="007F3D01">
        <w:rPr>
          <w:rStyle w:val="FootnoteReference"/>
          <w:noProof/>
          <w:lang w:val="en-IE"/>
        </w:rPr>
        <w:footnoteReference w:id="7"/>
      </w:r>
      <w:r w:rsidRPr="007F3D01">
        <w:rPr>
          <w:noProof/>
          <w:lang w:val="en-IE"/>
        </w:rPr>
        <w:t xml:space="preserve"> to the EU</w:t>
      </w:r>
      <w:r w:rsidR="00CE4A01">
        <w:rPr>
          <w:noProof/>
          <w:lang w:val="en-IE"/>
        </w:rPr>
        <w:t xml:space="preserve"> public </w:t>
      </w:r>
      <w:r w:rsidRPr="007F3D01">
        <w:rPr>
          <w:noProof/>
          <w:lang w:val="en-IE"/>
        </w:rPr>
        <w:t xml:space="preserve">in </w:t>
      </w:r>
      <w:r w:rsidR="0091419F" w:rsidRPr="007F3D01">
        <w:rPr>
          <w:noProof/>
          <w:lang w:val="en-IE"/>
        </w:rPr>
        <w:t xml:space="preserve">2017 </w:t>
      </w:r>
      <w:r w:rsidR="000015CB" w:rsidRPr="007F3D01">
        <w:rPr>
          <w:noProof/>
          <w:lang w:val="en-IE"/>
        </w:rPr>
        <w:t>and 2019</w:t>
      </w:r>
      <w:r w:rsidRPr="007F3D01">
        <w:rPr>
          <w:noProof/>
          <w:lang w:val="en-IE"/>
        </w:rPr>
        <w:t>,</w:t>
      </w:r>
      <w:r w:rsidR="00573DA4" w:rsidRPr="007F3D01">
        <w:rPr>
          <w:noProof/>
          <w:lang w:val="en-IE"/>
        </w:rPr>
        <w:t xml:space="preserve"> providing a comprehensive overview of the situation</w:t>
      </w:r>
      <w:r w:rsidR="000015CB" w:rsidRPr="007F3D01">
        <w:rPr>
          <w:noProof/>
          <w:lang w:val="en-IE"/>
        </w:rPr>
        <w:t xml:space="preserve">. </w:t>
      </w:r>
      <w:r w:rsidR="0091419F" w:rsidRPr="007F3D01">
        <w:rPr>
          <w:noProof/>
          <w:lang w:val="en-IE"/>
        </w:rPr>
        <w:t>Th</w:t>
      </w:r>
      <w:r w:rsidR="00CE4A01">
        <w:rPr>
          <w:noProof/>
          <w:lang w:val="en-IE"/>
        </w:rPr>
        <w:t>is</w:t>
      </w:r>
      <w:r w:rsidR="0091419F" w:rsidRPr="007F3D01">
        <w:rPr>
          <w:noProof/>
          <w:lang w:val="en-IE"/>
        </w:rPr>
        <w:t xml:space="preserve"> </w:t>
      </w:r>
      <w:r w:rsidR="000015CB" w:rsidRPr="007F3D01">
        <w:rPr>
          <w:noProof/>
          <w:lang w:val="en-IE"/>
        </w:rPr>
        <w:t>third</w:t>
      </w:r>
      <w:r w:rsidR="0091419F" w:rsidRPr="007F3D01">
        <w:rPr>
          <w:noProof/>
          <w:lang w:val="en-IE"/>
        </w:rPr>
        <w:t xml:space="preserve"> report </w:t>
      </w:r>
      <w:r w:rsidR="00491321" w:rsidRPr="007F3D01">
        <w:rPr>
          <w:noProof/>
          <w:lang w:val="en-IE"/>
        </w:rPr>
        <w:t>covers the period 201</w:t>
      </w:r>
      <w:r w:rsidR="008263AA" w:rsidRPr="007F3D01">
        <w:rPr>
          <w:noProof/>
          <w:lang w:val="en-IE"/>
        </w:rPr>
        <w:t>8</w:t>
      </w:r>
      <w:r w:rsidR="00491321" w:rsidRPr="007F3D01">
        <w:rPr>
          <w:noProof/>
          <w:lang w:val="en-IE"/>
        </w:rPr>
        <w:t>-2021</w:t>
      </w:r>
      <w:r w:rsidR="00EB6062" w:rsidRPr="007F3D01">
        <w:rPr>
          <w:noProof/>
          <w:lang w:val="en-IE"/>
        </w:rPr>
        <w:t>.</w:t>
      </w:r>
    </w:p>
    <w:p w14:paraId="17F3767B" w14:textId="32326085" w:rsidR="0068325C" w:rsidRPr="007F3D01" w:rsidRDefault="00766006">
      <w:pPr>
        <w:widowControl/>
        <w:shd w:val="clear" w:color="auto" w:fill="auto"/>
        <w:autoSpaceDE/>
        <w:autoSpaceDN/>
        <w:adjustRightInd/>
        <w:spacing w:line="276" w:lineRule="auto"/>
        <w:rPr>
          <w:noProof/>
          <w:lang w:val="en-IE"/>
        </w:rPr>
      </w:pPr>
      <w:r>
        <w:rPr>
          <w:noProof/>
          <w:lang w:val="en-IE"/>
        </w:rPr>
        <w:t>It</w:t>
      </w:r>
      <w:r w:rsidR="0091419F" w:rsidRPr="007F3D01">
        <w:rPr>
          <w:noProof/>
          <w:lang w:val="en-IE"/>
        </w:rPr>
        <w:t xml:space="preserve"> is based on the Member States’ national reports </w:t>
      </w:r>
      <w:r w:rsidR="00FC0096" w:rsidRPr="007F3D01">
        <w:rPr>
          <w:noProof/>
          <w:lang w:val="en-IE"/>
        </w:rPr>
        <w:t>due for submission</w:t>
      </w:r>
      <w:r w:rsidR="0091419F" w:rsidRPr="007F3D01">
        <w:rPr>
          <w:noProof/>
          <w:lang w:val="en-IE"/>
        </w:rPr>
        <w:t xml:space="preserve"> to the Commission by 23 August 20</w:t>
      </w:r>
      <w:r w:rsidR="00573DA4" w:rsidRPr="007F3D01">
        <w:rPr>
          <w:noProof/>
          <w:lang w:val="en-IE"/>
        </w:rPr>
        <w:t>21</w:t>
      </w:r>
      <w:r>
        <w:rPr>
          <w:noProof/>
          <w:lang w:val="en-IE"/>
        </w:rPr>
        <w:t xml:space="preserve"> ( ‘the reporting date’)</w:t>
      </w:r>
      <w:r w:rsidR="0091419F" w:rsidRPr="007F3D01">
        <w:rPr>
          <w:noProof/>
          <w:lang w:val="en-IE"/>
        </w:rPr>
        <w:t>. It addresses the overall EU inventory of radioactive waste and spent fuel (</w:t>
      </w:r>
      <w:r w:rsidR="00CE4A01">
        <w:rPr>
          <w:noProof/>
          <w:lang w:val="en-IE"/>
        </w:rPr>
        <w:t>S</w:t>
      </w:r>
      <w:r w:rsidR="0091419F" w:rsidRPr="007F3D01">
        <w:rPr>
          <w:noProof/>
          <w:lang w:val="en-IE"/>
        </w:rPr>
        <w:t>ection 2), Member State compliance with the key aspects of the Directive (</w:t>
      </w:r>
      <w:r w:rsidR="00CE4A01">
        <w:rPr>
          <w:noProof/>
          <w:lang w:val="en-IE"/>
        </w:rPr>
        <w:t>S</w:t>
      </w:r>
      <w:r w:rsidR="0091419F" w:rsidRPr="007F3D01">
        <w:rPr>
          <w:noProof/>
          <w:lang w:val="en-IE"/>
        </w:rPr>
        <w:t>ection 3) and sets out the Commission’s conclusion</w:t>
      </w:r>
      <w:r w:rsidR="00270976" w:rsidRPr="007F3D01">
        <w:rPr>
          <w:noProof/>
          <w:lang w:val="en-IE"/>
        </w:rPr>
        <w:t>s</w:t>
      </w:r>
      <w:r w:rsidR="0091419F" w:rsidRPr="007F3D01">
        <w:rPr>
          <w:noProof/>
          <w:lang w:val="en-IE"/>
        </w:rPr>
        <w:t xml:space="preserve"> (</w:t>
      </w:r>
      <w:r w:rsidR="00CE4A01">
        <w:rPr>
          <w:noProof/>
          <w:lang w:val="en-IE"/>
        </w:rPr>
        <w:t>S</w:t>
      </w:r>
      <w:r w:rsidR="0091419F" w:rsidRPr="007F3D01">
        <w:rPr>
          <w:noProof/>
          <w:lang w:val="en-IE"/>
        </w:rPr>
        <w:t>ection 4).</w:t>
      </w:r>
    </w:p>
    <w:p w14:paraId="387B4C22" w14:textId="3DE531A4" w:rsidR="008C737D" w:rsidRDefault="0091419F">
      <w:pPr>
        <w:spacing w:line="276" w:lineRule="auto"/>
        <w:rPr>
          <w:noProof/>
          <w:lang w:val="en-IE"/>
        </w:rPr>
      </w:pPr>
      <w:r w:rsidRPr="007F3D01">
        <w:rPr>
          <w:noProof/>
          <w:lang w:val="en-IE"/>
        </w:rPr>
        <w:t xml:space="preserve">The report is accompanied by two </w:t>
      </w:r>
      <w:r w:rsidR="008C737D">
        <w:rPr>
          <w:noProof/>
          <w:lang w:val="en-IE"/>
        </w:rPr>
        <w:t>s</w:t>
      </w:r>
      <w:r w:rsidRPr="007F3D01">
        <w:rPr>
          <w:noProof/>
          <w:lang w:val="en-IE"/>
        </w:rPr>
        <w:t xml:space="preserve">taff </w:t>
      </w:r>
      <w:r w:rsidR="008C737D">
        <w:rPr>
          <w:noProof/>
          <w:lang w:val="en-IE"/>
        </w:rPr>
        <w:t>w</w:t>
      </w:r>
      <w:r w:rsidRPr="007F3D01">
        <w:rPr>
          <w:noProof/>
          <w:lang w:val="en-IE"/>
        </w:rPr>
        <w:t xml:space="preserve">orking </w:t>
      </w:r>
      <w:r w:rsidR="008C737D">
        <w:rPr>
          <w:noProof/>
          <w:lang w:val="en-IE"/>
        </w:rPr>
        <w:t>d</w:t>
      </w:r>
      <w:r w:rsidRPr="007F3D01">
        <w:rPr>
          <w:noProof/>
          <w:lang w:val="en-IE"/>
        </w:rPr>
        <w:t xml:space="preserve">ocuments: </w:t>
      </w:r>
    </w:p>
    <w:p w14:paraId="02544C97" w14:textId="33E6FF67" w:rsidR="008C737D" w:rsidRDefault="0091419F" w:rsidP="008C737D">
      <w:pPr>
        <w:pStyle w:val="ListParagraph"/>
        <w:numPr>
          <w:ilvl w:val="0"/>
          <w:numId w:val="22"/>
        </w:numPr>
        <w:spacing w:line="276" w:lineRule="auto"/>
        <w:rPr>
          <w:noProof/>
          <w:lang w:val="en-IE"/>
        </w:rPr>
      </w:pPr>
      <w:r w:rsidRPr="00983490">
        <w:rPr>
          <w:noProof/>
          <w:lang w:val="en-IE"/>
        </w:rPr>
        <w:t>one present</w:t>
      </w:r>
      <w:r w:rsidR="008C737D">
        <w:rPr>
          <w:noProof/>
          <w:lang w:val="en-IE"/>
        </w:rPr>
        <w:t>s</w:t>
      </w:r>
      <w:r w:rsidRPr="00983490">
        <w:rPr>
          <w:noProof/>
          <w:lang w:val="en-IE"/>
        </w:rPr>
        <w:t xml:space="preserve"> the EU inventory of radioactive waste and spent fuel and its </w:t>
      </w:r>
      <w:r w:rsidR="005A0BB0" w:rsidRPr="00983490">
        <w:rPr>
          <w:noProof/>
          <w:lang w:val="en-IE"/>
        </w:rPr>
        <w:t>prospects</w:t>
      </w:r>
      <w:r w:rsidRPr="00983490">
        <w:rPr>
          <w:noProof/>
          <w:lang w:val="en-IE"/>
        </w:rPr>
        <w:t>, with a reference date of December 201</w:t>
      </w:r>
      <w:r w:rsidR="00294D0E" w:rsidRPr="00983490">
        <w:rPr>
          <w:noProof/>
          <w:lang w:val="en-IE"/>
        </w:rPr>
        <w:t>9</w:t>
      </w:r>
      <w:r w:rsidR="008C737D">
        <w:rPr>
          <w:noProof/>
          <w:lang w:val="en-IE"/>
        </w:rPr>
        <w:t>;</w:t>
      </w:r>
      <w:r w:rsidRPr="00983490">
        <w:rPr>
          <w:noProof/>
          <w:lang w:val="en-IE"/>
        </w:rPr>
        <w:t xml:space="preserve"> and</w:t>
      </w:r>
    </w:p>
    <w:p w14:paraId="17F3767C" w14:textId="7F860C0D" w:rsidR="0068325C" w:rsidRPr="00983490" w:rsidRDefault="0091419F" w:rsidP="00983490">
      <w:pPr>
        <w:pStyle w:val="ListParagraph"/>
        <w:numPr>
          <w:ilvl w:val="0"/>
          <w:numId w:val="22"/>
        </w:numPr>
        <w:spacing w:line="276" w:lineRule="auto"/>
        <w:rPr>
          <w:noProof/>
          <w:lang w:val="en-IE"/>
        </w:rPr>
      </w:pPr>
      <w:r w:rsidRPr="00983490">
        <w:rPr>
          <w:noProof/>
          <w:lang w:val="en-IE"/>
        </w:rPr>
        <w:t>the other present</w:t>
      </w:r>
      <w:r w:rsidR="008C737D">
        <w:rPr>
          <w:noProof/>
          <w:lang w:val="en-IE"/>
        </w:rPr>
        <w:t>s</w:t>
      </w:r>
      <w:r w:rsidRPr="00983490">
        <w:rPr>
          <w:noProof/>
          <w:lang w:val="en-IE"/>
        </w:rPr>
        <w:t xml:space="preserve"> the overall situation </w:t>
      </w:r>
      <w:r w:rsidRPr="00983490">
        <w:rPr>
          <w:noProof/>
          <w:color w:val="000000" w:themeColor="text1"/>
          <w:lang w:val="en-IE"/>
        </w:rPr>
        <w:t xml:space="preserve">on spent fuel and radioactive waste management in the </w:t>
      </w:r>
      <w:r w:rsidR="00983490">
        <w:rPr>
          <w:noProof/>
          <w:color w:val="000000" w:themeColor="text1"/>
          <w:lang w:val="en-IE"/>
        </w:rPr>
        <w:t>Community</w:t>
      </w:r>
      <w:r w:rsidRPr="00983490">
        <w:rPr>
          <w:noProof/>
          <w:color w:val="000000" w:themeColor="text1"/>
          <w:lang w:val="en-IE"/>
        </w:rPr>
        <w:t xml:space="preserve"> based on</w:t>
      </w:r>
      <w:r w:rsidRPr="00983490">
        <w:rPr>
          <w:noProof/>
          <w:lang w:val="en-IE"/>
        </w:rPr>
        <w:t xml:space="preserve"> </w:t>
      </w:r>
      <w:r w:rsidR="008C737D">
        <w:rPr>
          <w:noProof/>
          <w:lang w:val="en-IE"/>
        </w:rPr>
        <w:t xml:space="preserve">the Commission’s analyses of the </w:t>
      </w:r>
      <w:r w:rsidRPr="00983490">
        <w:rPr>
          <w:noProof/>
          <w:lang w:val="en-IE"/>
        </w:rPr>
        <w:t>national reports.</w:t>
      </w:r>
    </w:p>
    <w:p w14:paraId="4100DD97" w14:textId="53BF0A3A" w:rsidR="00485828" w:rsidRPr="007F3D01" w:rsidRDefault="00192310">
      <w:pPr>
        <w:spacing w:line="276" w:lineRule="auto"/>
        <w:rPr>
          <w:noProof/>
          <w:lang w:val="en-IE"/>
        </w:rPr>
      </w:pPr>
      <w:r w:rsidRPr="007F3D01">
        <w:rPr>
          <w:noProof/>
          <w:lang w:val="en-IE"/>
        </w:rPr>
        <w:t>Section 2 below provides an overview o</w:t>
      </w:r>
      <w:r w:rsidR="001829C7">
        <w:rPr>
          <w:noProof/>
          <w:lang w:val="en-IE"/>
        </w:rPr>
        <w:t>f</w:t>
      </w:r>
      <w:r w:rsidRPr="007F3D01">
        <w:rPr>
          <w:noProof/>
          <w:lang w:val="en-IE"/>
        </w:rPr>
        <w:t xml:space="preserve"> radioactive waste and spent fuel inventories in the EU-27, including trends and </w:t>
      </w:r>
      <w:r w:rsidR="005A0BB0" w:rsidRPr="007F3D01">
        <w:rPr>
          <w:noProof/>
          <w:lang w:val="en-IE"/>
        </w:rPr>
        <w:t>prospects</w:t>
      </w:r>
      <w:r w:rsidRPr="007F3D01">
        <w:rPr>
          <w:noProof/>
          <w:lang w:val="en-IE"/>
        </w:rPr>
        <w:t xml:space="preserve">. Section 3 summarises the </w:t>
      </w:r>
      <w:r w:rsidR="00254741" w:rsidRPr="007F3D01">
        <w:rPr>
          <w:noProof/>
          <w:lang w:val="en-IE"/>
        </w:rPr>
        <w:t>assessment</w:t>
      </w:r>
      <w:r w:rsidRPr="007F3D01">
        <w:rPr>
          <w:noProof/>
          <w:lang w:val="en-IE"/>
        </w:rPr>
        <w:t xml:space="preserve"> of </w:t>
      </w:r>
      <w:r w:rsidR="001829C7">
        <w:rPr>
          <w:noProof/>
          <w:lang w:val="en-IE"/>
        </w:rPr>
        <w:t xml:space="preserve">how </w:t>
      </w:r>
      <w:r w:rsidRPr="007F3D01">
        <w:rPr>
          <w:noProof/>
          <w:lang w:val="en-IE"/>
        </w:rPr>
        <w:t xml:space="preserve">national frameworks and policies </w:t>
      </w:r>
      <w:r w:rsidR="001829C7">
        <w:rPr>
          <w:noProof/>
          <w:lang w:val="en-IE"/>
        </w:rPr>
        <w:t xml:space="preserve">are currently implemented </w:t>
      </w:r>
      <w:r w:rsidRPr="007F3D01">
        <w:rPr>
          <w:noProof/>
          <w:lang w:val="en-IE"/>
        </w:rPr>
        <w:t>under the Directive, highlighting progress</w:t>
      </w:r>
      <w:r w:rsidR="001829C7">
        <w:rPr>
          <w:noProof/>
          <w:lang w:val="en-IE"/>
        </w:rPr>
        <w:t xml:space="preserve"> made</w:t>
      </w:r>
      <w:r w:rsidRPr="007F3D01">
        <w:rPr>
          <w:noProof/>
          <w:lang w:val="en-IE"/>
        </w:rPr>
        <w:t xml:space="preserve"> and challenges, compared to the previous reporting cycles.</w:t>
      </w:r>
    </w:p>
    <w:p w14:paraId="17F3767D" w14:textId="77777777" w:rsidR="0068325C" w:rsidRPr="007F3D01" w:rsidRDefault="0091419F" w:rsidP="0070351D">
      <w:pPr>
        <w:pStyle w:val="Heading1"/>
        <w:rPr>
          <w:noProof/>
          <w:lang w:val="en-IE"/>
        </w:rPr>
      </w:pPr>
      <w:bookmarkStart w:id="5" w:name="_Toc166055451"/>
      <w:r w:rsidRPr="007F3D01">
        <w:rPr>
          <w:noProof/>
          <w:lang w:val="en-IE"/>
        </w:rPr>
        <w:t>RADIOACTIVE WASTE AND SPENT FUEL IN THE EUROPEAN UNION</w:t>
      </w:r>
      <w:bookmarkEnd w:id="5"/>
    </w:p>
    <w:p w14:paraId="61DCDB8D" w14:textId="5E303FD9" w:rsidR="00485828" w:rsidRPr="007F3D01" w:rsidRDefault="00485828" w:rsidP="00485828">
      <w:pPr>
        <w:spacing w:line="276" w:lineRule="auto"/>
        <w:rPr>
          <w:noProof/>
          <w:lang w:val="en-IE"/>
        </w:rPr>
      </w:pPr>
      <w:r w:rsidRPr="007F3D01">
        <w:rPr>
          <w:noProof/>
          <w:lang w:val="en-IE"/>
        </w:rPr>
        <w:t xml:space="preserve">Under the Directive’s requirements the Commission periodically </w:t>
      </w:r>
      <w:r w:rsidR="001829C7">
        <w:rPr>
          <w:noProof/>
          <w:lang w:val="en-IE"/>
        </w:rPr>
        <w:t xml:space="preserve">provides </w:t>
      </w:r>
      <w:r w:rsidRPr="007F3D01">
        <w:rPr>
          <w:noProof/>
          <w:lang w:val="en-IE"/>
        </w:rPr>
        <w:t xml:space="preserve">a transparent and comprehensive overview of the </w:t>
      </w:r>
      <w:r w:rsidR="001829C7">
        <w:rPr>
          <w:noProof/>
          <w:lang w:val="en-IE"/>
        </w:rPr>
        <w:t>Community</w:t>
      </w:r>
      <w:r w:rsidRPr="007F3D01">
        <w:rPr>
          <w:noProof/>
          <w:lang w:val="en-IE"/>
        </w:rPr>
        <w:t xml:space="preserve">-wide inventories of spent fuel and radioactive waste, including </w:t>
      </w:r>
      <w:r w:rsidR="005A0BB0" w:rsidRPr="007F3D01">
        <w:rPr>
          <w:noProof/>
          <w:lang w:val="en-IE"/>
        </w:rPr>
        <w:t>prospects</w:t>
      </w:r>
      <w:r w:rsidRPr="007F3D01">
        <w:rPr>
          <w:noProof/>
          <w:lang w:val="en-IE"/>
        </w:rPr>
        <w:t xml:space="preserve">. This information </w:t>
      </w:r>
      <w:r w:rsidR="001829C7">
        <w:rPr>
          <w:noProof/>
          <w:lang w:val="en-IE"/>
        </w:rPr>
        <w:t xml:space="preserve">is key </w:t>
      </w:r>
      <w:r w:rsidRPr="007F3D01">
        <w:rPr>
          <w:noProof/>
          <w:lang w:val="en-IE"/>
        </w:rPr>
        <w:t xml:space="preserve">to see whether Member States have taken reasonable steps in their national policies and programmes to minimise the amounts </w:t>
      </w:r>
      <w:r w:rsidR="000361A0">
        <w:rPr>
          <w:noProof/>
          <w:lang w:val="en-IE"/>
        </w:rPr>
        <w:t xml:space="preserve">generated </w:t>
      </w:r>
      <w:r w:rsidRPr="007F3D01">
        <w:rPr>
          <w:noProof/>
          <w:lang w:val="en-IE"/>
        </w:rPr>
        <w:t xml:space="preserve">and ensure </w:t>
      </w:r>
      <w:r w:rsidR="001829C7">
        <w:rPr>
          <w:noProof/>
          <w:lang w:val="en-IE"/>
        </w:rPr>
        <w:t xml:space="preserve">in good time </w:t>
      </w:r>
      <w:r w:rsidRPr="007F3D01">
        <w:rPr>
          <w:noProof/>
          <w:lang w:val="en-IE"/>
        </w:rPr>
        <w:t xml:space="preserve">sufficient storage and disposal capacities </w:t>
      </w:r>
      <w:r w:rsidR="005A0BB0" w:rsidRPr="007F3D01">
        <w:rPr>
          <w:noProof/>
          <w:lang w:val="en-IE"/>
        </w:rPr>
        <w:t>to</w:t>
      </w:r>
      <w:r w:rsidRPr="007F3D01">
        <w:rPr>
          <w:noProof/>
          <w:lang w:val="en-IE"/>
        </w:rPr>
        <w:t xml:space="preserve"> avoid </w:t>
      </w:r>
      <w:r w:rsidR="001829C7">
        <w:rPr>
          <w:noProof/>
          <w:lang w:val="en-IE"/>
        </w:rPr>
        <w:t xml:space="preserve">imposing </w:t>
      </w:r>
      <w:r w:rsidRPr="007F3D01">
        <w:rPr>
          <w:noProof/>
          <w:lang w:val="en-IE"/>
        </w:rPr>
        <w:t xml:space="preserve">any undue burden on future generations </w:t>
      </w:r>
      <w:r w:rsidR="001829C7">
        <w:rPr>
          <w:noProof/>
          <w:lang w:val="en-IE"/>
        </w:rPr>
        <w:t xml:space="preserve">in </w:t>
      </w:r>
      <w:r w:rsidRPr="007F3D01">
        <w:rPr>
          <w:noProof/>
          <w:lang w:val="en-IE"/>
        </w:rPr>
        <w:t>manag</w:t>
      </w:r>
      <w:r w:rsidR="001829C7">
        <w:rPr>
          <w:noProof/>
          <w:lang w:val="en-IE"/>
        </w:rPr>
        <w:t>ing</w:t>
      </w:r>
      <w:r w:rsidRPr="007F3D01">
        <w:rPr>
          <w:noProof/>
          <w:lang w:val="en-IE"/>
        </w:rPr>
        <w:t xml:space="preserve"> spent fuel and radioactive waste.</w:t>
      </w:r>
    </w:p>
    <w:p w14:paraId="0F425168" w14:textId="75B9070A" w:rsidR="00485828" w:rsidRPr="007F3D01" w:rsidRDefault="00485828" w:rsidP="007C596E">
      <w:pPr>
        <w:pStyle w:val="Heading2"/>
        <w:rPr>
          <w:noProof/>
          <w:lang w:val="en-IE"/>
        </w:rPr>
      </w:pPr>
      <w:bookmarkStart w:id="6" w:name="_Toc166055452"/>
      <w:r w:rsidRPr="007F3D01">
        <w:rPr>
          <w:noProof/>
          <w:lang w:val="en-IE"/>
        </w:rPr>
        <w:t>Origin of radioactive waste and spent fuel</w:t>
      </w:r>
      <w:bookmarkEnd w:id="6"/>
    </w:p>
    <w:p w14:paraId="17F3767E" w14:textId="1AD95521" w:rsidR="0068325C" w:rsidRPr="007F3D01" w:rsidRDefault="0091419F">
      <w:pPr>
        <w:spacing w:line="276" w:lineRule="auto"/>
        <w:rPr>
          <w:noProof/>
          <w:lang w:val="en-IE"/>
        </w:rPr>
      </w:pPr>
      <w:r w:rsidRPr="007F3D01">
        <w:rPr>
          <w:noProof/>
          <w:lang w:val="en-IE"/>
        </w:rPr>
        <w:t xml:space="preserve">All Member States generate radioactive waste through various activities ranging from medical applications to electricity generation. </w:t>
      </w:r>
      <w:r w:rsidR="002B6A6D">
        <w:rPr>
          <w:noProof/>
          <w:lang w:val="en-IE"/>
        </w:rPr>
        <w:t xml:space="preserve">A total of </w:t>
      </w:r>
      <w:r w:rsidR="004B4A1A" w:rsidRPr="001C5AC8">
        <w:rPr>
          <w:noProof/>
          <w:lang w:val="en-IE"/>
        </w:rPr>
        <w:t>17</w:t>
      </w:r>
      <w:r w:rsidRPr="001C5AC8">
        <w:rPr>
          <w:noProof/>
          <w:lang w:val="en-IE"/>
        </w:rPr>
        <w:t xml:space="preserve"> Member States</w:t>
      </w:r>
      <w:r w:rsidRPr="007F3D01">
        <w:rPr>
          <w:noProof/>
          <w:lang w:val="en-IE"/>
        </w:rPr>
        <w:t xml:space="preserve"> also manage spent nuclear fuel on their territory. Owing to its radiological properties and the potential hazard it poses to workers, the public and the environment, the safe management of such material from </w:t>
      </w:r>
      <w:r w:rsidR="00270976" w:rsidRPr="007F3D01">
        <w:rPr>
          <w:noProof/>
          <w:lang w:val="en-IE"/>
        </w:rPr>
        <w:t xml:space="preserve">its </w:t>
      </w:r>
      <w:r w:rsidRPr="007F3D01">
        <w:rPr>
          <w:noProof/>
          <w:lang w:val="en-IE"/>
        </w:rPr>
        <w:t>generation to disposal must be ensured. This requires containment and isolation from humans and the living environment over period</w:t>
      </w:r>
      <w:r w:rsidR="00270976" w:rsidRPr="007F3D01">
        <w:rPr>
          <w:noProof/>
          <w:lang w:val="en-IE"/>
        </w:rPr>
        <w:t>s</w:t>
      </w:r>
      <w:r w:rsidRPr="007F3D01">
        <w:rPr>
          <w:noProof/>
          <w:lang w:val="en-IE"/>
        </w:rPr>
        <w:t xml:space="preserve"> of time</w:t>
      </w:r>
      <w:r w:rsidR="00270976" w:rsidRPr="007F3D01">
        <w:rPr>
          <w:noProof/>
          <w:lang w:val="en-IE"/>
        </w:rPr>
        <w:t xml:space="preserve"> ranging from several days to several hundreds of thousands of years, depending on the radioact</w:t>
      </w:r>
      <w:r w:rsidR="00702BBB" w:rsidRPr="007F3D01">
        <w:rPr>
          <w:noProof/>
          <w:lang w:val="en-IE"/>
        </w:rPr>
        <w:t>iv</w:t>
      </w:r>
      <w:r w:rsidR="00270976" w:rsidRPr="007F3D01">
        <w:rPr>
          <w:noProof/>
          <w:lang w:val="en-IE"/>
        </w:rPr>
        <w:t>ity content of the material</w:t>
      </w:r>
      <w:r w:rsidRPr="007F3D01">
        <w:rPr>
          <w:noProof/>
          <w:lang w:val="en-IE"/>
        </w:rPr>
        <w:t>.</w:t>
      </w:r>
    </w:p>
    <w:p w14:paraId="17F3767F" w14:textId="0E2D4B3A" w:rsidR="0068325C" w:rsidRPr="007F3D01" w:rsidRDefault="0091419F">
      <w:pPr>
        <w:spacing w:line="276" w:lineRule="auto"/>
        <w:rPr>
          <w:noProof/>
          <w:lang w:val="en-IE"/>
        </w:rPr>
      </w:pPr>
      <w:r w:rsidRPr="007F3D01">
        <w:rPr>
          <w:noProof/>
          <w:lang w:val="en-IE"/>
        </w:rPr>
        <w:t>Most of the radioactive waste originates from nuclear power plants and associated nuclear fuel cycle activities. Smaller volumes of radioactive waste are generated as a result of non-power uses of radioactive materials, such as the manufacturing of radioisotopes for use in medical and industrial applications, or research facilities such as laboratories and research reactors.</w:t>
      </w:r>
    </w:p>
    <w:p w14:paraId="17F37680" w14:textId="4B471C20" w:rsidR="0068325C" w:rsidRPr="007F3D01" w:rsidRDefault="0091419F">
      <w:pPr>
        <w:spacing w:line="276" w:lineRule="auto"/>
        <w:rPr>
          <w:noProof/>
          <w:lang w:val="en-IE"/>
        </w:rPr>
      </w:pPr>
      <w:r w:rsidRPr="00CC2ED1">
        <w:rPr>
          <w:noProof/>
          <w:lang w:val="en-IE"/>
        </w:rPr>
        <w:t xml:space="preserve">Each Member State defines its own electricity generation mix and as of the reporting date nuclear power plants </w:t>
      </w:r>
      <w:r w:rsidR="00702BBB" w:rsidRPr="00CC2ED1">
        <w:rPr>
          <w:noProof/>
          <w:lang w:val="en-IE"/>
        </w:rPr>
        <w:t>we</w:t>
      </w:r>
      <w:r w:rsidRPr="00CC2ED1">
        <w:rPr>
          <w:noProof/>
          <w:lang w:val="en-IE"/>
        </w:rPr>
        <w:t>re in operation in 1</w:t>
      </w:r>
      <w:r w:rsidR="00B716B0" w:rsidRPr="00CC2ED1">
        <w:rPr>
          <w:noProof/>
          <w:lang w:val="en-IE"/>
        </w:rPr>
        <w:t>3</w:t>
      </w:r>
      <w:r w:rsidRPr="00CC2ED1">
        <w:rPr>
          <w:noProof/>
          <w:lang w:val="en-IE"/>
        </w:rPr>
        <w:t xml:space="preserve"> countries</w:t>
      </w:r>
      <w:r w:rsidRPr="00CC2ED1">
        <w:rPr>
          <w:rStyle w:val="FootnoteReference"/>
          <w:noProof/>
          <w:lang w:val="en-IE"/>
        </w:rPr>
        <w:footnoteReference w:id="8"/>
      </w:r>
      <w:r w:rsidRPr="00CC2ED1">
        <w:rPr>
          <w:noProof/>
          <w:lang w:val="en-IE"/>
        </w:rPr>
        <w:t>. Two other Member States, Lithuania and Italy, ha</w:t>
      </w:r>
      <w:r w:rsidR="00702BBB" w:rsidRPr="00CC2ED1">
        <w:rPr>
          <w:noProof/>
          <w:lang w:val="en-IE"/>
        </w:rPr>
        <w:t>d</w:t>
      </w:r>
      <w:r w:rsidRPr="00CC2ED1">
        <w:rPr>
          <w:noProof/>
          <w:lang w:val="en-IE"/>
        </w:rPr>
        <w:t xml:space="preserve"> terminated their nuclear power programmes and </w:t>
      </w:r>
      <w:r w:rsidR="00702BBB" w:rsidRPr="00CC2ED1">
        <w:rPr>
          <w:noProof/>
          <w:lang w:val="en-IE"/>
        </w:rPr>
        <w:t>we</w:t>
      </w:r>
      <w:r w:rsidRPr="00CC2ED1">
        <w:rPr>
          <w:noProof/>
          <w:lang w:val="en-IE"/>
        </w:rPr>
        <w:t xml:space="preserve">re decommissioning their nuclear installations. </w:t>
      </w:r>
      <w:r w:rsidR="00751026" w:rsidRPr="00CC2ED1">
        <w:rPr>
          <w:noProof/>
          <w:lang w:val="en-IE"/>
        </w:rPr>
        <w:t>At the end of the reporting period, t</w:t>
      </w:r>
      <w:r w:rsidRPr="00CC2ED1">
        <w:rPr>
          <w:noProof/>
          <w:lang w:val="en-IE"/>
        </w:rPr>
        <w:t>hese 1</w:t>
      </w:r>
      <w:r w:rsidR="00B716B0" w:rsidRPr="00CC2ED1">
        <w:rPr>
          <w:noProof/>
          <w:lang w:val="en-IE"/>
        </w:rPr>
        <w:t>5</w:t>
      </w:r>
      <w:r w:rsidRPr="00CC2ED1">
        <w:rPr>
          <w:noProof/>
          <w:lang w:val="en-IE"/>
        </w:rPr>
        <w:t xml:space="preserve"> Member States with nuclear power programmes</w:t>
      </w:r>
      <w:r w:rsidR="00675820" w:rsidRPr="00CC2ED1">
        <w:rPr>
          <w:rStyle w:val="FootnoteReference"/>
          <w:noProof/>
          <w:lang w:val="en-IE"/>
        </w:rPr>
        <w:footnoteReference w:id="9"/>
      </w:r>
      <w:r w:rsidRPr="00CC2ED1">
        <w:rPr>
          <w:noProof/>
          <w:lang w:val="en-IE"/>
        </w:rPr>
        <w:t xml:space="preserve"> together account</w:t>
      </w:r>
      <w:r w:rsidR="00751026" w:rsidRPr="00CC2ED1">
        <w:rPr>
          <w:noProof/>
          <w:lang w:val="en-IE"/>
        </w:rPr>
        <w:t>ed</w:t>
      </w:r>
      <w:r w:rsidRPr="00CC2ED1">
        <w:rPr>
          <w:noProof/>
          <w:lang w:val="en-IE"/>
        </w:rPr>
        <w:t xml:space="preserve"> for 99.</w:t>
      </w:r>
      <w:r w:rsidR="00B359F0" w:rsidRPr="00CC2ED1">
        <w:rPr>
          <w:noProof/>
          <w:lang w:val="en-IE"/>
        </w:rPr>
        <w:t>5</w:t>
      </w:r>
      <w:r w:rsidRPr="00CC2ED1">
        <w:rPr>
          <w:noProof/>
          <w:lang w:val="en-IE"/>
        </w:rPr>
        <w:t>% in volume of the radioactive waste inventory in the EU.</w:t>
      </w:r>
    </w:p>
    <w:p w14:paraId="17F37681" w14:textId="1BCF4BE9" w:rsidR="0068325C" w:rsidRPr="007F3D01" w:rsidRDefault="001829C7">
      <w:pPr>
        <w:spacing w:line="276" w:lineRule="auto"/>
        <w:rPr>
          <w:noProof/>
          <w:lang w:val="en-IE"/>
        </w:rPr>
      </w:pPr>
      <w:r>
        <w:rPr>
          <w:noProof/>
          <w:lang w:val="en-IE"/>
        </w:rPr>
        <w:t>By</w:t>
      </w:r>
      <w:r w:rsidR="0091419F" w:rsidRPr="007F3D01">
        <w:rPr>
          <w:noProof/>
          <w:lang w:val="en-IE"/>
        </w:rPr>
        <w:t xml:space="preserve"> the reporting</w:t>
      </w:r>
      <w:r w:rsidR="00766006">
        <w:rPr>
          <w:noProof/>
          <w:lang w:val="en-IE"/>
        </w:rPr>
        <w:t xml:space="preserve"> date</w:t>
      </w:r>
      <w:r w:rsidR="0091419F" w:rsidRPr="007F3D01">
        <w:rPr>
          <w:noProof/>
          <w:lang w:val="en-IE"/>
        </w:rPr>
        <w:t>, 1</w:t>
      </w:r>
      <w:r w:rsidR="00C80E83" w:rsidRPr="007F3D01">
        <w:rPr>
          <w:noProof/>
          <w:lang w:val="en-IE"/>
        </w:rPr>
        <w:t>0</w:t>
      </w:r>
      <w:r w:rsidR="000F53D9" w:rsidRPr="007F3D01">
        <w:rPr>
          <w:noProof/>
          <w:lang w:val="en-IE"/>
        </w:rPr>
        <w:t>3</w:t>
      </w:r>
      <w:r w:rsidR="0091419F" w:rsidRPr="007F3D01">
        <w:rPr>
          <w:noProof/>
          <w:lang w:val="en-IE"/>
        </w:rPr>
        <w:t xml:space="preserve"> nuclear power reactors were in operation, with a total capacity of about </w:t>
      </w:r>
      <w:r w:rsidR="000F53D9" w:rsidRPr="007F3D01">
        <w:rPr>
          <w:noProof/>
          <w:lang w:val="en-IE"/>
        </w:rPr>
        <w:t xml:space="preserve">101 </w:t>
      </w:r>
      <w:r w:rsidR="0091419F" w:rsidRPr="007F3D01">
        <w:rPr>
          <w:noProof/>
          <w:lang w:val="en-IE"/>
        </w:rPr>
        <w:t xml:space="preserve">GWe, </w:t>
      </w:r>
      <w:r w:rsidR="00C80E83" w:rsidRPr="007F3D01">
        <w:rPr>
          <w:noProof/>
          <w:lang w:val="en-IE"/>
        </w:rPr>
        <w:t>6</w:t>
      </w:r>
      <w:r w:rsidR="00751026" w:rsidRPr="007F3D01">
        <w:rPr>
          <w:noProof/>
          <w:lang w:val="en-IE"/>
        </w:rPr>
        <w:t>6</w:t>
      </w:r>
      <w:r w:rsidR="0091419F" w:rsidRPr="007F3D01">
        <w:rPr>
          <w:noProof/>
          <w:lang w:val="en-IE"/>
        </w:rPr>
        <w:t xml:space="preserve"> nuclear power reactors were </w:t>
      </w:r>
      <w:r w:rsidR="00751026" w:rsidRPr="007F3D01">
        <w:rPr>
          <w:noProof/>
          <w:lang w:val="en-IE"/>
        </w:rPr>
        <w:t xml:space="preserve">permanently </w:t>
      </w:r>
      <w:r w:rsidR="0091419F" w:rsidRPr="007F3D01">
        <w:rPr>
          <w:noProof/>
          <w:lang w:val="en-IE"/>
        </w:rPr>
        <w:t>shut</w:t>
      </w:r>
      <w:r w:rsidR="00FC0096" w:rsidRPr="007F3D01">
        <w:rPr>
          <w:noProof/>
          <w:lang w:val="en-IE"/>
        </w:rPr>
        <w:t xml:space="preserve"> </w:t>
      </w:r>
      <w:r w:rsidR="0091419F" w:rsidRPr="007F3D01">
        <w:rPr>
          <w:noProof/>
          <w:lang w:val="en-IE"/>
        </w:rPr>
        <w:t xml:space="preserve">down and </w:t>
      </w:r>
      <w:r w:rsidR="00751026" w:rsidRPr="007F3D01">
        <w:rPr>
          <w:noProof/>
          <w:lang w:val="en-IE"/>
        </w:rPr>
        <w:t>being</w:t>
      </w:r>
      <w:r w:rsidR="0091419F" w:rsidRPr="007F3D01">
        <w:rPr>
          <w:noProof/>
          <w:lang w:val="en-IE"/>
        </w:rPr>
        <w:t xml:space="preserve"> decommissioned</w:t>
      </w:r>
      <w:r w:rsidR="00751026" w:rsidRPr="007F3D01">
        <w:rPr>
          <w:noProof/>
          <w:lang w:val="en-IE"/>
        </w:rPr>
        <w:t>, and 3 nuclear power reactors were fully decommissioned</w:t>
      </w:r>
      <w:r w:rsidR="0091419F" w:rsidRPr="007F3D01">
        <w:rPr>
          <w:noProof/>
          <w:lang w:val="en-IE"/>
        </w:rPr>
        <w:t xml:space="preserve">. In addition, there were </w:t>
      </w:r>
      <w:r w:rsidR="00712680" w:rsidRPr="007F3D01">
        <w:rPr>
          <w:noProof/>
          <w:lang w:val="en-IE"/>
        </w:rPr>
        <w:t>30</w:t>
      </w:r>
      <w:r w:rsidR="0091419F" w:rsidRPr="007F3D01">
        <w:rPr>
          <w:noProof/>
          <w:lang w:val="en-IE"/>
        </w:rPr>
        <w:t xml:space="preserve"> research reactors in 1</w:t>
      </w:r>
      <w:r w:rsidR="00C80E83" w:rsidRPr="007F3D01">
        <w:rPr>
          <w:noProof/>
          <w:lang w:val="en-IE"/>
        </w:rPr>
        <w:t>8</w:t>
      </w:r>
      <w:r w:rsidR="0091419F" w:rsidRPr="007F3D01">
        <w:rPr>
          <w:noProof/>
          <w:lang w:val="en-IE"/>
        </w:rPr>
        <w:t xml:space="preserve"> Member States either in operation, long-term shutdown or</w:t>
      </w:r>
      <w:r w:rsidR="00513DC6">
        <w:rPr>
          <w:noProof/>
          <w:lang w:val="en-IE"/>
        </w:rPr>
        <w:t xml:space="preserve"> being</w:t>
      </w:r>
      <w:r w:rsidR="0091419F" w:rsidRPr="007F3D01">
        <w:rPr>
          <w:noProof/>
          <w:lang w:val="en-IE"/>
        </w:rPr>
        <w:t xml:space="preserve"> decommission</w:t>
      </w:r>
      <w:r w:rsidR="00513DC6">
        <w:rPr>
          <w:noProof/>
          <w:lang w:val="en-IE"/>
        </w:rPr>
        <w:t>ed</w:t>
      </w:r>
      <w:r w:rsidR="0091419F" w:rsidRPr="007F3D01">
        <w:rPr>
          <w:rStyle w:val="FootnoteReference"/>
          <w:noProof/>
          <w:lang w:val="en-IE"/>
        </w:rPr>
        <w:footnoteReference w:id="10"/>
      </w:r>
      <w:r w:rsidR="0091419F" w:rsidRPr="007F3D01">
        <w:rPr>
          <w:noProof/>
          <w:lang w:val="en-IE"/>
        </w:rPr>
        <w:t xml:space="preserve">. </w:t>
      </w:r>
      <w:r w:rsidR="00513DC6">
        <w:rPr>
          <w:noProof/>
          <w:lang w:val="en-IE"/>
        </w:rPr>
        <w:t>Therefore, f</w:t>
      </w:r>
      <w:r w:rsidR="00FC0096" w:rsidRPr="007F3D01">
        <w:rPr>
          <w:noProof/>
          <w:lang w:val="en-IE"/>
        </w:rPr>
        <w:t>urther s</w:t>
      </w:r>
      <w:r w:rsidR="0091419F" w:rsidRPr="007F3D01">
        <w:rPr>
          <w:noProof/>
          <w:lang w:val="en-IE"/>
        </w:rPr>
        <w:t xml:space="preserve">pent fuel and </w:t>
      </w:r>
      <w:r w:rsidR="000361A0">
        <w:rPr>
          <w:noProof/>
          <w:lang w:val="en-IE"/>
        </w:rPr>
        <w:t xml:space="preserve">long-lived </w:t>
      </w:r>
      <w:r w:rsidR="0091419F" w:rsidRPr="007F3D01">
        <w:rPr>
          <w:noProof/>
          <w:lang w:val="en-IE"/>
        </w:rPr>
        <w:t xml:space="preserve">radioactive waste will </w:t>
      </w:r>
      <w:r w:rsidR="00FC0096" w:rsidRPr="007F3D01">
        <w:rPr>
          <w:noProof/>
          <w:lang w:val="en-IE"/>
        </w:rPr>
        <w:t>arise</w:t>
      </w:r>
      <w:r w:rsidR="0091419F" w:rsidRPr="007F3D01">
        <w:rPr>
          <w:noProof/>
          <w:lang w:val="en-IE"/>
        </w:rPr>
        <w:t>, requiring their safe and long</w:t>
      </w:r>
      <w:r w:rsidR="00620FC1" w:rsidRPr="007F3D01">
        <w:rPr>
          <w:noProof/>
          <w:lang w:val="en-IE"/>
        </w:rPr>
        <w:t>-</w:t>
      </w:r>
      <w:r w:rsidR="0091419F" w:rsidRPr="007F3D01">
        <w:rPr>
          <w:noProof/>
          <w:lang w:val="en-IE"/>
        </w:rPr>
        <w:t>term management until disposal.</w:t>
      </w:r>
    </w:p>
    <w:p w14:paraId="17F37683" w14:textId="77777777" w:rsidR="0068325C" w:rsidRPr="007F3D01" w:rsidRDefault="0091419F" w:rsidP="007C596E">
      <w:pPr>
        <w:pStyle w:val="Heading2"/>
        <w:rPr>
          <w:noProof/>
          <w:lang w:val="en-IE"/>
        </w:rPr>
      </w:pPr>
      <w:bookmarkStart w:id="7" w:name="_Toc166055453"/>
      <w:r w:rsidRPr="007F3D01">
        <w:rPr>
          <w:noProof/>
          <w:lang w:val="en-IE"/>
        </w:rPr>
        <w:t>Inventory estimates and trends</w:t>
      </w:r>
      <w:bookmarkEnd w:id="7"/>
    </w:p>
    <w:p w14:paraId="3FE178F7" w14:textId="4E8B764D" w:rsidR="00971E82" w:rsidRDefault="00EB6062" w:rsidP="004E753F">
      <w:pPr>
        <w:spacing w:line="276" w:lineRule="auto"/>
        <w:rPr>
          <w:noProof/>
          <w:lang w:val="en-IE"/>
        </w:rPr>
      </w:pPr>
      <w:r w:rsidRPr="007F3D01">
        <w:rPr>
          <w:noProof/>
          <w:lang w:val="en-IE"/>
        </w:rPr>
        <w:t>T</w:t>
      </w:r>
      <w:r w:rsidR="0091419F" w:rsidRPr="007F3D01">
        <w:rPr>
          <w:noProof/>
          <w:lang w:val="en-IE"/>
        </w:rPr>
        <w:t>he Commission services collaborate</w:t>
      </w:r>
      <w:r w:rsidR="00A42C62" w:rsidRPr="007F3D01">
        <w:rPr>
          <w:noProof/>
          <w:lang w:val="en-IE"/>
        </w:rPr>
        <w:t>d</w:t>
      </w:r>
      <w:r w:rsidR="0091419F" w:rsidRPr="007F3D01">
        <w:rPr>
          <w:noProof/>
          <w:lang w:val="en-IE"/>
        </w:rPr>
        <w:t xml:space="preserve"> with the International Atomic Energy Agency (IAEA) and the OECD’s Nuclear Energy Agency (NEA) on defining a harmonised set of data on </w:t>
      </w:r>
      <w:r w:rsidR="00513DC6">
        <w:rPr>
          <w:noProof/>
          <w:lang w:val="en-IE"/>
        </w:rPr>
        <w:t xml:space="preserve">the </w:t>
      </w:r>
      <w:r w:rsidR="0091419F" w:rsidRPr="007F3D01">
        <w:rPr>
          <w:noProof/>
          <w:lang w:val="en-IE"/>
        </w:rPr>
        <w:t>reporting of national inventories and support</w:t>
      </w:r>
      <w:r w:rsidR="004E753F" w:rsidRPr="007F3D01">
        <w:rPr>
          <w:noProof/>
          <w:lang w:val="en-IE"/>
        </w:rPr>
        <w:t>ed</w:t>
      </w:r>
      <w:r w:rsidR="0091419F" w:rsidRPr="007F3D01">
        <w:rPr>
          <w:noProof/>
          <w:lang w:val="en-IE"/>
        </w:rPr>
        <w:t xml:space="preserve"> the development of an IAEA harmonised reporting tool</w:t>
      </w:r>
      <w:r w:rsidR="00241803">
        <w:rPr>
          <w:noProof/>
          <w:lang w:val="en-IE"/>
        </w:rPr>
        <w:t xml:space="preserve"> </w:t>
      </w:r>
      <w:bookmarkStart w:id="8" w:name="_Hlk157450230"/>
      <w:r w:rsidR="00983490" w:rsidRPr="00983490">
        <w:rPr>
          <w:noProof/>
          <w:lang w:val="en-IE"/>
        </w:rPr>
        <w:t>–</w:t>
      </w:r>
      <w:bookmarkEnd w:id="8"/>
      <w:r w:rsidR="004E753F" w:rsidRPr="007F3D01">
        <w:rPr>
          <w:noProof/>
          <w:lang w:val="en-IE"/>
        </w:rPr>
        <w:t xml:space="preserve"> the Spent Fuel and Radioactive Waste Information System (SRIS)</w:t>
      </w:r>
      <w:r w:rsidRPr="007F3D01">
        <w:rPr>
          <w:noProof/>
          <w:lang w:val="en-IE"/>
        </w:rPr>
        <w:t xml:space="preserve"> </w:t>
      </w:r>
      <w:r w:rsidR="00241803">
        <w:rPr>
          <w:noProof/>
          <w:lang w:val="en-IE"/>
        </w:rPr>
        <w:t xml:space="preserve">– </w:t>
      </w:r>
      <w:r w:rsidRPr="007F3D01">
        <w:rPr>
          <w:noProof/>
          <w:lang w:val="en-IE"/>
        </w:rPr>
        <w:t>to</w:t>
      </w:r>
      <w:r w:rsidR="00513DC6">
        <w:rPr>
          <w:noProof/>
          <w:lang w:val="en-IE"/>
        </w:rPr>
        <w:t xml:space="preserve"> help</w:t>
      </w:r>
      <w:r w:rsidRPr="007F3D01">
        <w:rPr>
          <w:noProof/>
          <w:lang w:val="en-IE"/>
        </w:rPr>
        <w:t xml:space="preserve"> Member States provid</w:t>
      </w:r>
      <w:r w:rsidR="00513DC6">
        <w:rPr>
          <w:noProof/>
          <w:lang w:val="en-IE"/>
        </w:rPr>
        <w:t>e</w:t>
      </w:r>
      <w:r w:rsidRPr="007F3D01">
        <w:rPr>
          <w:noProof/>
          <w:lang w:val="en-IE"/>
        </w:rPr>
        <w:t xml:space="preserve"> comprehensive and up-to-date inventories</w:t>
      </w:r>
      <w:r w:rsidR="004E753F" w:rsidRPr="007F3D01">
        <w:rPr>
          <w:noProof/>
          <w:lang w:val="en-IE"/>
        </w:rPr>
        <w:t>.</w:t>
      </w:r>
    </w:p>
    <w:p w14:paraId="0E7D8C88" w14:textId="071F4E94" w:rsidR="00971E82" w:rsidRDefault="0091419F" w:rsidP="004E753F">
      <w:pPr>
        <w:spacing w:line="276" w:lineRule="auto"/>
        <w:rPr>
          <w:noProof/>
          <w:lang w:val="en-IE"/>
        </w:rPr>
      </w:pPr>
      <w:r w:rsidRPr="007F3D01">
        <w:rPr>
          <w:noProof/>
          <w:lang w:val="en-IE"/>
        </w:rPr>
        <w:t>The Commission also carr</w:t>
      </w:r>
      <w:r w:rsidR="00A42C62" w:rsidRPr="007F3D01">
        <w:rPr>
          <w:noProof/>
          <w:lang w:val="en-IE"/>
        </w:rPr>
        <w:t>ied</w:t>
      </w:r>
      <w:r w:rsidRPr="007F3D01">
        <w:rPr>
          <w:noProof/>
          <w:lang w:val="en-IE"/>
        </w:rPr>
        <w:t xml:space="preserve"> out a study on </w:t>
      </w:r>
      <w:r w:rsidR="00CD3726">
        <w:rPr>
          <w:noProof/>
          <w:lang w:val="en-IE"/>
        </w:rPr>
        <w:t xml:space="preserve">the </w:t>
      </w:r>
      <w:r w:rsidRPr="007F3D01">
        <w:rPr>
          <w:noProof/>
          <w:lang w:val="en-IE"/>
        </w:rPr>
        <w:t>benchmarking of national inventories</w:t>
      </w:r>
      <w:r w:rsidRPr="007F3D01">
        <w:rPr>
          <w:noProof/>
          <w:vertAlign w:val="superscript"/>
          <w:lang w:val="en-IE"/>
        </w:rPr>
        <w:footnoteReference w:id="11"/>
      </w:r>
      <w:r w:rsidR="005941EA" w:rsidRPr="005941EA">
        <w:rPr>
          <w:noProof/>
          <w:lang w:val="en-IE"/>
        </w:rPr>
        <w:t xml:space="preserve">, </w:t>
      </w:r>
      <w:r w:rsidR="00CD3726">
        <w:rPr>
          <w:noProof/>
          <w:lang w:val="en-IE"/>
        </w:rPr>
        <w:t>followed by</w:t>
      </w:r>
      <w:r w:rsidR="005941EA" w:rsidRPr="005941EA">
        <w:rPr>
          <w:noProof/>
          <w:lang w:val="en-IE"/>
        </w:rPr>
        <w:t xml:space="preserve"> a</w:t>
      </w:r>
      <w:r w:rsidR="00CD3726">
        <w:rPr>
          <w:noProof/>
          <w:lang w:val="en-IE"/>
        </w:rPr>
        <w:t>nother</w:t>
      </w:r>
      <w:r w:rsidR="005941EA" w:rsidRPr="005941EA">
        <w:rPr>
          <w:noProof/>
          <w:lang w:val="en-IE"/>
        </w:rPr>
        <w:t xml:space="preserve"> study on radioactive waste classification schemes in the EU</w:t>
      </w:r>
      <w:r w:rsidR="005941EA">
        <w:rPr>
          <w:rStyle w:val="FootnoteReference"/>
          <w:noProof/>
          <w:lang w:val="en-IE"/>
        </w:rPr>
        <w:footnoteReference w:id="12"/>
      </w:r>
      <w:r w:rsidRPr="007F3D01">
        <w:rPr>
          <w:noProof/>
          <w:lang w:val="en-IE"/>
        </w:rPr>
        <w:t>.</w:t>
      </w:r>
    </w:p>
    <w:p w14:paraId="77D5F0BB" w14:textId="13BA1CBD" w:rsidR="00570322" w:rsidRDefault="00570322" w:rsidP="004E753F">
      <w:pPr>
        <w:spacing w:line="276" w:lineRule="auto"/>
        <w:rPr>
          <w:noProof/>
          <w:lang w:val="en-IE"/>
        </w:rPr>
      </w:pPr>
      <w:r w:rsidRPr="00570322">
        <w:rPr>
          <w:noProof/>
          <w:lang w:val="en-IE"/>
        </w:rPr>
        <w:t>The former</w:t>
      </w:r>
      <w:r w:rsidR="0057108A" w:rsidRPr="007F3D01">
        <w:rPr>
          <w:noProof/>
          <w:lang w:val="en-IE"/>
        </w:rPr>
        <w:t xml:space="preserve"> </w:t>
      </w:r>
      <w:r w:rsidR="00CD3726">
        <w:rPr>
          <w:noProof/>
          <w:lang w:val="en-IE"/>
        </w:rPr>
        <w:t xml:space="preserve">study </w:t>
      </w:r>
      <w:r w:rsidR="00DC56E5" w:rsidRPr="007F3D01">
        <w:rPr>
          <w:noProof/>
          <w:lang w:val="en-IE"/>
        </w:rPr>
        <w:t>concluded</w:t>
      </w:r>
      <w:r w:rsidR="0057108A" w:rsidRPr="007F3D01">
        <w:rPr>
          <w:noProof/>
          <w:lang w:val="en-IE"/>
        </w:rPr>
        <w:t xml:space="preserve"> that </w:t>
      </w:r>
      <w:r w:rsidR="004E753F" w:rsidRPr="007F3D01">
        <w:rPr>
          <w:noProof/>
          <w:lang w:val="en-IE"/>
        </w:rPr>
        <w:t>the standardi</w:t>
      </w:r>
      <w:r w:rsidR="00CD3726">
        <w:rPr>
          <w:noProof/>
          <w:lang w:val="en-IE"/>
        </w:rPr>
        <w:t>s</w:t>
      </w:r>
      <w:r w:rsidR="004E753F" w:rsidRPr="007F3D01">
        <w:rPr>
          <w:noProof/>
          <w:lang w:val="en-IE"/>
        </w:rPr>
        <w:t xml:space="preserve">ed communication approach used between licensees and authorities appears </w:t>
      </w:r>
      <w:r w:rsidR="00CD3726">
        <w:rPr>
          <w:noProof/>
          <w:lang w:val="en-IE"/>
        </w:rPr>
        <w:t xml:space="preserve">to be </w:t>
      </w:r>
      <w:r w:rsidR="004E753F" w:rsidRPr="007F3D01">
        <w:rPr>
          <w:noProof/>
          <w:lang w:val="en-IE"/>
        </w:rPr>
        <w:t xml:space="preserve">efficient and </w:t>
      </w:r>
      <w:r w:rsidR="00CD3726">
        <w:rPr>
          <w:noProof/>
          <w:lang w:val="en-IE"/>
        </w:rPr>
        <w:t xml:space="preserve">to </w:t>
      </w:r>
      <w:r w:rsidR="00702BBB" w:rsidRPr="007F3D01">
        <w:rPr>
          <w:noProof/>
          <w:lang w:val="en-IE"/>
        </w:rPr>
        <w:t>suit</w:t>
      </w:r>
      <w:r w:rsidR="00DC56E5" w:rsidRPr="007F3D01">
        <w:rPr>
          <w:noProof/>
          <w:lang w:val="en-IE"/>
        </w:rPr>
        <w:t xml:space="preserve"> user needs</w:t>
      </w:r>
      <w:r w:rsidR="0057108A" w:rsidRPr="007F3D01">
        <w:rPr>
          <w:noProof/>
          <w:lang w:val="en-IE"/>
        </w:rPr>
        <w:t>.</w:t>
      </w:r>
      <w:r w:rsidR="004E753F" w:rsidRPr="007F3D01">
        <w:rPr>
          <w:noProof/>
          <w:lang w:val="en-IE"/>
        </w:rPr>
        <w:t xml:space="preserve"> </w:t>
      </w:r>
      <w:r>
        <w:rPr>
          <w:noProof/>
          <w:lang w:val="en-IE"/>
        </w:rPr>
        <w:t>It</w:t>
      </w:r>
      <w:r w:rsidR="004E753F" w:rsidRPr="007F3D01">
        <w:rPr>
          <w:noProof/>
          <w:lang w:val="en-IE"/>
        </w:rPr>
        <w:t xml:space="preserve"> also</w:t>
      </w:r>
      <w:r w:rsidR="009F433C" w:rsidRPr="007F3D01">
        <w:rPr>
          <w:noProof/>
          <w:lang w:val="en-IE"/>
        </w:rPr>
        <w:t xml:space="preserve"> pointed out</w:t>
      </w:r>
      <w:r w:rsidR="004E753F" w:rsidRPr="007F3D01">
        <w:rPr>
          <w:noProof/>
          <w:lang w:val="en-IE"/>
        </w:rPr>
        <w:t xml:space="preserve"> that </w:t>
      </w:r>
      <w:r w:rsidR="009F433C" w:rsidRPr="007F3D01">
        <w:rPr>
          <w:noProof/>
          <w:lang w:val="en-IE"/>
        </w:rPr>
        <w:t>r</w:t>
      </w:r>
      <w:r w:rsidR="004E753F" w:rsidRPr="007F3D01">
        <w:rPr>
          <w:noProof/>
          <w:lang w:val="en-IE"/>
        </w:rPr>
        <w:t xml:space="preserve">adioactive waste classification </w:t>
      </w:r>
      <w:r w:rsidR="00EE54A8" w:rsidRPr="007F3D01">
        <w:rPr>
          <w:noProof/>
          <w:lang w:val="en-IE"/>
        </w:rPr>
        <w:t>may</w:t>
      </w:r>
      <w:r w:rsidR="004E753F" w:rsidRPr="007F3D01">
        <w:rPr>
          <w:noProof/>
          <w:lang w:val="en-IE"/>
        </w:rPr>
        <w:t xml:space="preserve"> not </w:t>
      </w:r>
      <w:r w:rsidR="00254741" w:rsidRPr="007F3D01">
        <w:rPr>
          <w:noProof/>
          <w:lang w:val="en-IE"/>
        </w:rPr>
        <w:t>systematically</w:t>
      </w:r>
      <w:r w:rsidR="004E753F" w:rsidRPr="007F3D01">
        <w:rPr>
          <w:noProof/>
          <w:lang w:val="en-IE"/>
        </w:rPr>
        <w:t xml:space="preserve"> </w:t>
      </w:r>
      <w:r w:rsidR="00EE54A8" w:rsidRPr="007F3D01">
        <w:rPr>
          <w:noProof/>
          <w:lang w:val="en-IE"/>
        </w:rPr>
        <w:t xml:space="preserve">apply </w:t>
      </w:r>
      <w:r w:rsidR="004E753F" w:rsidRPr="007F3D01">
        <w:rPr>
          <w:noProof/>
          <w:lang w:val="en-IE"/>
        </w:rPr>
        <w:t>for all reported waste in the nation</w:t>
      </w:r>
      <w:r w:rsidR="00133689" w:rsidRPr="007F3D01">
        <w:rPr>
          <w:noProof/>
          <w:lang w:val="en-IE"/>
        </w:rPr>
        <w:t>al reports,</w:t>
      </w:r>
      <w:r w:rsidR="004E753F" w:rsidRPr="007F3D01">
        <w:rPr>
          <w:noProof/>
          <w:lang w:val="en-IE"/>
        </w:rPr>
        <w:t xml:space="preserve"> and the approaches, methods and tools </w:t>
      </w:r>
      <w:r w:rsidR="00CD3726">
        <w:rPr>
          <w:noProof/>
          <w:lang w:val="en-IE"/>
        </w:rPr>
        <w:t xml:space="preserve">that </w:t>
      </w:r>
      <w:r w:rsidR="009F433C" w:rsidRPr="007F3D01">
        <w:rPr>
          <w:noProof/>
          <w:lang w:val="en-IE"/>
        </w:rPr>
        <w:t xml:space="preserve">Member States </w:t>
      </w:r>
      <w:r w:rsidR="00CD3726">
        <w:rPr>
          <w:noProof/>
          <w:lang w:val="en-IE"/>
        </w:rPr>
        <w:t xml:space="preserve">use </w:t>
      </w:r>
      <w:r w:rsidR="009F433C" w:rsidRPr="007F3D01">
        <w:rPr>
          <w:noProof/>
          <w:lang w:val="en-IE"/>
        </w:rPr>
        <w:t xml:space="preserve">to develop </w:t>
      </w:r>
      <w:r w:rsidR="00133689" w:rsidRPr="007F3D01">
        <w:rPr>
          <w:noProof/>
          <w:lang w:val="en-IE"/>
        </w:rPr>
        <w:t xml:space="preserve">their </w:t>
      </w:r>
      <w:r w:rsidR="004E753F" w:rsidRPr="007F3D01">
        <w:rPr>
          <w:noProof/>
          <w:lang w:val="en-IE"/>
        </w:rPr>
        <w:t xml:space="preserve">inventories </w:t>
      </w:r>
      <w:r w:rsidR="00702BBB" w:rsidRPr="007F3D01">
        <w:rPr>
          <w:noProof/>
          <w:lang w:val="en-IE"/>
        </w:rPr>
        <w:t>we</w:t>
      </w:r>
      <w:r w:rsidR="004E753F" w:rsidRPr="007F3D01">
        <w:rPr>
          <w:noProof/>
          <w:lang w:val="en-IE"/>
        </w:rPr>
        <w:t xml:space="preserve">re </w:t>
      </w:r>
      <w:r w:rsidR="00702BBB" w:rsidRPr="007F3D01">
        <w:rPr>
          <w:noProof/>
          <w:lang w:val="en-IE"/>
        </w:rPr>
        <w:t xml:space="preserve">not systematically </w:t>
      </w:r>
      <w:r w:rsidR="00133689" w:rsidRPr="007F3D01">
        <w:rPr>
          <w:noProof/>
          <w:lang w:val="en-IE"/>
        </w:rPr>
        <w:t>published</w:t>
      </w:r>
      <w:r w:rsidR="009F433C" w:rsidRPr="007F3D01">
        <w:rPr>
          <w:noProof/>
          <w:lang w:val="en-IE"/>
        </w:rPr>
        <w:t>.</w:t>
      </w:r>
    </w:p>
    <w:p w14:paraId="17F37684" w14:textId="4EC07E87" w:rsidR="0068325C" w:rsidRPr="007F3D01" w:rsidRDefault="00AB10B6" w:rsidP="004E753F">
      <w:pPr>
        <w:spacing w:line="276" w:lineRule="auto"/>
        <w:rPr>
          <w:noProof/>
          <w:lang w:val="en-IE"/>
        </w:rPr>
      </w:pPr>
      <w:r w:rsidRPr="00AB10B6">
        <w:rPr>
          <w:noProof/>
          <w:lang w:val="en-IE"/>
        </w:rPr>
        <w:t xml:space="preserve">The latter study confirmed that </w:t>
      </w:r>
      <w:r w:rsidR="00CD3726">
        <w:rPr>
          <w:noProof/>
          <w:lang w:val="en-IE"/>
        </w:rPr>
        <w:t xml:space="preserve">there are no apparent </w:t>
      </w:r>
      <w:r w:rsidRPr="00AB10B6">
        <w:rPr>
          <w:noProof/>
          <w:lang w:val="en-IE"/>
        </w:rPr>
        <w:t>needs for adopting a harmonised waste classification system across the Member States</w:t>
      </w:r>
      <w:r w:rsidR="0032609E">
        <w:rPr>
          <w:noProof/>
          <w:lang w:val="en-IE"/>
        </w:rPr>
        <w:t>,</w:t>
      </w:r>
      <w:r w:rsidRPr="00AB10B6">
        <w:rPr>
          <w:noProof/>
          <w:lang w:val="en-IE"/>
        </w:rPr>
        <w:t xml:space="preserve"> although the need for harmonised reporting remains.</w:t>
      </w:r>
      <w:r w:rsidR="004E753F" w:rsidRPr="007F3D01">
        <w:rPr>
          <w:noProof/>
          <w:lang w:val="en-IE"/>
        </w:rPr>
        <w:t xml:space="preserve"> </w:t>
      </w:r>
    </w:p>
    <w:p w14:paraId="17F37685" w14:textId="5829D081" w:rsidR="0068325C" w:rsidRPr="007F3D01" w:rsidRDefault="0057108A">
      <w:pPr>
        <w:spacing w:line="276" w:lineRule="auto"/>
        <w:rPr>
          <w:noProof/>
          <w:lang w:val="en-IE"/>
        </w:rPr>
      </w:pPr>
      <w:r w:rsidRPr="007F3D01">
        <w:rPr>
          <w:rFonts w:eastAsia="Times New Roman"/>
          <w:noProof/>
          <w:lang w:val="en-IE"/>
        </w:rPr>
        <w:t>Th</w:t>
      </w:r>
      <w:r w:rsidR="00F318C8" w:rsidRPr="007F3D01">
        <w:rPr>
          <w:rFonts w:eastAsia="Times New Roman"/>
          <w:noProof/>
          <w:lang w:val="en-IE"/>
        </w:rPr>
        <w:t xml:space="preserve">e quality of the inventory </w:t>
      </w:r>
      <w:r w:rsidR="004A23A2" w:rsidRPr="007F3D01">
        <w:rPr>
          <w:rFonts w:eastAsia="Times New Roman"/>
          <w:noProof/>
          <w:lang w:val="en-IE"/>
        </w:rPr>
        <w:t xml:space="preserve">has not </w:t>
      </w:r>
      <w:r w:rsidR="00B96355" w:rsidRPr="007F3D01">
        <w:rPr>
          <w:rFonts w:eastAsia="Times New Roman"/>
          <w:noProof/>
          <w:lang w:val="en-IE"/>
        </w:rPr>
        <w:t>substantially</w:t>
      </w:r>
      <w:r w:rsidR="004A23A2" w:rsidRPr="007F3D01">
        <w:rPr>
          <w:rFonts w:eastAsia="Times New Roman"/>
          <w:noProof/>
          <w:lang w:val="en-IE"/>
        </w:rPr>
        <w:t xml:space="preserve"> changed compared</w:t>
      </w:r>
      <w:r w:rsidR="00F318C8" w:rsidRPr="007F3D01">
        <w:rPr>
          <w:rFonts w:eastAsia="Times New Roman"/>
          <w:noProof/>
          <w:lang w:val="en-IE"/>
        </w:rPr>
        <w:t xml:space="preserve"> to the previous </w:t>
      </w:r>
      <w:r w:rsidR="004A23A2" w:rsidRPr="007F3D01">
        <w:rPr>
          <w:rFonts w:eastAsia="Times New Roman"/>
          <w:noProof/>
          <w:lang w:val="en-IE"/>
        </w:rPr>
        <w:t xml:space="preserve">reporting </w:t>
      </w:r>
      <w:r w:rsidR="00F318C8" w:rsidRPr="007F3D01">
        <w:rPr>
          <w:rFonts w:eastAsia="Times New Roman"/>
          <w:noProof/>
          <w:lang w:val="en-IE"/>
        </w:rPr>
        <w:t xml:space="preserve">cycle. </w:t>
      </w:r>
      <w:r w:rsidR="0091419F" w:rsidRPr="007F3D01">
        <w:rPr>
          <w:noProof/>
          <w:lang w:val="en-IE"/>
        </w:rPr>
        <w:t>One third of the Member States (mainly those with nuclear programmes) provided detailed inventory information</w:t>
      </w:r>
      <w:r w:rsidR="004A23A2" w:rsidRPr="007F3D01">
        <w:rPr>
          <w:noProof/>
          <w:lang w:val="en-IE"/>
        </w:rPr>
        <w:t>, while</w:t>
      </w:r>
      <w:r w:rsidR="0091419F" w:rsidRPr="007F3D01">
        <w:rPr>
          <w:noProof/>
          <w:lang w:val="en-IE"/>
        </w:rPr>
        <w:t xml:space="preserve"> most of the </w:t>
      </w:r>
      <w:r w:rsidR="00CD3726">
        <w:rPr>
          <w:noProof/>
          <w:lang w:val="en-IE"/>
        </w:rPr>
        <w:t>others</w:t>
      </w:r>
      <w:r w:rsidR="0091419F" w:rsidRPr="007F3D01">
        <w:rPr>
          <w:noProof/>
          <w:lang w:val="en-IE"/>
        </w:rPr>
        <w:t xml:space="preserve"> reported </w:t>
      </w:r>
      <w:r w:rsidR="004A23A2" w:rsidRPr="007F3D01">
        <w:rPr>
          <w:noProof/>
          <w:lang w:val="en-IE"/>
        </w:rPr>
        <w:t xml:space="preserve">incomplete inventory data and </w:t>
      </w:r>
      <w:r w:rsidR="0091419F" w:rsidRPr="007F3D01">
        <w:rPr>
          <w:noProof/>
          <w:lang w:val="en-IE"/>
        </w:rPr>
        <w:t>in the same format as in the first reporting cycle.</w:t>
      </w:r>
      <w:r w:rsidR="00597413" w:rsidRPr="007F3D01">
        <w:rPr>
          <w:noProof/>
          <w:lang w:val="en-IE"/>
        </w:rPr>
        <w:t xml:space="preserve"> </w:t>
      </w:r>
      <w:bookmarkStart w:id="9" w:name="_Hlk151975419"/>
      <w:r w:rsidR="005E5F73" w:rsidRPr="005E5F73">
        <w:rPr>
          <w:noProof/>
          <w:lang w:val="en-IE"/>
        </w:rPr>
        <w:t>Eight Member States introduced their inventory data in SRIS by June 2023. The rest of the Member States are encouraged to take advantage of systematically reporting through this system as well</w:t>
      </w:r>
      <w:r w:rsidR="005E5F73">
        <w:rPr>
          <w:noProof/>
          <w:lang w:val="en-IE"/>
        </w:rPr>
        <w:t>.</w:t>
      </w:r>
      <w:r w:rsidR="005E5F73" w:rsidRPr="005E5F73">
        <w:rPr>
          <w:noProof/>
          <w:lang w:val="en-IE"/>
        </w:rPr>
        <w:t xml:space="preserve"> </w:t>
      </w:r>
      <w:r w:rsidR="00E33413">
        <w:rPr>
          <w:noProof/>
          <w:lang w:val="en-IE"/>
        </w:rPr>
        <w:t xml:space="preserve">The </w:t>
      </w:r>
      <w:r w:rsidR="002F38ED">
        <w:rPr>
          <w:noProof/>
          <w:lang w:val="en-IE"/>
        </w:rPr>
        <w:t xml:space="preserve">Commission will continue </w:t>
      </w:r>
      <w:r w:rsidR="00CD3726">
        <w:rPr>
          <w:noProof/>
          <w:lang w:val="en-IE"/>
        </w:rPr>
        <w:t xml:space="preserve">to </w:t>
      </w:r>
      <w:r w:rsidR="002F38ED">
        <w:rPr>
          <w:noProof/>
          <w:lang w:val="en-IE"/>
        </w:rPr>
        <w:t xml:space="preserve">support </w:t>
      </w:r>
      <w:r w:rsidR="00E33413">
        <w:rPr>
          <w:noProof/>
          <w:lang w:val="en-IE"/>
        </w:rPr>
        <w:t xml:space="preserve">Member States </w:t>
      </w:r>
      <w:r w:rsidR="00F77B30">
        <w:rPr>
          <w:noProof/>
          <w:lang w:val="en-IE"/>
        </w:rPr>
        <w:t>in addressing quality and harmonisation aspects of reporting</w:t>
      </w:r>
      <w:r w:rsidR="00D2608E">
        <w:rPr>
          <w:noProof/>
          <w:lang w:val="en-IE"/>
        </w:rPr>
        <w:t>, mainly by promoting the use of SRIS</w:t>
      </w:r>
      <w:bookmarkEnd w:id="9"/>
      <w:r w:rsidR="000B1146" w:rsidRPr="007F3D01">
        <w:rPr>
          <w:noProof/>
          <w:lang w:val="en-IE"/>
        </w:rPr>
        <w:t>.</w:t>
      </w:r>
    </w:p>
    <w:p w14:paraId="17F37686" w14:textId="16E16668" w:rsidR="0068325C" w:rsidRPr="007F3D01" w:rsidRDefault="00EF6026">
      <w:pPr>
        <w:spacing w:line="276" w:lineRule="auto"/>
        <w:rPr>
          <w:noProof/>
          <w:lang w:val="en-IE"/>
        </w:rPr>
      </w:pPr>
      <w:r w:rsidRPr="007F3D01">
        <w:rPr>
          <w:noProof/>
          <w:lang w:val="en-IE"/>
        </w:rPr>
        <w:t>Most</w:t>
      </w:r>
      <w:r w:rsidR="0091419F" w:rsidRPr="007F3D01">
        <w:rPr>
          <w:noProof/>
          <w:lang w:val="en-IE"/>
        </w:rPr>
        <w:t xml:space="preserve"> Member States have </w:t>
      </w:r>
      <w:r w:rsidR="004A23A2" w:rsidRPr="007F3D01">
        <w:rPr>
          <w:noProof/>
          <w:lang w:val="en-IE"/>
        </w:rPr>
        <w:t>presented</w:t>
      </w:r>
      <w:r w:rsidR="0091419F" w:rsidRPr="007F3D01">
        <w:rPr>
          <w:noProof/>
          <w:lang w:val="en-IE"/>
        </w:rPr>
        <w:t xml:space="preserve"> their radioactive waste inventory using the classification scheme as per the IAEA s</w:t>
      </w:r>
      <w:r w:rsidR="000361A0">
        <w:rPr>
          <w:noProof/>
          <w:lang w:val="en-IE"/>
        </w:rPr>
        <w:t>afety guide</w:t>
      </w:r>
      <w:r w:rsidR="0091419F" w:rsidRPr="007F3D01">
        <w:rPr>
          <w:noProof/>
          <w:lang w:val="en-IE"/>
        </w:rPr>
        <w:t xml:space="preserve"> GSG-1</w:t>
      </w:r>
      <w:r w:rsidR="0091419F" w:rsidRPr="007F3D01">
        <w:rPr>
          <w:rStyle w:val="FootnoteReference"/>
          <w:noProof/>
          <w:lang w:val="en-IE"/>
        </w:rPr>
        <w:footnoteReference w:id="13"/>
      </w:r>
      <w:r w:rsidR="0091419F" w:rsidRPr="007F3D01">
        <w:rPr>
          <w:noProof/>
          <w:lang w:val="en-IE"/>
        </w:rPr>
        <w:t xml:space="preserve"> or </w:t>
      </w:r>
      <w:r w:rsidR="004A23A2" w:rsidRPr="007F3D01">
        <w:rPr>
          <w:noProof/>
          <w:lang w:val="en-IE"/>
        </w:rPr>
        <w:t xml:space="preserve">have </w:t>
      </w:r>
      <w:r w:rsidR="0091419F" w:rsidRPr="007F3D01">
        <w:rPr>
          <w:noProof/>
          <w:lang w:val="en-IE"/>
        </w:rPr>
        <w:t xml:space="preserve">provided matrixes enabling data </w:t>
      </w:r>
      <w:r w:rsidR="00361969">
        <w:rPr>
          <w:noProof/>
          <w:lang w:val="en-IE"/>
        </w:rPr>
        <w:t xml:space="preserve">to be converted </w:t>
      </w:r>
      <w:r w:rsidR="0091419F" w:rsidRPr="007F3D01">
        <w:rPr>
          <w:noProof/>
          <w:lang w:val="en-IE"/>
        </w:rPr>
        <w:t xml:space="preserve">from their national classification scheme into the </w:t>
      </w:r>
      <w:r w:rsidR="000B1146">
        <w:rPr>
          <w:noProof/>
          <w:lang w:val="en-IE"/>
        </w:rPr>
        <w:t>classification scheme recommended by the</w:t>
      </w:r>
      <w:r w:rsidR="000B1146" w:rsidRPr="007F3D01">
        <w:rPr>
          <w:noProof/>
          <w:lang w:val="en-IE"/>
        </w:rPr>
        <w:t xml:space="preserve"> </w:t>
      </w:r>
      <w:r w:rsidR="0091419F" w:rsidRPr="007F3D01">
        <w:rPr>
          <w:noProof/>
          <w:lang w:val="en-IE"/>
        </w:rPr>
        <w:t>IAEA.</w:t>
      </w:r>
    </w:p>
    <w:p w14:paraId="2BC7F97D" w14:textId="12F4BF8C" w:rsidR="004057C2" w:rsidRPr="007F3D01" w:rsidRDefault="00361969">
      <w:pPr>
        <w:spacing w:line="276" w:lineRule="auto"/>
        <w:rPr>
          <w:noProof/>
          <w:color w:val="000000" w:themeColor="text1"/>
          <w:lang w:val="en-IE"/>
        </w:rPr>
      </w:pPr>
      <w:r>
        <w:rPr>
          <w:noProof/>
          <w:color w:val="000000" w:themeColor="text1"/>
          <w:lang w:val="en-IE"/>
        </w:rPr>
        <w:t>A</w:t>
      </w:r>
      <w:r w:rsidRPr="00361969">
        <w:rPr>
          <w:noProof/>
          <w:color w:val="000000" w:themeColor="text1"/>
          <w:lang w:val="en-IE"/>
        </w:rPr>
        <w:t xml:space="preserve">t the end of 2019 </w:t>
      </w:r>
      <w:r>
        <w:rPr>
          <w:noProof/>
          <w:color w:val="000000" w:themeColor="text1"/>
          <w:lang w:val="en-IE"/>
        </w:rPr>
        <w:t>t</w:t>
      </w:r>
      <w:r w:rsidR="0091419F" w:rsidRPr="007F3D01">
        <w:rPr>
          <w:noProof/>
          <w:color w:val="000000" w:themeColor="text1"/>
          <w:lang w:val="en-IE"/>
        </w:rPr>
        <w:t>he estimated total inventory of radioactive waste on the EU</w:t>
      </w:r>
      <w:r w:rsidR="0020024C" w:rsidRPr="007F3D01">
        <w:rPr>
          <w:noProof/>
          <w:color w:val="000000" w:themeColor="text1"/>
          <w:lang w:val="en-IE"/>
        </w:rPr>
        <w:t>-27</w:t>
      </w:r>
      <w:r w:rsidR="0091419F" w:rsidRPr="007F3D01">
        <w:rPr>
          <w:noProof/>
          <w:color w:val="000000" w:themeColor="text1"/>
          <w:lang w:val="en-IE"/>
        </w:rPr>
        <w:t xml:space="preserve"> territory was </w:t>
      </w:r>
      <w:r w:rsidR="00880490" w:rsidRPr="007F3D01">
        <w:rPr>
          <w:b/>
          <w:noProof/>
          <w:lang w:val="en-IE"/>
        </w:rPr>
        <w:t>2 334 000</w:t>
      </w:r>
      <w:r w:rsidR="00880490" w:rsidRPr="007F3D01">
        <w:rPr>
          <w:noProof/>
          <w:lang w:val="en-IE"/>
        </w:rPr>
        <w:t> </w:t>
      </w:r>
      <w:r w:rsidR="0091419F" w:rsidRPr="007F3D01">
        <w:rPr>
          <w:b/>
          <w:noProof/>
          <w:color w:val="000000" w:themeColor="text1"/>
          <w:lang w:val="en-IE"/>
        </w:rPr>
        <w:t>m</w:t>
      </w:r>
      <w:r w:rsidR="0091419F" w:rsidRPr="007F3D01">
        <w:rPr>
          <w:b/>
          <w:noProof/>
          <w:color w:val="000000" w:themeColor="text1"/>
          <w:vertAlign w:val="superscript"/>
          <w:lang w:val="en-IE"/>
        </w:rPr>
        <w:t>3</w:t>
      </w:r>
      <w:r w:rsidR="0091419F" w:rsidRPr="007F3D01">
        <w:rPr>
          <w:noProof/>
          <w:color w:val="000000" w:themeColor="text1"/>
          <w:lang w:val="en-IE"/>
        </w:rPr>
        <w:t xml:space="preserve"> (</w:t>
      </w:r>
      <w:r>
        <w:rPr>
          <w:noProof/>
          <w:color w:val="000000" w:themeColor="text1"/>
          <w:lang w:val="en-IE"/>
        </w:rPr>
        <w:t xml:space="preserve">a </w:t>
      </w:r>
      <w:r w:rsidR="00880490" w:rsidRPr="007F3D01">
        <w:rPr>
          <w:noProof/>
          <w:color w:val="000000" w:themeColor="text1"/>
          <w:lang w:val="en-IE"/>
        </w:rPr>
        <w:t>5</w:t>
      </w:r>
      <w:r w:rsidR="0091419F" w:rsidRPr="007F3D01">
        <w:rPr>
          <w:noProof/>
          <w:color w:val="000000" w:themeColor="text1"/>
          <w:lang w:val="en-IE"/>
        </w:rPr>
        <w:t xml:space="preserve"> % increase </w:t>
      </w:r>
      <w:r w:rsidR="00742C15">
        <w:rPr>
          <w:noProof/>
          <w:color w:val="000000" w:themeColor="text1"/>
          <w:lang w:val="en-IE"/>
        </w:rPr>
        <w:t xml:space="preserve">since the </w:t>
      </w:r>
      <w:r>
        <w:rPr>
          <w:noProof/>
          <w:color w:val="000000" w:themeColor="text1"/>
          <w:lang w:val="en-IE"/>
        </w:rPr>
        <w:t>previous</w:t>
      </w:r>
      <w:r w:rsidR="0091419F" w:rsidRPr="007F3D01">
        <w:rPr>
          <w:noProof/>
          <w:color w:val="000000" w:themeColor="text1"/>
          <w:lang w:val="en-IE"/>
        </w:rPr>
        <w:t xml:space="preserve"> </w:t>
      </w:r>
      <w:r w:rsidR="00C20F4B" w:rsidRPr="007F3D01">
        <w:rPr>
          <w:noProof/>
          <w:color w:val="000000" w:themeColor="text1"/>
          <w:lang w:val="en-IE"/>
        </w:rPr>
        <w:t>reporting period</w:t>
      </w:r>
      <w:r w:rsidR="0091419F" w:rsidRPr="007F3D01">
        <w:rPr>
          <w:noProof/>
          <w:color w:val="000000" w:themeColor="text1"/>
          <w:lang w:val="en-IE"/>
        </w:rPr>
        <w:t xml:space="preserve">, corresponding to an average </w:t>
      </w:r>
      <w:r w:rsidR="004057C2" w:rsidRPr="007F3D01">
        <w:rPr>
          <w:noProof/>
          <w:color w:val="000000" w:themeColor="text1"/>
          <w:lang w:val="en-IE"/>
        </w:rPr>
        <w:t xml:space="preserve">yearly production </w:t>
      </w:r>
      <w:r w:rsidR="0091419F" w:rsidRPr="007F3D01">
        <w:rPr>
          <w:noProof/>
          <w:color w:val="000000" w:themeColor="text1"/>
          <w:lang w:val="en-IE"/>
        </w:rPr>
        <w:t xml:space="preserve">of </w:t>
      </w:r>
      <w:r w:rsidR="004057C2" w:rsidRPr="007F3D01">
        <w:rPr>
          <w:noProof/>
          <w:color w:val="000000" w:themeColor="text1"/>
          <w:lang w:val="en-IE"/>
        </w:rPr>
        <w:t>less than 40 000 m</w:t>
      </w:r>
      <w:r w:rsidR="004057C2" w:rsidRPr="007F3D01">
        <w:rPr>
          <w:noProof/>
          <w:color w:val="000000" w:themeColor="text1"/>
          <w:vertAlign w:val="superscript"/>
          <w:lang w:val="en-IE"/>
        </w:rPr>
        <w:t>3</w:t>
      </w:r>
      <w:r w:rsidR="005A4080" w:rsidRPr="007F3D01">
        <w:rPr>
          <w:noProof/>
          <w:color w:val="000000" w:themeColor="text1"/>
          <w:lang w:val="en-IE"/>
        </w:rPr>
        <w:t xml:space="preserve">) </w:t>
      </w:r>
      <w:r w:rsidR="005A4080" w:rsidRPr="007F3D01">
        <w:rPr>
          <w:rStyle w:val="FootnoteReference"/>
          <w:noProof/>
          <w:color w:val="000000" w:themeColor="text1"/>
          <w:lang w:val="en-IE"/>
        </w:rPr>
        <w:footnoteReference w:id="14"/>
      </w:r>
      <w:r w:rsidR="0091419F" w:rsidRPr="007F3D01">
        <w:rPr>
          <w:noProof/>
          <w:color w:val="000000" w:themeColor="text1"/>
          <w:lang w:val="en-IE"/>
        </w:rPr>
        <w:t>.</w:t>
      </w:r>
    </w:p>
    <w:p w14:paraId="17F37687" w14:textId="7CB58F55" w:rsidR="0068325C" w:rsidRPr="007F3D01" w:rsidRDefault="00880490">
      <w:pPr>
        <w:spacing w:line="276" w:lineRule="auto"/>
        <w:rPr>
          <w:noProof/>
          <w:color w:val="000000" w:themeColor="text1"/>
          <w:lang w:val="en-IE"/>
        </w:rPr>
      </w:pPr>
      <w:r w:rsidRPr="007F3D01">
        <w:rPr>
          <w:noProof/>
          <w:lang w:val="en-IE"/>
        </w:rPr>
        <w:t xml:space="preserve">Approximately 66% of this waste </w:t>
      </w:r>
      <w:r w:rsidR="00C20F4B" w:rsidRPr="007F3D01">
        <w:rPr>
          <w:noProof/>
          <w:lang w:val="en-IE"/>
        </w:rPr>
        <w:t>had been</w:t>
      </w:r>
      <w:r w:rsidRPr="007F3D01">
        <w:rPr>
          <w:noProof/>
          <w:lang w:val="en-IE"/>
        </w:rPr>
        <w:t xml:space="preserve"> disposed of</w:t>
      </w:r>
      <w:r w:rsidR="005A4080" w:rsidRPr="007F3D01">
        <w:rPr>
          <w:rStyle w:val="FootnoteReference"/>
          <w:noProof/>
          <w:lang w:val="en-IE"/>
        </w:rPr>
        <w:footnoteReference w:id="15"/>
      </w:r>
      <w:r w:rsidRPr="007F3D01">
        <w:rPr>
          <w:noProof/>
          <w:lang w:val="en-IE"/>
        </w:rPr>
        <w:t xml:space="preserve"> (1 552 000 m</w:t>
      </w:r>
      <w:r w:rsidRPr="007F3D01">
        <w:rPr>
          <w:noProof/>
          <w:vertAlign w:val="superscript"/>
          <w:lang w:val="en-IE"/>
        </w:rPr>
        <w:t>3</w:t>
      </w:r>
      <w:r w:rsidRPr="007F3D01">
        <w:rPr>
          <w:noProof/>
          <w:lang w:val="en-IE"/>
        </w:rPr>
        <w:t>) and 34%</w:t>
      </w:r>
      <w:r w:rsidRPr="007F3D01">
        <w:rPr>
          <w:noProof/>
          <w:vertAlign w:val="superscript"/>
          <w:lang w:val="en-IE"/>
        </w:rPr>
        <w:t xml:space="preserve"> </w:t>
      </w:r>
      <w:r w:rsidRPr="007F3D01">
        <w:rPr>
          <w:noProof/>
          <w:lang w:val="en-IE"/>
        </w:rPr>
        <w:t>(782 000 m</w:t>
      </w:r>
      <w:r w:rsidRPr="007F3D01">
        <w:rPr>
          <w:noProof/>
          <w:vertAlign w:val="superscript"/>
          <w:lang w:val="en-IE"/>
        </w:rPr>
        <w:t>3</w:t>
      </w:r>
      <w:r w:rsidRPr="007F3D01">
        <w:rPr>
          <w:noProof/>
          <w:lang w:val="en-IE"/>
        </w:rPr>
        <w:t xml:space="preserve">) </w:t>
      </w:r>
      <w:r w:rsidR="009C72A5" w:rsidRPr="007F3D01">
        <w:rPr>
          <w:noProof/>
          <w:lang w:val="en-IE"/>
        </w:rPr>
        <w:t>wa</w:t>
      </w:r>
      <w:r w:rsidRPr="007F3D01">
        <w:rPr>
          <w:noProof/>
          <w:lang w:val="en-IE"/>
        </w:rPr>
        <w:t>s in storage</w:t>
      </w:r>
      <w:r w:rsidR="005A4080" w:rsidRPr="007F3D01">
        <w:rPr>
          <w:rStyle w:val="FootnoteReference"/>
          <w:noProof/>
          <w:lang w:val="en-IE"/>
        </w:rPr>
        <w:footnoteReference w:id="16"/>
      </w:r>
      <w:r w:rsidRPr="007F3D01">
        <w:rPr>
          <w:noProof/>
          <w:lang w:val="en-IE"/>
        </w:rPr>
        <w:t xml:space="preserve"> and will have to be managed in the future</w:t>
      </w:r>
      <w:r w:rsidRPr="007F3D01">
        <w:rPr>
          <w:rFonts w:eastAsia="Times New Roman"/>
          <w:noProof/>
          <w:lang w:val="en-IE"/>
        </w:rPr>
        <w:t>.</w:t>
      </w:r>
      <w:r w:rsidR="0091419F" w:rsidRPr="007F3D01">
        <w:rPr>
          <w:noProof/>
          <w:color w:val="000000" w:themeColor="text1"/>
          <w:lang w:val="en-IE"/>
        </w:rPr>
        <w:t xml:space="preserve"> </w:t>
      </w:r>
      <w:r w:rsidR="00C20F4B" w:rsidRPr="007F3D01">
        <w:rPr>
          <w:noProof/>
          <w:color w:val="000000" w:themeColor="text1"/>
          <w:lang w:val="en-IE"/>
        </w:rPr>
        <w:t>Data show that i</w:t>
      </w:r>
      <w:r w:rsidR="0091419F" w:rsidRPr="007F3D01">
        <w:rPr>
          <w:noProof/>
          <w:color w:val="000000" w:themeColor="text1"/>
          <w:lang w:val="en-IE"/>
        </w:rPr>
        <w:t>n those Member States where disposal routes are open for very-low-level and low-level waste, the process from generation to disposal appears generally flowing</w:t>
      </w:r>
      <w:r w:rsidR="00F91816" w:rsidRPr="007F3D01">
        <w:rPr>
          <w:noProof/>
          <w:color w:val="000000" w:themeColor="text1"/>
          <w:lang w:val="en-IE"/>
        </w:rPr>
        <w:t xml:space="preserve">; </w:t>
      </w:r>
      <w:r w:rsidR="004057C2" w:rsidRPr="007F3D01">
        <w:rPr>
          <w:noProof/>
          <w:color w:val="000000" w:themeColor="text1"/>
          <w:lang w:val="en-IE"/>
        </w:rPr>
        <w:t xml:space="preserve">for these classes of waste </w:t>
      </w:r>
      <w:r w:rsidR="00F91816" w:rsidRPr="007F3D01">
        <w:rPr>
          <w:noProof/>
          <w:color w:val="000000" w:themeColor="text1"/>
          <w:lang w:val="en-IE"/>
        </w:rPr>
        <w:t>the amount</w:t>
      </w:r>
      <w:r w:rsidR="004057C2" w:rsidRPr="007F3D01">
        <w:rPr>
          <w:noProof/>
          <w:color w:val="000000" w:themeColor="text1"/>
          <w:lang w:val="en-IE"/>
        </w:rPr>
        <w:t>s</w:t>
      </w:r>
      <w:r w:rsidR="00F91816" w:rsidRPr="007F3D01">
        <w:rPr>
          <w:noProof/>
          <w:color w:val="000000" w:themeColor="text1"/>
          <w:lang w:val="en-IE"/>
        </w:rPr>
        <w:t xml:space="preserve"> in storage </w:t>
      </w:r>
      <w:r w:rsidR="00361969">
        <w:rPr>
          <w:noProof/>
          <w:color w:val="000000" w:themeColor="text1"/>
          <w:lang w:val="en-IE"/>
        </w:rPr>
        <w:t>fell</w:t>
      </w:r>
      <w:r w:rsidR="00F91816" w:rsidRPr="007F3D01">
        <w:rPr>
          <w:noProof/>
          <w:color w:val="000000" w:themeColor="text1"/>
          <w:lang w:val="en-IE"/>
        </w:rPr>
        <w:t xml:space="preserve"> by 10%</w:t>
      </w:r>
      <w:r w:rsidR="004057C2" w:rsidRPr="007F3D01">
        <w:rPr>
          <w:noProof/>
          <w:color w:val="000000" w:themeColor="text1"/>
          <w:lang w:val="en-IE"/>
        </w:rPr>
        <w:t xml:space="preserve"> (28 000 m</w:t>
      </w:r>
      <w:r w:rsidR="004057C2" w:rsidRPr="007F3D01">
        <w:rPr>
          <w:noProof/>
          <w:color w:val="000000" w:themeColor="text1"/>
          <w:vertAlign w:val="superscript"/>
          <w:lang w:val="en-IE"/>
        </w:rPr>
        <w:t>3</w:t>
      </w:r>
      <w:r w:rsidR="004057C2" w:rsidRPr="007F3D01">
        <w:rPr>
          <w:noProof/>
          <w:color w:val="000000" w:themeColor="text1"/>
          <w:lang w:val="en-IE"/>
        </w:rPr>
        <w:t>)</w:t>
      </w:r>
      <w:r w:rsidR="00F91816" w:rsidRPr="007F3D01">
        <w:rPr>
          <w:noProof/>
          <w:color w:val="000000" w:themeColor="text1"/>
          <w:lang w:val="en-IE"/>
        </w:rPr>
        <w:t xml:space="preserve">, while the </w:t>
      </w:r>
      <w:r w:rsidR="004057C2" w:rsidRPr="007F3D01">
        <w:rPr>
          <w:noProof/>
          <w:color w:val="000000" w:themeColor="text1"/>
          <w:lang w:val="en-IE"/>
        </w:rPr>
        <w:t>amounts disposed of increase</w:t>
      </w:r>
      <w:r w:rsidR="00C20F4B" w:rsidRPr="007F3D01">
        <w:rPr>
          <w:noProof/>
          <w:color w:val="000000" w:themeColor="text1"/>
          <w:lang w:val="en-IE"/>
        </w:rPr>
        <w:t>d</w:t>
      </w:r>
      <w:r w:rsidR="004057C2" w:rsidRPr="007F3D01">
        <w:rPr>
          <w:noProof/>
          <w:color w:val="000000" w:themeColor="text1"/>
          <w:lang w:val="en-IE"/>
        </w:rPr>
        <w:t xml:space="preserve"> by 8% (122 000 m</w:t>
      </w:r>
      <w:r w:rsidR="004057C2" w:rsidRPr="007F3D01">
        <w:rPr>
          <w:noProof/>
          <w:color w:val="000000" w:themeColor="text1"/>
          <w:vertAlign w:val="superscript"/>
          <w:lang w:val="en-IE"/>
        </w:rPr>
        <w:t>3</w:t>
      </w:r>
      <w:r w:rsidR="004057C2" w:rsidRPr="007F3D01">
        <w:rPr>
          <w:noProof/>
          <w:color w:val="000000" w:themeColor="text1"/>
          <w:lang w:val="en-IE"/>
        </w:rPr>
        <w:t>)</w:t>
      </w:r>
      <w:r w:rsidR="0091419F" w:rsidRPr="007F3D01">
        <w:rPr>
          <w:noProof/>
          <w:color w:val="000000" w:themeColor="text1"/>
          <w:lang w:val="en-IE"/>
        </w:rPr>
        <w:t>.</w:t>
      </w:r>
      <w:r w:rsidR="00C20F4B" w:rsidRPr="007F3D01">
        <w:rPr>
          <w:noProof/>
          <w:color w:val="000000" w:themeColor="text1"/>
          <w:lang w:val="en-IE"/>
        </w:rPr>
        <w:t xml:space="preserve"> </w:t>
      </w:r>
      <w:r w:rsidR="00CA4F73" w:rsidRPr="007F3D01">
        <w:rPr>
          <w:noProof/>
          <w:color w:val="000000" w:themeColor="text1"/>
          <w:lang w:val="en-IE"/>
        </w:rPr>
        <w:t>Not surprisingly</w:t>
      </w:r>
      <w:r w:rsidR="00742C15">
        <w:rPr>
          <w:noProof/>
          <w:color w:val="000000" w:themeColor="text1"/>
          <w:lang w:val="en-IE"/>
        </w:rPr>
        <w:t>,</w:t>
      </w:r>
      <w:r w:rsidR="00C20F4B" w:rsidRPr="007F3D01">
        <w:rPr>
          <w:noProof/>
          <w:color w:val="000000" w:themeColor="text1"/>
          <w:lang w:val="en-IE"/>
        </w:rPr>
        <w:t xml:space="preserve"> the same </w:t>
      </w:r>
      <w:r w:rsidR="00CA4F73" w:rsidRPr="007F3D01">
        <w:rPr>
          <w:noProof/>
          <w:color w:val="000000" w:themeColor="text1"/>
          <w:lang w:val="en-IE"/>
        </w:rPr>
        <w:t>wa</w:t>
      </w:r>
      <w:r w:rsidR="00C20F4B" w:rsidRPr="007F3D01">
        <w:rPr>
          <w:noProof/>
          <w:color w:val="000000" w:themeColor="text1"/>
          <w:lang w:val="en-IE"/>
        </w:rPr>
        <w:t>s not observed for intermediate-level and high-level waste as well as spent fuel</w:t>
      </w:r>
      <w:r w:rsidR="00CA4F73" w:rsidRPr="007F3D01">
        <w:rPr>
          <w:noProof/>
          <w:color w:val="000000" w:themeColor="text1"/>
          <w:lang w:val="en-IE"/>
        </w:rPr>
        <w:t xml:space="preserve">, as </w:t>
      </w:r>
      <w:r w:rsidR="00361969">
        <w:rPr>
          <w:noProof/>
          <w:color w:val="000000" w:themeColor="text1"/>
          <w:lang w:val="en-IE"/>
        </w:rPr>
        <w:t>currentl</w:t>
      </w:r>
      <w:r w:rsidR="00CA4F73" w:rsidRPr="007F3D01">
        <w:rPr>
          <w:noProof/>
          <w:color w:val="000000" w:themeColor="text1"/>
          <w:lang w:val="en-IE"/>
        </w:rPr>
        <w:t xml:space="preserve">y there are no operational disposal </w:t>
      </w:r>
      <w:r w:rsidR="00B96355" w:rsidRPr="007F3D01">
        <w:rPr>
          <w:noProof/>
          <w:color w:val="000000" w:themeColor="text1"/>
          <w:lang w:val="en-IE"/>
        </w:rPr>
        <w:t>facilities</w:t>
      </w:r>
      <w:r w:rsidR="00CA4F73" w:rsidRPr="007F3D01">
        <w:rPr>
          <w:noProof/>
          <w:color w:val="000000" w:themeColor="text1"/>
          <w:lang w:val="en-IE"/>
        </w:rPr>
        <w:t xml:space="preserve"> to handle these waste classes</w:t>
      </w:r>
      <w:r w:rsidR="00C20F4B" w:rsidRPr="007F3D01">
        <w:rPr>
          <w:noProof/>
          <w:color w:val="000000" w:themeColor="text1"/>
          <w:lang w:val="en-IE"/>
        </w:rPr>
        <w:t>.</w:t>
      </w:r>
    </w:p>
    <w:tbl>
      <w:tblPr>
        <w:tblStyle w:val="TableGrid"/>
        <w:tblW w:w="0" w:type="auto"/>
        <w:tblLook w:val="04A0" w:firstRow="1" w:lastRow="0" w:firstColumn="1" w:lastColumn="0" w:noHBand="0" w:noVBand="1"/>
      </w:tblPr>
      <w:tblGrid>
        <w:gridCol w:w="9300"/>
      </w:tblGrid>
      <w:tr w:rsidR="0068325C" w:rsidRPr="00076972" w14:paraId="17F376C5" w14:textId="77777777">
        <w:trPr>
          <w:cantSplit/>
        </w:trPr>
        <w:tc>
          <w:tcPr>
            <w:tcW w:w="9300" w:type="dxa"/>
          </w:tcPr>
          <w:p w14:paraId="17F37688" w14:textId="1C90AC4B" w:rsidR="0068325C" w:rsidRPr="007F3D01" w:rsidRDefault="0091419F">
            <w:pPr>
              <w:shd w:val="clear" w:color="auto" w:fill="auto"/>
              <w:spacing w:after="120" w:line="276" w:lineRule="auto"/>
              <w:rPr>
                <w:i/>
                <w:noProof/>
                <w:color w:val="000000" w:themeColor="text1"/>
                <w:lang w:val="en-IE"/>
              </w:rPr>
            </w:pPr>
            <w:r w:rsidRPr="007F3D01">
              <w:rPr>
                <w:b/>
                <w:i/>
                <w:noProof/>
                <w:color w:val="000000" w:themeColor="text1"/>
                <w:lang w:val="en-IE"/>
              </w:rPr>
              <w:t>Box 1</w:t>
            </w:r>
          </w:p>
          <w:p w14:paraId="725BED69" w14:textId="77777777" w:rsidR="002D6C04" w:rsidRPr="007F3D01" w:rsidRDefault="002D6C04">
            <w:pPr>
              <w:shd w:val="clear" w:color="auto" w:fill="auto"/>
              <w:spacing w:after="120" w:line="276" w:lineRule="auto"/>
              <w:rPr>
                <w:noProof/>
                <w:lang w:val="en-IE"/>
              </w:rPr>
            </w:pPr>
          </w:p>
          <w:p w14:paraId="17F37689" w14:textId="73F06AF2" w:rsidR="0068325C" w:rsidRPr="007F3D01" w:rsidRDefault="000850C0">
            <w:pPr>
              <w:shd w:val="clear" w:color="auto" w:fill="auto"/>
              <w:spacing w:after="120" w:line="276" w:lineRule="auto"/>
              <w:rPr>
                <w:i/>
                <w:noProof/>
                <w:color w:val="000000" w:themeColor="text1"/>
                <w:lang w:val="en-IE"/>
              </w:rPr>
            </w:pPr>
            <w:r w:rsidRPr="007F3D01">
              <w:rPr>
                <w:noProof/>
              </w:rPr>
              <w:drawing>
                <wp:anchor distT="0" distB="0" distL="114300" distR="114300" simplePos="0" relativeHeight="251657216" behindDoc="1" locked="0" layoutInCell="1" allowOverlap="1" wp14:anchorId="2E40D95F" wp14:editId="762EEDDE">
                  <wp:simplePos x="0" y="0"/>
                  <wp:positionH relativeFrom="column">
                    <wp:posOffset>4184015</wp:posOffset>
                  </wp:positionH>
                  <wp:positionV relativeFrom="page">
                    <wp:posOffset>958215</wp:posOffset>
                  </wp:positionV>
                  <wp:extent cx="1466850" cy="1663700"/>
                  <wp:effectExtent l="0" t="0" r="0" b="0"/>
                  <wp:wrapThrough wrapText="bothSides">
                    <wp:wrapPolygon edited="0">
                      <wp:start x="0" y="0"/>
                      <wp:lineTo x="0" y="21270"/>
                      <wp:lineTo x="21319" y="21270"/>
                      <wp:lineTo x="213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6128" r="5400"/>
                          <a:stretch/>
                        </pic:blipFill>
                        <pic:spPr bwMode="auto">
                          <a:xfrm>
                            <a:off x="0" y="0"/>
                            <a:ext cx="1466850" cy="166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419F" w:rsidRPr="007F3D01">
              <w:rPr>
                <w:i/>
                <w:noProof/>
                <w:color w:val="000000" w:themeColor="text1"/>
                <w:lang w:val="en-IE"/>
              </w:rPr>
              <w:t xml:space="preserve">Volumes and status of radioactive waste in the European Union, end of </w:t>
            </w:r>
            <w:r w:rsidR="00C46F8A" w:rsidRPr="007F3D01">
              <w:rPr>
                <w:i/>
                <w:noProof/>
                <w:color w:val="000000" w:themeColor="text1"/>
                <w:lang w:val="en-IE"/>
              </w:rPr>
              <w:t xml:space="preserve">2016 </w:t>
            </w:r>
            <w:r w:rsidR="0091419F" w:rsidRPr="007F3D01">
              <w:rPr>
                <w:i/>
                <w:noProof/>
                <w:color w:val="000000" w:themeColor="text1"/>
                <w:lang w:val="en-IE"/>
              </w:rPr>
              <w:t xml:space="preserve">and </w:t>
            </w:r>
            <w:r w:rsidR="00C46F8A" w:rsidRPr="007F3D01">
              <w:rPr>
                <w:i/>
                <w:noProof/>
                <w:color w:val="000000" w:themeColor="text1"/>
                <w:lang w:val="en-IE"/>
              </w:rPr>
              <w:t>2019</w:t>
            </w:r>
            <w:r w:rsidR="0091419F" w:rsidRPr="007F3D01">
              <w:rPr>
                <w:i/>
                <w:noProof/>
                <w:color w:val="000000" w:themeColor="text1"/>
                <w:lang w:val="en-IE"/>
              </w:rPr>
              <w:t>.</w:t>
            </w:r>
          </w:p>
          <w:tbl>
            <w:tblPr>
              <w:tblStyle w:val="TableGrid1"/>
              <w:tblW w:w="59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8"/>
              <w:gridCol w:w="804"/>
              <w:gridCol w:w="803"/>
              <w:gridCol w:w="803"/>
              <w:gridCol w:w="806"/>
              <w:gridCol w:w="803"/>
              <w:gridCol w:w="805"/>
            </w:tblGrid>
            <w:tr w:rsidR="00DD689A" w:rsidRPr="007F3D01" w14:paraId="17F3768B" w14:textId="77777777">
              <w:trPr>
                <w:trHeight w:val="20"/>
              </w:trPr>
              <w:tc>
                <w:tcPr>
                  <w:tcW w:w="5962" w:type="dxa"/>
                  <w:gridSpan w:val="7"/>
                  <w:shd w:val="clear" w:color="auto" w:fill="auto"/>
                  <w:vAlign w:val="bottom"/>
                  <w:hideMark/>
                </w:tcPr>
                <w:p w14:paraId="17F3768A" w14:textId="77777777" w:rsidR="0068325C" w:rsidRPr="007F3D01" w:rsidRDefault="0091419F">
                  <w:pPr>
                    <w:spacing w:before="60" w:after="60"/>
                    <w:jc w:val="center"/>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Amounts (thousands m</w:t>
                  </w:r>
                  <w:r w:rsidRPr="007F3D01">
                    <w:rPr>
                      <w:rFonts w:ascii="Tahoma" w:hAnsi="Tahoma" w:cs="Tahoma"/>
                      <w:b/>
                      <w:noProof/>
                      <w:color w:val="000000" w:themeColor="text1"/>
                      <w:sz w:val="18"/>
                      <w:szCs w:val="18"/>
                      <w:vertAlign w:val="superscript"/>
                      <w:lang w:val="en-IE"/>
                    </w:rPr>
                    <w:t>3</w:t>
                  </w:r>
                  <w:r w:rsidRPr="007F3D01">
                    <w:rPr>
                      <w:rFonts w:ascii="Tahoma" w:hAnsi="Tahoma" w:cs="Tahoma"/>
                      <w:b/>
                      <w:noProof/>
                      <w:color w:val="000000" w:themeColor="text1"/>
                      <w:sz w:val="18"/>
                      <w:szCs w:val="18"/>
                      <w:lang w:val="en-IE"/>
                    </w:rPr>
                    <w:t>)</w:t>
                  </w:r>
                </w:p>
              </w:tc>
            </w:tr>
            <w:tr w:rsidR="00E304D1" w:rsidRPr="007F3D01" w14:paraId="17F37690" w14:textId="77777777">
              <w:trPr>
                <w:trHeight w:val="359"/>
              </w:trPr>
              <w:tc>
                <w:tcPr>
                  <w:tcW w:w="1138" w:type="dxa"/>
                  <w:vMerge w:val="restart"/>
                  <w:shd w:val="clear" w:color="auto" w:fill="auto"/>
                  <w:vAlign w:val="bottom"/>
                  <w:hideMark/>
                </w:tcPr>
                <w:p w14:paraId="17F3768C" w14:textId="77777777" w:rsidR="0068325C" w:rsidRPr="007F3D01" w:rsidRDefault="0091419F">
                  <w:pPr>
                    <w:spacing w:before="0" w:line="240" w:lineRule="auto"/>
                    <w:jc w:val="center"/>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Year</w:t>
                  </w:r>
                </w:p>
              </w:tc>
              <w:tc>
                <w:tcPr>
                  <w:tcW w:w="1607" w:type="dxa"/>
                  <w:gridSpan w:val="2"/>
                  <w:shd w:val="clear" w:color="auto" w:fill="auto"/>
                  <w:vAlign w:val="center"/>
                  <w:hideMark/>
                </w:tcPr>
                <w:p w14:paraId="17F3768D" w14:textId="77777777" w:rsidR="0068325C" w:rsidRPr="007F3D01" w:rsidRDefault="0091419F">
                  <w:pPr>
                    <w:spacing w:before="0" w:line="240" w:lineRule="auto"/>
                    <w:jc w:val="center"/>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Stored</w:t>
                  </w:r>
                </w:p>
              </w:tc>
              <w:tc>
                <w:tcPr>
                  <w:tcW w:w="1609" w:type="dxa"/>
                  <w:gridSpan w:val="2"/>
                  <w:shd w:val="clear" w:color="auto" w:fill="auto"/>
                  <w:vAlign w:val="center"/>
                  <w:hideMark/>
                </w:tcPr>
                <w:p w14:paraId="17F3768E" w14:textId="77777777" w:rsidR="0068325C" w:rsidRPr="007F3D01" w:rsidRDefault="0091419F">
                  <w:pPr>
                    <w:spacing w:before="0" w:line="240" w:lineRule="auto"/>
                    <w:jc w:val="center"/>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Disposed of</w:t>
                  </w:r>
                </w:p>
              </w:tc>
              <w:tc>
                <w:tcPr>
                  <w:tcW w:w="1608" w:type="dxa"/>
                  <w:gridSpan w:val="2"/>
                  <w:shd w:val="clear" w:color="auto" w:fill="auto"/>
                  <w:vAlign w:val="center"/>
                  <w:hideMark/>
                </w:tcPr>
                <w:p w14:paraId="17F3768F" w14:textId="77777777" w:rsidR="0068325C" w:rsidRPr="007F3D01" w:rsidRDefault="0091419F">
                  <w:pPr>
                    <w:spacing w:before="0" w:line="240" w:lineRule="auto"/>
                    <w:jc w:val="center"/>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Total</w:t>
                  </w:r>
                </w:p>
              </w:tc>
            </w:tr>
            <w:tr w:rsidR="00E304D1" w:rsidRPr="007F3D01" w14:paraId="17F37698" w14:textId="77777777">
              <w:trPr>
                <w:trHeight w:val="20"/>
              </w:trPr>
              <w:tc>
                <w:tcPr>
                  <w:tcW w:w="1138" w:type="dxa"/>
                  <w:vMerge/>
                  <w:shd w:val="clear" w:color="auto" w:fill="auto"/>
                  <w:vAlign w:val="center"/>
                  <w:hideMark/>
                </w:tcPr>
                <w:p w14:paraId="17F37691" w14:textId="77777777" w:rsidR="0068325C" w:rsidRPr="007F3D01" w:rsidRDefault="0068325C">
                  <w:pPr>
                    <w:spacing w:before="0" w:line="240" w:lineRule="auto"/>
                    <w:jc w:val="center"/>
                    <w:rPr>
                      <w:rFonts w:ascii="Tahoma" w:hAnsi="Tahoma" w:cs="Tahoma"/>
                      <w:b/>
                      <w:noProof/>
                      <w:color w:val="000000" w:themeColor="text1"/>
                      <w:sz w:val="18"/>
                      <w:szCs w:val="18"/>
                      <w:lang w:val="en-IE"/>
                    </w:rPr>
                  </w:pPr>
                </w:p>
              </w:tc>
              <w:tc>
                <w:tcPr>
                  <w:tcW w:w="804" w:type="dxa"/>
                  <w:shd w:val="clear" w:color="auto" w:fill="auto"/>
                  <w:hideMark/>
                </w:tcPr>
                <w:p w14:paraId="17F37692" w14:textId="6943B435" w:rsidR="0068325C" w:rsidRPr="007F3D01" w:rsidRDefault="00C46F8A">
                  <w:pPr>
                    <w:tabs>
                      <w:tab w:val="left" w:pos="1280"/>
                    </w:tabs>
                    <w:spacing w:before="0" w:line="240" w:lineRule="auto"/>
                    <w:jc w:val="center"/>
                    <w:rPr>
                      <w:rFonts w:ascii="Tahoma" w:hAnsi="Tahoma" w:cs="Tahoma"/>
                      <w:b/>
                      <w:noProof/>
                      <w:color w:val="404040" w:themeColor="text1" w:themeTint="BF"/>
                      <w:sz w:val="18"/>
                      <w:szCs w:val="18"/>
                      <w:lang w:val="en-IE"/>
                    </w:rPr>
                  </w:pPr>
                  <w:r w:rsidRPr="007F3D01">
                    <w:rPr>
                      <w:rFonts w:ascii="Tahoma" w:hAnsi="Tahoma" w:cs="Tahoma"/>
                      <w:b/>
                      <w:noProof/>
                      <w:color w:val="404040" w:themeColor="text1" w:themeTint="BF"/>
                      <w:sz w:val="18"/>
                      <w:szCs w:val="18"/>
                      <w:lang w:val="en-IE"/>
                    </w:rPr>
                    <w:t>2016</w:t>
                  </w:r>
                </w:p>
              </w:tc>
              <w:tc>
                <w:tcPr>
                  <w:tcW w:w="803" w:type="dxa"/>
                  <w:shd w:val="clear" w:color="auto" w:fill="auto"/>
                  <w:hideMark/>
                </w:tcPr>
                <w:p w14:paraId="17F37693" w14:textId="65653D7A" w:rsidR="0068325C" w:rsidRPr="007F3D01" w:rsidRDefault="0091419F">
                  <w:pPr>
                    <w:tabs>
                      <w:tab w:val="left" w:pos="1280"/>
                    </w:tabs>
                    <w:spacing w:before="0" w:line="240" w:lineRule="auto"/>
                    <w:jc w:val="center"/>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201</w:t>
                  </w:r>
                  <w:r w:rsidR="00C46F8A" w:rsidRPr="007F3D01">
                    <w:rPr>
                      <w:rFonts w:ascii="Tahoma" w:hAnsi="Tahoma" w:cs="Tahoma"/>
                      <w:b/>
                      <w:noProof/>
                      <w:color w:val="000000" w:themeColor="text1"/>
                      <w:sz w:val="18"/>
                      <w:szCs w:val="18"/>
                      <w:lang w:val="en-IE"/>
                    </w:rPr>
                    <w:t>9</w:t>
                  </w:r>
                </w:p>
              </w:tc>
              <w:tc>
                <w:tcPr>
                  <w:tcW w:w="803" w:type="dxa"/>
                  <w:shd w:val="clear" w:color="auto" w:fill="auto"/>
                  <w:hideMark/>
                </w:tcPr>
                <w:p w14:paraId="17F37694" w14:textId="77F4648F" w:rsidR="0068325C" w:rsidRPr="007F3D01" w:rsidRDefault="0091419F">
                  <w:pPr>
                    <w:tabs>
                      <w:tab w:val="left" w:pos="1280"/>
                    </w:tabs>
                    <w:spacing w:before="0" w:line="240" w:lineRule="auto"/>
                    <w:jc w:val="center"/>
                    <w:rPr>
                      <w:rFonts w:ascii="Tahoma" w:hAnsi="Tahoma" w:cs="Tahoma"/>
                      <w:b/>
                      <w:noProof/>
                      <w:color w:val="404040" w:themeColor="text1" w:themeTint="BF"/>
                      <w:sz w:val="18"/>
                      <w:szCs w:val="18"/>
                      <w:lang w:val="en-IE"/>
                    </w:rPr>
                  </w:pPr>
                  <w:r w:rsidRPr="007F3D01">
                    <w:rPr>
                      <w:rFonts w:ascii="Tahoma" w:hAnsi="Tahoma" w:cs="Tahoma"/>
                      <w:b/>
                      <w:noProof/>
                      <w:color w:val="404040" w:themeColor="text1" w:themeTint="BF"/>
                      <w:sz w:val="18"/>
                      <w:szCs w:val="18"/>
                      <w:lang w:val="en-IE"/>
                    </w:rPr>
                    <w:t>201</w:t>
                  </w:r>
                  <w:r w:rsidR="00C46F8A" w:rsidRPr="007F3D01">
                    <w:rPr>
                      <w:rFonts w:ascii="Tahoma" w:hAnsi="Tahoma" w:cs="Tahoma"/>
                      <w:b/>
                      <w:noProof/>
                      <w:color w:val="404040" w:themeColor="text1" w:themeTint="BF"/>
                      <w:sz w:val="18"/>
                      <w:szCs w:val="18"/>
                      <w:lang w:val="en-IE"/>
                    </w:rPr>
                    <w:t>6</w:t>
                  </w:r>
                </w:p>
              </w:tc>
              <w:tc>
                <w:tcPr>
                  <w:tcW w:w="806" w:type="dxa"/>
                  <w:shd w:val="clear" w:color="auto" w:fill="auto"/>
                  <w:hideMark/>
                </w:tcPr>
                <w:p w14:paraId="17F37695" w14:textId="75C2A9B9" w:rsidR="0068325C" w:rsidRPr="007F3D01" w:rsidRDefault="0091419F">
                  <w:pPr>
                    <w:tabs>
                      <w:tab w:val="left" w:pos="1280"/>
                    </w:tabs>
                    <w:spacing w:before="0" w:line="240" w:lineRule="auto"/>
                    <w:jc w:val="center"/>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201</w:t>
                  </w:r>
                  <w:r w:rsidR="00C46F8A" w:rsidRPr="007F3D01">
                    <w:rPr>
                      <w:rFonts w:ascii="Tahoma" w:hAnsi="Tahoma" w:cs="Tahoma"/>
                      <w:b/>
                      <w:noProof/>
                      <w:color w:val="000000" w:themeColor="text1"/>
                      <w:sz w:val="18"/>
                      <w:szCs w:val="18"/>
                      <w:lang w:val="en-IE"/>
                    </w:rPr>
                    <w:t>9</w:t>
                  </w:r>
                </w:p>
              </w:tc>
              <w:tc>
                <w:tcPr>
                  <w:tcW w:w="803" w:type="dxa"/>
                  <w:shd w:val="clear" w:color="auto" w:fill="auto"/>
                  <w:hideMark/>
                </w:tcPr>
                <w:p w14:paraId="17F37696" w14:textId="47F60E13" w:rsidR="0068325C" w:rsidRPr="007F3D01" w:rsidRDefault="0091419F">
                  <w:pPr>
                    <w:tabs>
                      <w:tab w:val="left" w:pos="1280"/>
                    </w:tabs>
                    <w:spacing w:before="0" w:line="240" w:lineRule="auto"/>
                    <w:jc w:val="center"/>
                    <w:rPr>
                      <w:rFonts w:ascii="Tahoma" w:hAnsi="Tahoma" w:cs="Tahoma"/>
                      <w:b/>
                      <w:noProof/>
                      <w:color w:val="404040" w:themeColor="text1" w:themeTint="BF"/>
                      <w:sz w:val="18"/>
                      <w:szCs w:val="18"/>
                      <w:lang w:val="en-IE"/>
                    </w:rPr>
                  </w:pPr>
                  <w:r w:rsidRPr="007F3D01">
                    <w:rPr>
                      <w:rFonts w:ascii="Tahoma" w:hAnsi="Tahoma" w:cs="Tahoma"/>
                      <w:b/>
                      <w:noProof/>
                      <w:color w:val="404040" w:themeColor="text1" w:themeTint="BF"/>
                      <w:sz w:val="18"/>
                      <w:szCs w:val="18"/>
                      <w:lang w:val="en-IE"/>
                    </w:rPr>
                    <w:t>201</w:t>
                  </w:r>
                  <w:r w:rsidR="00C46F8A" w:rsidRPr="007F3D01">
                    <w:rPr>
                      <w:rFonts w:ascii="Tahoma" w:hAnsi="Tahoma" w:cs="Tahoma"/>
                      <w:b/>
                      <w:noProof/>
                      <w:color w:val="404040" w:themeColor="text1" w:themeTint="BF"/>
                      <w:sz w:val="18"/>
                      <w:szCs w:val="18"/>
                      <w:lang w:val="en-IE"/>
                    </w:rPr>
                    <w:t>6</w:t>
                  </w:r>
                </w:p>
              </w:tc>
              <w:tc>
                <w:tcPr>
                  <w:tcW w:w="805" w:type="dxa"/>
                  <w:shd w:val="clear" w:color="auto" w:fill="auto"/>
                  <w:hideMark/>
                </w:tcPr>
                <w:p w14:paraId="17F37697" w14:textId="4586D016" w:rsidR="0068325C" w:rsidRPr="007F3D01" w:rsidRDefault="0091419F">
                  <w:pPr>
                    <w:tabs>
                      <w:tab w:val="left" w:pos="1280"/>
                    </w:tabs>
                    <w:spacing w:before="0" w:line="240" w:lineRule="auto"/>
                    <w:jc w:val="center"/>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201</w:t>
                  </w:r>
                  <w:r w:rsidR="00C46F8A" w:rsidRPr="007F3D01">
                    <w:rPr>
                      <w:rFonts w:ascii="Tahoma" w:hAnsi="Tahoma" w:cs="Tahoma"/>
                      <w:b/>
                      <w:noProof/>
                      <w:color w:val="000000" w:themeColor="text1"/>
                      <w:sz w:val="18"/>
                      <w:szCs w:val="18"/>
                      <w:lang w:val="en-IE"/>
                    </w:rPr>
                    <w:t>9</w:t>
                  </w:r>
                </w:p>
              </w:tc>
            </w:tr>
            <w:tr w:rsidR="00E304D1" w:rsidRPr="007F3D01" w14:paraId="17F376A0" w14:textId="77777777">
              <w:trPr>
                <w:trHeight w:val="20"/>
              </w:trPr>
              <w:tc>
                <w:tcPr>
                  <w:tcW w:w="1138" w:type="dxa"/>
                  <w:shd w:val="clear" w:color="auto" w:fill="auto"/>
                  <w:hideMark/>
                </w:tcPr>
                <w:p w14:paraId="17F37699" w14:textId="77777777" w:rsidR="0068325C" w:rsidRPr="007F3D01" w:rsidRDefault="0091419F">
                  <w:pPr>
                    <w:spacing w:before="60" w:after="60" w:line="240" w:lineRule="auto"/>
                    <w:jc w:val="right"/>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VLLW</w:t>
                  </w:r>
                </w:p>
              </w:tc>
              <w:tc>
                <w:tcPr>
                  <w:tcW w:w="804" w:type="dxa"/>
                  <w:shd w:val="clear" w:color="auto" w:fill="auto"/>
                  <w:hideMark/>
                </w:tcPr>
                <w:p w14:paraId="17F3769A" w14:textId="5FE9A605" w:rsidR="0068325C" w:rsidRPr="007F3D01" w:rsidRDefault="0091419F">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23</w:t>
                  </w:r>
                  <w:r w:rsidR="00C46F8A" w:rsidRPr="007F3D01">
                    <w:rPr>
                      <w:rFonts w:ascii="Tahoma" w:hAnsi="Tahoma" w:cs="Tahoma"/>
                      <w:noProof/>
                      <w:color w:val="404040" w:themeColor="text1" w:themeTint="BF"/>
                      <w:sz w:val="18"/>
                      <w:szCs w:val="18"/>
                      <w:lang w:val="en-IE"/>
                    </w:rPr>
                    <w:t>3</w:t>
                  </w:r>
                </w:p>
              </w:tc>
              <w:tc>
                <w:tcPr>
                  <w:tcW w:w="803" w:type="dxa"/>
                  <w:shd w:val="clear" w:color="auto" w:fill="auto"/>
                  <w:hideMark/>
                </w:tcPr>
                <w:p w14:paraId="17F3769B" w14:textId="2192F957" w:rsidR="0068325C" w:rsidRPr="007F3D01" w:rsidRDefault="0091419F">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23</w:t>
                  </w:r>
                  <w:r w:rsidR="00C46F8A" w:rsidRPr="007F3D01">
                    <w:rPr>
                      <w:rFonts w:ascii="Tahoma" w:hAnsi="Tahoma" w:cs="Tahoma"/>
                      <w:noProof/>
                      <w:color w:val="000000" w:themeColor="text1"/>
                      <w:sz w:val="18"/>
                      <w:szCs w:val="18"/>
                      <w:lang w:val="en-IE"/>
                    </w:rPr>
                    <w:t>3</w:t>
                  </w:r>
                </w:p>
              </w:tc>
              <w:tc>
                <w:tcPr>
                  <w:tcW w:w="803" w:type="dxa"/>
                  <w:shd w:val="clear" w:color="auto" w:fill="auto"/>
                  <w:hideMark/>
                </w:tcPr>
                <w:p w14:paraId="17F3769C" w14:textId="1E744B2F"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369</w:t>
                  </w:r>
                </w:p>
              </w:tc>
              <w:tc>
                <w:tcPr>
                  <w:tcW w:w="806" w:type="dxa"/>
                  <w:shd w:val="clear" w:color="auto" w:fill="auto"/>
                  <w:hideMark/>
                </w:tcPr>
                <w:p w14:paraId="17F3769D" w14:textId="6E7515F9" w:rsidR="0068325C" w:rsidRPr="007F3D01" w:rsidRDefault="00C46F8A">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462</w:t>
                  </w:r>
                </w:p>
              </w:tc>
              <w:tc>
                <w:tcPr>
                  <w:tcW w:w="803" w:type="dxa"/>
                  <w:shd w:val="clear" w:color="auto" w:fill="auto"/>
                  <w:hideMark/>
                </w:tcPr>
                <w:p w14:paraId="17F3769E" w14:textId="1CD8F1BD"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601</w:t>
                  </w:r>
                </w:p>
              </w:tc>
              <w:tc>
                <w:tcPr>
                  <w:tcW w:w="805" w:type="dxa"/>
                  <w:shd w:val="clear" w:color="auto" w:fill="auto"/>
                  <w:hideMark/>
                </w:tcPr>
                <w:p w14:paraId="17F3769F" w14:textId="49BE91F0" w:rsidR="0068325C" w:rsidRPr="007F3D01" w:rsidRDefault="0091419F">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6</w:t>
                  </w:r>
                  <w:r w:rsidR="00C46F8A" w:rsidRPr="007F3D01">
                    <w:rPr>
                      <w:rFonts w:ascii="Tahoma" w:hAnsi="Tahoma" w:cs="Tahoma"/>
                      <w:noProof/>
                      <w:color w:val="000000" w:themeColor="text1"/>
                      <w:sz w:val="18"/>
                      <w:szCs w:val="18"/>
                      <w:lang w:val="en-IE"/>
                    </w:rPr>
                    <w:t>9</w:t>
                  </w:r>
                  <w:r w:rsidR="00461576" w:rsidRPr="007F3D01">
                    <w:rPr>
                      <w:rFonts w:ascii="Tahoma" w:hAnsi="Tahoma" w:cs="Tahoma"/>
                      <w:noProof/>
                      <w:color w:val="000000" w:themeColor="text1"/>
                      <w:sz w:val="18"/>
                      <w:szCs w:val="18"/>
                      <w:lang w:val="en-IE"/>
                    </w:rPr>
                    <w:t>5</w:t>
                  </w:r>
                </w:p>
              </w:tc>
            </w:tr>
            <w:tr w:rsidR="00E304D1" w:rsidRPr="007F3D01" w14:paraId="17F376A8" w14:textId="77777777">
              <w:trPr>
                <w:trHeight w:val="20"/>
              </w:trPr>
              <w:tc>
                <w:tcPr>
                  <w:tcW w:w="1138" w:type="dxa"/>
                  <w:shd w:val="clear" w:color="auto" w:fill="auto"/>
                  <w:hideMark/>
                </w:tcPr>
                <w:p w14:paraId="17F376A1" w14:textId="77777777" w:rsidR="0068325C" w:rsidRPr="007F3D01" w:rsidRDefault="0091419F">
                  <w:pPr>
                    <w:spacing w:before="60" w:after="60" w:line="240" w:lineRule="auto"/>
                    <w:jc w:val="right"/>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LLW</w:t>
                  </w:r>
                </w:p>
              </w:tc>
              <w:tc>
                <w:tcPr>
                  <w:tcW w:w="804" w:type="dxa"/>
                  <w:shd w:val="clear" w:color="auto" w:fill="auto"/>
                  <w:hideMark/>
                </w:tcPr>
                <w:p w14:paraId="17F376A2" w14:textId="2EF17975"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381</w:t>
                  </w:r>
                </w:p>
              </w:tc>
              <w:tc>
                <w:tcPr>
                  <w:tcW w:w="803" w:type="dxa"/>
                  <w:shd w:val="clear" w:color="auto" w:fill="auto"/>
                  <w:hideMark/>
                </w:tcPr>
                <w:p w14:paraId="17F376A3" w14:textId="00CD4C1C" w:rsidR="0068325C" w:rsidRPr="007F3D01" w:rsidRDefault="00C46F8A">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353</w:t>
                  </w:r>
                </w:p>
              </w:tc>
              <w:tc>
                <w:tcPr>
                  <w:tcW w:w="803" w:type="dxa"/>
                  <w:shd w:val="clear" w:color="auto" w:fill="auto"/>
                  <w:hideMark/>
                </w:tcPr>
                <w:p w14:paraId="17F376A4" w14:textId="21642F5C"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1</w:t>
                  </w:r>
                  <w:r w:rsidR="00823B81">
                    <w:rPr>
                      <w:rFonts w:ascii="Tahoma" w:hAnsi="Tahoma" w:cs="Tahoma"/>
                      <w:noProof/>
                      <w:color w:val="404040" w:themeColor="text1" w:themeTint="BF"/>
                      <w:sz w:val="18"/>
                      <w:szCs w:val="18"/>
                      <w:lang w:val="en-IE"/>
                    </w:rPr>
                    <w:t> </w:t>
                  </w:r>
                  <w:r w:rsidR="0091419F" w:rsidRPr="007F3D01">
                    <w:rPr>
                      <w:rFonts w:ascii="Tahoma" w:hAnsi="Tahoma" w:cs="Tahoma"/>
                      <w:noProof/>
                      <w:color w:val="404040" w:themeColor="text1" w:themeTint="BF"/>
                      <w:sz w:val="18"/>
                      <w:szCs w:val="18"/>
                      <w:lang w:val="en-IE"/>
                    </w:rPr>
                    <w:t>0</w:t>
                  </w:r>
                  <w:r w:rsidRPr="007F3D01">
                    <w:rPr>
                      <w:rFonts w:ascii="Tahoma" w:hAnsi="Tahoma" w:cs="Tahoma"/>
                      <w:noProof/>
                      <w:color w:val="404040" w:themeColor="text1" w:themeTint="BF"/>
                      <w:sz w:val="18"/>
                      <w:szCs w:val="18"/>
                      <w:lang w:val="en-IE"/>
                    </w:rPr>
                    <w:t>39</w:t>
                  </w:r>
                </w:p>
              </w:tc>
              <w:tc>
                <w:tcPr>
                  <w:tcW w:w="806" w:type="dxa"/>
                  <w:shd w:val="clear" w:color="auto" w:fill="auto"/>
                  <w:hideMark/>
                </w:tcPr>
                <w:p w14:paraId="17F376A5" w14:textId="069A731D" w:rsidR="0068325C" w:rsidRPr="007F3D01" w:rsidRDefault="00C46F8A">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1</w:t>
                  </w:r>
                  <w:r w:rsidR="00823B81">
                    <w:rPr>
                      <w:rFonts w:ascii="Tahoma" w:hAnsi="Tahoma" w:cs="Tahoma"/>
                      <w:noProof/>
                      <w:color w:val="000000" w:themeColor="text1"/>
                      <w:sz w:val="18"/>
                      <w:szCs w:val="18"/>
                      <w:lang w:val="en-IE"/>
                    </w:rPr>
                    <w:t> </w:t>
                  </w:r>
                  <w:r w:rsidRPr="007F3D01">
                    <w:rPr>
                      <w:rFonts w:ascii="Tahoma" w:hAnsi="Tahoma" w:cs="Tahoma"/>
                      <w:noProof/>
                      <w:color w:val="000000" w:themeColor="text1"/>
                      <w:sz w:val="18"/>
                      <w:szCs w:val="18"/>
                      <w:lang w:val="en-IE"/>
                    </w:rPr>
                    <w:t>068</w:t>
                  </w:r>
                </w:p>
              </w:tc>
              <w:tc>
                <w:tcPr>
                  <w:tcW w:w="803" w:type="dxa"/>
                  <w:shd w:val="clear" w:color="auto" w:fill="auto"/>
                  <w:hideMark/>
                </w:tcPr>
                <w:p w14:paraId="17F376A6" w14:textId="2306B180"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1</w:t>
                  </w:r>
                  <w:r w:rsidR="00823B81">
                    <w:rPr>
                      <w:rFonts w:ascii="Tahoma" w:hAnsi="Tahoma" w:cs="Tahoma"/>
                      <w:noProof/>
                      <w:color w:val="404040" w:themeColor="text1" w:themeTint="BF"/>
                      <w:sz w:val="18"/>
                      <w:szCs w:val="18"/>
                      <w:lang w:val="en-IE"/>
                    </w:rPr>
                    <w:t> </w:t>
                  </w:r>
                  <w:r w:rsidR="0091419F" w:rsidRPr="007F3D01">
                    <w:rPr>
                      <w:rFonts w:ascii="Tahoma" w:hAnsi="Tahoma" w:cs="Tahoma"/>
                      <w:noProof/>
                      <w:color w:val="404040" w:themeColor="text1" w:themeTint="BF"/>
                      <w:sz w:val="18"/>
                      <w:szCs w:val="18"/>
                      <w:lang w:val="en-IE"/>
                    </w:rPr>
                    <w:t>4</w:t>
                  </w:r>
                  <w:r w:rsidRPr="007F3D01">
                    <w:rPr>
                      <w:rFonts w:ascii="Tahoma" w:hAnsi="Tahoma" w:cs="Tahoma"/>
                      <w:noProof/>
                      <w:color w:val="404040" w:themeColor="text1" w:themeTint="BF"/>
                      <w:sz w:val="18"/>
                      <w:szCs w:val="18"/>
                      <w:lang w:val="en-IE"/>
                    </w:rPr>
                    <w:t>20</w:t>
                  </w:r>
                </w:p>
              </w:tc>
              <w:tc>
                <w:tcPr>
                  <w:tcW w:w="805" w:type="dxa"/>
                  <w:shd w:val="clear" w:color="auto" w:fill="auto"/>
                  <w:hideMark/>
                </w:tcPr>
                <w:p w14:paraId="17F376A7" w14:textId="431CD844" w:rsidR="0068325C" w:rsidRPr="007F3D01" w:rsidRDefault="00C46F8A">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1</w:t>
                  </w:r>
                  <w:r w:rsidR="00823B81">
                    <w:rPr>
                      <w:rFonts w:ascii="Tahoma" w:hAnsi="Tahoma" w:cs="Tahoma"/>
                      <w:noProof/>
                      <w:color w:val="000000" w:themeColor="text1"/>
                      <w:sz w:val="18"/>
                      <w:szCs w:val="18"/>
                      <w:lang w:val="en-IE"/>
                    </w:rPr>
                    <w:t> </w:t>
                  </w:r>
                  <w:r w:rsidRPr="007F3D01">
                    <w:rPr>
                      <w:rFonts w:ascii="Tahoma" w:hAnsi="Tahoma" w:cs="Tahoma"/>
                      <w:noProof/>
                      <w:color w:val="000000" w:themeColor="text1"/>
                      <w:sz w:val="18"/>
                      <w:szCs w:val="18"/>
                      <w:lang w:val="en-IE"/>
                    </w:rPr>
                    <w:t>421</w:t>
                  </w:r>
                </w:p>
              </w:tc>
            </w:tr>
            <w:tr w:rsidR="00E304D1" w:rsidRPr="007F3D01" w14:paraId="17F376B0" w14:textId="77777777">
              <w:trPr>
                <w:trHeight w:val="20"/>
              </w:trPr>
              <w:tc>
                <w:tcPr>
                  <w:tcW w:w="1138" w:type="dxa"/>
                  <w:shd w:val="clear" w:color="auto" w:fill="auto"/>
                  <w:hideMark/>
                </w:tcPr>
                <w:p w14:paraId="17F376A9" w14:textId="77777777" w:rsidR="0068325C" w:rsidRPr="007F3D01" w:rsidRDefault="0091419F">
                  <w:pPr>
                    <w:spacing w:before="60" w:after="60" w:line="240" w:lineRule="auto"/>
                    <w:jc w:val="right"/>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ILW</w:t>
                  </w:r>
                </w:p>
              </w:tc>
              <w:tc>
                <w:tcPr>
                  <w:tcW w:w="804" w:type="dxa"/>
                  <w:shd w:val="clear" w:color="auto" w:fill="auto"/>
                  <w:hideMark/>
                </w:tcPr>
                <w:p w14:paraId="17F376AA" w14:textId="425FC7F3"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178</w:t>
                  </w:r>
                </w:p>
              </w:tc>
              <w:tc>
                <w:tcPr>
                  <w:tcW w:w="803" w:type="dxa"/>
                  <w:shd w:val="clear" w:color="auto" w:fill="auto"/>
                  <w:hideMark/>
                </w:tcPr>
                <w:p w14:paraId="17F376AB" w14:textId="6F867D22" w:rsidR="0068325C" w:rsidRPr="007F3D01" w:rsidRDefault="00C46F8A">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191</w:t>
                  </w:r>
                </w:p>
              </w:tc>
              <w:tc>
                <w:tcPr>
                  <w:tcW w:w="803" w:type="dxa"/>
                  <w:shd w:val="clear" w:color="auto" w:fill="auto"/>
                  <w:hideMark/>
                </w:tcPr>
                <w:p w14:paraId="17F376AC" w14:textId="77777777" w:rsidR="0068325C" w:rsidRPr="007F3D01" w:rsidRDefault="0091419F">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12</w:t>
                  </w:r>
                </w:p>
              </w:tc>
              <w:tc>
                <w:tcPr>
                  <w:tcW w:w="806" w:type="dxa"/>
                  <w:shd w:val="clear" w:color="auto" w:fill="auto"/>
                  <w:hideMark/>
                </w:tcPr>
                <w:p w14:paraId="17F376AD" w14:textId="157B629D" w:rsidR="0068325C" w:rsidRPr="007F3D01" w:rsidRDefault="0091419F">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2</w:t>
                  </w:r>
                  <w:r w:rsidR="00C46F8A" w:rsidRPr="007F3D01">
                    <w:rPr>
                      <w:rFonts w:ascii="Tahoma" w:hAnsi="Tahoma" w:cs="Tahoma"/>
                      <w:noProof/>
                      <w:color w:val="000000" w:themeColor="text1"/>
                      <w:sz w:val="18"/>
                      <w:szCs w:val="18"/>
                      <w:lang w:val="en-IE"/>
                    </w:rPr>
                    <w:t>2</w:t>
                  </w:r>
                </w:p>
              </w:tc>
              <w:tc>
                <w:tcPr>
                  <w:tcW w:w="803" w:type="dxa"/>
                  <w:shd w:val="clear" w:color="auto" w:fill="auto"/>
                  <w:hideMark/>
                </w:tcPr>
                <w:p w14:paraId="17F376AE" w14:textId="3982CBD2"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190</w:t>
                  </w:r>
                </w:p>
              </w:tc>
              <w:tc>
                <w:tcPr>
                  <w:tcW w:w="805" w:type="dxa"/>
                  <w:shd w:val="clear" w:color="auto" w:fill="auto"/>
                  <w:hideMark/>
                </w:tcPr>
                <w:p w14:paraId="17F376AF" w14:textId="69D20643" w:rsidR="0068325C" w:rsidRPr="007F3D01" w:rsidRDefault="00C46F8A">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213</w:t>
                  </w:r>
                </w:p>
              </w:tc>
            </w:tr>
            <w:tr w:rsidR="00E304D1" w:rsidRPr="007F3D01" w14:paraId="17F376B8" w14:textId="77777777" w:rsidTr="000C3CF9">
              <w:trPr>
                <w:trHeight w:val="20"/>
              </w:trPr>
              <w:tc>
                <w:tcPr>
                  <w:tcW w:w="1138" w:type="dxa"/>
                  <w:tcBorders>
                    <w:bottom w:val="single" w:sz="4" w:space="0" w:color="auto"/>
                  </w:tcBorders>
                  <w:shd w:val="clear" w:color="auto" w:fill="auto"/>
                  <w:hideMark/>
                </w:tcPr>
                <w:p w14:paraId="17F376B1" w14:textId="77777777" w:rsidR="0068325C" w:rsidRPr="007F3D01" w:rsidRDefault="0091419F">
                  <w:pPr>
                    <w:spacing w:before="60" w:after="60" w:line="240" w:lineRule="auto"/>
                    <w:jc w:val="right"/>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HLW</w:t>
                  </w:r>
                </w:p>
              </w:tc>
              <w:tc>
                <w:tcPr>
                  <w:tcW w:w="804" w:type="dxa"/>
                  <w:tcBorders>
                    <w:bottom w:val="single" w:sz="4" w:space="0" w:color="auto"/>
                  </w:tcBorders>
                  <w:shd w:val="clear" w:color="auto" w:fill="auto"/>
                  <w:hideMark/>
                </w:tcPr>
                <w:p w14:paraId="17F376B2" w14:textId="3947236A"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4.5</w:t>
                  </w:r>
                </w:p>
              </w:tc>
              <w:tc>
                <w:tcPr>
                  <w:tcW w:w="803" w:type="dxa"/>
                  <w:tcBorders>
                    <w:bottom w:val="single" w:sz="4" w:space="0" w:color="auto"/>
                  </w:tcBorders>
                  <w:shd w:val="clear" w:color="auto" w:fill="auto"/>
                  <w:hideMark/>
                </w:tcPr>
                <w:p w14:paraId="17F376B3" w14:textId="792662A2" w:rsidR="0068325C" w:rsidRPr="007F3D01" w:rsidRDefault="00C46F8A">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4.8</w:t>
                  </w:r>
                </w:p>
              </w:tc>
              <w:tc>
                <w:tcPr>
                  <w:tcW w:w="803" w:type="dxa"/>
                  <w:tcBorders>
                    <w:bottom w:val="single" w:sz="4" w:space="0" w:color="auto"/>
                  </w:tcBorders>
                  <w:shd w:val="clear" w:color="auto" w:fill="auto"/>
                  <w:hideMark/>
                </w:tcPr>
                <w:p w14:paraId="17F376B4" w14:textId="77777777" w:rsidR="0068325C" w:rsidRPr="007F3D01" w:rsidRDefault="0091419F">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0</w:t>
                  </w:r>
                </w:p>
              </w:tc>
              <w:tc>
                <w:tcPr>
                  <w:tcW w:w="806" w:type="dxa"/>
                  <w:tcBorders>
                    <w:bottom w:val="single" w:sz="4" w:space="0" w:color="auto"/>
                  </w:tcBorders>
                  <w:shd w:val="clear" w:color="auto" w:fill="auto"/>
                  <w:hideMark/>
                </w:tcPr>
                <w:p w14:paraId="17F376B5" w14:textId="77777777" w:rsidR="0068325C" w:rsidRPr="007F3D01" w:rsidRDefault="0091419F">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0</w:t>
                  </w:r>
                </w:p>
              </w:tc>
              <w:tc>
                <w:tcPr>
                  <w:tcW w:w="803" w:type="dxa"/>
                  <w:tcBorders>
                    <w:bottom w:val="single" w:sz="4" w:space="0" w:color="auto"/>
                  </w:tcBorders>
                  <w:shd w:val="clear" w:color="auto" w:fill="auto"/>
                  <w:hideMark/>
                </w:tcPr>
                <w:p w14:paraId="17F376B6" w14:textId="50A2EBD8" w:rsidR="0068325C" w:rsidRPr="007F3D01" w:rsidRDefault="00C46F8A">
                  <w:pPr>
                    <w:tabs>
                      <w:tab w:val="left" w:pos="1280"/>
                    </w:tabs>
                    <w:spacing w:before="60" w:after="60" w:line="240" w:lineRule="auto"/>
                    <w:jc w:val="right"/>
                    <w:rPr>
                      <w:rFonts w:ascii="Tahoma" w:hAnsi="Tahoma" w:cs="Tahoma"/>
                      <w:noProof/>
                      <w:color w:val="404040" w:themeColor="text1" w:themeTint="BF"/>
                      <w:sz w:val="18"/>
                      <w:szCs w:val="18"/>
                      <w:lang w:val="en-IE"/>
                    </w:rPr>
                  </w:pPr>
                  <w:r w:rsidRPr="007F3D01">
                    <w:rPr>
                      <w:rFonts w:ascii="Tahoma" w:hAnsi="Tahoma" w:cs="Tahoma"/>
                      <w:noProof/>
                      <w:color w:val="404040" w:themeColor="text1" w:themeTint="BF"/>
                      <w:sz w:val="18"/>
                      <w:szCs w:val="18"/>
                      <w:lang w:val="en-IE"/>
                    </w:rPr>
                    <w:t>4.5</w:t>
                  </w:r>
                </w:p>
              </w:tc>
              <w:tc>
                <w:tcPr>
                  <w:tcW w:w="805" w:type="dxa"/>
                  <w:tcBorders>
                    <w:bottom w:val="single" w:sz="4" w:space="0" w:color="auto"/>
                  </w:tcBorders>
                  <w:shd w:val="clear" w:color="auto" w:fill="auto"/>
                  <w:hideMark/>
                </w:tcPr>
                <w:p w14:paraId="17F376B7" w14:textId="153E9536" w:rsidR="0068325C" w:rsidRPr="007F3D01" w:rsidRDefault="00C46F8A">
                  <w:pPr>
                    <w:tabs>
                      <w:tab w:val="left" w:pos="1280"/>
                    </w:tabs>
                    <w:spacing w:before="60" w:after="60" w:line="240" w:lineRule="auto"/>
                    <w:jc w:val="right"/>
                    <w:rPr>
                      <w:rFonts w:ascii="Tahoma" w:hAnsi="Tahoma" w:cs="Tahoma"/>
                      <w:noProof/>
                      <w:color w:val="000000" w:themeColor="text1"/>
                      <w:sz w:val="18"/>
                      <w:szCs w:val="18"/>
                      <w:lang w:val="en-IE"/>
                    </w:rPr>
                  </w:pPr>
                  <w:r w:rsidRPr="007F3D01">
                    <w:rPr>
                      <w:rFonts w:ascii="Tahoma" w:hAnsi="Tahoma" w:cs="Tahoma"/>
                      <w:noProof/>
                      <w:color w:val="000000" w:themeColor="text1"/>
                      <w:sz w:val="18"/>
                      <w:szCs w:val="18"/>
                      <w:lang w:val="en-IE"/>
                    </w:rPr>
                    <w:t>4.8</w:t>
                  </w:r>
                </w:p>
              </w:tc>
            </w:tr>
            <w:tr w:rsidR="00E304D1" w:rsidRPr="007F3D01" w14:paraId="17F376C0" w14:textId="77777777" w:rsidTr="000C3CF9">
              <w:trPr>
                <w:trHeight w:val="20"/>
              </w:trPr>
              <w:tc>
                <w:tcPr>
                  <w:tcW w:w="1138" w:type="dxa"/>
                  <w:tcBorders>
                    <w:top w:val="single" w:sz="4" w:space="0" w:color="auto"/>
                    <w:bottom w:val="single" w:sz="12" w:space="0" w:color="auto"/>
                  </w:tcBorders>
                  <w:shd w:val="clear" w:color="auto" w:fill="auto"/>
                  <w:hideMark/>
                </w:tcPr>
                <w:p w14:paraId="17F376B9" w14:textId="77777777" w:rsidR="0068325C" w:rsidRPr="007F3D01" w:rsidRDefault="0091419F">
                  <w:pPr>
                    <w:spacing w:before="60" w:after="60" w:line="240" w:lineRule="auto"/>
                    <w:ind w:left="-57" w:right="-57"/>
                    <w:jc w:val="right"/>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Total</w:t>
                  </w:r>
                </w:p>
              </w:tc>
              <w:tc>
                <w:tcPr>
                  <w:tcW w:w="804" w:type="dxa"/>
                  <w:tcBorders>
                    <w:top w:val="single" w:sz="4" w:space="0" w:color="auto"/>
                    <w:bottom w:val="single" w:sz="12" w:space="0" w:color="auto"/>
                  </w:tcBorders>
                  <w:shd w:val="clear" w:color="auto" w:fill="auto"/>
                  <w:hideMark/>
                </w:tcPr>
                <w:p w14:paraId="17F376BA" w14:textId="1CEF06FF" w:rsidR="0068325C" w:rsidRPr="007F3D01" w:rsidRDefault="00C46F8A">
                  <w:pPr>
                    <w:tabs>
                      <w:tab w:val="left" w:pos="1280"/>
                    </w:tabs>
                    <w:spacing w:before="60" w:after="60" w:line="240" w:lineRule="auto"/>
                    <w:jc w:val="right"/>
                    <w:rPr>
                      <w:rFonts w:ascii="Tahoma" w:hAnsi="Tahoma" w:cs="Tahoma"/>
                      <w:b/>
                      <w:noProof/>
                      <w:color w:val="404040" w:themeColor="text1" w:themeTint="BF"/>
                      <w:sz w:val="18"/>
                      <w:szCs w:val="18"/>
                      <w:lang w:val="en-IE"/>
                    </w:rPr>
                  </w:pPr>
                  <w:r w:rsidRPr="007F3D01">
                    <w:rPr>
                      <w:rFonts w:ascii="Tahoma" w:hAnsi="Tahoma" w:cs="Tahoma"/>
                      <w:b/>
                      <w:noProof/>
                      <w:color w:val="404040" w:themeColor="text1" w:themeTint="BF"/>
                      <w:sz w:val="18"/>
                      <w:szCs w:val="18"/>
                      <w:lang w:val="en-IE"/>
                    </w:rPr>
                    <w:t>79</w:t>
                  </w:r>
                  <w:r w:rsidR="00461576" w:rsidRPr="007F3D01">
                    <w:rPr>
                      <w:rFonts w:ascii="Tahoma" w:hAnsi="Tahoma" w:cs="Tahoma"/>
                      <w:b/>
                      <w:noProof/>
                      <w:color w:val="404040" w:themeColor="text1" w:themeTint="BF"/>
                      <w:sz w:val="18"/>
                      <w:szCs w:val="18"/>
                      <w:lang w:val="en-IE"/>
                    </w:rPr>
                    <w:t>6</w:t>
                  </w:r>
                </w:p>
              </w:tc>
              <w:tc>
                <w:tcPr>
                  <w:tcW w:w="803" w:type="dxa"/>
                  <w:tcBorders>
                    <w:top w:val="single" w:sz="4" w:space="0" w:color="auto"/>
                    <w:bottom w:val="single" w:sz="12" w:space="0" w:color="auto"/>
                  </w:tcBorders>
                  <w:shd w:val="clear" w:color="auto" w:fill="auto"/>
                  <w:hideMark/>
                </w:tcPr>
                <w:p w14:paraId="17F376BB" w14:textId="18EC17F7" w:rsidR="0068325C" w:rsidRPr="007F3D01" w:rsidRDefault="00C46F8A">
                  <w:pPr>
                    <w:tabs>
                      <w:tab w:val="left" w:pos="1280"/>
                    </w:tabs>
                    <w:spacing w:before="60" w:after="60" w:line="240" w:lineRule="auto"/>
                    <w:jc w:val="right"/>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78</w:t>
                  </w:r>
                  <w:r w:rsidR="000D247B" w:rsidRPr="007F3D01">
                    <w:rPr>
                      <w:rFonts w:ascii="Tahoma" w:hAnsi="Tahoma" w:cs="Tahoma"/>
                      <w:b/>
                      <w:noProof/>
                      <w:color w:val="000000" w:themeColor="text1"/>
                      <w:sz w:val="18"/>
                      <w:szCs w:val="18"/>
                      <w:lang w:val="en-IE"/>
                    </w:rPr>
                    <w:t>2</w:t>
                  </w:r>
                </w:p>
              </w:tc>
              <w:tc>
                <w:tcPr>
                  <w:tcW w:w="803" w:type="dxa"/>
                  <w:tcBorders>
                    <w:top w:val="single" w:sz="4" w:space="0" w:color="auto"/>
                    <w:bottom w:val="single" w:sz="12" w:space="0" w:color="auto"/>
                  </w:tcBorders>
                  <w:shd w:val="clear" w:color="auto" w:fill="auto"/>
                  <w:hideMark/>
                </w:tcPr>
                <w:p w14:paraId="17F376BC" w14:textId="2B0F35BC" w:rsidR="0068325C" w:rsidRPr="007F3D01" w:rsidRDefault="00C46F8A">
                  <w:pPr>
                    <w:tabs>
                      <w:tab w:val="left" w:pos="1280"/>
                    </w:tabs>
                    <w:spacing w:before="60" w:after="60" w:line="240" w:lineRule="auto"/>
                    <w:jc w:val="right"/>
                    <w:rPr>
                      <w:rFonts w:ascii="Tahoma" w:hAnsi="Tahoma" w:cs="Tahoma"/>
                      <w:b/>
                      <w:noProof/>
                      <w:color w:val="404040" w:themeColor="text1" w:themeTint="BF"/>
                      <w:sz w:val="18"/>
                      <w:szCs w:val="18"/>
                      <w:lang w:val="en-IE"/>
                    </w:rPr>
                  </w:pPr>
                  <w:r w:rsidRPr="007F3D01">
                    <w:rPr>
                      <w:rFonts w:ascii="Tahoma" w:hAnsi="Tahoma" w:cs="Tahoma"/>
                      <w:b/>
                      <w:noProof/>
                      <w:color w:val="404040" w:themeColor="text1" w:themeTint="BF"/>
                      <w:sz w:val="18"/>
                      <w:szCs w:val="18"/>
                      <w:lang w:val="en-IE"/>
                    </w:rPr>
                    <w:t>1</w:t>
                  </w:r>
                  <w:r w:rsidR="00823B81">
                    <w:rPr>
                      <w:rFonts w:ascii="Tahoma" w:hAnsi="Tahoma" w:cs="Tahoma"/>
                      <w:b/>
                      <w:noProof/>
                      <w:color w:val="404040" w:themeColor="text1" w:themeTint="BF"/>
                      <w:sz w:val="18"/>
                      <w:szCs w:val="18"/>
                      <w:lang w:val="en-IE"/>
                    </w:rPr>
                    <w:t> </w:t>
                  </w:r>
                  <w:r w:rsidRPr="007F3D01">
                    <w:rPr>
                      <w:rFonts w:ascii="Tahoma" w:hAnsi="Tahoma" w:cs="Tahoma"/>
                      <w:b/>
                      <w:noProof/>
                      <w:color w:val="404040" w:themeColor="text1" w:themeTint="BF"/>
                      <w:sz w:val="18"/>
                      <w:szCs w:val="18"/>
                      <w:lang w:val="en-IE"/>
                    </w:rPr>
                    <w:t>420</w:t>
                  </w:r>
                </w:p>
              </w:tc>
              <w:tc>
                <w:tcPr>
                  <w:tcW w:w="806" w:type="dxa"/>
                  <w:tcBorders>
                    <w:top w:val="single" w:sz="4" w:space="0" w:color="auto"/>
                    <w:bottom w:val="single" w:sz="12" w:space="0" w:color="auto"/>
                  </w:tcBorders>
                  <w:shd w:val="clear" w:color="auto" w:fill="auto"/>
                  <w:hideMark/>
                </w:tcPr>
                <w:p w14:paraId="17F376BD" w14:textId="778411C1" w:rsidR="0068325C" w:rsidRPr="007F3D01" w:rsidRDefault="00C46F8A">
                  <w:pPr>
                    <w:tabs>
                      <w:tab w:val="left" w:pos="1280"/>
                    </w:tabs>
                    <w:spacing w:before="60" w:after="60" w:line="240" w:lineRule="auto"/>
                    <w:jc w:val="right"/>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1</w:t>
                  </w:r>
                  <w:r w:rsidR="00823B81">
                    <w:rPr>
                      <w:rFonts w:ascii="Tahoma" w:hAnsi="Tahoma" w:cs="Tahoma"/>
                      <w:b/>
                      <w:noProof/>
                      <w:color w:val="000000" w:themeColor="text1"/>
                      <w:sz w:val="18"/>
                      <w:szCs w:val="18"/>
                      <w:lang w:val="en-IE"/>
                    </w:rPr>
                    <w:t> </w:t>
                  </w:r>
                  <w:r w:rsidRPr="007F3D01">
                    <w:rPr>
                      <w:rFonts w:ascii="Tahoma" w:hAnsi="Tahoma" w:cs="Tahoma"/>
                      <w:b/>
                      <w:noProof/>
                      <w:color w:val="000000" w:themeColor="text1"/>
                      <w:sz w:val="18"/>
                      <w:szCs w:val="18"/>
                      <w:lang w:val="en-IE"/>
                    </w:rPr>
                    <w:t>552</w:t>
                  </w:r>
                </w:p>
              </w:tc>
              <w:tc>
                <w:tcPr>
                  <w:tcW w:w="803" w:type="dxa"/>
                  <w:tcBorders>
                    <w:top w:val="single" w:sz="4" w:space="0" w:color="auto"/>
                    <w:bottom w:val="single" w:sz="12" w:space="0" w:color="auto"/>
                  </w:tcBorders>
                  <w:shd w:val="clear" w:color="auto" w:fill="auto"/>
                  <w:hideMark/>
                </w:tcPr>
                <w:p w14:paraId="17F376BE" w14:textId="0F001481" w:rsidR="0068325C" w:rsidRPr="007F3D01" w:rsidRDefault="00C46F8A">
                  <w:pPr>
                    <w:tabs>
                      <w:tab w:val="left" w:pos="1280"/>
                    </w:tabs>
                    <w:spacing w:before="60" w:after="60" w:line="240" w:lineRule="auto"/>
                    <w:jc w:val="right"/>
                    <w:rPr>
                      <w:rFonts w:ascii="Tahoma" w:hAnsi="Tahoma" w:cs="Tahoma"/>
                      <w:b/>
                      <w:noProof/>
                      <w:color w:val="404040" w:themeColor="text1" w:themeTint="BF"/>
                      <w:sz w:val="18"/>
                      <w:szCs w:val="18"/>
                      <w:lang w:val="en-IE"/>
                    </w:rPr>
                  </w:pPr>
                  <w:r w:rsidRPr="007F3D01">
                    <w:rPr>
                      <w:rFonts w:ascii="Tahoma" w:hAnsi="Tahoma" w:cs="Tahoma"/>
                      <w:b/>
                      <w:noProof/>
                      <w:color w:val="404040" w:themeColor="text1" w:themeTint="BF"/>
                      <w:sz w:val="18"/>
                      <w:szCs w:val="18"/>
                      <w:lang w:val="en-IE"/>
                    </w:rPr>
                    <w:t>2</w:t>
                  </w:r>
                  <w:r w:rsidR="005E5F73">
                    <w:rPr>
                      <w:rFonts w:ascii="Tahoma" w:hAnsi="Tahoma" w:cs="Tahoma"/>
                      <w:b/>
                      <w:noProof/>
                      <w:color w:val="404040" w:themeColor="text1" w:themeTint="BF"/>
                      <w:sz w:val="18"/>
                      <w:szCs w:val="18"/>
                      <w:lang w:val="en-IE"/>
                    </w:rPr>
                    <w:t> </w:t>
                  </w:r>
                  <w:r w:rsidRPr="007F3D01">
                    <w:rPr>
                      <w:rFonts w:ascii="Tahoma" w:hAnsi="Tahoma" w:cs="Tahoma"/>
                      <w:b/>
                      <w:noProof/>
                      <w:color w:val="404040" w:themeColor="text1" w:themeTint="BF"/>
                      <w:sz w:val="18"/>
                      <w:szCs w:val="18"/>
                      <w:lang w:val="en-IE"/>
                    </w:rPr>
                    <w:t>216</w:t>
                  </w:r>
                </w:p>
              </w:tc>
              <w:tc>
                <w:tcPr>
                  <w:tcW w:w="805" w:type="dxa"/>
                  <w:tcBorders>
                    <w:top w:val="single" w:sz="4" w:space="0" w:color="auto"/>
                    <w:bottom w:val="single" w:sz="12" w:space="0" w:color="auto"/>
                  </w:tcBorders>
                  <w:shd w:val="clear" w:color="auto" w:fill="auto"/>
                  <w:hideMark/>
                </w:tcPr>
                <w:p w14:paraId="17F376BF" w14:textId="6DE823DF" w:rsidR="0068325C" w:rsidRPr="007F3D01" w:rsidRDefault="00C46F8A">
                  <w:pPr>
                    <w:tabs>
                      <w:tab w:val="left" w:pos="1280"/>
                    </w:tabs>
                    <w:spacing w:before="60" w:after="60" w:line="240" w:lineRule="auto"/>
                    <w:jc w:val="right"/>
                    <w:rPr>
                      <w:rFonts w:ascii="Tahoma" w:hAnsi="Tahoma" w:cs="Tahoma"/>
                      <w:b/>
                      <w:noProof/>
                      <w:color w:val="000000" w:themeColor="text1"/>
                      <w:sz w:val="18"/>
                      <w:szCs w:val="18"/>
                      <w:lang w:val="en-IE"/>
                    </w:rPr>
                  </w:pPr>
                  <w:r w:rsidRPr="007F3D01">
                    <w:rPr>
                      <w:rFonts w:ascii="Tahoma" w:hAnsi="Tahoma" w:cs="Tahoma"/>
                      <w:b/>
                      <w:noProof/>
                      <w:color w:val="000000" w:themeColor="text1"/>
                      <w:sz w:val="18"/>
                      <w:szCs w:val="18"/>
                      <w:lang w:val="en-IE"/>
                    </w:rPr>
                    <w:t>2</w:t>
                  </w:r>
                  <w:r w:rsidR="00823B81">
                    <w:rPr>
                      <w:rFonts w:ascii="Tahoma" w:hAnsi="Tahoma" w:cs="Tahoma"/>
                      <w:b/>
                      <w:noProof/>
                      <w:color w:val="000000" w:themeColor="text1"/>
                      <w:sz w:val="18"/>
                      <w:szCs w:val="18"/>
                      <w:lang w:val="en-IE"/>
                    </w:rPr>
                    <w:t> </w:t>
                  </w:r>
                  <w:r w:rsidRPr="007F3D01">
                    <w:rPr>
                      <w:rFonts w:ascii="Tahoma" w:hAnsi="Tahoma" w:cs="Tahoma"/>
                      <w:b/>
                      <w:noProof/>
                      <w:color w:val="000000" w:themeColor="text1"/>
                      <w:sz w:val="18"/>
                      <w:szCs w:val="18"/>
                      <w:lang w:val="en-IE"/>
                    </w:rPr>
                    <w:t>334</w:t>
                  </w:r>
                </w:p>
              </w:tc>
            </w:tr>
          </w:tbl>
          <w:p w14:paraId="17F376C1" w14:textId="77777777" w:rsidR="0068325C" w:rsidRPr="007F3D01" w:rsidRDefault="0068325C">
            <w:pPr>
              <w:shd w:val="clear" w:color="auto" w:fill="auto"/>
              <w:spacing w:before="0" w:line="240" w:lineRule="auto"/>
              <w:rPr>
                <w:noProof/>
                <w:color w:val="000000" w:themeColor="text1"/>
                <w:lang w:val="en-IE"/>
              </w:rPr>
            </w:pPr>
          </w:p>
          <w:p w14:paraId="17F376C2" w14:textId="5C58CD5D" w:rsidR="0068325C" w:rsidRPr="007F3D01" w:rsidRDefault="0091419F">
            <w:pPr>
              <w:shd w:val="clear" w:color="auto" w:fill="auto"/>
              <w:spacing w:after="120" w:line="276" w:lineRule="auto"/>
              <w:rPr>
                <w:i/>
                <w:noProof/>
                <w:color w:val="000000" w:themeColor="text1"/>
                <w:lang w:val="en-IE"/>
              </w:rPr>
            </w:pPr>
            <w:r w:rsidRPr="007F3D01">
              <w:rPr>
                <w:i/>
                <w:noProof/>
                <w:color w:val="000000" w:themeColor="text1"/>
                <w:lang w:val="en-IE"/>
              </w:rPr>
              <w:t xml:space="preserve">Distribution of total volumes of radioactive waste in Member States with a nuclear power programme, end of </w:t>
            </w:r>
            <w:r w:rsidR="000850C0" w:rsidRPr="007F3D01">
              <w:rPr>
                <w:i/>
                <w:noProof/>
                <w:color w:val="000000" w:themeColor="text1"/>
                <w:lang w:val="en-IE"/>
              </w:rPr>
              <w:t>2019</w:t>
            </w:r>
            <w:r w:rsidRPr="007F3D01">
              <w:rPr>
                <w:i/>
                <w:noProof/>
                <w:color w:val="000000" w:themeColor="text1"/>
                <w:lang w:val="en-IE"/>
              </w:rPr>
              <w:t>.</w:t>
            </w:r>
          </w:p>
          <w:p w14:paraId="17F376C3" w14:textId="1CE985E4" w:rsidR="0068325C" w:rsidRPr="007F3D01" w:rsidRDefault="00597A4B">
            <w:pPr>
              <w:shd w:val="clear" w:color="auto" w:fill="auto"/>
              <w:spacing w:before="0" w:line="240" w:lineRule="auto"/>
              <w:jc w:val="center"/>
              <w:rPr>
                <w:noProof/>
                <w:color w:val="000000" w:themeColor="text1"/>
                <w:lang w:val="en-IE"/>
              </w:rPr>
            </w:pPr>
            <w:r w:rsidRPr="007F3D01">
              <w:rPr>
                <w:noProof/>
              </w:rPr>
              <w:drawing>
                <wp:inline distT="0" distB="0" distL="0" distR="0" wp14:anchorId="48A2C180" wp14:editId="26E62125">
                  <wp:extent cx="5768340" cy="292163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8340" cy="2921635"/>
                          </a:xfrm>
                          <a:prstGeom prst="rect">
                            <a:avLst/>
                          </a:prstGeom>
                        </pic:spPr>
                      </pic:pic>
                    </a:graphicData>
                  </a:graphic>
                </wp:inline>
              </w:drawing>
            </w:r>
          </w:p>
          <w:p w14:paraId="17F376C4" w14:textId="77777777" w:rsidR="0068325C" w:rsidRPr="007F3D01" w:rsidRDefault="0068325C">
            <w:pPr>
              <w:shd w:val="clear" w:color="auto" w:fill="auto"/>
              <w:spacing w:before="0" w:line="240" w:lineRule="auto"/>
              <w:rPr>
                <w:noProof/>
                <w:color w:val="000000" w:themeColor="text1"/>
                <w:lang w:val="en-IE"/>
              </w:rPr>
            </w:pPr>
          </w:p>
        </w:tc>
      </w:tr>
    </w:tbl>
    <w:p w14:paraId="17F376C6" w14:textId="77777777" w:rsidR="0068325C" w:rsidRPr="007F3D01" w:rsidRDefault="0068325C">
      <w:pPr>
        <w:spacing w:line="276" w:lineRule="auto"/>
        <w:rPr>
          <w:noProof/>
          <w:lang w:val="en-IE"/>
        </w:rPr>
      </w:pPr>
    </w:p>
    <w:p w14:paraId="17F376C7" w14:textId="16BC274E" w:rsidR="0068325C" w:rsidRPr="007F3D01" w:rsidRDefault="00B630C6">
      <w:pPr>
        <w:spacing w:line="276" w:lineRule="auto"/>
        <w:rPr>
          <w:noProof/>
          <w:lang w:val="en-IE"/>
        </w:rPr>
      </w:pPr>
      <w:r w:rsidRPr="007F3D01">
        <w:rPr>
          <w:noProof/>
          <w:lang w:val="en-IE"/>
        </w:rPr>
        <w:t>The d</w:t>
      </w:r>
      <w:r w:rsidR="0091419F" w:rsidRPr="007F3D01">
        <w:rPr>
          <w:noProof/>
          <w:lang w:val="en-IE"/>
        </w:rPr>
        <w:t xml:space="preserve">istribution of radioactive waste by class </w:t>
      </w:r>
      <w:r w:rsidR="00C20F4B" w:rsidRPr="007F3D01">
        <w:rPr>
          <w:noProof/>
          <w:lang w:val="en-IE"/>
        </w:rPr>
        <w:t>remained</w:t>
      </w:r>
      <w:r w:rsidR="00823B81">
        <w:rPr>
          <w:noProof/>
          <w:lang w:val="en-IE"/>
        </w:rPr>
        <w:t xml:space="preserve"> for the most part</w:t>
      </w:r>
      <w:r w:rsidR="00C20F4B" w:rsidRPr="007F3D01">
        <w:rPr>
          <w:noProof/>
          <w:lang w:val="en-IE"/>
        </w:rPr>
        <w:t xml:space="preserve"> unchanged, with the highest share for l</w:t>
      </w:r>
      <w:r w:rsidR="0091419F" w:rsidRPr="007F3D01">
        <w:rPr>
          <w:noProof/>
          <w:lang w:val="en-IE"/>
        </w:rPr>
        <w:t xml:space="preserve">ow-level waste </w:t>
      </w:r>
      <w:r w:rsidR="00C20F4B" w:rsidRPr="007F3D01">
        <w:rPr>
          <w:noProof/>
          <w:lang w:val="en-IE"/>
        </w:rPr>
        <w:t xml:space="preserve">and </w:t>
      </w:r>
      <w:r w:rsidR="00823B81">
        <w:rPr>
          <w:noProof/>
          <w:lang w:val="en-IE"/>
        </w:rPr>
        <w:t xml:space="preserve">the </w:t>
      </w:r>
      <w:r w:rsidR="00C20F4B" w:rsidRPr="007F3D01">
        <w:rPr>
          <w:noProof/>
          <w:lang w:val="en-IE"/>
        </w:rPr>
        <w:t>second</w:t>
      </w:r>
      <w:r w:rsidR="00823B81">
        <w:rPr>
          <w:noProof/>
          <w:lang w:val="en-IE"/>
        </w:rPr>
        <w:t xml:space="preserve"> highest</w:t>
      </w:r>
      <w:r w:rsidR="00C20F4B" w:rsidRPr="007F3D01">
        <w:rPr>
          <w:noProof/>
          <w:lang w:val="en-IE"/>
        </w:rPr>
        <w:t xml:space="preserve"> for very-low-level waste. </w:t>
      </w:r>
      <w:r w:rsidR="00C352AA" w:rsidRPr="007F3D01">
        <w:rPr>
          <w:noProof/>
          <w:lang w:val="en-IE"/>
        </w:rPr>
        <w:t>A</w:t>
      </w:r>
      <w:r w:rsidR="0091419F" w:rsidRPr="007F3D01">
        <w:rPr>
          <w:noProof/>
          <w:lang w:val="en-IE"/>
        </w:rPr>
        <w:t xml:space="preserve"> specific point </w:t>
      </w:r>
      <w:r w:rsidR="00823B81">
        <w:rPr>
          <w:noProof/>
          <w:lang w:val="en-IE"/>
        </w:rPr>
        <w:t>to</w:t>
      </w:r>
      <w:r w:rsidR="0091419F" w:rsidRPr="007F3D01">
        <w:rPr>
          <w:noProof/>
          <w:lang w:val="en-IE"/>
        </w:rPr>
        <w:t xml:space="preserve"> consider</w:t>
      </w:r>
      <w:r w:rsidR="00C352AA" w:rsidRPr="007F3D01">
        <w:rPr>
          <w:noProof/>
          <w:lang w:val="en-IE"/>
        </w:rPr>
        <w:t xml:space="preserve"> is that</w:t>
      </w:r>
      <w:r w:rsidR="0091419F" w:rsidRPr="007F3D01">
        <w:rPr>
          <w:noProof/>
          <w:lang w:val="en-IE"/>
        </w:rPr>
        <w:t xml:space="preserve"> some Member States </w:t>
      </w:r>
      <w:r w:rsidR="00C577BD" w:rsidRPr="007F3D01">
        <w:rPr>
          <w:noProof/>
          <w:lang w:val="en-IE"/>
        </w:rPr>
        <w:t xml:space="preserve">do not have a separate </w:t>
      </w:r>
      <w:r w:rsidR="0091419F" w:rsidRPr="007F3D01">
        <w:rPr>
          <w:noProof/>
          <w:lang w:val="en-IE"/>
        </w:rPr>
        <w:t>very-low-level</w:t>
      </w:r>
      <w:r w:rsidR="00C577BD" w:rsidRPr="007F3D01">
        <w:rPr>
          <w:noProof/>
          <w:lang w:val="en-IE"/>
        </w:rPr>
        <w:t xml:space="preserve"> waste class</w:t>
      </w:r>
      <w:r w:rsidR="00B542E6" w:rsidRPr="007F3D01">
        <w:rPr>
          <w:noProof/>
          <w:lang w:val="en-IE"/>
        </w:rPr>
        <w:t>,</w:t>
      </w:r>
      <w:r w:rsidR="00C577BD" w:rsidRPr="007F3D01">
        <w:rPr>
          <w:noProof/>
          <w:lang w:val="en-IE"/>
        </w:rPr>
        <w:t xml:space="preserve"> as defined in </w:t>
      </w:r>
      <w:r w:rsidR="00823B81">
        <w:rPr>
          <w:noProof/>
          <w:lang w:val="en-IE"/>
        </w:rPr>
        <w:t xml:space="preserve">the </w:t>
      </w:r>
      <w:r w:rsidR="00C577BD" w:rsidRPr="007F3D01">
        <w:rPr>
          <w:noProof/>
          <w:lang w:val="en-IE"/>
        </w:rPr>
        <w:t>IAEA GS</w:t>
      </w:r>
      <w:r w:rsidR="00B542E6" w:rsidRPr="007F3D01">
        <w:rPr>
          <w:noProof/>
          <w:lang w:val="en-IE"/>
        </w:rPr>
        <w:t>G-1 waste classification scheme</w:t>
      </w:r>
      <w:r w:rsidR="00823B81">
        <w:rPr>
          <w:noProof/>
          <w:lang w:val="en-IE"/>
        </w:rPr>
        <w:t>.</w:t>
      </w:r>
      <w:r w:rsidR="005E5F73">
        <w:rPr>
          <w:noProof/>
          <w:lang w:val="en-IE"/>
        </w:rPr>
        <w:t xml:space="preserve"> </w:t>
      </w:r>
      <w:r w:rsidR="00823B81">
        <w:rPr>
          <w:noProof/>
          <w:lang w:val="en-IE"/>
        </w:rPr>
        <w:t>S</w:t>
      </w:r>
      <w:r w:rsidR="00B542E6" w:rsidRPr="007F3D01">
        <w:rPr>
          <w:noProof/>
          <w:lang w:val="en-IE"/>
        </w:rPr>
        <w:t xml:space="preserve">uch </w:t>
      </w:r>
      <w:r w:rsidR="00A91968" w:rsidRPr="007F3D01">
        <w:rPr>
          <w:noProof/>
          <w:lang w:val="en-IE"/>
        </w:rPr>
        <w:t>waste</w:t>
      </w:r>
      <w:r w:rsidR="0091419F" w:rsidRPr="007F3D01">
        <w:rPr>
          <w:noProof/>
          <w:lang w:val="en-IE"/>
        </w:rPr>
        <w:t xml:space="preserve"> </w:t>
      </w:r>
      <w:r w:rsidR="00C577BD" w:rsidRPr="007F3D01">
        <w:rPr>
          <w:noProof/>
          <w:lang w:val="en-IE"/>
        </w:rPr>
        <w:t xml:space="preserve">is reported as part of the </w:t>
      </w:r>
      <w:r w:rsidR="0091419F" w:rsidRPr="007F3D01">
        <w:rPr>
          <w:noProof/>
          <w:lang w:val="en-IE"/>
        </w:rPr>
        <w:t>low-level waste</w:t>
      </w:r>
      <w:r w:rsidR="00C577BD" w:rsidRPr="007F3D01">
        <w:rPr>
          <w:noProof/>
          <w:lang w:val="en-IE"/>
        </w:rPr>
        <w:t xml:space="preserve"> class</w:t>
      </w:r>
      <w:r w:rsidR="0091419F" w:rsidRPr="007F3D01">
        <w:rPr>
          <w:noProof/>
          <w:lang w:val="en-IE"/>
        </w:rPr>
        <w:t>.</w:t>
      </w:r>
      <w:r w:rsidR="00A91968" w:rsidRPr="007F3D01">
        <w:rPr>
          <w:noProof/>
          <w:lang w:val="en-IE"/>
        </w:rPr>
        <w:t xml:space="preserve"> The result is that the amounts of very-low-level waste </w:t>
      </w:r>
      <w:r w:rsidR="00823B81">
        <w:rPr>
          <w:noProof/>
          <w:lang w:val="en-IE"/>
        </w:rPr>
        <w:t xml:space="preserve">reported </w:t>
      </w:r>
      <w:r w:rsidR="00A91968" w:rsidRPr="007F3D01">
        <w:rPr>
          <w:noProof/>
          <w:lang w:val="en-IE"/>
        </w:rPr>
        <w:t>are underestimate</w:t>
      </w:r>
      <w:r w:rsidR="00EE54A8" w:rsidRPr="007F3D01">
        <w:rPr>
          <w:noProof/>
          <w:lang w:val="en-IE"/>
        </w:rPr>
        <w:t>s</w:t>
      </w:r>
      <w:r w:rsidR="00A91968" w:rsidRPr="007F3D01">
        <w:rPr>
          <w:noProof/>
          <w:lang w:val="en-IE"/>
        </w:rPr>
        <w:t xml:space="preserve"> while the amounts of low-level waste </w:t>
      </w:r>
      <w:r w:rsidR="00823B81">
        <w:rPr>
          <w:noProof/>
          <w:lang w:val="en-IE"/>
        </w:rPr>
        <w:t xml:space="preserve">reported </w:t>
      </w:r>
      <w:r w:rsidR="00A91968" w:rsidRPr="007F3D01">
        <w:rPr>
          <w:noProof/>
          <w:lang w:val="en-IE"/>
        </w:rPr>
        <w:t>are overestimate</w:t>
      </w:r>
      <w:r w:rsidR="00EE54A8" w:rsidRPr="007F3D01">
        <w:rPr>
          <w:noProof/>
          <w:lang w:val="en-IE"/>
        </w:rPr>
        <w:t>s</w:t>
      </w:r>
      <w:r w:rsidR="00A91968" w:rsidRPr="007F3D01">
        <w:rPr>
          <w:noProof/>
          <w:lang w:val="en-IE"/>
        </w:rPr>
        <w:t>.</w:t>
      </w:r>
    </w:p>
    <w:p w14:paraId="56612C05" w14:textId="135B551A" w:rsidR="00CA4F73" w:rsidRPr="007F3D01" w:rsidRDefault="00CA4F73">
      <w:pPr>
        <w:spacing w:line="276" w:lineRule="auto"/>
        <w:rPr>
          <w:noProof/>
          <w:color w:val="000000" w:themeColor="text1"/>
          <w:lang w:val="en-IE"/>
        </w:rPr>
      </w:pPr>
      <w:r w:rsidRPr="007F3D01">
        <w:rPr>
          <w:noProof/>
          <w:lang w:val="en-IE"/>
        </w:rPr>
        <w:t xml:space="preserve">Intermediate-level waste and high-level waste are generated and safely stored predominantly in the Member States with nuclear power programmes. </w:t>
      </w:r>
    </w:p>
    <w:tbl>
      <w:tblPr>
        <w:tblStyle w:val="TableGrid"/>
        <w:tblW w:w="9322" w:type="dxa"/>
        <w:tblBorders>
          <w:insideH w:val="none" w:sz="0" w:space="0" w:color="auto"/>
          <w:insideV w:val="none" w:sz="0" w:space="0" w:color="auto"/>
        </w:tblBorders>
        <w:tblLook w:val="04A0" w:firstRow="1" w:lastRow="0" w:firstColumn="1" w:lastColumn="0" w:noHBand="0" w:noVBand="1"/>
      </w:tblPr>
      <w:tblGrid>
        <w:gridCol w:w="9322"/>
      </w:tblGrid>
      <w:tr w:rsidR="0068325C" w:rsidRPr="007F3D01" w14:paraId="17F376CA" w14:textId="77777777">
        <w:trPr>
          <w:cantSplit/>
        </w:trPr>
        <w:tc>
          <w:tcPr>
            <w:tcW w:w="9322" w:type="dxa"/>
            <w:hideMark/>
          </w:tcPr>
          <w:p w14:paraId="17F376C8" w14:textId="77777777" w:rsidR="0068325C" w:rsidRPr="007F3D01" w:rsidRDefault="0091419F">
            <w:pPr>
              <w:shd w:val="clear" w:color="auto" w:fill="auto"/>
              <w:spacing w:after="120" w:line="276" w:lineRule="auto"/>
              <w:rPr>
                <w:i/>
                <w:noProof/>
                <w:color w:val="000000" w:themeColor="text1"/>
                <w:lang w:val="en-IE"/>
              </w:rPr>
            </w:pPr>
            <w:r w:rsidRPr="007F3D01">
              <w:rPr>
                <w:b/>
                <w:i/>
                <w:noProof/>
                <w:color w:val="000000" w:themeColor="text1"/>
                <w:lang w:val="en-IE"/>
              </w:rPr>
              <w:t>Box 2</w:t>
            </w:r>
            <w:r w:rsidRPr="007F3D01">
              <w:rPr>
                <w:i/>
                <w:noProof/>
                <w:color w:val="000000" w:themeColor="text1"/>
                <w:lang w:val="en-IE"/>
              </w:rPr>
              <w:t xml:space="preserve"> - Distribution of radioactive waste per category.</w:t>
            </w:r>
          </w:p>
          <w:p w14:paraId="17F376C9" w14:textId="1BA923BC" w:rsidR="0068325C" w:rsidRPr="007F3D01" w:rsidRDefault="00AB384A" w:rsidP="002C577E">
            <w:pPr>
              <w:pStyle w:val="Caption"/>
              <w:jc w:val="center"/>
              <w:rPr>
                <w:rFonts w:cstheme="minorBidi"/>
                <w:b/>
                <w:bCs/>
                <w:noProof/>
                <w:sz w:val="23"/>
                <w:szCs w:val="23"/>
                <w:lang w:val="en-IE"/>
              </w:rPr>
            </w:pPr>
            <w:r w:rsidRPr="007F3D01">
              <w:rPr>
                <w:noProof/>
              </w:rPr>
              <w:drawing>
                <wp:inline distT="0" distB="0" distL="0" distR="0" wp14:anchorId="2CEED6A3" wp14:editId="6C3E3953">
                  <wp:extent cx="5048250" cy="264416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68511" cy="2654775"/>
                          </a:xfrm>
                          <a:prstGeom prst="rect">
                            <a:avLst/>
                          </a:prstGeom>
                        </pic:spPr>
                      </pic:pic>
                    </a:graphicData>
                  </a:graphic>
                </wp:inline>
              </w:drawing>
            </w:r>
          </w:p>
        </w:tc>
      </w:tr>
    </w:tbl>
    <w:p w14:paraId="17F376CB" w14:textId="77777777" w:rsidR="0068325C" w:rsidRPr="007F3D01" w:rsidRDefault="0068325C">
      <w:pPr>
        <w:widowControl/>
        <w:shd w:val="clear" w:color="auto" w:fill="auto"/>
        <w:autoSpaceDE/>
        <w:adjustRightInd/>
        <w:spacing w:before="0" w:line="276" w:lineRule="auto"/>
        <w:rPr>
          <w:noProof/>
          <w:lang w:val="en-IE"/>
        </w:rPr>
      </w:pPr>
    </w:p>
    <w:p w14:paraId="17F376CC" w14:textId="68E6890A" w:rsidR="0068325C" w:rsidRPr="007F3D01" w:rsidRDefault="0091419F">
      <w:pPr>
        <w:spacing w:line="276" w:lineRule="auto"/>
        <w:rPr>
          <w:noProof/>
          <w:lang w:val="en-IE"/>
        </w:rPr>
      </w:pPr>
      <w:r w:rsidRPr="007F3D01">
        <w:rPr>
          <w:noProof/>
          <w:lang w:val="en-IE"/>
        </w:rPr>
        <w:t>At the end of 201</w:t>
      </w:r>
      <w:r w:rsidR="00AF3709" w:rsidRPr="007F3D01">
        <w:rPr>
          <w:noProof/>
          <w:lang w:val="en-IE"/>
        </w:rPr>
        <w:t>9</w:t>
      </w:r>
      <w:r w:rsidRPr="007F3D01">
        <w:rPr>
          <w:noProof/>
          <w:vertAlign w:val="superscript"/>
          <w:lang w:val="en-IE"/>
        </w:rPr>
        <w:footnoteReference w:id="17"/>
      </w:r>
      <w:r w:rsidR="007C596E">
        <w:rPr>
          <w:noProof/>
          <w:lang w:val="en-IE"/>
        </w:rPr>
        <w:t>,</w:t>
      </w:r>
      <w:r w:rsidRPr="007F3D01">
        <w:rPr>
          <w:noProof/>
          <w:lang w:val="en-IE"/>
        </w:rPr>
        <w:t xml:space="preserve"> approximately </w:t>
      </w:r>
      <w:r w:rsidRPr="007F3D01">
        <w:rPr>
          <w:b/>
          <w:noProof/>
          <w:lang w:val="en-IE"/>
        </w:rPr>
        <w:t>5</w:t>
      </w:r>
      <w:r w:rsidR="00AF3709" w:rsidRPr="007F3D01">
        <w:rPr>
          <w:b/>
          <w:noProof/>
          <w:lang w:val="en-IE"/>
        </w:rPr>
        <w:t>4</w:t>
      </w:r>
      <w:r w:rsidRPr="007F3D01">
        <w:rPr>
          <w:b/>
          <w:noProof/>
          <w:lang w:val="en-IE"/>
        </w:rPr>
        <w:t> </w:t>
      </w:r>
      <w:r w:rsidR="00AF3709" w:rsidRPr="007F3D01">
        <w:rPr>
          <w:b/>
          <w:noProof/>
          <w:lang w:val="en-IE"/>
        </w:rPr>
        <w:t>7</w:t>
      </w:r>
      <w:r w:rsidRPr="007F3D01">
        <w:rPr>
          <w:b/>
          <w:noProof/>
          <w:lang w:val="en-IE"/>
        </w:rPr>
        <w:t>00 tHM of spent fuel</w:t>
      </w:r>
      <w:r w:rsidRPr="007F3D01">
        <w:rPr>
          <w:noProof/>
          <w:lang w:val="en-IE"/>
        </w:rPr>
        <w:t xml:space="preserve"> w</w:t>
      </w:r>
      <w:r w:rsidR="002C577E" w:rsidRPr="007F3D01">
        <w:rPr>
          <w:noProof/>
          <w:lang w:val="en-IE"/>
        </w:rPr>
        <w:t>ere</w:t>
      </w:r>
      <w:r w:rsidRPr="007F3D01">
        <w:rPr>
          <w:noProof/>
          <w:lang w:val="en-IE"/>
        </w:rPr>
        <w:t xml:space="preserve"> stored in the EU</w:t>
      </w:r>
      <w:r w:rsidR="0020024C" w:rsidRPr="007F3D01">
        <w:rPr>
          <w:bCs/>
          <w:noProof/>
          <w:lang w:val="en-IE"/>
        </w:rPr>
        <w:t>-27</w:t>
      </w:r>
      <w:r w:rsidRPr="007F3D01">
        <w:rPr>
          <w:noProof/>
          <w:lang w:val="en-IE"/>
        </w:rPr>
        <w:t>, (</w:t>
      </w:r>
      <w:r w:rsidR="007C596E">
        <w:rPr>
          <w:noProof/>
          <w:lang w:val="en-IE"/>
        </w:rPr>
        <w:t xml:space="preserve">approximately </w:t>
      </w:r>
      <w:r w:rsidR="00AF3709" w:rsidRPr="007F3D01">
        <w:rPr>
          <w:noProof/>
          <w:lang w:val="en-IE"/>
        </w:rPr>
        <w:t xml:space="preserve">5% increase from 2016 and </w:t>
      </w:r>
      <w:r w:rsidR="007C596E">
        <w:rPr>
          <w:noProof/>
          <w:lang w:val="en-IE"/>
        </w:rPr>
        <w:t xml:space="preserve">a </w:t>
      </w:r>
      <w:r w:rsidR="00AF3709" w:rsidRPr="007F3D01">
        <w:rPr>
          <w:noProof/>
          <w:lang w:val="en-IE"/>
        </w:rPr>
        <w:t xml:space="preserve">12% increase </w:t>
      </w:r>
      <w:r w:rsidR="007C596E">
        <w:rPr>
          <w:noProof/>
          <w:lang w:val="en-IE"/>
        </w:rPr>
        <w:t>from</w:t>
      </w:r>
      <w:r w:rsidR="00AF3709" w:rsidRPr="007F3D01">
        <w:rPr>
          <w:noProof/>
          <w:lang w:val="en-IE"/>
        </w:rPr>
        <w:t xml:space="preserve"> 2013</w:t>
      </w:r>
      <w:r w:rsidRPr="007F3D01">
        <w:rPr>
          <w:noProof/>
          <w:lang w:val="en-IE"/>
        </w:rPr>
        <w:t xml:space="preserve">). About 1.5% of this spent fuel </w:t>
      </w:r>
      <w:r w:rsidR="00DD0800" w:rsidRPr="007F3D01">
        <w:rPr>
          <w:noProof/>
          <w:lang w:val="en-IE"/>
        </w:rPr>
        <w:t>was sent for reprocessing outside the E</w:t>
      </w:r>
      <w:r w:rsidR="007C596E">
        <w:rPr>
          <w:noProof/>
          <w:lang w:val="en-IE"/>
        </w:rPr>
        <w:t>U</w:t>
      </w:r>
      <w:r w:rsidR="00DD0800" w:rsidRPr="007F3D01">
        <w:rPr>
          <w:noProof/>
          <w:lang w:val="en-IE"/>
        </w:rPr>
        <w:t xml:space="preserve"> with expected returns of </w:t>
      </w:r>
      <w:r w:rsidR="00625111" w:rsidRPr="007F3D01">
        <w:rPr>
          <w:noProof/>
          <w:lang w:val="en-IE"/>
        </w:rPr>
        <w:t xml:space="preserve">the </w:t>
      </w:r>
      <w:r w:rsidR="00DD0800" w:rsidRPr="007F3D01">
        <w:rPr>
          <w:noProof/>
          <w:lang w:val="en-IE"/>
        </w:rPr>
        <w:t xml:space="preserve">radioactive waste </w:t>
      </w:r>
      <w:r w:rsidR="00625111" w:rsidRPr="007F3D01">
        <w:rPr>
          <w:noProof/>
          <w:lang w:val="en-IE"/>
        </w:rPr>
        <w:t xml:space="preserve">resulting </w:t>
      </w:r>
      <w:r w:rsidR="00DD0800" w:rsidRPr="007F3D01">
        <w:rPr>
          <w:noProof/>
          <w:lang w:val="en-IE"/>
        </w:rPr>
        <w:t>from reprocessing</w:t>
      </w:r>
      <w:r w:rsidRPr="007F3D01">
        <w:rPr>
          <w:noProof/>
          <w:lang w:val="en-IE"/>
        </w:rPr>
        <w:t>.</w:t>
      </w:r>
    </w:p>
    <w:p w14:paraId="17F376CD" w14:textId="2B39681E" w:rsidR="0068325C" w:rsidRPr="007F3D01" w:rsidRDefault="0091419F">
      <w:pPr>
        <w:spacing w:line="276" w:lineRule="auto"/>
        <w:rPr>
          <w:noProof/>
          <w:lang w:val="en-IE"/>
        </w:rPr>
      </w:pPr>
      <w:r w:rsidRPr="007F3D01">
        <w:rPr>
          <w:noProof/>
          <w:lang w:val="en-IE"/>
        </w:rPr>
        <w:t xml:space="preserve">All spent fuel in the EU is currently in storage, as no civil disposal facility for spent fuel is in operation worldwide. </w:t>
      </w:r>
      <w:r w:rsidR="001D7C8D" w:rsidRPr="007F3D01">
        <w:rPr>
          <w:noProof/>
          <w:lang w:val="en-IE"/>
        </w:rPr>
        <w:t>Most</w:t>
      </w:r>
      <w:r w:rsidRPr="007F3D01">
        <w:rPr>
          <w:noProof/>
          <w:lang w:val="en-IE"/>
        </w:rPr>
        <w:t xml:space="preserve"> Member States operating nuclear power plants intend to dispose of their spent fuel in deep geological facilities without reprocessing</w:t>
      </w:r>
      <w:r w:rsidR="005E1E4A" w:rsidRPr="007F3D01">
        <w:rPr>
          <w:noProof/>
          <w:lang w:val="en-IE"/>
        </w:rPr>
        <w:t xml:space="preserve">. </w:t>
      </w:r>
      <w:r w:rsidR="001D7C8D" w:rsidRPr="007F3D01">
        <w:rPr>
          <w:noProof/>
          <w:lang w:val="en-IE"/>
        </w:rPr>
        <w:t>However</w:t>
      </w:r>
      <w:r w:rsidR="00FC0096" w:rsidRPr="007F3D01">
        <w:rPr>
          <w:noProof/>
          <w:lang w:val="en-IE"/>
        </w:rPr>
        <w:t>,</w:t>
      </w:r>
      <w:r w:rsidR="001D7C8D" w:rsidRPr="007F3D01">
        <w:rPr>
          <w:noProof/>
          <w:lang w:val="en-IE"/>
        </w:rPr>
        <w:t xml:space="preserve"> </w:t>
      </w:r>
      <w:r w:rsidR="007C596E">
        <w:rPr>
          <w:noProof/>
          <w:lang w:val="en-IE"/>
        </w:rPr>
        <w:t xml:space="preserve">some </w:t>
      </w:r>
      <w:r w:rsidR="005E1E4A" w:rsidRPr="007F3D01">
        <w:rPr>
          <w:noProof/>
          <w:lang w:val="en-IE"/>
        </w:rPr>
        <w:t>are reprocessing their spent fuel</w:t>
      </w:r>
      <w:r w:rsidRPr="007F3D01">
        <w:rPr>
          <w:noProof/>
          <w:lang w:val="en-IE"/>
        </w:rPr>
        <w:t>,</w:t>
      </w:r>
      <w:r w:rsidR="001D7C8D" w:rsidRPr="007F3D01">
        <w:rPr>
          <w:noProof/>
          <w:lang w:val="en-IE"/>
        </w:rPr>
        <w:t xml:space="preserve"> </w:t>
      </w:r>
      <w:r w:rsidR="007C596E">
        <w:rPr>
          <w:noProof/>
          <w:lang w:val="en-IE"/>
        </w:rPr>
        <w:t>while</w:t>
      </w:r>
      <w:r w:rsidR="005758A4" w:rsidRPr="007F3D01">
        <w:rPr>
          <w:noProof/>
          <w:lang w:val="en-IE"/>
        </w:rPr>
        <w:t xml:space="preserve"> </w:t>
      </w:r>
      <w:r w:rsidR="005E1E4A" w:rsidRPr="007F3D01">
        <w:rPr>
          <w:noProof/>
          <w:lang w:val="en-IE"/>
        </w:rPr>
        <w:t xml:space="preserve">others </w:t>
      </w:r>
      <w:r w:rsidR="00E91ACC" w:rsidRPr="007F3D01">
        <w:rPr>
          <w:noProof/>
          <w:lang w:val="en-IE"/>
        </w:rPr>
        <w:t xml:space="preserve">keep </w:t>
      </w:r>
      <w:r w:rsidR="001D7C8D" w:rsidRPr="007F3D01">
        <w:rPr>
          <w:noProof/>
          <w:lang w:val="en-IE"/>
        </w:rPr>
        <w:t>an</w:t>
      </w:r>
      <w:r w:rsidR="00E91ACC" w:rsidRPr="007F3D01">
        <w:rPr>
          <w:noProof/>
          <w:lang w:val="en-IE"/>
        </w:rPr>
        <w:t xml:space="preserve"> option for reprocessing </w:t>
      </w:r>
      <w:r w:rsidR="001D7C8D" w:rsidRPr="007F3D01">
        <w:rPr>
          <w:noProof/>
          <w:lang w:val="en-IE"/>
        </w:rPr>
        <w:t>in their policies</w:t>
      </w:r>
      <w:r w:rsidRPr="007F3D01">
        <w:rPr>
          <w:noProof/>
          <w:lang w:val="en-IE"/>
        </w:rPr>
        <w:t>.</w:t>
      </w:r>
    </w:p>
    <w:p w14:paraId="17F376CE" w14:textId="1EA0E5E9" w:rsidR="0068325C" w:rsidRPr="007F3D01" w:rsidRDefault="007C596E" w:rsidP="007C596E">
      <w:pPr>
        <w:pStyle w:val="Heading2"/>
        <w:rPr>
          <w:noProof/>
          <w:lang w:val="en-IE"/>
        </w:rPr>
      </w:pPr>
      <w:bookmarkStart w:id="10" w:name="_Toc166055454"/>
      <w:r>
        <w:rPr>
          <w:noProof/>
          <w:lang w:val="en-IE"/>
        </w:rPr>
        <w:t>Future p</w:t>
      </w:r>
      <w:r w:rsidR="00115270" w:rsidRPr="007F3D01">
        <w:rPr>
          <w:noProof/>
          <w:lang w:val="en-IE"/>
        </w:rPr>
        <w:t>rospects</w:t>
      </w:r>
      <w:bookmarkEnd w:id="10"/>
    </w:p>
    <w:p w14:paraId="17F376CF" w14:textId="0B4CF023" w:rsidR="0068325C" w:rsidRPr="007F3D01" w:rsidRDefault="000A34DD">
      <w:pPr>
        <w:spacing w:line="276" w:lineRule="auto"/>
        <w:rPr>
          <w:noProof/>
          <w:lang w:val="en-IE"/>
        </w:rPr>
      </w:pPr>
      <w:r w:rsidRPr="007F3D01">
        <w:rPr>
          <w:noProof/>
          <w:color w:val="000000" w:themeColor="text1"/>
          <w:lang w:val="en-IE"/>
        </w:rPr>
        <w:t>In the</w:t>
      </w:r>
      <w:r w:rsidR="007C596E">
        <w:rPr>
          <w:noProof/>
          <w:color w:val="000000" w:themeColor="text1"/>
          <w:lang w:val="en-IE"/>
        </w:rPr>
        <w:t xml:space="preserve"> previous</w:t>
      </w:r>
      <w:r w:rsidRPr="007F3D01">
        <w:rPr>
          <w:noProof/>
          <w:color w:val="000000" w:themeColor="text1"/>
          <w:lang w:val="en-IE"/>
        </w:rPr>
        <w:t xml:space="preserve"> report, the inventory data reported by the Member States enabled the Commission to present, for the first time, the </w:t>
      </w:r>
      <w:r w:rsidR="00115270" w:rsidRPr="007F3D01">
        <w:rPr>
          <w:noProof/>
          <w:color w:val="000000" w:themeColor="text1"/>
          <w:lang w:val="en-IE"/>
        </w:rPr>
        <w:t>prospects</w:t>
      </w:r>
      <w:r w:rsidRPr="007F3D01">
        <w:rPr>
          <w:noProof/>
          <w:color w:val="000000" w:themeColor="text1"/>
          <w:lang w:val="en-IE"/>
        </w:rPr>
        <w:t xml:space="preserve"> </w:t>
      </w:r>
      <w:r w:rsidR="007C596E">
        <w:rPr>
          <w:noProof/>
          <w:color w:val="000000" w:themeColor="text1"/>
          <w:lang w:val="en-IE"/>
        </w:rPr>
        <w:t>for creating an</w:t>
      </w:r>
      <w:r w:rsidRPr="007F3D01">
        <w:rPr>
          <w:noProof/>
          <w:color w:val="000000" w:themeColor="text1"/>
          <w:lang w:val="en-IE"/>
        </w:rPr>
        <w:t xml:space="preserve"> E</w:t>
      </w:r>
      <w:r w:rsidR="007C596E">
        <w:rPr>
          <w:noProof/>
          <w:color w:val="000000" w:themeColor="text1"/>
          <w:lang w:val="en-IE"/>
        </w:rPr>
        <w:t>uratom</w:t>
      </w:r>
      <w:r w:rsidRPr="007F3D01">
        <w:rPr>
          <w:noProof/>
          <w:color w:val="000000" w:themeColor="text1"/>
          <w:lang w:val="en-IE"/>
        </w:rPr>
        <w:t xml:space="preserve"> radioactive waste and spent fuel inventory </w:t>
      </w:r>
      <w:r w:rsidR="002C577E" w:rsidRPr="007F3D01">
        <w:rPr>
          <w:noProof/>
          <w:color w:val="000000" w:themeColor="text1"/>
          <w:lang w:val="en-IE"/>
        </w:rPr>
        <w:t>until</w:t>
      </w:r>
      <w:r w:rsidRPr="007F3D01">
        <w:rPr>
          <w:noProof/>
          <w:color w:val="000000" w:themeColor="text1"/>
          <w:lang w:val="en-IE"/>
        </w:rPr>
        <w:t xml:space="preserve"> 2030. In the current reporting cycle, s</w:t>
      </w:r>
      <w:r w:rsidR="003C7787" w:rsidRPr="007F3D01">
        <w:rPr>
          <w:noProof/>
          <w:color w:val="000000" w:themeColor="text1"/>
          <w:lang w:val="en-IE"/>
        </w:rPr>
        <w:t xml:space="preserve">ome Member States provided </w:t>
      </w:r>
      <w:r w:rsidRPr="007F3D01">
        <w:rPr>
          <w:noProof/>
          <w:color w:val="000000" w:themeColor="text1"/>
          <w:lang w:val="en-IE"/>
        </w:rPr>
        <w:t xml:space="preserve">an </w:t>
      </w:r>
      <w:r w:rsidR="003C7787" w:rsidRPr="007F3D01">
        <w:rPr>
          <w:noProof/>
          <w:color w:val="000000" w:themeColor="text1"/>
          <w:lang w:val="en-IE"/>
        </w:rPr>
        <w:t xml:space="preserve">updated inventory forecast resulting in </w:t>
      </w:r>
      <w:r w:rsidRPr="007F3D01">
        <w:rPr>
          <w:noProof/>
          <w:color w:val="000000" w:themeColor="text1"/>
          <w:lang w:val="en-IE"/>
        </w:rPr>
        <w:t>an</w:t>
      </w:r>
      <w:r w:rsidR="003C7787" w:rsidRPr="007F3D01">
        <w:rPr>
          <w:noProof/>
          <w:color w:val="000000" w:themeColor="text1"/>
          <w:lang w:val="en-IE"/>
        </w:rPr>
        <w:t xml:space="preserve"> updated forecast </w:t>
      </w:r>
      <w:r w:rsidR="002C577E" w:rsidRPr="007F3D01">
        <w:rPr>
          <w:noProof/>
          <w:color w:val="000000" w:themeColor="text1"/>
          <w:lang w:val="en-IE"/>
        </w:rPr>
        <w:t>until</w:t>
      </w:r>
      <w:r w:rsidR="003C7787" w:rsidRPr="007F3D01">
        <w:rPr>
          <w:noProof/>
          <w:color w:val="000000" w:themeColor="text1"/>
          <w:lang w:val="en-IE"/>
        </w:rPr>
        <w:t xml:space="preserve"> 2030</w:t>
      </w:r>
      <w:r w:rsidR="0091419F" w:rsidRPr="007F3D01">
        <w:rPr>
          <w:noProof/>
          <w:lang w:val="en-IE"/>
        </w:rPr>
        <w:t>.</w:t>
      </w:r>
    </w:p>
    <w:tbl>
      <w:tblPr>
        <w:tblStyle w:val="TableGrid"/>
        <w:tblW w:w="9322" w:type="dxa"/>
        <w:tblBorders>
          <w:insideH w:val="none" w:sz="0" w:space="0" w:color="auto"/>
          <w:insideV w:val="none" w:sz="0" w:space="0" w:color="auto"/>
        </w:tblBorders>
        <w:tblLook w:val="04A0" w:firstRow="1" w:lastRow="0" w:firstColumn="1" w:lastColumn="0" w:noHBand="0" w:noVBand="1"/>
      </w:tblPr>
      <w:tblGrid>
        <w:gridCol w:w="9322"/>
      </w:tblGrid>
      <w:tr w:rsidR="0068325C" w:rsidRPr="007F3D01" w14:paraId="17F376D3" w14:textId="77777777">
        <w:trPr>
          <w:cantSplit/>
        </w:trPr>
        <w:tc>
          <w:tcPr>
            <w:tcW w:w="9322" w:type="dxa"/>
            <w:hideMark/>
          </w:tcPr>
          <w:p w14:paraId="17F376D0" w14:textId="77777777" w:rsidR="0068325C" w:rsidRPr="007F3D01" w:rsidRDefault="0091419F">
            <w:pPr>
              <w:shd w:val="clear" w:color="auto" w:fill="auto"/>
              <w:spacing w:after="120" w:line="276" w:lineRule="auto"/>
              <w:rPr>
                <w:i/>
                <w:noProof/>
                <w:color w:val="000000" w:themeColor="text1"/>
                <w:lang w:val="en-IE"/>
              </w:rPr>
            </w:pPr>
            <w:r w:rsidRPr="007F3D01">
              <w:rPr>
                <w:b/>
                <w:i/>
                <w:noProof/>
                <w:color w:val="000000" w:themeColor="text1"/>
                <w:lang w:val="en-IE"/>
              </w:rPr>
              <w:t>Box 3</w:t>
            </w:r>
            <w:r w:rsidRPr="007F3D01">
              <w:rPr>
                <w:i/>
                <w:noProof/>
                <w:color w:val="000000" w:themeColor="text1"/>
                <w:lang w:val="en-IE"/>
              </w:rPr>
              <w:t xml:space="preserve"> - Evolution of radioactive waste (left) and spent fuel (right) inventories.</w:t>
            </w:r>
          </w:p>
          <w:p w14:paraId="17F376D1" w14:textId="280E8F2A" w:rsidR="0068325C" w:rsidRPr="007F3D01" w:rsidRDefault="00C87491">
            <w:pPr>
              <w:shd w:val="clear" w:color="auto" w:fill="auto"/>
              <w:spacing w:before="0" w:line="240" w:lineRule="auto"/>
              <w:jc w:val="center"/>
              <w:rPr>
                <w:noProof/>
                <w:color w:val="000000" w:themeColor="text1"/>
                <w:lang w:val="en-IE"/>
              </w:rPr>
            </w:pPr>
            <w:r w:rsidRPr="007F3D01">
              <w:rPr>
                <w:noProof/>
              </w:rPr>
              <w:drawing>
                <wp:inline distT="0" distB="0" distL="0" distR="0" wp14:anchorId="5948B160" wp14:editId="54C9927B">
                  <wp:extent cx="5768340" cy="194437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8340" cy="1944370"/>
                          </a:xfrm>
                          <a:prstGeom prst="rect">
                            <a:avLst/>
                          </a:prstGeom>
                        </pic:spPr>
                      </pic:pic>
                    </a:graphicData>
                  </a:graphic>
                </wp:inline>
              </w:drawing>
            </w:r>
          </w:p>
          <w:p w14:paraId="17F376D2" w14:textId="77777777" w:rsidR="0068325C" w:rsidRPr="007F3D01" w:rsidRDefault="0068325C">
            <w:pPr>
              <w:shd w:val="clear" w:color="auto" w:fill="auto"/>
              <w:spacing w:before="0" w:line="240" w:lineRule="auto"/>
              <w:rPr>
                <w:i/>
                <w:noProof/>
                <w:color w:val="000000" w:themeColor="text1"/>
                <w:sz w:val="20"/>
                <w:szCs w:val="20"/>
                <w:lang w:val="en-IE"/>
              </w:rPr>
            </w:pPr>
          </w:p>
        </w:tc>
      </w:tr>
    </w:tbl>
    <w:p w14:paraId="17F376D4" w14:textId="77777777" w:rsidR="0068325C" w:rsidRPr="007F3D01" w:rsidRDefault="0068325C">
      <w:pPr>
        <w:widowControl/>
        <w:shd w:val="clear" w:color="auto" w:fill="auto"/>
        <w:autoSpaceDE/>
        <w:adjustRightInd/>
        <w:spacing w:before="0" w:line="276" w:lineRule="auto"/>
        <w:rPr>
          <w:noProof/>
          <w:lang w:val="en-IE"/>
        </w:rPr>
      </w:pPr>
    </w:p>
    <w:p w14:paraId="17F376D5" w14:textId="7A973778" w:rsidR="0068325C" w:rsidRPr="007F3D01" w:rsidRDefault="003C7787">
      <w:pPr>
        <w:spacing w:line="276" w:lineRule="auto"/>
        <w:rPr>
          <w:noProof/>
          <w:lang w:val="en-IE"/>
        </w:rPr>
      </w:pPr>
      <w:r w:rsidRPr="007F3D01">
        <w:rPr>
          <w:noProof/>
          <w:lang w:val="en-IE"/>
        </w:rPr>
        <w:t>T</w:t>
      </w:r>
      <w:r w:rsidR="0091419F" w:rsidRPr="007F3D01">
        <w:rPr>
          <w:noProof/>
          <w:lang w:val="en-IE"/>
        </w:rPr>
        <w:t>he level of detail provided by Member States varied considerably, particular</w:t>
      </w:r>
      <w:r w:rsidR="00FF0C99">
        <w:rPr>
          <w:noProof/>
          <w:lang w:val="en-IE"/>
        </w:rPr>
        <w:t>ly</w:t>
      </w:r>
      <w:r w:rsidR="0091419F" w:rsidRPr="007F3D01">
        <w:rPr>
          <w:noProof/>
          <w:lang w:val="en-IE"/>
        </w:rPr>
        <w:t xml:space="preserve"> </w:t>
      </w:r>
      <w:r w:rsidR="002C577E" w:rsidRPr="007F3D01">
        <w:rPr>
          <w:noProof/>
          <w:lang w:val="en-IE"/>
        </w:rPr>
        <w:t>about</w:t>
      </w:r>
      <w:r w:rsidR="0091419F" w:rsidRPr="007F3D01">
        <w:rPr>
          <w:noProof/>
          <w:lang w:val="en-IE"/>
        </w:rPr>
        <w:t xml:space="preserve"> </w:t>
      </w:r>
      <w:r w:rsidR="00FB096C" w:rsidRPr="007F3D01">
        <w:rPr>
          <w:noProof/>
          <w:lang w:val="en-IE"/>
        </w:rPr>
        <w:t xml:space="preserve">the </w:t>
      </w:r>
      <w:r w:rsidR="0091419F" w:rsidRPr="007F3D01">
        <w:rPr>
          <w:noProof/>
          <w:lang w:val="en-IE"/>
        </w:rPr>
        <w:t xml:space="preserve">waste </w:t>
      </w:r>
      <w:r w:rsidR="00FF0C99">
        <w:rPr>
          <w:noProof/>
          <w:lang w:val="en-IE"/>
        </w:rPr>
        <w:t xml:space="preserve">that </w:t>
      </w:r>
      <w:r w:rsidR="0091419F" w:rsidRPr="007F3D01">
        <w:rPr>
          <w:noProof/>
          <w:lang w:val="en-IE"/>
        </w:rPr>
        <w:t xml:space="preserve">originated from non-power applications and </w:t>
      </w:r>
      <w:r w:rsidR="00FB096C" w:rsidRPr="007F3D01">
        <w:rPr>
          <w:noProof/>
          <w:lang w:val="en-IE"/>
        </w:rPr>
        <w:t xml:space="preserve">the </w:t>
      </w:r>
      <w:r w:rsidR="0091419F" w:rsidRPr="007F3D01">
        <w:rPr>
          <w:noProof/>
          <w:lang w:val="en-IE"/>
        </w:rPr>
        <w:t xml:space="preserve">decommissioning of nuclear installations. </w:t>
      </w:r>
      <w:r w:rsidRPr="007F3D01">
        <w:rPr>
          <w:noProof/>
          <w:color w:val="000000" w:themeColor="text1"/>
          <w:lang w:val="en-IE"/>
        </w:rPr>
        <w:t>Due to limitations of the reported data</w:t>
      </w:r>
      <w:r w:rsidR="002C577E" w:rsidRPr="007F3D01">
        <w:rPr>
          <w:noProof/>
          <w:color w:val="000000" w:themeColor="text1"/>
          <w:lang w:val="en-IE"/>
        </w:rPr>
        <w:t>,</w:t>
      </w:r>
      <w:r w:rsidRPr="007F3D01">
        <w:rPr>
          <w:noProof/>
          <w:color w:val="000000" w:themeColor="text1"/>
          <w:lang w:val="en-IE"/>
        </w:rPr>
        <w:t xml:space="preserve"> </w:t>
      </w:r>
      <w:r w:rsidR="002C577E" w:rsidRPr="007F3D01">
        <w:rPr>
          <w:noProof/>
          <w:color w:val="000000" w:themeColor="text1"/>
          <w:lang w:val="en-IE"/>
        </w:rPr>
        <w:t xml:space="preserve">the current projection of </w:t>
      </w:r>
      <w:r w:rsidRPr="007F3D01">
        <w:rPr>
          <w:noProof/>
          <w:color w:val="000000" w:themeColor="text1"/>
          <w:lang w:val="en-IE"/>
        </w:rPr>
        <w:t xml:space="preserve">radioactive waste and spent fuel </w:t>
      </w:r>
      <w:r w:rsidR="002C577E" w:rsidRPr="007F3D01">
        <w:rPr>
          <w:noProof/>
          <w:color w:val="000000" w:themeColor="text1"/>
          <w:lang w:val="en-IE"/>
        </w:rPr>
        <w:t>amounts until</w:t>
      </w:r>
      <w:r w:rsidRPr="007F3D01">
        <w:rPr>
          <w:noProof/>
          <w:color w:val="000000" w:themeColor="text1"/>
          <w:lang w:val="en-IE"/>
        </w:rPr>
        <w:t xml:space="preserve"> 2030 </w:t>
      </w:r>
      <w:r w:rsidR="002C577E" w:rsidRPr="007F3D01">
        <w:rPr>
          <w:noProof/>
          <w:color w:val="000000" w:themeColor="text1"/>
          <w:lang w:val="en-IE"/>
        </w:rPr>
        <w:t>i</w:t>
      </w:r>
      <w:r w:rsidRPr="007F3D01">
        <w:rPr>
          <w:noProof/>
          <w:color w:val="000000" w:themeColor="text1"/>
          <w:lang w:val="en-IE"/>
        </w:rPr>
        <w:t xml:space="preserve">s </w:t>
      </w:r>
      <w:r w:rsidR="002C577E" w:rsidRPr="007F3D01">
        <w:rPr>
          <w:noProof/>
          <w:color w:val="000000" w:themeColor="text1"/>
          <w:lang w:val="en-IE"/>
        </w:rPr>
        <w:t>an estimate</w:t>
      </w:r>
      <w:r w:rsidRPr="007F3D01">
        <w:rPr>
          <w:noProof/>
          <w:color w:val="000000" w:themeColor="text1"/>
          <w:lang w:val="en-IE"/>
        </w:rPr>
        <w:t>.</w:t>
      </w:r>
      <w:r w:rsidR="00FF0C99">
        <w:rPr>
          <w:noProof/>
          <w:color w:val="000000" w:themeColor="text1"/>
          <w:lang w:val="en-IE"/>
        </w:rPr>
        <w:t xml:space="preserve"> Most</w:t>
      </w:r>
      <w:r w:rsidRPr="007F3D01">
        <w:rPr>
          <w:noProof/>
          <w:color w:val="000000" w:themeColor="text1"/>
          <w:lang w:val="en-IE"/>
        </w:rPr>
        <w:t xml:space="preserve"> Member States provided estimates of their future inventories for 2050. However, due to </w:t>
      </w:r>
      <w:r w:rsidR="00FB096C" w:rsidRPr="007F3D01">
        <w:rPr>
          <w:noProof/>
          <w:color w:val="000000" w:themeColor="text1"/>
          <w:lang w:val="en-IE"/>
        </w:rPr>
        <w:t xml:space="preserve">the </w:t>
      </w:r>
      <w:r w:rsidRPr="007F3D01">
        <w:rPr>
          <w:noProof/>
          <w:color w:val="000000" w:themeColor="text1"/>
          <w:lang w:val="en-IE"/>
        </w:rPr>
        <w:t>unavailability of inventory forecast data for 2050 from some Member States</w:t>
      </w:r>
      <w:r w:rsidR="007A1993" w:rsidRPr="007F3D01">
        <w:rPr>
          <w:noProof/>
          <w:color w:val="000000" w:themeColor="text1"/>
          <w:lang w:val="en-IE"/>
        </w:rPr>
        <w:t xml:space="preserve"> with large inventories</w:t>
      </w:r>
      <w:r w:rsidRPr="007F3D01">
        <w:rPr>
          <w:noProof/>
          <w:color w:val="000000" w:themeColor="text1"/>
          <w:lang w:val="en-IE"/>
        </w:rPr>
        <w:t>, it was not possible to</w:t>
      </w:r>
      <w:r w:rsidR="00FF0C99">
        <w:rPr>
          <w:noProof/>
          <w:color w:val="000000" w:themeColor="text1"/>
          <w:lang w:val="en-IE"/>
        </w:rPr>
        <w:t xml:space="preserve"> provide</w:t>
      </w:r>
      <w:r w:rsidRPr="007F3D01">
        <w:rPr>
          <w:noProof/>
          <w:color w:val="000000" w:themeColor="text1"/>
          <w:lang w:val="en-IE"/>
        </w:rPr>
        <w:t xml:space="preserve"> </w:t>
      </w:r>
      <w:r w:rsidR="00FB096C" w:rsidRPr="007F3D01">
        <w:rPr>
          <w:noProof/>
          <w:color w:val="000000" w:themeColor="text1"/>
          <w:lang w:val="en-IE"/>
        </w:rPr>
        <w:t xml:space="preserve">an </w:t>
      </w:r>
      <w:r w:rsidRPr="007F3D01">
        <w:rPr>
          <w:noProof/>
          <w:color w:val="000000" w:themeColor="text1"/>
          <w:lang w:val="en-IE"/>
        </w:rPr>
        <w:t xml:space="preserve">overall EU inventory long-term forecast. </w:t>
      </w:r>
      <w:r w:rsidR="0091419F" w:rsidRPr="007F3D01">
        <w:rPr>
          <w:noProof/>
          <w:lang w:val="en-IE"/>
        </w:rPr>
        <w:t xml:space="preserve">Since most national programmes cover periods of over 100 years, Member States are encouraged to work on estimates spanning until 2050 and to reduce as much as possible the level of </w:t>
      </w:r>
      <w:r w:rsidR="0085500E" w:rsidRPr="007F3D01">
        <w:rPr>
          <w:noProof/>
          <w:lang w:val="en-IE"/>
        </w:rPr>
        <w:t>uncertaint</w:t>
      </w:r>
      <w:r w:rsidR="0085500E">
        <w:rPr>
          <w:noProof/>
          <w:lang w:val="en-IE"/>
        </w:rPr>
        <w:t>y</w:t>
      </w:r>
      <w:r w:rsidR="0085500E" w:rsidRPr="007F3D01">
        <w:rPr>
          <w:noProof/>
          <w:lang w:val="en-IE"/>
        </w:rPr>
        <w:t xml:space="preserve"> </w:t>
      </w:r>
      <w:r w:rsidR="0091419F" w:rsidRPr="007F3D01">
        <w:rPr>
          <w:noProof/>
          <w:lang w:val="en-IE"/>
        </w:rPr>
        <w:t>that has been observed by the Commission.</w:t>
      </w:r>
      <w:r w:rsidR="005A466F">
        <w:rPr>
          <w:noProof/>
          <w:lang w:val="en-IE"/>
        </w:rPr>
        <w:t xml:space="preserve"> </w:t>
      </w:r>
      <w:r w:rsidR="000B1146">
        <w:rPr>
          <w:noProof/>
          <w:lang w:val="en-IE"/>
        </w:rPr>
        <w:t xml:space="preserve">Quality of the inventory data is expected to improve due to the use of SRIS. If it is not the case, </w:t>
      </w:r>
      <w:r w:rsidR="009231D8">
        <w:rPr>
          <w:noProof/>
          <w:lang w:val="en-IE"/>
        </w:rPr>
        <w:t xml:space="preserve">the Commission </w:t>
      </w:r>
      <w:r w:rsidR="00436E42">
        <w:rPr>
          <w:noProof/>
          <w:lang w:val="en-IE"/>
        </w:rPr>
        <w:t>may decide to</w:t>
      </w:r>
      <w:r w:rsidR="009231D8">
        <w:rPr>
          <w:noProof/>
          <w:lang w:val="en-IE"/>
        </w:rPr>
        <w:t xml:space="preserve"> </w:t>
      </w:r>
      <w:r w:rsidR="009231D8" w:rsidRPr="009231D8">
        <w:rPr>
          <w:noProof/>
          <w:lang w:val="en-IE"/>
        </w:rPr>
        <w:t>set minimum standards for accurate</w:t>
      </w:r>
      <w:r w:rsidR="000B1146">
        <w:rPr>
          <w:noProof/>
          <w:lang w:val="en-IE"/>
        </w:rPr>
        <w:t>, complete</w:t>
      </w:r>
      <w:r w:rsidR="009231D8" w:rsidRPr="009231D8">
        <w:rPr>
          <w:noProof/>
          <w:lang w:val="en-IE"/>
        </w:rPr>
        <w:t xml:space="preserve"> and transparent reporting</w:t>
      </w:r>
      <w:r w:rsidR="009231D8">
        <w:rPr>
          <w:noProof/>
          <w:lang w:val="en-IE"/>
        </w:rPr>
        <w:t>.</w:t>
      </w:r>
    </w:p>
    <w:p w14:paraId="17F376D6" w14:textId="0991A37C" w:rsidR="0068325C" w:rsidRPr="007F3D01" w:rsidRDefault="007A1993">
      <w:pPr>
        <w:widowControl/>
        <w:shd w:val="clear" w:color="auto" w:fill="auto"/>
        <w:autoSpaceDE/>
        <w:adjustRightInd/>
        <w:spacing w:before="0" w:line="276" w:lineRule="auto"/>
        <w:rPr>
          <w:noProof/>
          <w:lang w:val="en-IE"/>
        </w:rPr>
      </w:pPr>
      <w:r w:rsidRPr="007F3D01">
        <w:rPr>
          <w:noProof/>
          <w:lang w:val="en-IE"/>
        </w:rPr>
        <w:t>D</w:t>
      </w:r>
      <w:r w:rsidR="0091419F" w:rsidRPr="007F3D01">
        <w:rPr>
          <w:noProof/>
          <w:lang w:val="en-IE"/>
        </w:rPr>
        <w:t xml:space="preserve">ue to the planned shutdown and </w:t>
      </w:r>
      <w:r w:rsidR="00E12791" w:rsidRPr="007F3D01">
        <w:rPr>
          <w:noProof/>
          <w:lang w:val="en-IE"/>
        </w:rPr>
        <w:t>the</w:t>
      </w:r>
      <w:r w:rsidR="000B1146">
        <w:rPr>
          <w:noProof/>
          <w:lang w:val="en-IE"/>
        </w:rPr>
        <w:t xml:space="preserve"> anticipated</w:t>
      </w:r>
      <w:r w:rsidR="00C00D0B" w:rsidRPr="007F3D01">
        <w:rPr>
          <w:noProof/>
          <w:lang w:val="en-IE"/>
        </w:rPr>
        <w:t xml:space="preserve"> </w:t>
      </w:r>
      <w:r w:rsidR="0091419F" w:rsidRPr="007F3D01">
        <w:rPr>
          <w:noProof/>
          <w:lang w:val="en-IE"/>
        </w:rPr>
        <w:t xml:space="preserve">decommissioning of </w:t>
      </w:r>
      <w:r w:rsidR="00FF0C99">
        <w:rPr>
          <w:noProof/>
          <w:lang w:val="en-IE"/>
        </w:rPr>
        <w:t xml:space="preserve">several </w:t>
      </w:r>
      <w:r w:rsidR="0091419F" w:rsidRPr="007F3D01">
        <w:rPr>
          <w:noProof/>
          <w:lang w:val="en-IE"/>
        </w:rPr>
        <w:t xml:space="preserve">nuclear </w:t>
      </w:r>
      <w:r w:rsidR="002C577E" w:rsidRPr="007F3D01">
        <w:rPr>
          <w:noProof/>
          <w:lang w:val="en-IE"/>
        </w:rPr>
        <w:t>installations</w:t>
      </w:r>
      <w:r w:rsidR="00C00D0B" w:rsidRPr="007F3D01">
        <w:rPr>
          <w:noProof/>
          <w:lang w:val="en-IE"/>
        </w:rPr>
        <w:t>,</w:t>
      </w:r>
      <w:r w:rsidR="0091419F" w:rsidRPr="007F3D01">
        <w:rPr>
          <w:noProof/>
          <w:lang w:val="en-IE"/>
        </w:rPr>
        <w:t xml:space="preserve"> the amount of waste will increase significantly during the next decade. </w:t>
      </w:r>
      <w:r w:rsidR="00FF0C99">
        <w:rPr>
          <w:noProof/>
          <w:lang w:val="en-IE"/>
        </w:rPr>
        <w:t xml:space="preserve">It is </w:t>
      </w:r>
      <w:r w:rsidR="00EE54A8" w:rsidRPr="007F3D01">
        <w:rPr>
          <w:noProof/>
          <w:lang w:val="en-IE"/>
        </w:rPr>
        <w:t>expect</w:t>
      </w:r>
      <w:r w:rsidR="00FF0C99">
        <w:rPr>
          <w:noProof/>
          <w:lang w:val="en-IE"/>
        </w:rPr>
        <w:t>ed</w:t>
      </w:r>
      <w:r w:rsidR="00EE54A8" w:rsidRPr="007F3D01">
        <w:rPr>
          <w:noProof/>
          <w:lang w:val="en-IE"/>
        </w:rPr>
        <w:t xml:space="preserve"> that by</w:t>
      </w:r>
      <w:r w:rsidR="0091419F" w:rsidRPr="007F3D01">
        <w:rPr>
          <w:noProof/>
          <w:lang w:val="en-IE"/>
        </w:rPr>
        <w:t xml:space="preserve"> 2030 very-low-level waste amounts </w:t>
      </w:r>
      <w:r w:rsidR="00EE54A8" w:rsidRPr="007F3D01">
        <w:rPr>
          <w:noProof/>
          <w:lang w:val="en-IE"/>
        </w:rPr>
        <w:t>may</w:t>
      </w:r>
      <w:r w:rsidR="0091419F" w:rsidRPr="007F3D01">
        <w:rPr>
          <w:noProof/>
          <w:lang w:val="en-IE"/>
        </w:rPr>
        <w:t xml:space="preserve"> </w:t>
      </w:r>
      <w:r w:rsidR="003C7787" w:rsidRPr="007F3D01">
        <w:rPr>
          <w:noProof/>
          <w:lang w:val="en-IE"/>
        </w:rPr>
        <w:t xml:space="preserve">almost </w:t>
      </w:r>
      <w:r w:rsidR="0091419F" w:rsidRPr="007F3D01">
        <w:rPr>
          <w:noProof/>
          <w:lang w:val="en-IE"/>
        </w:rPr>
        <w:t xml:space="preserve">double, while the other waste classes </w:t>
      </w:r>
      <w:r w:rsidR="00EE54A8" w:rsidRPr="007F3D01">
        <w:rPr>
          <w:noProof/>
          <w:lang w:val="en-IE"/>
        </w:rPr>
        <w:t>could</w:t>
      </w:r>
      <w:r w:rsidR="0091419F" w:rsidRPr="007F3D01">
        <w:rPr>
          <w:noProof/>
          <w:lang w:val="en-IE"/>
        </w:rPr>
        <w:t xml:space="preserve"> increase </w:t>
      </w:r>
      <w:r w:rsidR="00FF0C99">
        <w:rPr>
          <w:noProof/>
          <w:lang w:val="en-IE"/>
        </w:rPr>
        <w:t xml:space="preserve">by between </w:t>
      </w:r>
      <w:r w:rsidR="003C7787" w:rsidRPr="007F3D01">
        <w:rPr>
          <w:noProof/>
          <w:lang w:val="en-IE"/>
        </w:rPr>
        <w:t>38</w:t>
      </w:r>
      <w:r w:rsidR="002C577E" w:rsidRPr="007F3D01">
        <w:rPr>
          <w:noProof/>
          <w:lang w:val="en-IE"/>
        </w:rPr>
        <w:t>%</w:t>
      </w:r>
      <w:r w:rsidR="00FF0C99">
        <w:rPr>
          <w:noProof/>
          <w:lang w:val="en-IE"/>
        </w:rPr>
        <w:t xml:space="preserve"> and </w:t>
      </w:r>
      <w:r w:rsidR="003C7787" w:rsidRPr="007F3D01">
        <w:rPr>
          <w:noProof/>
          <w:lang w:val="en-IE"/>
        </w:rPr>
        <w:t>73</w:t>
      </w:r>
      <w:r w:rsidR="0091419F" w:rsidRPr="007F3D01">
        <w:rPr>
          <w:noProof/>
          <w:lang w:val="en-IE"/>
        </w:rPr>
        <w:t>%. Therefore, attention should be paid to</w:t>
      </w:r>
      <w:r w:rsidR="00FF0C99">
        <w:rPr>
          <w:noProof/>
          <w:lang w:val="en-IE"/>
        </w:rPr>
        <w:t>: i)</w:t>
      </w:r>
      <w:r w:rsidR="0091419F" w:rsidRPr="007F3D01">
        <w:rPr>
          <w:noProof/>
          <w:lang w:val="en-IE"/>
        </w:rPr>
        <w:t xml:space="preserve"> minimis</w:t>
      </w:r>
      <w:r w:rsidR="00FF0C99">
        <w:rPr>
          <w:noProof/>
          <w:lang w:val="en-IE"/>
        </w:rPr>
        <w:t>ing</w:t>
      </w:r>
      <w:r w:rsidR="0091419F" w:rsidRPr="007F3D01">
        <w:rPr>
          <w:noProof/>
          <w:lang w:val="en-IE"/>
        </w:rPr>
        <w:t xml:space="preserve"> radioactive waste at the origin</w:t>
      </w:r>
      <w:r w:rsidR="00FF0C99">
        <w:rPr>
          <w:noProof/>
          <w:lang w:val="en-IE"/>
        </w:rPr>
        <w:t>;</w:t>
      </w:r>
      <w:r w:rsidR="0091419F" w:rsidRPr="007F3D01">
        <w:rPr>
          <w:noProof/>
          <w:lang w:val="en-IE"/>
        </w:rPr>
        <w:t xml:space="preserve"> </w:t>
      </w:r>
      <w:r w:rsidR="00FF0C99">
        <w:rPr>
          <w:noProof/>
          <w:lang w:val="en-IE"/>
        </w:rPr>
        <w:t xml:space="preserve">ii) </w:t>
      </w:r>
      <w:r w:rsidR="0091419F" w:rsidRPr="007F3D01">
        <w:rPr>
          <w:noProof/>
          <w:lang w:val="en-IE"/>
        </w:rPr>
        <w:t>develop</w:t>
      </w:r>
      <w:r w:rsidR="00FF0C99">
        <w:rPr>
          <w:noProof/>
          <w:lang w:val="en-IE"/>
        </w:rPr>
        <w:t>ing</w:t>
      </w:r>
      <w:r w:rsidR="0091419F" w:rsidRPr="007F3D01">
        <w:rPr>
          <w:noProof/>
          <w:lang w:val="en-IE"/>
        </w:rPr>
        <w:t xml:space="preserve"> and implement</w:t>
      </w:r>
      <w:r w:rsidR="00FF0C99">
        <w:rPr>
          <w:noProof/>
          <w:lang w:val="en-IE"/>
        </w:rPr>
        <w:t>ing</w:t>
      </w:r>
      <w:r w:rsidR="0091419F" w:rsidRPr="007F3D01">
        <w:rPr>
          <w:noProof/>
          <w:lang w:val="en-IE"/>
        </w:rPr>
        <w:t xml:space="preserve"> predisposal options to reduce waste volumes</w:t>
      </w:r>
      <w:r w:rsidR="00FF0C99">
        <w:rPr>
          <w:noProof/>
          <w:lang w:val="en-IE"/>
        </w:rPr>
        <w:t>;</w:t>
      </w:r>
      <w:r w:rsidR="0091419F" w:rsidRPr="007F3D01">
        <w:rPr>
          <w:noProof/>
          <w:lang w:val="en-IE"/>
        </w:rPr>
        <w:t xml:space="preserve"> and </w:t>
      </w:r>
      <w:r w:rsidR="00FF0C99">
        <w:rPr>
          <w:noProof/>
          <w:lang w:val="en-IE"/>
        </w:rPr>
        <w:t>iii) </w:t>
      </w:r>
      <w:r w:rsidR="0091419F" w:rsidRPr="007F3D01">
        <w:rPr>
          <w:noProof/>
          <w:lang w:val="en-IE"/>
        </w:rPr>
        <w:t>develop</w:t>
      </w:r>
      <w:r w:rsidR="00FF0C99">
        <w:rPr>
          <w:noProof/>
          <w:lang w:val="en-IE"/>
        </w:rPr>
        <w:t>ing</w:t>
      </w:r>
      <w:r w:rsidR="0091419F" w:rsidRPr="007F3D01">
        <w:rPr>
          <w:noProof/>
          <w:lang w:val="en-IE"/>
        </w:rPr>
        <w:t xml:space="preserve"> of new storage or disposal facilities.</w:t>
      </w:r>
    </w:p>
    <w:p w14:paraId="17F376D7" w14:textId="141482CC" w:rsidR="0068325C" w:rsidRPr="007F3D01" w:rsidRDefault="00182612" w:rsidP="007C596E">
      <w:pPr>
        <w:pStyle w:val="Heading2"/>
        <w:rPr>
          <w:noProof/>
          <w:lang w:val="en-IE"/>
        </w:rPr>
      </w:pPr>
      <w:bookmarkStart w:id="11" w:name="_Toc166055455"/>
      <w:r w:rsidRPr="007F3D01">
        <w:rPr>
          <w:noProof/>
          <w:lang w:val="en-IE"/>
        </w:rPr>
        <w:t>Trends and c</w:t>
      </w:r>
      <w:r w:rsidR="0091419F" w:rsidRPr="007F3D01">
        <w:rPr>
          <w:noProof/>
          <w:lang w:val="en-IE"/>
        </w:rPr>
        <w:t>hallenges</w:t>
      </w:r>
      <w:bookmarkEnd w:id="11"/>
      <w:r w:rsidR="0091419F" w:rsidRPr="007F3D01">
        <w:rPr>
          <w:noProof/>
          <w:lang w:val="en-IE"/>
        </w:rPr>
        <w:t xml:space="preserve"> </w:t>
      </w:r>
    </w:p>
    <w:p w14:paraId="743D4FDE" w14:textId="67851584" w:rsidR="00AE261B" w:rsidRPr="007F3D01" w:rsidRDefault="009C3898" w:rsidP="00AE261B">
      <w:pPr>
        <w:rPr>
          <w:noProof/>
          <w:lang w:val="en-IE"/>
        </w:rPr>
      </w:pPr>
      <w:r w:rsidRPr="007F3D01">
        <w:rPr>
          <w:noProof/>
          <w:lang w:val="en-IE"/>
        </w:rPr>
        <w:t>T</w:t>
      </w:r>
      <w:r w:rsidR="00BB43B9" w:rsidRPr="007F3D01">
        <w:rPr>
          <w:noProof/>
          <w:lang w:val="en-IE"/>
        </w:rPr>
        <w:t>he</w:t>
      </w:r>
      <w:r w:rsidR="009E242D" w:rsidRPr="007F3D01">
        <w:rPr>
          <w:noProof/>
          <w:lang w:val="en-IE"/>
        </w:rPr>
        <w:t xml:space="preserve"> </w:t>
      </w:r>
      <w:r w:rsidR="007A1993" w:rsidRPr="007F3D01">
        <w:rPr>
          <w:noProof/>
          <w:lang w:val="en-IE"/>
        </w:rPr>
        <w:t xml:space="preserve">current </w:t>
      </w:r>
      <w:r w:rsidR="009E242D" w:rsidRPr="007F3D01">
        <w:rPr>
          <w:noProof/>
          <w:lang w:val="en-IE"/>
        </w:rPr>
        <w:t>lack of</w:t>
      </w:r>
      <w:r w:rsidR="00BB43B9" w:rsidRPr="007F3D01">
        <w:rPr>
          <w:noProof/>
          <w:lang w:val="en-IE"/>
        </w:rPr>
        <w:t xml:space="preserve"> operational deep geological disposal facilities</w:t>
      </w:r>
      <w:r w:rsidR="009E242D" w:rsidRPr="007F3D01">
        <w:rPr>
          <w:noProof/>
          <w:lang w:val="en-IE"/>
        </w:rPr>
        <w:t xml:space="preserve"> </w:t>
      </w:r>
      <w:r w:rsidR="00943BAE" w:rsidRPr="007F3D01">
        <w:rPr>
          <w:noProof/>
          <w:lang w:val="en-IE"/>
        </w:rPr>
        <w:t xml:space="preserve">leads to continuously increasing amounts of stored </w:t>
      </w:r>
      <w:r w:rsidR="009E242D" w:rsidRPr="007F3D01">
        <w:rPr>
          <w:noProof/>
          <w:lang w:val="en-IE"/>
        </w:rPr>
        <w:t>intermediate- and high</w:t>
      </w:r>
      <w:r w:rsidR="001D7C8D" w:rsidRPr="007F3D01">
        <w:rPr>
          <w:noProof/>
          <w:lang w:val="en-IE"/>
        </w:rPr>
        <w:t>-</w:t>
      </w:r>
      <w:r w:rsidR="009E242D" w:rsidRPr="007F3D01">
        <w:rPr>
          <w:noProof/>
          <w:lang w:val="en-IE"/>
        </w:rPr>
        <w:t>level waste, and spent fuel, which</w:t>
      </w:r>
      <w:r w:rsidR="00182612" w:rsidRPr="007F3D01">
        <w:rPr>
          <w:noProof/>
          <w:lang w:val="en-IE"/>
        </w:rPr>
        <w:t xml:space="preserve"> </w:t>
      </w:r>
      <w:r w:rsidR="00943BAE" w:rsidRPr="007F3D01">
        <w:rPr>
          <w:noProof/>
          <w:lang w:val="en-IE"/>
        </w:rPr>
        <w:t>creat</w:t>
      </w:r>
      <w:r w:rsidR="009E242D" w:rsidRPr="007F3D01">
        <w:rPr>
          <w:noProof/>
          <w:lang w:val="en-IE"/>
        </w:rPr>
        <w:t>es</w:t>
      </w:r>
      <w:r w:rsidR="00943BAE" w:rsidRPr="007F3D01">
        <w:rPr>
          <w:noProof/>
          <w:lang w:val="en-IE"/>
        </w:rPr>
        <w:t xml:space="preserve"> challenges in terms of ensuring </w:t>
      </w:r>
      <w:r w:rsidR="00182612" w:rsidRPr="007F3D01">
        <w:rPr>
          <w:noProof/>
          <w:lang w:val="en-IE"/>
        </w:rPr>
        <w:t>sufficient long-term storage capacity and develop</w:t>
      </w:r>
      <w:r w:rsidR="00FF0C99">
        <w:rPr>
          <w:noProof/>
          <w:lang w:val="en-IE"/>
        </w:rPr>
        <w:t>ing</w:t>
      </w:r>
      <w:r w:rsidR="00182612" w:rsidRPr="007F3D01">
        <w:rPr>
          <w:noProof/>
          <w:lang w:val="en-IE"/>
        </w:rPr>
        <w:t xml:space="preserve"> sustainable disposal solutions.</w:t>
      </w:r>
      <w:r w:rsidR="00BB43B9" w:rsidRPr="007F3D01">
        <w:rPr>
          <w:noProof/>
          <w:lang w:val="en-IE"/>
        </w:rPr>
        <w:t xml:space="preserve"> </w:t>
      </w:r>
      <w:r w:rsidR="00EE54A8" w:rsidRPr="007F3D01">
        <w:rPr>
          <w:noProof/>
          <w:lang w:val="en-IE"/>
        </w:rPr>
        <w:t>Figure 1 shows t</w:t>
      </w:r>
      <w:r w:rsidR="00AE261B" w:rsidRPr="007F3D01">
        <w:rPr>
          <w:noProof/>
          <w:lang w:val="en-IE"/>
        </w:rPr>
        <w:t>he Member States’ current plans</w:t>
      </w:r>
      <w:r w:rsidR="00742C15">
        <w:rPr>
          <w:noProof/>
          <w:lang w:val="en-IE"/>
        </w:rPr>
        <w:t xml:space="preserve"> for starting </w:t>
      </w:r>
      <w:r w:rsidR="00FF0C99">
        <w:rPr>
          <w:noProof/>
          <w:lang w:val="en-IE"/>
        </w:rPr>
        <w:t xml:space="preserve">the </w:t>
      </w:r>
      <w:r w:rsidR="00742C15">
        <w:rPr>
          <w:noProof/>
          <w:lang w:val="en-IE"/>
        </w:rPr>
        <w:t>operation of deep geological facilities</w:t>
      </w:r>
      <w:r w:rsidR="00F91816" w:rsidRPr="007F3D01">
        <w:rPr>
          <w:noProof/>
          <w:lang w:val="en-IE"/>
        </w:rPr>
        <w:t>.</w:t>
      </w:r>
    </w:p>
    <w:p w14:paraId="3BFB0F62" w14:textId="77777777" w:rsidR="00AE261B" w:rsidRPr="007F3D01" w:rsidRDefault="00AE261B" w:rsidP="00853975">
      <w:pPr>
        <w:keepNext/>
        <w:spacing w:before="360" w:after="120"/>
        <w:jc w:val="center"/>
        <w:rPr>
          <w:noProof/>
          <w:lang w:val="en-IE"/>
        </w:rPr>
      </w:pPr>
      <w:r w:rsidRPr="007F3D01">
        <w:rPr>
          <w:noProof/>
          <w:lang w:eastAsia="en-GB"/>
        </w:rPr>
        <w:drawing>
          <wp:inline distT="0" distB="0" distL="0" distR="0" wp14:anchorId="2DC30B6E" wp14:editId="2E9A5181">
            <wp:extent cx="5731510" cy="71882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718820"/>
                    </a:xfrm>
                    <a:prstGeom prst="rect">
                      <a:avLst/>
                    </a:prstGeom>
                  </pic:spPr>
                </pic:pic>
              </a:graphicData>
            </a:graphic>
          </wp:inline>
        </w:drawing>
      </w:r>
    </w:p>
    <w:p w14:paraId="2989FD31" w14:textId="42CFE7FC" w:rsidR="00AE261B" w:rsidRPr="007F3D01" w:rsidRDefault="00AE261B" w:rsidP="001F52C4">
      <w:pPr>
        <w:spacing w:after="360"/>
        <w:jc w:val="center"/>
        <w:rPr>
          <w:noProof/>
          <w:lang w:val="en-IE"/>
        </w:rPr>
      </w:pPr>
      <w:r w:rsidRPr="007F3D01">
        <w:rPr>
          <w:noProof/>
          <w:lang w:val="en-IE"/>
        </w:rPr>
        <w:t>Figure 1. Planned start of operation of deep geological facilities</w:t>
      </w:r>
      <w:r w:rsidR="007A1993" w:rsidRPr="007F3D01">
        <w:rPr>
          <w:noProof/>
          <w:lang w:val="en-IE"/>
        </w:rPr>
        <w:t>.</w:t>
      </w:r>
    </w:p>
    <w:p w14:paraId="4D727F6B" w14:textId="1F54D19E" w:rsidR="002A60D8" w:rsidRPr="007F3D01" w:rsidRDefault="00612749" w:rsidP="004C14F6">
      <w:pPr>
        <w:rPr>
          <w:noProof/>
          <w:lang w:val="en-IE"/>
        </w:rPr>
      </w:pPr>
      <w:r w:rsidRPr="007F3D01">
        <w:rPr>
          <w:noProof/>
          <w:lang w:val="en-IE"/>
        </w:rPr>
        <w:t>The length of these plans combined with pending decisions and lack of concrete steps might jeopardise the timely delivery of such projects</w:t>
      </w:r>
      <w:r w:rsidR="009C6FE7" w:rsidRPr="007F3D01">
        <w:rPr>
          <w:noProof/>
          <w:lang w:val="en-IE"/>
        </w:rPr>
        <w:t>.</w:t>
      </w:r>
      <w:r w:rsidR="00CE4A90" w:rsidRPr="007F3D01">
        <w:rPr>
          <w:noProof/>
          <w:lang w:val="en-IE"/>
        </w:rPr>
        <w:t xml:space="preserve"> </w:t>
      </w:r>
      <w:r w:rsidR="00D43DED" w:rsidRPr="007F3D01">
        <w:rPr>
          <w:noProof/>
          <w:lang w:val="en-IE"/>
        </w:rPr>
        <w:t xml:space="preserve">Member States need to increase </w:t>
      </w:r>
      <w:r w:rsidR="0070351D">
        <w:rPr>
          <w:noProof/>
          <w:lang w:val="en-IE"/>
        </w:rPr>
        <w:t>their engagement as regards</w:t>
      </w:r>
      <w:r w:rsidR="00D43DED" w:rsidRPr="007F3D01">
        <w:rPr>
          <w:noProof/>
          <w:lang w:val="en-IE"/>
        </w:rPr>
        <w:t xml:space="preserve"> developing long-term management solutions for intermediate-level waste, high-level waste, and spent fuel, including research, development and demonstration activities as soon as possible to avoid placing an undue burden on future generations. All necessary measures should be taken to ensure </w:t>
      </w:r>
      <w:r w:rsidR="0070351D">
        <w:rPr>
          <w:noProof/>
          <w:lang w:val="en-IE"/>
        </w:rPr>
        <w:t xml:space="preserve">that </w:t>
      </w:r>
      <w:r w:rsidR="00D43DED" w:rsidRPr="007F3D01">
        <w:rPr>
          <w:noProof/>
          <w:lang w:val="en-IE"/>
        </w:rPr>
        <w:t>at policy and technical level no excessive delays in implement</w:t>
      </w:r>
      <w:r w:rsidR="0070351D">
        <w:rPr>
          <w:noProof/>
          <w:lang w:val="en-IE"/>
        </w:rPr>
        <w:t>ing projects</w:t>
      </w:r>
      <w:r w:rsidR="00D43DED" w:rsidRPr="007F3D01">
        <w:rPr>
          <w:noProof/>
          <w:lang w:val="en-IE"/>
        </w:rPr>
        <w:t xml:space="preserve"> are encountered in the future. As such, all Member States should optimise planning, commit</w:t>
      </w:r>
      <w:r w:rsidR="0070351D">
        <w:rPr>
          <w:noProof/>
          <w:lang w:val="en-IE"/>
        </w:rPr>
        <w:t xml:space="preserve"> sufficient</w:t>
      </w:r>
      <w:r w:rsidR="00D43DED" w:rsidRPr="007F3D01">
        <w:rPr>
          <w:noProof/>
          <w:lang w:val="en-IE"/>
        </w:rPr>
        <w:t xml:space="preserve"> resources,</w:t>
      </w:r>
      <w:r w:rsidR="0070351D">
        <w:rPr>
          <w:noProof/>
          <w:lang w:val="en-IE"/>
        </w:rPr>
        <w:t xml:space="preserve"> carry out</w:t>
      </w:r>
      <w:r w:rsidR="00D43DED" w:rsidRPr="007F3D01">
        <w:rPr>
          <w:noProof/>
          <w:lang w:val="en-IE"/>
        </w:rPr>
        <w:t xml:space="preserve"> the necessary research and training activities and engage with the public and other stakeholders to accelerate implementation.</w:t>
      </w:r>
      <w:r w:rsidR="00287040">
        <w:rPr>
          <w:noProof/>
          <w:lang w:val="en-IE"/>
        </w:rPr>
        <w:t xml:space="preserve"> </w:t>
      </w:r>
      <w:r w:rsidR="0036094C">
        <w:rPr>
          <w:noProof/>
        </w:rPr>
        <w:t>This</w:t>
      </w:r>
      <w:r w:rsidR="00287040">
        <w:rPr>
          <w:noProof/>
          <w:lang w:val="en-IE"/>
        </w:rPr>
        <w:t xml:space="preserve"> </w:t>
      </w:r>
      <w:r w:rsidR="0036094C">
        <w:rPr>
          <w:noProof/>
        </w:rPr>
        <w:t>shows</w:t>
      </w:r>
      <w:r w:rsidR="00287040">
        <w:rPr>
          <w:noProof/>
          <w:lang w:val="en-IE"/>
        </w:rPr>
        <w:t xml:space="preserve"> </w:t>
      </w:r>
      <w:r w:rsidR="0088635E">
        <w:rPr>
          <w:noProof/>
          <w:lang w:val="en-IE"/>
        </w:rPr>
        <w:t xml:space="preserve">that </w:t>
      </w:r>
      <w:r w:rsidR="00BF5817">
        <w:rPr>
          <w:noProof/>
          <w:lang w:val="en-IE"/>
        </w:rPr>
        <w:t xml:space="preserve">Member States have much to gain </w:t>
      </w:r>
      <w:r w:rsidR="0085500E">
        <w:rPr>
          <w:noProof/>
          <w:lang w:val="en-IE"/>
        </w:rPr>
        <w:t>from</w:t>
      </w:r>
      <w:r w:rsidR="00BF5817">
        <w:rPr>
          <w:noProof/>
          <w:lang w:val="en-IE"/>
        </w:rPr>
        <w:t xml:space="preserve"> aligning with each other’s best practices </w:t>
      </w:r>
      <w:r w:rsidR="0096529E">
        <w:rPr>
          <w:noProof/>
          <w:lang w:val="en-IE"/>
        </w:rPr>
        <w:t xml:space="preserve">to ensure </w:t>
      </w:r>
      <w:r w:rsidR="005E5F73">
        <w:rPr>
          <w:noProof/>
          <w:lang w:val="en-IE"/>
        </w:rPr>
        <w:t xml:space="preserve">that </w:t>
      </w:r>
      <w:r w:rsidR="0096529E">
        <w:rPr>
          <w:noProof/>
          <w:lang w:val="en-IE"/>
        </w:rPr>
        <w:t xml:space="preserve">the principles of safe and responsible management of spent fuel and radioactive </w:t>
      </w:r>
      <w:r w:rsidR="0088635E">
        <w:rPr>
          <w:noProof/>
          <w:lang w:val="en-IE"/>
        </w:rPr>
        <w:t xml:space="preserve">waste </w:t>
      </w:r>
      <w:r w:rsidR="0036094C">
        <w:rPr>
          <w:noProof/>
        </w:rPr>
        <w:t>that are</w:t>
      </w:r>
      <w:r w:rsidR="0096529E">
        <w:rPr>
          <w:noProof/>
          <w:lang w:val="en-IE"/>
        </w:rPr>
        <w:t xml:space="preserve"> enshrined in the Directive</w:t>
      </w:r>
      <w:r w:rsidR="0070351D">
        <w:rPr>
          <w:noProof/>
          <w:lang w:val="en-IE"/>
        </w:rPr>
        <w:t xml:space="preserve"> are sufficiently adhered to</w:t>
      </w:r>
      <w:r w:rsidR="0096529E">
        <w:rPr>
          <w:noProof/>
          <w:lang w:val="en-IE"/>
        </w:rPr>
        <w:t>.</w:t>
      </w:r>
    </w:p>
    <w:p w14:paraId="74EEAA7C" w14:textId="3A213891" w:rsidR="00BB43B9" w:rsidRPr="007F3D01" w:rsidRDefault="0070351D" w:rsidP="004C14F6">
      <w:pPr>
        <w:rPr>
          <w:noProof/>
          <w:lang w:val="en-IE"/>
        </w:rPr>
      </w:pPr>
      <w:r>
        <w:rPr>
          <w:noProof/>
          <w:lang w:val="en-IE"/>
        </w:rPr>
        <w:t>Most countries are progressing in the c</w:t>
      </w:r>
      <w:r w:rsidR="009E242D" w:rsidRPr="007F3D01">
        <w:rPr>
          <w:noProof/>
          <w:lang w:val="en-IE"/>
        </w:rPr>
        <w:t>onstruction,</w:t>
      </w:r>
      <w:r w:rsidR="002A60D8" w:rsidRPr="007F3D01">
        <w:rPr>
          <w:noProof/>
          <w:lang w:val="en-IE"/>
        </w:rPr>
        <w:t xml:space="preserve"> modernisation and extension of storage facilities, </w:t>
      </w:r>
      <w:r>
        <w:rPr>
          <w:noProof/>
          <w:lang w:val="en-IE"/>
        </w:rPr>
        <w:t xml:space="preserve">despite experiencing </w:t>
      </w:r>
      <w:r w:rsidR="002A60D8" w:rsidRPr="007F3D01">
        <w:rPr>
          <w:noProof/>
          <w:lang w:val="en-IE"/>
        </w:rPr>
        <w:t xml:space="preserve">some delays compared to the </w:t>
      </w:r>
      <w:r w:rsidR="009E242D" w:rsidRPr="007F3D01">
        <w:rPr>
          <w:noProof/>
          <w:lang w:val="en-IE"/>
        </w:rPr>
        <w:t xml:space="preserve">original </w:t>
      </w:r>
      <w:r w:rsidR="002A60D8" w:rsidRPr="007F3D01">
        <w:rPr>
          <w:noProof/>
          <w:lang w:val="en-IE"/>
        </w:rPr>
        <w:t>plans.</w:t>
      </w:r>
    </w:p>
    <w:p w14:paraId="291E7261" w14:textId="2E1E16DB" w:rsidR="009F1E4E" w:rsidRPr="007F3D01" w:rsidRDefault="00BB43B9" w:rsidP="00BA7EEA">
      <w:pPr>
        <w:rPr>
          <w:noProof/>
          <w:lang w:val="en-IE"/>
        </w:rPr>
      </w:pPr>
      <w:r w:rsidRPr="007F3D01">
        <w:rPr>
          <w:noProof/>
          <w:lang w:val="en-IE"/>
        </w:rPr>
        <w:t xml:space="preserve">Decommissioning nuclear power plants is becoming </w:t>
      </w:r>
      <w:r w:rsidR="00182612" w:rsidRPr="007F3D01">
        <w:rPr>
          <w:noProof/>
          <w:lang w:val="en-IE"/>
        </w:rPr>
        <w:t xml:space="preserve">an </w:t>
      </w:r>
      <w:r w:rsidRPr="007F3D01">
        <w:rPr>
          <w:noProof/>
          <w:lang w:val="en-IE"/>
        </w:rPr>
        <w:t xml:space="preserve">increasingly important activity for the European nuclear industry. </w:t>
      </w:r>
      <w:r w:rsidR="0070351D">
        <w:rPr>
          <w:noProof/>
          <w:lang w:val="en-IE"/>
        </w:rPr>
        <w:t>The d</w:t>
      </w:r>
      <w:r w:rsidR="0040204A" w:rsidRPr="007F3D01">
        <w:rPr>
          <w:noProof/>
          <w:lang w:val="en-IE"/>
        </w:rPr>
        <w:t xml:space="preserve">ecommissioning of nuclear sites </w:t>
      </w:r>
      <w:r w:rsidR="0070351D">
        <w:rPr>
          <w:noProof/>
          <w:lang w:val="en-IE"/>
        </w:rPr>
        <w:t xml:space="preserve">that were shut down </w:t>
      </w:r>
      <w:r w:rsidR="0040204A" w:rsidRPr="007F3D01">
        <w:rPr>
          <w:noProof/>
          <w:lang w:val="en-IE"/>
        </w:rPr>
        <w:t>is ongoing in a quarter of the Member States.</w:t>
      </w:r>
    </w:p>
    <w:p w14:paraId="17F376E2" w14:textId="77777777" w:rsidR="0068325C" w:rsidRPr="007F3D01" w:rsidRDefault="0091419F" w:rsidP="0070351D">
      <w:pPr>
        <w:pStyle w:val="Heading1"/>
        <w:rPr>
          <w:noProof/>
          <w:lang w:val="en-IE"/>
        </w:rPr>
      </w:pPr>
      <w:r w:rsidRPr="007F3D01">
        <w:rPr>
          <w:noProof/>
          <w:lang w:val="en-IE"/>
        </w:rPr>
        <w:tab/>
      </w:r>
      <w:bookmarkStart w:id="12" w:name="_Toc166055456"/>
      <w:r w:rsidRPr="007F3D01">
        <w:rPr>
          <w:noProof/>
          <w:lang w:val="en-IE"/>
        </w:rPr>
        <w:t>ENSURING SAFE AND RESPONSIBLE MANAGEMENT OF SPENT FUEL AND RADIOACTIVE WASTE</w:t>
      </w:r>
      <w:bookmarkEnd w:id="12"/>
    </w:p>
    <w:p w14:paraId="17F376E6" w14:textId="77777777" w:rsidR="0068325C" w:rsidRPr="007F3D01" w:rsidRDefault="0091419F" w:rsidP="007C596E">
      <w:pPr>
        <w:pStyle w:val="Heading2"/>
        <w:rPr>
          <w:noProof/>
          <w:lang w:val="en-IE"/>
        </w:rPr>
      </w:pPr>
      <w:bookmarkStart w:id="13" w:name="_Toc166055457"/>
      <w:r w:rsidRPr="007F3D01">
        <w:rPr>
          <w:noProof/>
          <w:lang w:val="en-IE"/>
        </w:rPr>
        <w:t>National frameworks</w:t>
      </w:r>
      <w:bookmarkEnd w:id="13"/>
    </w:p>
    <w:p w14:paraId="50EEC645" w14:textId="2652C35B" w:rsidR="00E000F3" w:rsidRPr="007F3D01" w:rsidRDefault="00D44245">
      <w:pPr>
        <w:widowControl/>
        <w:shd w:val="clear" w:color="auto" w:fill="auto"/>
        <w:tabs>
          <w:tab w:val="left" w:pos="9072"/>
        </w:tabs>
        <w:autoSpaceDE/>
        <w:autoSpaceDN/>
        <w:adjustRightInd/>
        <w:spacing w:before="0" w:after="120" w:line="276" w:lineRule="auto"/>
        <w:rPr>
          <w:noProof/>
          <w:lang w:val="en-IE"/>
        </w:rPr>
      </w:pPr>
      <w:r w:rsidRPr="007F3D01">
        <w:rPr>
          <w:noProof/>
          <w:lang w:val="en-IE"/>
        </w:rPr>
        <w:t>In general, t</w:t>
      </w:r>
      <w:r w:rsidR="009A3702" w:rsidRPr="007F3D01">
        <w:rPr>
          <w:noProof/>
          <w:lang w:val="en-IE"/>
        </w:rPr>
        <w:t>h</w:t>
      </w:r>
      <w:r w:rsidRPr="007F3D01">
        <w:rPr>
          <w:noProof/>
          <w:lang w:val="en-IE"/>
        </w:rPr>
        <w:t>e Member States’ national framework</w:t>
      </w:r>
      <w:r w:rsidR="00A36926" w:rsidRPr="007F3D01">
        <w:rPr>
          <w:noProof/>
          <w:lang w:val="en-IE"/>
        </w:rPr>
        <w:t>s</w:t>
      </w:r>
      <w:r w:rsidRPr="007F3D01">
        <w:rPr>
          <w:noProof/>
          <w:lang w:val="en-IE"/>
        </w:rPr>
        <w:t xml:space="preserve"> </w:t>
      </w:r>
      <w:r w:rsidR="00A36926" w:rsidRPr="007F3D01">
        <w:rPr>
          <w:noProof/>
          <w:lang w:val="en-IE"/>
        </w:rPr>
        <w:t xml:space="preserve">have </w:t>
      </w:r>
      <w:r w:rsidRPr="007F3D01">
        <w:rPr>
          <w:noProof/>
          <w:lang w:val="en-IE"/>
        </w:rPr>
        <w:t>continued to improve in</w:t>
      </w:r>
      <w:r w:rsidR="0070351D">
        <w:rPr>
          <w:noProof/>
          <w:lang w:val="en-IE"/>
        </w:rPr>
        <w:t xml:space="preserve"> recent</w:t>
      </w:r>
      <w:r w:rsidR="00A36926" w:rsidRPr="007F3D01">
        <w:rPr>
          <w:noProof/>
          <w:lang w:val="en-IE"/>
        </w:rPr>
        <w:t xml:space="preserve"> past years</w:t>
      </w:r>
      <w:r w:rsidR="00277172" w:rsidRPr="007F3D01">
        <w:rPr>
          <w:noProof/>
          <w:lang w:val="en-IE"/>
        </w:rPr>
        <w:t>, mainly through adopti</w:t>
      </w:r>
      <w:r w:rsidR="0070351D">
        <w:rPr>
          <w:noProof/>
          <w:lang w:val="en-IE"/>
        </w:rPr>
        <w:t>ng</w:t>
      </w:r>
      <w:r w:rsidR="00277172" w:rsidRPr="007F3D01">
        <w:rPr>
          <w:noProof/>
          <w:lang w:val="en-IE"/>
        </w:rPr>
        <w:t xml:space="preserve"> </w:t>
      </w:r>
      <w:r w:rsidR="00714153" w:rsidRPr="007F3D01">
        <w:rPr>
          <w:noProof/>
          <w:lang w:val="en-IE"/>
        </w:rPr>
        <w:t>national</w:t>
      </w:r>
      <w:r w:rsidR="00277172" w:rsidRPr="007F3D01">
        <w:rPr>
          <w:noProof/>
          <w:lang w:val="en-IE"/>
        </w:rPr>
        <w:t xml:space="preserve"> legislative measures that addressed </w:t>
      </w:r>
      <w:r w:rsidR="00694331" w:rsidRPr="007F3D01">
        <w:rPr>
          <w:noProof/>
          <w:lang w:val="en-IE"/>
        </w:rPr>
        <w:t xml:space="preserve">residual </w:t>
      </w:r>
      <w:r w:rsidR="00277172" w:rsidRPr="007F3D01">
        <w:rPr>
          <w:noProof/>
          <w:lang w:val="en-IE"/>
        </w:rPr>
        <w:t>transposing issues</w:t>
      </w:r>
      <w:r w:rsidR="00620FC1" w:rsidRPr="007F3D01">
        <w:rPr>
          <w:noProof/>
          <w:lang w:val="en-IE"/>
        </w:rPr>
        <w:t>,</w:t>
      </w:r>
      <w:r w:rsidR="00277172" w:rsidRPr="007F3D01">
        <w:rPr>
          <w:noProof/>
          <w:lang w:val="en-IE"/>
        </w:rPr>
        <w:t xml:space="preserve"> </w:t>
      </w:r>
      <w:r w:rsidR="00F260BC" w:rsidRPr="007F3D01">
        <w:rPr>
          <w:noProof/>
          <w:lang w:val="en-IE"/>
        </w:rPr>
        <w:t>and which led to the closure of two thirds of infringement procedures on incorrect transposition of the Directive</w:t>
      </w:r>
      <w:r w:rsidR="00277172" w:rsidRPr="007F3D01">
        <w:rPr>
          <w:noProof/>
          <w:lang w:val="en-IE"/>
        </w:rPr>
        <w:t>.</w:t>
      </w:r>
    </w:p>
    <w:p w14:paraId="17F376E9" w14:textId="66352DBD" w:rsidR="0068325C" w:rsidRPr="007F3D01" w:rsidRDefault="00E000F3">
      <w:pPr>
        <w:widowControl/>
        <w:shd w:val="clear" w:color="auto" w:fill="auto"/>
        <w:tabs>
          <w:tab w:val="left" w:pos="9072"/>
        </w:tabs>
        <w:autoSpaceDE/>
        <w:autoSpaceDN/>
        <w:adjustRightInd/>
        <w:spacing w:before="0" w:after="120" w:line="276" w:lineRule="auto"/>
        <w:rPr>
          <w:noProof/>
          <w:lang w:val="en-IE"/>
        </w:rPr>
      </w:pPr>
      <w:r w:rsidRPr="007F3D01">
        <w:rPr>
          <w:noProof/>
          <w:lang w:val="en-IE"/>
        </w:rPr>
        <w:t>Beside the dialogue with the Commission, self-assessments and i</w:t>
      </w:r>
      <w:r w:rsidR="006051AB" w:rsidRPr="007F3D01">
        <w:rPr>
          <w:noProof/>
          <w:lang w:val="en-IE"/>
        </w:rPr>
        <w:t xml:space="preserve">nternational peer reviews </w:t>
      </w:r>
      <w:r w:rsidR="00B74E64" w:rsidRPr="007F3D01">
        <w:rPr>
          <w:noProof/>
          <w:lang w:val="en-IE"/>
        </w:rPr>
        <w:t xml:space="preserve">have proven to be driving forces </w:t>
      </w:r>
      <w:r w:rsidR="0070351D">
        <w:rPr>
          <w:noProof/>
          <w:lang w:val="en-IE"/>
        </w:rPr>
        <w:t>behind</w:t>
      </w:r>
      <w:r w:rsidR="00B74E64" w:rsidRPr="007F3D01">
        <w:rPr>
          <w:noProof/>
          <w:lang w:val="en-IE"/>
        </w:rPr>
        <w:t xml:space="preserve"> </w:t>
      </w:r>
      <w:r w:rsidR="005A3711">
        <w:rPr>
          <w:noProof/>
          <w:lang w:val="en-IE"/>
        </w:rPr>
        <w:t xml:space="preserve">the </w:t>
      </w:r>
      <w:r w:rsidR="00424209">
        <w:rPr>
          <w:noProof/>
          <w:lang w:val="en-IE"/>
        </w:rPr>
        <w:t>alignment</w:t>
      </w:r>
      <w:r w:rsidR="00424209" w:rsidRPr="007F3D01">
        <w:rPr>
          <w:noProof/>
          <w:lang w:val="en-IE"/>
        </w:rPr>
        <w:t xml:space="preserve"> </w:t>
      </w:r>
      <w:r w:rsidR="00B74E64" w:rsidRPr="007F3D01">
        <w:rPr>
          <w:noProof/>
          <w:lang w:val="en-IE"/>
        </w:rPr>
        <w:t>of national frameworks</w:t>
      </w:r>
      <w:r w:rsidR="00424209">
        <w:rPr>
          <w:noProof/>
          <w:lang w:val="en-IE"/>
        </w:rPr>
        <w:t xml:space="preserve"> with the requirements of the Directive</w:t>
      </w:r>
      <w:r w:rsidR="00B74E64" w:rsidRPr="007F3D01">
        <w:rPr>
          <w:noProof/>
          <w:lang w:val="en-IE"/>
        </w:rPr>
        <w:t>.</w:t>
      </w:r>
    </w:p>
    <w:p w14:paraId="17F376EA" w14:textId="77777777" w:rsidR="0068325C" w:rsidRPr="007F3D01" w:rsidRDefault="0091419F" w:rsidP="00DF191B">
      <w:pPr>
        <w:pStyle w:val="Heading3"/>
        <w:rPr>
          <w:lang w:val="en-IE"/>
        </w:rPr>
      </w:pPr>
      <w:bookmarkStart w:id="14" w:name="_Toc166055458"/>
      <w:r w:rsidRPr="007F3D01">
        <w:rPr>
          <w:lang w:val="en-IE"/>
        </w:rPr>
        <w:t>Competent regulatory authorities</w:t>
      </w:r>
      <w:bookmarkEnd w:id="14"/>
    </w:p>
    <w:p w14:paraId="17F376EB" w14:textId="5C07F9D1" w:rsidR="0068325C" w:rsidRPr="007F3D01" w:rsidRDefault="0091419F">
      <w:pPr>
        <w:spacing w:line="276" w:lineRule="auto"/>
        <w:rPr>
          <w:noProof/>
          <w:lang w:val="en-IE"/>
        </w:rPr>
      </w:pPr>
      <w:r w:rsidRPr="007F3D01">
        <w:rPr>
          <w:noProof/>
          <w:lang w:val="en-IE"/>
        </w:rPr>
        <w:t>In</w:t>
      </w:r>
      <w:r w:rsidR="00D350D6" w:rsidRPr="007F3D01">
        <w:rPr>
          <w:noProof/>
          <w:lang w:val="en-IE"/>
        </w:rPr>
        <w:t xml:space="preserve"> </w:t>
      </w:r>
      <w:r w:rsidR="00063039" w:rsidRPr="007F3D01">
        <w:rPr>
          <w:noProof/>
          <w:lang w:val="en-IE"/>
        </w:rPr>
        <w:t>2019</w:t>
      </w:r>
      <w:r w:rsidRPr="007F3D01">
        <w:rPr>
          <w:noProof/>
          <w:lang w:val="en-IE"/>
        </w:rPr>
        <w:t xml:space="preserve"> the Commission concluded that all Member States </w:t>
      </w:r>
      <w:r w:rsidR="00063039" w:rsidRPr="007F3D01">
        <w:rPr>
          <w:noProof/>
          <w:lang w:val="en-IE"/>
        </w:rPr>
        <w:t xml:space="preserve">had </w:t>
      </w:r>
      <w:r w:rsidR="0070351D">
        <w:rPr>
          <w:noProof/>
          <w:lang w:val="en-IE"/>
        </w:rPr>
        <w:t xml:space="preserve">at least </w:t>
      </w:r>
      <w:r w:rsidRPr="007F3D01">
        <w:rPr>
          <w:noProof/>
          <w:lang w:val="en-IE"/>
        </w:rPr>
        <w:t>one competent regulatory authorit</w:t>
      </w:r>
      <w:r w:rsidR="0070351D">
        <w:rPr>
          <w:noProof/>
          <w:lang w:val="en-IE"/>
        </w:rPr>
        <w:t>y</w:t>
      </w:r>
      <w:r w:rsidRPr="007F3D01">
        <w:rPr>
          <w:noProof/>
          <w:lang w:val="en-IE"/>
        </w:rPr>
        <w:t>.</w:t>
      </w:r>
      <w:r w:rsidR="00D350D6" w:rsidRPr="007F3D01">
        <w:rPr>
          <w:noProof/>
          <w:lang w:val="en-IE"/>
        </w:rPr>
        <w:t xml:space="preserve"> </w:t>
      </w:r>
      <w:r w:rsidR="00694331" w:rsidRPr="007F3D01">
        <w:rPr>
          <w:noProof/>
          <w:lang w:val="en-IE"/>
        </w:rPr>
        <w:t xml:space="preserve">In </w:t>
      </w:r>
      <w:r w:rsidR="005A3711">
        <w:rPr>
          <w:noProof/>
          <w:lang w:val="en-IE"/>
        </w:rPr>
        <w:t xml:space="preserve">a </w:t>
      </w:r>
      <w:r w:rsidR="00694331" w:rsidRPr="007F3D01">
        <w:rPr>
          <w:noProof/>
          <w:lang w:val="en-IE"/>
        </w:rPr>
        <w:t xml:space="preserve">few cases, </w:t>
      </w:r>
      <w:r w:rsidR="007614DB" w:rsidRPr="007F3D01">
        <w:rPr>
          <w:noProof/>
          <w:lang w:val="en-IE"/>
        </w:rPr>
        <w:t xml:space="preserve">the arrangements are such that </w:t>
      </w:r>
      <w:r w:rsidR="00694331" w:rsidRPr="007F3D01">
        <w:rPr>
          <w:noProof/>
          <w:lang w:val="en-IE"/>
        </w:rPr>
        <w:t xml:space="preserve">local/regional competent authorities deal with radioactive waste management along with national authorities; the related national reports did not provide information </w:t>
      </w:r>
      <w:r w:rsidR="0070351D">
        <w:rPr>
          <w:noProof/>
          <w:lang w:val="en-IE"/>
        </w:rPr>
        <w:t>on</w:t>
      </w:r>
      <w:r w:rsidR="00694331" w:rsidRPr="007F3D01">
        <w:rPr>
          <w:noProof/>
          <w:lang w:val="en-IE"/>
        </w:rPr>
        <w:t xml:space="preserve"> their roles and responsibilities, </w:t>
      </w:r>
      <w:r w:rsidR="0070351D">
        <w:rPr>
          <w:noProof/>
          <w:lang w:val="en-IE"/>
        </w:rPr>
        <w:t>or on</w:t>
      </w:r>
      <w:r w:rsidR="00694331" w:rsidRPr="007F3D01">
        <w:rPr>
          <w:noProof/>
          <w:lang w:val="en-IE"/>
        </w:rPr>
        <w:t xml:space="preserve"> how they interact with each other.</w:t>
      </w:r>
    </w:p>
    <w:p w14:paraId="17F376EE" w14:textId="71ED0510" w:rsidR="0068325C" w:rsidRPr="007F3D01" w:rsidRDefault="009B372B" w:rsidP="004C14F6">
      <w:pPr>
        <w:widowControl/>
        <w:shd w:val="clear" w:color="auto" w:fill="auto"/>
        <w:autoSpaceDE/>
        <w:autoSpaceDN/>
        <w:adjustRightInd/>
        <w:spacing w:before="0" w:after="120" w:line="276" w:lineRule="auto"/>
        <w:ind w:right="12"/>
        <w:rPr>
          <w:noProof/>
          <w:lang w:val="en-IE"/>
        </w:rPr>
      </w:pPr>
      <w:r w:rsidRPr="007F3D01">
        <w:rPr>
          <w:noProof/>
          <w:lang w:val="en-IE"/>
        </w:rPr>
        <w:t xml:space="preserve">While </w:t>
      </w:r>
      <w:r w:rsidR="00694331" w:rsidRPr="007F3D01">
        <w:rPr>
          <w:noProof/>
          <w:lang w:val="en-IE"/>
        </w:rPr>
        <w:t>most</w:t>
      </w:r>
      <w:r w:rsidR="0091419F" w:rsidRPr="007F3D01">
        <w:rPr>
          <w:noProof/>
          <w:lang w:val="en-IE"/>
        </w:rPr>
        <w:t xml:space="preserve"> Member States </w:t>
      </w:r>
      <w:r w:rsidR="00694331" w:rsidRPr="007F3D01">
        <w:rPr>
          <w:noProof/>
          <w:lang w:val="en-IE"/>
        </w:rPr>
        <w:t>devised</w:t>
      </w:r>
      <w:r w:rsidR="0091419F" w:rsidRPr="007F3D01">
        <w:rPr>
          <w:noProof/>
          <w:lang w:val="en-IE"/>
        </w:rPr>
        <w:t xml:space="preserve"> mechanisms to retain skilled staff within the regulatory authorities</w:t>
      </w:r>
      <w:r w:rsidRPr="007F3D01">
        <w:rPr>
          <w:noProof/>
          <w:lang w:val="en-IE"/>
        </w:rPr>
        <w:t>, some</w:t>
      </w:r>
      <w:r w:rsidR="0091419F" w:rsidRPr="007F3D01">
        <w:rPr>
          <w:noProof/>
          <w:lang w:val="en-IE"/>
        </w:rPr>
        <w:t xml:space="preserve"> </w:t>
      </w:r>
      <w:r w:rsidR="00151569" w:rsidRPr="007F3D01">
        <w:rPr>
          <w:noProof/>
          <w:lang w:val="en-IE"/>
        </w:rPr>
        <w:t>face</w:t>
      </w:r>
      <w:r w:rsidR="00C160D9" w:rsidRPr="007F3D01">
        <w:rPr>
          <w:noProof/>
          <w:lang w:val="en-IE"/>
        </w:rPr>
        <w:t>d</w:t>
      </w:r>
      <w:r w:rsidR="00151569" w:rsidRPr="007F3D01">
        <w:rPr>
          <w:noProof/>
          <w:lang w:val="en-IE"/>
        </w:rPr>
        <w:t xml:space="preserve"> challenges in maintaining adequate human resources in the long term. </w:t>
      </w:r>
      <w:r w:rsidR="00EE54A8" w:rsidRPr="007F3D01">
        <w:rPr>
          <w:noProof/>
          <w:lang w:val="en-IE"/>
        </w:rPr>
        <w:t>O</w:t>
      </w:r>
      <w:r w:rsidR="00151569" w:rsidRPr="007F3D01">
        <w:rPr>
          <w:noProof/>
          <w:lang w:val="en-IE"/>
        </w:rPr>
        <w:t xml:space="preserve">utcomes of recent </w:t>
      </w:r>
      <w:r w:rsidR="007614DB" w:rsidRPr="007F3D01">
        <w:rPr>
          <w:noProof/>
          <w:lang w:val="en-IE"/>
        </w:rPr>
        <w:t>international</w:t>
      </w:r>
      <w:r w:rsidR="00151569" w:rsidRPr="007F3D01">
        <w:rPr>
          <w:noProof/>
          <w:lang w:val="en-IE"/>
        </w:rPr>
        <w:t xml:space="preserve"> peer review missions</w:t>
      </w:r>
      <w:r w:rsidR="00EE54A8" w:rsidRPr="007F3D01">
        <w:rPr>
          <w:noProof/>
          <w:lang w:val="en-IE"/>
        </w:rPr>
        <w:t xml:space="preserve"> confirmed this trend</w:t>
      </w:r>
      <w:r w:rsidR="0091419F" w:rsidRPr="007F3D01">
        <w:rPr>
          <w:noProof/>
          <w:lang w:val="en-IE"/>
        </w:rPr>
        <w:t>.</w:t>
      </w:r>
    </w:p>
    <w:p w14:paraId="013A21A2" w14:textId="6232813E" w:rsidR="002E6104" w:rsidRPr="007F3D01" w:rsidRDefault="00063039">
      <w:pPr>
        <w:widowControl/>
        <w:shd w:val="clear" w:color="auto" w:fill="auto"/>
        <w:tabs>
          <w:tab w:val="left" w:pos="8080"/>
        </w:tabs>
        <w:autoSpaceDE/>
        <w:autoSpaceDN/>
        <w:adjustRightInd/>
        <w:spacing w:before="0" w:after="120" w:line="276" w:lineRule="auto"/>
        <w:ind w:right="12"/>
        <w:rPr>
          <w:noProof/>
          <w:lang w:val="en-IE"/>
        </w:rPr>
      </w:pPr>
      <w:r w:rsidRPr="007F3D01">
        <w:rPr>
          <w:noProof/>
          <w:lang w:val="en-IE"/>
        </w:rPr>
        <w:t>Most</w:t>
      </w:r>
      <w:r w:rsidR="00F41199" w:rsidRPr="007F3D01">
        <w:rPr>
          <w:noProof/>
          <w:lang w:val="en-IE"/>
        </w:rPr>
        <w:t xml:space="preserve"> national reports </w:t>
      </w:r>
      <w:r w:rsidR="0088635E">
        <w:rPr>
          <w:noProof/>
          <w:lang w:val="en-IE"/>
        </w:rPr>
        <w:t>provide information</w:t>
      </w:r>
      <w:r w:rsidR="0088635E" w:rsidRPr="007F3D01">
        <w:rPr>
          <w:noProof/>
          <w:lang w:val="en-IE"/>
        </w:rPr>
        <w:t xml:space="preserve"> </w:t>
      </w:r>
      <w:r w:rsidR="00F41199" w:rsidRPr="007F3D01">
        <w:rPr>
          <w:noProof/>
          <w:lang w:val="en-IE"/>
        </w:rPr>
        <w:t>on measures for ensuring technical and financial independence</w:t>
      </w:r>
      <w:r w:rsidR="007614DB" w:rsidRPr="007F3D01">
        <w:rPr>
          <w:noProof/>
          <w:lang w:val="en-IE"/>
        </w:rPr>
        <w:t xml:space="preserve"> </w:t>
      </w:r>
      <w:r w:rsidR="009342E9" w:rsidRPr="007F3D01">
        <w:rPr>
          <w:noProof/>
          <w:lang w:val="en-IE"/>
        </w:rPr>
        <w:t xml:space="preserve">of </w:t>
      </w:r>
      <w:r w:rsidR="007614DB" w:rsidRPr="007F3D01">
        <w:rPr>
          <w:noProof/>
          <w:lang w:val="en-IE"/>
        </w:rPr>
        <w:t>the competent regulatory authorities.</w:t>
      </w:r>
      <w:r w:rsidR="001C092D">
        <w:rPr>
          <w:noProof/>
          <w:lang w:val="en-IE"/>
        </w:rPr>
        <w:t xml:space="preserve"> A total of 19</w:t>
      </w:r>
      <w:r w:rsidR="001F4B3E" w:rsidRPr="007F3D01">
        <w:rPr>
          <w:noProof/>
          <w:lang w:val="en-IE"/>
        </w:rPr>
        <w:t xml:space="preserve"> Member States </w:t>
      </w:r>
      <w:r w:rsidR="001C092D">
        <w:rPr>
          <w:noProof/>
          <w:lang w:val="en-IE"/>
        </w:rPr>
        <w:t>provided</w:t>
      </w:r>
      <w:r w:rsidR="001F4B3E" w:rsidRPr="007F3D01">
        <w:rPr>
          <w:noProof/>
          <w:lang w:val="en-IE"/>
        </w:rPr>
        <w:t xml:space="preserve"> actual </w:t>
      </w:r>
      <w:r w:rsidR="009B372B" w:rsidRPr="007F3D01">
        <w:rPr>
          <w:noProof/>
          <w:lang w:val="en-IE"/>
        </w:rPr>
        <w:t>s</w:t>
      </w:r>
      <w:r w:rsidR="001F4B3E" w:rsidRPr="007F3D01">
        <w:rPr>
          <w:noProof/>
          <w:lang w:val="en-IE"/>
        </w:rPr>
        <w:t>taff</w:t>
      </w:r>
      <w:r w:rsidR="009B372B" w:rsidRPr="007F3D01">
        <w:rPr>
          <w:noProof/>
          <w:lang w:val="en-IE"/>
        </w:rPr>
        <w:t xml:space="preserve"> numbers</w:t>
      </w:r>
      <w:r w:rsidR="006B64D2">
        <w:rPr>
          <w:noProof/>
          <w:lang w:val="en-IE"/>
        </w:rPr>
        <w:t>;</w:t>
      </w:r>
      <w:r w:rsidR="007614DB" w:rsidRPr="007F3D01">
        <w:rPr>
          <w:noProof/>
          <w:lang w:val="en-IE"/>
        </w:rPr>
        <w:t xml:space="preserve"> th</w:t>
      </w:r>
      <w:r w:rsidR="001C092D">
        <w:rPr>
          <w:noProof/>
          <w:lang w:val="en-IE"/>
        </w:rPr>
        <w:t>erefore</w:t>
      </w:r>
      <w:r w:rsidR="00B44C63">
        <w:rPr>
          <w:noProof/>
          <w:lang w:val="en-IE"/>
        </w:rPr>
        <w:t>,</w:t>
      </w:r>
      <w:r w:rsidR="007614DB" w:rsidRPr="007F3D01">
        <w:rPr>
          <w:noProof/>
          <w:lang w:val="en-IE"/>
        </w:rPr>
        <w:t xml:space="preserve"> the information </w:t>
      </w:r>
      <w:r w:rsidR="00FF7237" w:rsidRPr="007F3D01">
        <w:rPr>
          <w:noProof/>
          <w:lang w:val="en-IE"/>
        </w:rPr>
        <w:t>do</w:t>
      </w:r>
      <w:r w:rsidR="00620FC1" w:rsidRPr="007F3D01">
        <w:rPr>
          <w:noProof/>
          <w:lang w:val="en-IE"/>
        </w:rPr>
        <w:t>es</w:t>
      </w:r>
      <w:r w:rsidR="00FF7237" w:rsidRPr="007F3D01">
        <w:rPr>
          <w:noProof/>
          <w:lang w:val="en-IE"/>
        </w:rPr>
        <w:t xml:space="preserve"> not cover the full EU-27</w:t>
      </w:r>
      <w:r w:rsidR="00AC677F" w:rsidRPr="007F3D01">
        <w:rPr>
          <w:noProof/>
          <w:lang w:val="en-IE"/>
        </w:rPr>
        <w:t xml:space="preserve">. </w:t>
      </w:r>
      <w:r w:rsidR="009B372B" w:rsidRPr="007F3D01">
        <w:rPr>
          <w:noProof/>
          <w:lang w:val="en-IE"/>
        </w:rPr>
        <w:t xml:space="preserve">The Commission reiterates its call to </w:t>
      </w:r>
      <w:r w:rsidR="00C160D9" w:rsidRPr="007F3D01">
        <w:rPr>
          <w:noProof/>
          <w:lang w:val="en-IE"/>
        </w:rPr>
        <w:t xml:space="preserve">Member States to provide the relevant information as </w:t>
      </w:r>
      <w:r w:rsidR="000B1146">
        <w:rPr>
          <w:noProof/>
          <w:lang w:val="en-IE"/>
        </w:rPr>
        <w:t xml:space="preserve">they already do </w:t>
      </w:r>
      <w:r w:rsidR="00C160D9" w:rsidRPr="007F3D01">
        <w:rPr>
          <w:noProof/>
          <w:lang w:val="en-IE"/>
        </w:rPr>
        <w:t>in</w:t>
      </w:r>
      <w:r w:rsidR="000B1146">
        <w:rPr>
          <w:noProof/>
          <w:lang w:val="en-IE"/>
        </w:rPr>
        <w:t xml:space="preserve"> the</w:t>
      </w:r>
      <w:r w:rsidR="009B372B" w:rsidRPr="007F3D01">
        <w:rPr>
          <w:noProof/>
          <w:lang w:val="en-IE"/>
        </w:rPr>
        <w:t xml:space="preserve"> Joint Convention</w:t>
      </w:r>
      <w:r w:rsidR="0091419F" w:rsidRPr="007F3D01">
        <w:rPr>
          <w:rStyle w:val="FootnoteReference"/>
          <w:noProof/>
          <w:lang w:val="en-IE"/>
        </w:rPr>
        <w:footnoteReference w:id="18"/>
      </w:r>
      <w:r w:rsidR="0091419F" w:rsidRPr="007F3D01">
        <w:rPr>
          <w:noProof/>
          <w:lang w:val="en-IE"/>
        </w:rPr>
        <w:t xml:space="preserve"> report</w:t>
      </w:r>
      <w:r w:rsidR="009B372B" w:rsidRPr="007F3D01">
        <w:rPr>
          <w:noProof/>
          <w:lang w:val="en-IE"/>
        </w:rPr>
        <w:t>s</w:t>
      </w:r>
      <w:r w:rsidR="00C160D9" w:rsidRPr="007F3D01">
        <w:rPr>
          <w:noProof/>
          <w:lang w:val="en-IE"/>
        </w:rPr>
        <w:t>,</w:t>
      </w:r>
      <w:r w:rsidR="009B372B" w:rsidRPr="007F3D01">
        <w:rPr>
          <w:noProof/>
          <w:lang w:val="en-IE"/>
        </w:rPr>
        <w:t xml:space="preserve"> </w:t>
      </w:r>
      <w:r w:rsidR="0091419F" w:rsidRPr="007F3D01">
        <w:rPr>
          <w:noProof/>
          <w:lang w:val="en-IE"/>
        </w:rPr>
        <w:t xml:space="preserve">and </w:t>
      </w:r>
      <w:r w:rsidR="00C160D9" w:rsidRPr="007F3D01">
        <w:rPr>
          <w:noProof/>
          <w:lang w:val="en-IE"/>
        </w:rPr>
        <w:t xml:space="preserve">to </w:t>
      </w:r>
      <w:r w:rsidR="0091419F" w:rsidRPr="007F3D01">
        <w:rPr>
          <w:noProof/>
          <w:lang w:val="en-IE"/>
        </w:rPr>
        <w:t xml:space="preserve">submit </w:t>
      </w:r>
      <w:r w:rsidR="00C160D9" w:rsidRPr="007F3D01">
        <w:rPr>
          <w:noProof/>
          <w:lang w:val="en-IE"/>
        </w:rPr>
        <w:t>it</w:t>
      </w:r>
      <w:r w:rsidR="0091419F" w:rsidRPr="007F3D01">
        <w:rPr>
          <w:noProof/>
          <w:lang w:val="en-IE"/>
        </w:rPr>
        <w:t xml:space="preserve"> under Article 14(1) of the Directive, as required.</w:t>
      </w:r>
    </w:p>
    <w:p w14:paraId="17F376F0" w14:textId="77777777" w:rsidR="0068325C" w:rsidRPr="007F3D01" w:rsidRDefault="0091419F" w:rsidP="00DF191B">
      <w:pPr>
        <w:pStyle w:val="Heading3"/>
        <w:rPr>
          <w:lang w:val="en-IE"/>
        </w:rPr>
      </w:pPr>
      <w:bookmarkStart w:id="15" w:name="_Toc166055459"/>
      <w:r w:rsidRPr="007F3D01">
        <w:rPr>
          <w:lang w:val="en-IE"/>
        </w:rPr>
        <w:t>Licence holders</w:t>
      </w:r>
      <w:bookmarkEnd w:id="15"/>
    </w:p>
    <w:p w14:paraId="279C8855" w14:textId="587A34F5" w:rsidR="00F63278" w:rsidRPr="007F3D01" w:rsidRDefault="00F63278">
      <w:pPr>
        <w:spacing w:line="276" w:lineRule="auto"/>
        <w:rPr>
          <w:noProof/>
          <w:lang w:val="en-IE"/>
        </w:rPr>
      </w:pPr>
      <w:r w:rsidRPr="007F3D01">
        <w:rPr>
          <w:noProof/>
          <w:lang w:val="en-IE"/>
        </w:rPr>
        <w:t>In line with the Directive’s requirement, l</w:t>
      </w:r>
      <w:r w:rsidR="00D74BA7" w:rsidRPr="007F3D01">
        <w:rPr>
          <w:noProof/>
          <w:lang w:val="en-IE"/>
        </w:rPr>
        <w:t>icen</w:t>
      </w:r>
      <w:r w:rsidR="001C092D">
        <w:rPr>
          <w:noProof/>
          <w:lang w:val="en-IE"/>
        </w:rPr>
        <w:t>c</w:t>
      </w:r>
      <w:r w:rsidR="00D74BA7" w:rsidRPr="007F3D01">
        <w:rPr>
          <w:noProof/>
          <w:lang w:val="en-IE"/>
        </w:rPr>
        <w:t>e holders are primarily responsible for the safe management of spent fuel and radioactive waste generated in the Member States’ territory.</w:t>
      </w:r>
      <w:r w:rsidR="00000722" w:rsidRPr="007F3D01">
        <w:rPr>
          <w:noProof/>
          <w:lang w:val="en-IE"/>
        </w:rPr>
        <w:t xml:space="preserve"> Member States’ reports generally provided a summary of the applicable legal requirements without</w:t>
      </w:r>
      <w:r w:rsidR="00AC677F" w:rsidRPr="007F3D01">
        <w:rPr>
          <w:noProof/>
          <w:lang w:val="en-IE"/>
        </w:rPr>
        <w:t xml:space="preserve"> further information on how those requirements are implemented</w:t>
      </w:r>
      <w:r w:rsidR="001C092D">
        <w:rPr>
          <w:noProof/>
          <w:lang w:val="en-IE"/>
        </w:rPr>
        <w:t xml:space="preserve"> in practice</w:t>
      </w:r>
      <w:r w:rsidR="00E37056" w:rsidRPr="007F3D01">
        <w:rPr>
          <w:noProof/>
          <w:lang w:val="en-IE"/>
        </w:rPr>
        <w:t>, especially regard</w:t>
      </w:r>
      <w:r w:rsidR="001C092D">
        <w:rPr>
          <w:noProof/>
          <w:lang w:val="en-IE"/>
        </w:rPr>
        <w:t>ing</w:t>
      </w:r>
      <w:r w:rsidR="00E37056" w:rsidRPr="007F3D01">
        <w:rPr>
          <w:noProof/>
          <w:lang w:val="en-IE"/>
        </w:rPr>
        <w:t xml:space="preserve"> </w:t>
      </w:r>
      <w:r w:rsidR="00F10765" w:rsidRPr="007F3D01">
        <w:rPr>
          <w:noProof/>
          <w:lang w:val="en-IE"/>
        </w:rPr>
        <w:t xml:space="preserve">safety assessments and </w:t>
      </w:r>
      <w:r w:rsidR="001C092D">
        <w:rPr>
          <w:noProof/>
          <w:lang w:val="en-IE"/>
        </w:rPr>
        <w:t xml:space="preserve">the </w:t>
      </w:r>
      <w:r w:rsidR="00E37056" w:rsidRPr="007F3D01">
        <w:rPr>
          <w:noProof/>
          <w:lang w:val="en-IE"/>
        </w:rPr>
        <w:t>human and financial resources of license holders.</w:t>
      </w:r>
    </w:p>
    <w:p w14:paraId="5AE817BD" w14:textId="2E801FCF" w:rsidR="00000722" w:rsidRPr="007F3D01" w:rsidRDefault="00000722">
      <w:pPr>
        <w:spacing w:line="276" w:lineRule="auto"/>
        <w:rPr>
          <w:noProof/>
          <w:lang w:val="en-IE"/>
        </w:rPr>
      </w:pPr>
      <w:r w:rsidRPr="007F3D01">
        <w:rPr>
          <w:noProof/>
          <w:lang w:val="en-IE"/>
        </w:rPr>
        <w:t>On</w:t>
      </w:r>
      <w:r w:rsidR="00AC677F" w:rsidRPr="007F3D01">
        <w:rPr>
          <w:noProof/>
          <w:lang w:val="en-IE"/>
        </w:rPr>
        <w:t xml:space="preserve"> periodic safety reviews and safety improvements as well as on safety assessments during </w:t>
      </w:r>
      <w:r w:rsidR="0088635E">
        <w:rPr>
          <w:noProof/>
          <w:lang w:val="en-IE"/>
        </w:rPr>
        <w:t xml:space="preserve">the </w:t>
      </w:r>
      <w:r w:rsidR="00AC677F" w:rsidRPr="007F3D01">
        <w:rPr>
          <w:noProof/>
          <w:lang w:val="en-IE"/>
        </w:rPr>
        <w:t>licensing process</w:t>
      </w:r>
      <w:r w:rsidRPr="007F3D01">
        <w:rPr>
          <w:rStyle w:val="FootnoteReference"/>
          <w:noProof/>
          <w:lang w:val="en-IE"/>
        </w:rPr>
        <w:footnoteReference w:id="19"/>
      </w:r>
      <w:r w:rsidRPr="007F3D01">
        <w:rPr>
          <w:noProof/>
          <w:lang w:val="en-IE"/>
        </w:rPr>
        <w:t>,</w:t>
      </w:r>
      <w:r w:rsidR="00AC677F" w:rsidRPr="007F3D01">
        <w:rPr>
          <w:noProof/>
          <w:lang w:val="en-IE"/>
        </w:rPr>
        <w:t xml:space="preserve"> </w:t>
      </w:r>
      <w:r w:rsidRPr="007F3D01">
        <w:rPr>
          <w:noProof/>
          <w:lang w:val="en-IE"/>
        </w:rPr>
        <w:t xml:space="preserve">almost half of the Member States provided information </w:t>
      </w:r>
      <w:r w:rsidR="004C7636">
        <w:rPr>
          <w:noProof/>
          <w:lang w:val="en-IE"/>
        </w:rPr>
        <w:t xml:space="preserve">achievements </w:t>
      </w:r>
      <w:r w:rsidR="00AC677F" w:rsidRPr="007F3D01">
        <w:rPr>
          <w:noProof/>
          <w:lang w:val="en-IE"/>
        </w:rPr>
        <w:t>during the reporting period.</w:t>
      </w:r>
    </w:p>
    <w:p w14:paraId="57CB268A" w14:textId="10BFBC1E" w:rsidR="009231D8" w:rsidRPr="007F3D01" w:rsidRDefault="00A96F0D" w:rsidP="00915CA0">
      <w:pPr>
        <w:spacing w:line="276" w:lineRule="auto"/>
        <w:rPr>
          <w:noProof/>
          <w:lang w:val="en-IE"/>
        </w:rPr>
      </w:pPr>
      <w:r w:rsidRPr="007F3D01">
        <w:rPr>
          <w:noProof/>
          <w:lang w:val="en-IE"/>
        </w:rPr>
        <w:t xml:space="preserve">Almost no information </w:t>
      </w:r>
      <w:r w:rsidR="00D74BA7" w:rsidRPr="007F3D01">
        <w:rPr>
          <w:noProof/>
          <w:lang w:val="en-IE"/>
        </w:rPr>
        <w:t xml:space="preserve">was </w:t>
      </w:r>
      <w:r w:rsidRPr="007F3D01">
        <w:rPr>
          <w:noProof/>
          <w:lang w:val="en-IE"/>
        </w:rPr>
        <w:t xml:space="preserve">provided on the </w:t>
      </w:r>
      <w:r w:rsidR="00D74BA7" w:rsidRPr="007F3D01">
        <w:rPr>
          <w:noProof/>
          <w:lang w:val="en-IE"/>
        </w:rPr>
        <w:t xml:space="preserve">actual </w:t>
      </w:r>
      <w:r w:rsidRPr="007F3D01">
        <w:rPr>
          <w:noProof/>
          <w:lang w:val="en-IE"/>
        </w:rPr>
        <w:t>human and financial resources of licen</w:t>
      </w:r>
      <w:r w:rsidR="001C092D">
        <w:rPr>
          <w:noProof/>
          <w:lang w:val="en-IE"/>
        </w:rPr>
        <w:t>c</w:t>
      </w:r>
      <w:r w:rsidRPr="007F3D01">
        <w:rPr>
          <w:noProof/>
          <w:lang w:val="en-IE"/>
        </w:rPr>
        <w:t>e holders</w:t>
      </w:r>
      <w:r w:rsidR="00D74BA7" w:rsidRPr="007F3D01">
        <w:rPr>
          <w:noProof/>
          <w:lang w:val="en-IE"/>
        </w:rPr>
        <w:t xml:space="preserve"> beyond indicating the related legal requirements. In some cases</w:t>
      </w:r>
      <w:r w:rsidR="00620FC1" w:rsidRPr="007F3D01">
        <w:rPr>
          <w:noProof/>
          <w:lang w:val="en-IE"/>
        </w:rPr>
        <w:t>,</w:t>
      </w:r>
      <w:r w:rsidR="00D74BA7" w:rsidRPr="007F3D01">
        <w:rPr>
          <w:noProof/>
          <w:lang w:val="en-IE"/>
        </w:rPr>
        <w:t xml:space="preserve"> generic information </w:t>
      </w:r>
      <w:r w:rsidR="0099041B" w:rsidRPr="007F3D01">
        <w:rPr>
          <w:noProof/>
          <w:lang w:val="en-IE"/>
        </w:rPr>
        <w:t xml:space="preserve">was </w:t>
      </w:r>
      <w:r w:rsidR="00D74BA7" w:rsidRPr="007F3D01">
        <w:rPr>
          <w:noProof/>
          <w:lang w:val="en-IE"/>
        </w:rPr>
        <w:t>provided on how competence and skills are managed. Memb</w:t>
      </w:r>
      <w:r w:rsidR="008400FC" w:rsidRPr="007F3D01">
        <w:rPr>
          <w:noProof/>
          <w:lang w:val="en-IE"/>
        </w:rPr>
        <w:t>e</w:t>
      </w:r>
      <w:r w:rsidR="00D74BA7" w:rsidRPr="007F3D01">
        <w:rPr>
          <w:noProof/>
          <w:lang w:val="en-IE"/>
        </w:rPr>
        <w:t xml:space="preserve">r States </w:t>
      </w:r>
      <w:r w:rsidR="00D44245" w:rsidRPr="007F3D01">
        <w:rPr>
          <w:noProof/>
          <w:lang w:val="en-IE"/>
        </w:rPr>
        <w:t>should</w:t>
      </w:r>
      <w:r w:rsidR="00D74BA7" w:rsidRPr="007F3D01">
        <w:rPr>
          <w:noProof/>
          <w:lang w:val="en-IE"/>
        </w:rPr>
        <w:t xml:space="preserve"> cover these aspects in the next reporting cycle.</w:t>
      </w:r>
      <w:bookmarkStart w:id="16" w:name="_Hlk151977130"/>
    </w:p>
    <w:p w14:paraId="17F376F4" w14:textId="5B165636" w:rsidR="0068325C" w:rsidRPr="007F3D01" w:rsidRDefault="0091419F" w:rsidP="00DF191B">
      <w:pPr>
        <w:pStyle w:val="Heading3"/>
        <w:rPr>
          <w:lang w:val="en-IE"/>
        </w:rPr>
      </w:pPr>
      <w:bookmarkStart w:id="17" w:name="_Toc166055460"/>
      <w:bookmarkEnd w:id="16"/>
      <w:r w:rsidRPr="007F3D01">
        <w:rPr>
          <w:lang w:val="en-IE"/>
        </w:rPr>
        <w:t>Expertise and skills</w:t>
      </w:r>
      <w:bookmarkEnd w:id="17"/>
    </w:p>
    <w:p w14:paraId="17F376F5" w14:textId="2C364ABB" w:rsidR="0068325C" w:rsidRPr="007F3D01" w:rsidRDefault="005A3711">
      <w:pPr>
        <w:spacing w:after="0" w:line="276" w:lineRule="auto"/>
        <w:rPr>
          <w:noProof/>
          <w:lang w:val="en-IE"/>
        </w:rPr>
      </w:pPr>
      <w:r>
        <w:rPr>
          <w:rFonts w:eastAsia="Times New Roman"/>
          <w:noProof/>
          <w:color w:val="000000" w:themeColor="text1"/>
          <w:lang w:val="en-IE"/>
        </w:rPr>
        <w:t>Few</w:t>
      </w:r>
      <w:r w:rsidR="00331260" w:rsidRPr="007F3D01">
        <w:rPr>
          <w:rFonts w:eastAsia="Times New Roman"/>
          <w:noProof/>
          <w:color w:val="000000" w:themeColor="text1"/>
          <w:lang w:val="en-IE"/>
        </w:rPr>
        <w:t xml:space="preserve"> changes or developments </w:t>
      </w:r>
      <w:r w:rsidR="0032184E" w:rsidRPr="007F3D01">
        <w:rPr>
          <w:rFonts w:eastAsia="Times New Roman"/>
          <w:noProof/>
          <w:color w:val="000000" w:themeColor="text1"/>
          <w:lang w:val="en-IE"/>
        </w:rPr>
        <w:t>we</w:t>
      </w:r>
      <w:r w:rsidR="00331260" w:rsidRPr="007F3D01">
        <w:rPr>
          <w:rFonts w:eastAsia="Times New Roman"/>
          <w:noProof/>
          <w:color w:val="000000" w:themeColor="text1"/>
          <w:lang w:val="en-IE"/>
        </w:rPr>
        <w:t>re reported compared to the situation</w:t>
      </w:r>
      <w:r w:rsidR="001C092D">
        <w:rPr>
          <w:rFonts w:eastAsia="Times New Roman"/>
          <w:noProof/>
          <w:color w:val="000000" w:themeColor="text1"/>
          <w:lang w:val="en-IE"/>
        </w:rPr>
        <w:t xml:space="preserve"> 3</w:t>
      </w:r>
      <w:r w:rsidR="00331260" w:rsidRPr="007F3D01">
        <w:rPr>
          <w:rFonts w:eastAsia="Times New Roman"/>
          <w:noProof/>
          <w:color w:val="000000" w:themeColor="text1"/>
          <w:lang w:val="en-IE"/>
        </w:rPr>
        <w:t xml:space="preserve"> years </w:t>
      </w:r>
      <w:r w:rsidR="0088635E">
        <w:rPr>
          <w:rFonts w:eastAsia="Times New Roman"/>
          <w:noProof/>
          <w:color w:val="000000" w:themeColor="text1"/>
          <w:lang w:val="en-IE"/>
        </w:rPr>
        <w:t>prior</w:t>
      </w:r>
      <w:r w:rsidR="00331260" w:rsidRPr="007F3D01">
        <w:rPr>
          <w:rFonts w:eastAsia="Times New Roman"/>
          <w:noProof/>
          <w:color w:val="000000" w:themeColor="text1"/>
          <w:lang w:val="en-IE"/>
        </w:rPr>
        <w:t xml:space="preserve">. </w:t>
      </w:r>
      <w:r w:rsidR="008C6643" w:rsidRPr="007F3D01">
        <w:rPr>
          <w:noProof/>
          <w:lang w:val="en-IE"/>
        </w:rPr>
        <w:t>Nearly all</w:t>
      </w:r>
      <w:r w:rsidR="0091419F" w:rsidRPr="007F3D01">
        <w:rPr>
          <w:noProof/>
          <w:lang w:val="en-IE"/>
        </w:rPr>
        <w:t xml:space="preserve"> Member States have </w:t>
      </w:r>
      <w:r w:rsidR="0032184E" w:rsidRPr="007F3D01">
        <w:rPr>
          <w:noProof/>
          <w:lang w:val="en-IE"/>
        </w:rPr>
        <w:t xml:space="preserve">established </w:t>
      </w:r>
      <w:r w:rsidR="0091419F" w:rsidRPr="007F3D01">
        <w:rPr>
          <w:noProof/>
          <w:lang w:val="en-IE"/>
        </w:rPr>
        <w:t>legal requirements to ensure the training and education of staff of all parties involved.</w:t>
      </w:r>
      <w:r w:rsidR="00305E5A" w:rsidRPr="007F3D01">
        <w:rPr>
          <w:noProof/>
          <w:lang w:val="en-IE"/>
        </w:rPr>
        <w:t xml:space="preserve"> However, </w:t>
      </w:r>
      <w:r w:rsidR="00305E5A" w:rsidRPr="007F3D01">
        <w:rPr>
          <w:rFonts w:eastAsia="Times New Roman"/>
          <w:noProof/>
          <w:color w:val="000000" w:themeColor="text1"/>
          <w:lang w:val="en-IE"/>
        </w:rPr>
        <w:t xml:space="preserve">around one third of the </w:t>
      </w:r>
      <w:r w:rsidR="00305E5A" w:rsidRPr="007F3D01">
        <w:rPr>
          <w:rFonts w:eastAsia="Times New Roman"/>
          <w:noProof/>
          <w:lang w:val="en-IE"/>
        </w:rPr>
        <w:t>Member States</w:t>
      </w:r>
      <w:r w:rsidR="00305E5A" w:rsidRPr="007F3D01">
        <w:rPr>
          <w:rFonts w:eastAsia="Times New Roman"/>
          <w:noProof/>
          <w:color w:val="000000" w:themeColor="text1"/>
          <w:lang w:val="en-IE"/>
        </w:rPr>
        <w:t xml:space="preserve"> </w:t>
      </w:r>
      <w:r w:rsidR="0032184E" w:rsidRPr="007F3D01">
        <w:rPr>
          <w:rFonts w:eastAsia="Times New Roman"/>
          <w:noProof/>
          <w:color w:val="000000" w:themeColor="text1"/>
          <w:lang w:val="en-IE"/>
        </w:rPr>
        <w:t xml:space="preserve">did not </w:t>
      </w:r>
      <w:r w:rsidR="0088635E">
        <w:rPr>
          <w:rFonts w:eastAsia="Times New Roman"/>
          <w:noProof/>
          <w:color w:val="000000" w:themeColor="text1"/>
          <w:lang w:val="en-IE"/>
        </w:rPr>
        <w:t xml:space="preserve">include </w:t>
      </w:r>
      <w:r w:rsidR="0032184E" w:rsidRPr="007F3D01">
        <w:rPr>
          <w:rFonts w:eastAsia="Times New Roman"/>
          <w:noProof/>
          <w:color w:val="000000" w:themeColor="text1"/>
          <w:lang w:val="en-IE"/>
        </w:rPr>
        <w:t>inform</w:t>
      </w:r>
      <w:r w:rsidR="0088635E">
        <w:rPr>
          <w:rFonts w:eastAsia="Times New Roman"/>
          <w:noProof/>
          <w:color w:val="000000" w:themeColor="text1"/>
          <w:lang w:val="en-IE"/>
        </w:rPr>
        <w:t>ation</w:t>
      </w:r>
      <w:r w:rsidR="0032184E" w:rsidRPr="007F3D01">
        <w:rPr>
          <w:rFonts w:eastAsia="Times New Roman"/>
          <w:noProof/>
          <w:color w:val="000000" w:themeColor="text1"/>
          <w:lang w:val="en-IE"/>
        </w:rPr>
        <w:t xml:space="preserve"> or </w:t>
      </w:r>
      <w:r w:rsidR="00620FC1" w:rsidRPr="007F3D01">
        <w:rPr>
          <w:rFonts w:eastAsia="Times New Roman"/>
          <w:noProof/>
          <w:color w:val="000000" w:themeColor="text1"/>
          <w:lang w:val="en-IE"/>
        </w:rPr>
        <w:t xml:space="preserve">did not </w:t>
      </w:r>
      <w:r w:rsidR="0032184E" w:rsidRPr="007F3D01">
        <w:rPr>
          <w:rFonts w:eastAsia="Times New Roman"/>
          <w:noProof/>
          <w:color w:val="000000" w:themeColor="text1"/>
          <w:lang w:val="en-IE"/>
        </w:rPr>
        <w:t>provide examples on the implementation of such requirements.</w:t>
      </w:r>
    </w:p>
    <w:p w14:paraId="17F376F6" w14:textId="0C70F7BD" w:rsidR="0068325C" w:rsidRPr="007F3D01" w:rsidRDefault="0091419F" w:rsidP="004C14F6">
      <w:pPr>
        <w:rPr>
          <w:rFonts w:eastAsia="Times New Roman"/>
          <w:noProof/>
          <w:color w:val="000000" w:themeColor="text1"/>
          <w:lang w:val="en-IE"/>
        </w:rPr>
      </w:pPr>
      <w:r w:rsidRPr="007F3D01">
        <w:rPr>
          <w:rFonts w:eastAsia="Times New Roman"/>
          <w:noProof/>
          <w:color w:val="000000" w:themeColor="text1"/>
          <w:lang w:val="en-IE"/>
        </w:rPr>
        <w:t xml:space="preserve">Member </w:t>
      </w:r>
      <w:r w:rsidRPr="007F3D01">
        <w:rPr>
          <w:noProof/>
          <w:lang w:val="en-IE"/>
        </w:rPr>
        <w:t>States with nuclear power programmes have general</w:t>
      </w:r>
      <w:r w:rsidR="00C160D9" w:rsidRPr="007F3D01">
        <w:rPr>
          <w:noProof/>
          <w:lang w:val="en-IE"/>
        </w:rPr>
        <w:t>ly</w:t>
      </w:r>
      <w:r w:rsidRPr="007F3D01">
        <w:rPr>
          <w:noProof/>
          <w:lang w:val="en-IE"/>
        </w:rPr>
        <w:t xml:space="preserve"> more developed formal arrangements for educatio</w:t>
      </w:r>
      <w:r w:rsidR="0014040C" w:rsidRPr="007F3D01">
        <w:rPr>
          <w:noProof/>
          <w:lang w:val="en-IE"/>
        </w:rPr>
        <w:t>n,</w:t>
      </w:r>
      <w:r w:rsidRPr="007F3D01">
        <w:rPr>
          <w:noProof/>
          <w:lang w:val="en-IE"/>
        </w:rPr>
        <w:t xml:space="preserve"> training,</w:t>
      </w:r>
      <w:r w:rsidR="00F9295E" w:rsidRPr="007F3D01">
        <w:rPr>
          <w:noProof/>
          <w:lang w:val="en-IE"/>
        </w:rPr>
        <w:t xml:space="preserve"> and</w:t>
      </w:r>
      <w:r w:rsidRPr="007F3D01">
        <w:rPr>
          <w:noProof/>
          <w:lang w:val="en-IE"/>
        </w:rPr>
        <w:t xml:space="preserve"> research.</w:t>
      </w:r>
      <w:r w:rsidRPr="007F3D01">
        <w:rPr>
          <w:rFonts w:eastAsia="Times New Roman"/>
          <w:noProof/>
          <w:color w:val="000000" w:themeColor="text1"/>
          <w:lang w:val="en-IE"/>
        </w:rPr>
        <w:t xml:space="preserve"> </w:t>
      </w:r>
      <w:r w:rsidR="00002D43" w:rsidRPr="007F3D01">
        <w:rPr>
          <w:rFonts w:eastAsia="Times New Roman"/>
          <w:noProof/>
          <w:color w:val="000000" w:themeColor="text1"/>
          <w:lang w:val="en-IE"/>
        </w:rPr>
        <w:t xml:space="preserve">In general, </w:t>
      </w:r>
      <w:r w:rsidR="001C092D">
        <w:rPr>
          <w:rFonts w:eastAsia="Times New Roman"/>
          <w:noProof/>
          <w:color w:val="000000" w:themeColor="text1"/>
          <w:lang w:val="en-IE"/>
        </w:rPr>
        <w:t xml:space="preserve">the </w:t>
      </w:r>
      <w:r w:rsidR="00002D43" w:rsidRPr="007F3D01">
        <w:rPr>
          <w:rFonts w:eastAsia="Times New Roman"/>
          <w:noProof/>
          <w:color w:val="000000" w:themeColor="text1"/>
          <w:lang w:val="en-IE"/>
        </w:rPr>
        <w:t xml:space="preserve">training and education </w:t>
      </w:r>
      <w:r w:rsidR="001C092D">
        <w:rPr>
          <w:rFonts w:eastAsia="Times New Roman"/>
          <w:noProof/>
          <w:color w:val="000000" w:themeColor="text1"/>
          <w:lang w:val="en-IE"/>
        </w:rPr>
        <w:t xml:space="preserve">received by </w:t>
      </w:r>
      <w:r w:rsidR="00002D43" w:rsidRPr="007F3D01">
        <w:rPr>
          <w:rFonts w:eastAsia="Times New Roman"/>
          <w:noProof/>
          <w:color w:val="000000" w:themeColor="text1"/>
          <w:lang w:val="en-IE"/>
        </w:rPr>
        <w:t xml:space="preserve">the regulatory authority is better defined </w:t>
      </w:r>
      <w:r w:rsidR="0014040C" w:rsidRPr="007F3D01">
        <w:rPr>
          <w:rFonts w:eastAsia="Times New Roman"/>
          <w:noProof/>
          <w:color w:val="000000" w:themeColor="text1"/>
          <w:lang w:val="en-IE"/>
        </w:rPr>
        <w:t>than</w:t>
      </w:r>
      <w:r w:rsidR="005A3711">
        <w:rPr>
          <w:rFonts w:eastAsia="Times New Roman"/>
          <w:noProof/>
          <w:color w:val="000000" w:themeColor="text1"/>
          <w:lang w:val="en-IE"/>
        </w:rPr>
        <w:t xml:space="preserve"> that</w:t>
      </w:r>
      <w:r w:rsidR="0014040C" w:rsidRPr="007F3D01">
        <w:rPr>
          <w:rFonts w:eastAsia="Times New Roman"/>
          <w:noProof/>
          <w:color w:val="000000" w:themeColor="text1"/>
          <w:lang w:val="en-IE"/>
        </w:rPr>
        <w:t xml:space="preserve"> </w:t>
      </w:r>
      <w:r w:rsidR="00002D43" w:rsidRPr="007F3D01">
        <w:rPr>
          <w:rFonts w:eastAsia="Times New Roman"/>
          <w:noProof/>
          <w:color w:val="000000" w:themeColor="text1"/>
          <w:lang w:val="en-IE"/>
        </w:rPr>
        <w:t>of operators and other stakeholders/licensees.</w:t>
      </w:r>
      <w:r w:rsidR="0014040C" w:rsidRPr="007F3D01">
        <w:rPr>
          <w:rFonts w:eastAsia="Times New Roman"/>
          <w:noProof/>
          <w:color w:val="000000" w:themeColor="text1"/>
          <w:lang w:val="en-IE"/>
        </w:rPr>
        <w:t xml:space="preserve"> </w:t>
      </w:r>
      <w:r w:rsidR="00F9295E" w:rsidRPr="007F3D01">
        <w:rPr>
          <w:rFonts w:eastAsia="Times New Roman"/>
          <w:noProof/>
          <w:color w:val="000000" w:themeColor="text1"/>
          <w:lang w:val="en-IE"/>
        </w:rPr>
        <w:t xml:space="preserve">International exchange of experience through peer reviews, workshops, conferences, visits, </w:t>
      </w:r>
      <w:r w:rsidR="00C160D9" w:rsidRPr="007F3D01">
        <w:rPr>
          <w:rFonts w:eastAsia="Times New Roman"/>
          <w:noProof/>
          <w:color w:val="000000" w:themeColor="text1"/>
          <w:lang w:val="en-IE"/>
        </w:rPr>
        <w:t>an</w:t>
      </w:r>
      <w:r w:rsidR="005A3711">
        <w:rPr>
          <w:rFonts w:eastAsia="Times New Roman"/>
          <w:noProof/>
          <w:color w:val="000000" w:themeColor="text1"/>
          <w:lang w:val="en-IE"/>
        </w:rPr>
        <w:t>d similar events</w:t>
      </w:r>
      <w:r w:rsidR="00F9295E" w:rsidRPr="007F3D01">
        <w:rPr>
          <w:rFonts w:eastAsia="Times New Roman"/>
          <w:noProof/>
          <w:color w:val="000000" w:themeColor="text1"/>
          <w:lang w:val="en-IE"/>
        </w:rPr>
        <w:t xml:space="preserve"> ha</w:t>
      </w:r>
      <w:r w:rsidR="005A3711">
        <w:rPr>
          <w:rFonts w:eastAsia="Times New Roman"/>
          <w:noProof/>
          <w:color w:val="000000" w:themeColor="text1"/>
          <w:lang w:val="en-IE"/>
        </w:rPr>
        <w:t>ve</w:t>
      </w:r>
      <w:r w:rsidR="00F9295E" w:rsidRPr="007F3D01">
        <w:rPr>
          <w:rFonts w:eastAsia="Times New Roman"/>
          <w:noProof/>
          <w:color w:val="000000" w:themeColor="text1"/>
          <w:lang w:val="en-IE"/>
        </w:rPr>
        <w:t xml:space="preserve"> been recogni</w:t>
      </w:r>
      <w:r w:rsidR="001C092D">
        <w:rPr>
          <w:rFonts w:eastAsia="Times New Roman"/>
          <w:noProof/>
          <w:color w:val="000000" w:themeColor="text1"/>
          <w:lang w:val="en-IE"/>
        </w:rPr>
        <w:t>s</w:t>
      </w:r>
      <w:r w:rsidR="00F9295E" w:rsidRPr="007F3D01">
        <w:rPr>
          <w:rFonts w:eastAsia="Times New Roman"/>
          <w:noProof/>
          <w:color w:val="000000" w:themeColor="text1"/>
          <w:lang w:val="en-IE"/>
        </w:rPr>
        <w:t>ed as useful tools for training and educat</w:t>
      </w:r>
      <w:r w:rsidR="001C092D">
        <w:rPr>
          <w:rFonts w:eastAsia="Times New Roman"/>
          <w:noProof/>
          <w:color w:val="000000" w:themeColor="text1"/>
          <w:lang w:val="en-IE"/>
        </w:rPr>
        <w:t>ing</w:t>
      </w:r>
      <w:r w:rsidR="00F9295E" w:rsidRPr="007F3D01">
        <w:rPr>
          <w:rFonts w:eastAsia="Times New Roman"/>
          <w:noProof/>
          <w:color w:val="000000" w:themeColor="text1"/>
          <w:lang w:val="en-IE"/>
        </w:rPr>
        <w:t xml:space="preserve"> staff, particular</w:t>
      </w:r>
      <w:r w:rsidR="001C092D">
        <w:rPr>
          <w:rFonts w:eastAsia="Times New Roman"/>
          <w:noProof/>
          <w:color w:val="000000" w:themeColor="text1"/>
          <w:lang w:val="en-IE"/>
        </w:rPr>
        <w:t>ly</w:t>
      </w:r>
      <w:r w:rsidR="00F9295E" w:rsidRPr="007F3D01">
        <w:rPr>
          <w:rFonts w:eastAsia="Times New Roman"/>
          <w:noProof/>
          <w:color w:val="000000" w:themeColor="text1"/>
          <w:lang w:val="en-IE"/>
        </w:rPr>
        <w:t xml:space="preserve"> for </w:t>
      </w:r>
      <w:r w:rsidR="00F9295E" w:rsidRPr="007F3D01">
        <w:rPr>
          <w:rFonts w:eastAsia="Times New Roman"/>
          <w:noProof/>
          <w:lang w:val="en-IE"/>
        </w:rPr>
        <w:t>Member States</w:t>
      </w:r>
      <w:r w:rsidR="0088635E">
        <w:rPr>
          <w:rFonts w:eastAsia="Times New Roman"/>
          <w:noProof/>
          <w:lang w:val="en-IE"/>
        </w:rPr>
        <w:t xml:space="preserve"> without nuclear power programmes</w:t>
      </w:r>
      <w:r w:rsidR="00F9295E" w:rsidRPr="007F3D01">
        <w:rPr>
          <w:rFonts w:eastAsia="Times New Roman"/>
          <w:noProof/>
          <w:color w:val="000000" w:themeColor="text1"/>
          <w:lang w:val="en-IE"/>
        </w:rPr>
        <w:t>.</w:t>
      </w:r>
    </w:p>
    <w:p w14:paraId="17F376F7" w14:textId="3EED9F3E" w:rsidR="0068325C" w:rsidRPr="007F3D01" w:rsidRDefault="00F9295E" w:rsidP="003801F2">
      <w:pPr>
        <w:spacing w:line="276" w:lineRule="auto"/>
        <w:rPr>
          <w:rFonts w:eastAsia="Times New Roman"/>
          <w:noProof/>
          <w:color w:val="000000" w:themeColor="text1"/>
          <w:lang w:val="en-IE"/>
        </w:rPr>
      </w:pPr>
      <w:r w:rsidRPr="001C5A3F">
        <w:rPr>
          <w:rFonts w:eastAsia="Times New Roman"/>
          <w:noProof/>
          <w:color w:val="000000" w:themeColor="text1"/>
          <w:lang w:val="en-IE"/>
        </w:rPr>
        <w:t>Research and development activities are reported by slightly less than half of the Member States</w:t>
      </w:r>
      <w:r w:rsidR="0014040C" w:rsidRPr="001C5A3F">
        <w:rPr>
          <w:rFonts w:eastAsia="Times New Roman"/>
          <w:noProof/>
          <w:color w:val="000000" w:themeColor="text1"/>
          <w:lang w:val="en-IE"/>
        </w:rPr>
        <w:t>, and by the rest only in generic terms or not at all.</w:t>
      </w:r>
    </w:p>
    <w:p w14:paraId="17F376F8" w14:textId="77777777" w:rsidR="0068325C" w:rsidRPr="007F3D01" w:rsidRDefault="0091419F" w:rsidP="00DF191B">
      <w:pPr>
        <w:pStyle w:val="Heading3"/>
        <w:rPr>
          <w:lang w:val="en-IE"/>
        </w:rPr>
      </w:pPr>
      <w:bookmarkStart w:id="18" w:name="_Toc166055461"/>
      <w:r w:rsidRPr="007F3D01">
        <w:rPr>
          <w:lang w:val="en-IE"/>
        </w:rPr>
        <w:t>Financial resources</w:t>
      </w:r>
      <w:bookmarkEnd w:id="18"/>
    </w:p>
    <w:p w14:paraId="6EEAE146" w14:textId="72E89A84" w:rsidR="00C160D9" w:rsidRPr="007F3D01" w:rsidRDefault="0068276C">
      <w:pPr>
        <w:spacing w:line="276" w:lineRule="auto"/>
        <w:rPr>
          <w:noProof/>
          <w:lang w:val="en-IE"/>
        </w:rPr>
      </w:pPr>
      <w:r w:rsidRPr="007F3D01">
        <w:rPr>
          <w:noProof/>
          <w:lang w:val="en-IE"/>
        </w:rPr>
        <w:t>N</w:t>
      </w:r>
      <w:r w:rsidR="001A7E37" w:rsidRPr="007F3D01">
        <w:rPr>
          <w:noProof/>
          <w:lang w:val="en-IE"/>
        </w:rPr>
        <w:t>early all Member States</w:t>
      </w:r>
      <w:r w:rsidR="00142C38" w:rsidRPr="007F3D01">
        <w:rPr>
          <w:rStyle w:val="FootnoteReference"/>
          <w:noProof/>
          <w:lang w:val="en-IE"/>
        </w:rPr>
        <w:footnoteReference w:id="20"/>
      </w:r>
      <w:r w:rsidR="001A7E37" w:rsidRPr="007F3D01">
        <w:rPr>
          <w:noProof/>
          <w:lang w:val="en-IE"/>
        </w:rPr>
        <w:t xml:space="preserve"> provided information</w:t>
      </w:r>
      <w:r w:rsidR="0091419F" w:rsidRPr="007F3D01">
        <w:rPr>
          <w:noProof/>
          <w:lang w:val="en-IE"/>
        </w:rPr>
        <w:t xml:space="preserve"> on the </w:t>
      </w:r>
      <w:r w:rsidR="001A7E37" w:rsidRPr="007F3D01">
        <w:rPr>
          <w:noProof/>
          <w:lang w:val="en-IE"/>
        </w:rPr>
        <w:t>cost assessment of their national programme</w:t>
      </w:r>
      <w:r w:rsidR="005A3711">
        <w:rPr>
          <w:noProof/>
          <w:lang w:val="en-IE"/>
        </w:rPr>
        <w:t>s</w:t>
      </w:r>
      <w:r w:rsidR="00C160D9" w:rsidRPr="007F3D01">
        <w:rPr>
          <w:noProof/>
          <w:lang w:val="en-IE"/>
        </w:rPr>
        <w:t>.</w:t>
      </w:r>
      <w:r w:rsidR="001A7E37" w:rsidRPr="007F3D01">
        <w:rPr>
          <w:noProof/>
          <w:lang w:val="en-IE"/>
        </w:rPr>
        <w:t xml:space="preserve"> </w:t>
      </w:r>
      <w:r w:rsidR="00C160D9" w:rsidRPr="007F3D01">
        <w:rPr>
          <w:noProof/>
          <w:lang w:val="en-IE"/>
        </w:rPr>
        <w:t>T</w:t>
      </w:r>
      <w:r w:rsidR="001A7E37" w:rsidRPr="007F3D01">
        <w:rPr>
          <w:noProof/>
          <w:lang w:val="en-IE"/>
        </w:rPr>
        <w:t xml:space="preserve">he estimates vary widely in terms of methodology, assumptions, completeness of </w:t>
      </w:r>
      <w:r w:rsidR="0091419F" w:rsidRPr="007F3D01">
        <w:rPr>
          <w:noProof/>
          <w:lang w:val="en-IE"/>
        </w:rPr>
        <w:t>data</w:t>
      </w:r>
      <w:r w:rsidR="001A7E37" w:rsidRPr="007F3D01">
        <w:rPr>
          <w:noProof/>
          <w:lang w:val="en-IE"/>
        </w:rPr>
        <w:t>, scope and time frames.</w:t>
      </w:r>
    </w:p>
    <w:p w14:paraId="6F5FA26A" w14:textId="4DB764E4" w:rsidR="00142C38" w:rsidRPr="007F3D01" w:rsidRDefault="00210ADF">
      <w:pPr>
        <w:spacing w:line="276" w:lineRule="auto"/>
        <w:rPr>
          <w:noProof/>
          <w:lang w:val="en-IE"/>
        </w:rPr>
      </w:pPr>
      <w:r w:rsidRPr="007F3D01">
        <w:rPr>
          <w:noProof/>
          <w:lang w:val="en-IE"/>
        </w:rPr>
        <w:t>H</w:t>
      </w:r>
      <w:r w:rsidR="00142C38" w:rsidRPr="007F3D01">
        <w:rPr>
          <w:noProof/>
          <w:lang w:val="en-IE"/>
        </w:rPr>
        <w:t>alf of the Member States</w:t>
      </w:r>
      <w:r w:rsidR="00C160D9" w:rsidRPr="007F3D01">
        <w:rPr>
          <w:noProof/>
          <w:lang w:val="en-IE"/>
        </w:rPr>
        <w:t xml:space="preserve"> </w:t>
      </w:r>
      <w:r w:rsidR="0077686B">
        <w:rPr>
          <w:noProof/>
          <w:lang w:val="en-IE"/>
        </w:rPr>
        <w:t>–</w:t>
      </w:r>
      <w:r w:rsidR="00142C38" w:rsidRPr="007F3D01">
        <w:rPr>
          <w:noProof/>
          <w:lang w:val="en-IE"/>
        </w:rPr>
        <w:t xml:space="preserve"> mainly those with nuclear power programmes</w:t>
      </w:r>
      <w:r w:rsidR="00C160D9" w:rsidRPr="007F3D01">
        <w:rPr>
          <w:noProof/>
          <w:lang w:val="en-IE"/>
        </w:rPr>
        <w:t xml:space="preserve"> </w:t>
      </w:r>
      <w:r w:rsidR="0077686B">
        <w:rPr>
          <w:noProof/>
          <w:lang w:val="en-IE"/>
        </w:rPr>
        <w:t>–</w:t>
      </w:r>
      <w:r w:rsidR="00142C38" w:rsidRPr="007F3D01">
        <w:rPr>
          <w:noProof/>
          <w:lang w:val="en-IE"/>
        </w:rPr>
        <w:t xml:space="preserve"> </w:t>
      </w:r>
      <w:r w:rsidRPr="007F3D01">
        <w:rPr>
          <w:noProof/>
          <w:lang w:val="en-IE"/>
        </w:rPr>
        <w:t xml:space="preserve">recently </w:t>
      </w:r>
      <w:r w:rsidR="00142C38" w:rsidRPr="007F3D01">
        <w:rPr>
          <w:noProof/>
          <w:lang w:val="en-IE"/>
        </w:rPr>
        <w:t>updated their cost estimates.</w:t>
      </w:r>
      <w:r w:rsidR="001A7E37" w:rsidRPr="007F3D01">
        <w:rPr>
          <w:noProof/>
          <w:lang w:val="en-IE"/>
        </w:rPr>
        <w:t xml:space="preserve"> </w:t>
      </w:r>
      <w:r w:rsidR="0077686B">
        <w:rPr>
          <w:noProof/>
          <w:lang w:val="en-IE"/>
        </w:rPr>
        <w:t>However, t</w:t>
      </w:r>
      <w:r w:rsidRPr="007F3D01">
        <w:rPr>
          <w:noProof/>
          <w:lang w:val="en-IE"/>
        </w:rPr>
        <w:t>hose updates were not always complete and did not reflect the cost developments in the</w:t>
      </w:r>
      <w:r w:rsidR="0077686B">
        <w:rPr>
          <w:noProof/>
          <w:lang w:val="en-IE"/>
        </w:rPr>
        <w:t xml:space="preserve"> recent</w:t>
      </w:r>
      <w:r w:rsidRPr="007F3D01">
        <w:rPr>
          <w:noProof/>
          <w:lang w:val="en-IE"/>
        </w:rPr>
        <w:t xml:space="preserve"> years. It is important to periodically review and, when necessary, update the cost estimates as they </w:t>
      </w:r>
      <w:r w:rsidR="0077686B">
        <w:rPr>
          <w:noProof/>
          <w:lang w:val="en-IE"/>
        </w:rPr>
        <w:t xml:space="preserve">form </w:t>
      </w:r>
      <w:r w:rsidRPr="007F3D01">
        <w:rPr>
          <w:noProof/>
          <w:lang w:val="en-IE"/>
        </w:rPr>
        <w:t>the basis for providing sufficient funding for implement</w:t>
      </w:r>
      <w:r w:rsidR="0077686B">
        <w:rPr>
          <w:noProof/>
          <w:lang w:val="en-IE"/>
        </w:rPr>
        <w:t>ing</w:t>
      </w:r>
      <w:r w:rsidRPr="007F3D01">
        <w:rPr>
          <w:noProof/>
          <w:lang w:val="en-IE"/>
        </w:rPr>
        <w:t xml:space="preserve"> the national programmes.</w:t>
      </w:r>
    </w:p>
    <w:p w14:paraId="17F376FA" w14:textId="45C498F9" w:rsidR="0068325C" w:rsidRPr="007F3D01" w:rsidRDefault="00A91BB3" w:rsidP="00044446">
      <w:pPr>
        <w:shd w:val="clear" w:color="auto" w:fill="auto"/>
        <w:spacing w:line="276" w:lineRule="auto"/>
        <w:rPr>
          <w:noProof/>
          <w:lang w:val="en-IE"/>
        </w:rPr>
      </w:pPr>
      <w:r w:rsidRPr="007F3D01">
        <w:rPr>
          <w:noProof/>
          <w:lang w:val="en-IE"/>
        </w:rPr>
        <w:t xml:space="preserve">In the first </w:t>
      </w:r>
      <w:r w:rsidR="0077686B">
        <w:rPr>
          <w:noProof/>
          <w:lang w:val="en-IE"/>
        </w:rPr>
        <w:t xml:space="preserve">progress </w:t>
      </w:r>
      <w:r w:rsidRPr="007F3D01">
        <w:rPr>
          <w:noProof/>
          <w:lang w:val="en-IE"/>
        </w:rPr>
        <w:t>report,</w:t>
      </w:r>
      <w:r w:rsidR="00142C38" w:rsidRPr="007F3D01">
        <w:rPr>
          <w:noProof/>
          <w:lang w:val="en-IE"/>
        </w:rPr>
        <w:t xml:space="preserve"> the </w:t>
      </w:r>
      <w:r w:rsidRPr="007F3D01">
        <w:rPr>
          <w:noProof/>
          <w:lang w:val="en-IE"/>
        </w:rPr>
        <w:t xml:space="preserve">estimated </w:t>
      </w:r>
      <w:r w:rsidR="0091419F" w:rsidRPr="007F3D01">
        <w:rPr>
          <w:noProof/>
          <w:lang w:val="en-IE"/>
        </w:rPr>
        <w:t xml:space="preserve">total cost of radioactive waste </w:t>
      </w:r>
      <w:r w:rsidR="00142C38" w:rsidRPr="007F3D01">
        <w:rPr>
          <w:noProof/>
          <w:lang w:val="en-IE"/>
        </w:rPr>
        <w:t>management</w:t>
      </w:r>
      <w:r w:rsidR="00B652E7">
        <w:rPr>
          <w:rStyle w:val="FootnoteReference"/>
          <w:noProof/>
          <w:lang w:val="en-IE"/>
        </w:rPr>
        <w:footnoteReference w:id="21"/>
      </w:r>
      <w:r w:rsidR="00142C38" w:rsidRPr="007F3D01">
        <w:rPr>
          <w:noProof/>
          <w:lang w:val="en-IE"/>
        </w:rPr>
        <w:t xml:space="preserve"> </w:t>
      </w:r>
      <w:r w:rsidR="0091419F" w:rsidRPr="007F3D01">
        <w:rPr>
          <w:noProof/>
          <w:lang w:val="en-IE"/>
        </w:rPr>
        <w:t>in the EU</w:t>
      </w:r>
      <w:r w:rsidR="00044446" w:rsidRPr="007F3D01">
        <w:rPr>
          <w:noProof/>
          <w:lang w:val="en-IE"/>
        </w:rPr>
        <w:t>-27</w:t>
      </w:r>
      <w:r w:rsidR="0091419F" w:rsidRPr="007F3D01">
        <w:rPr>
          <w:noProof/>
          <w:lang w:val="en-IE"/>
        </w:rPr>
        <w:t xml:space="preserve"> </w:t>
      </w:r>
      <w:r w:rsidR="00142C38" w:rsidRPr="007F3D01">
        <w:rPr>
          <w:noProof/>
          <w:lang w:val="en-IE"/>
        </w:rPr>
        <w:t xml:space="preserve">was around EUR </w:t>
      </w:r>
      <w:r w:rsidR="00044446" w:rsidRPr="007F3D01">
        <w:rPr>
          <w:noProof/>
          <w:lang w:val="en-IE"/>
        </w:rPr>
        <w:t>250</w:t>
      </w:r>
      <w:r w:rsidR="00142C38" w:rsidRPr="007F3D01">
        <w:rPr>
          <w:noProof/>
          <w:lang w:val="en-IE"/>
        </w:rPr>
        <w:t xml:space="preserve"> billion</w:t>
      </w:r>
      <w:r w:rsidR="003A0D19" w:rsidRPr="007F3D01">
        <w:rPr>
          <w:noProof/>
          <w:lang w:val="en-IE"/>
        </w:rPr>
        <w:t>,</w:t>
      </w:r>
      <w:r w:rsidR="00142C38" w:rsidRPr="007F3D01">
        <w:rPr>
          <w:noProof/>
          <w:lang w:val="en-IE"/>
        </w:rPr>
        <w:t xml:space="preserve"> while in the second</w:t>
      </w:r>
      <w:r w:rsidRPr="007F3D01">
        <w:rPr>
          <w:noProof/>
          <w:lang w:val="en-IE"/>
        </w:rPr>
        <w:t xml:space="preserve"> it was</w:t>
      </w:r>
      <w:r w:rsidR="00142C38" w:rsidRPr="007F3D01">
        <w:rPr>
          <w:noProof/>
          <w:lang w:val="en-IE"/>
        </w:rPr>
        <w:t xml:space="preserve"> </w:t>
      </w:r>
      <w:r w:rsidR="00044446" w:rsidRPr="007F3D01">
        <w:rPr>
          <w:noProof/>
          <w:lang w:val="en-IE"/>
        </w:rPr>
        <w:t>re-estimated at around</w:t>
      </w:r>
      <w:r w:rsidR="0091419F" w:rsidRPr="007F3D01">
        <w:rPr>
          <w:noProof/>
          <w:lang w:val="en-IE"/>
        </w:rPr>
        <w:t xml:space="preserve"> EUR </w:t>
      </w:r>
      <w:r w:rsidR="00044446" w:rsidRPr="007F3D01">
        <w:rPr>
          <w:noProof/>
          <w:lang w:val="en-IE"/>
        </w:rPr>
        <w:t>300</w:t>
      </w:r>
      <w:r w:rsidR="0091419F" w:rsidRPr="007F3D01">
        <w:rPr>
          <w:noProof/>
          <w:lang w:val="en-IE"/>
        </w:rPr>
        <w:t xml:space="preserve"> </w:t>
      </w:r>
      <w:r w:rsidR="00142C38" w:rsidRPr="007F3D01">
        <w:rPr>
          <w:noProof/>
          <w:lang w:val="en-IE"/>
        </w:rPr>
        <w:t>billion</w:t>
      </w:r>
      <w:r w:rsidR="001443F8" w:rsidRPr="007F3D01">
        <w:rPr>
          <w:rStyle w:val="FootnoteReference"/>
          <w:noProof/>
          <w:lang w:val="en-IE"/>
        </w:rPr>
        <w:footnoteReference w:id="22"/>
      </w:r>
      <w:r w:rsidR="00F87EA8" w:rsidRPr="007F3D01">
        <w:rPr>
          <w:noProof/>
          <w:lang w:val="en-IE"/>
        </w:rPr>
        <w:t>.</w:t>
      </w:r>
      <w:r w:rsidR="00142C38" w:rsidRPr="007F3D01" w:rsidDel="00A91BB3">
        <w:rPr>
          <w:noProof/>
          <w:lang w:val="en-IE"/>
        </w:rPr>
        <w:t xml:space="preserve"> </w:t>
      </w:r>
      <w:r w:rsidR="003E610B" w:rsidRPr="007F3D01">
        <w:rPr>
          <w:noProof/>
          <w:lang w:val="en-IE"/>
        </w:rPr>
        <w:t>The</w:t>
      </w:r>
      <w:r w:rsidR="0077686B">
        <w:rPr>
          <w:noProof/>
          <w:lang w:val="en-IE"/>
        </w:rPr>
        <w:t xml:space="preserve"> current</w:t>
      </w:r>
      <w:r w:rsidR="003E610B" w:rsidRPr="007F3D01">
        <w:rPr>
          <w:noProof/>
          <w:lang w:val="en-IE"/>
        </w:rPr>
        <w:t xml:space="preserve"> cost estimate</w:t>
      </w:r>
      <w:r w:rsidR="008278D2" w:rsidRPr="007F3D01">
        <w:rPr>
          <w:noProof/>
          <w:lang w:val="en-IE"/>
        </w:rPr>
        <w:t xml:space="preserve"> is </w:t>
      </w:r>
      <w:r w:rsidR="00112F61" w:rsidRPr="007F3D01">
        <w:rPr>
          <w:noProof/>
          <w:lang w:val="en-IE"/>
        </w:rPr>
        <w:t xml:space="preserve">at </w:t>
      </w:r>
      <w:r w:rsidR="005D5D66" w:rsidRPr="007F3D01">
        <w:rPr>
          <w:noProof/>
          <w:lang w:val="en-IE"/>
        </w:rPr>
        <w:t xml:space="preserve">the same </w:t>
      </w:r>
      <w:r w:rsidR="00BE3A52" w:rsidRPr="007F3D01">
        <w:rPr>
          <w:noProof/>
          <w:lang w:val="en-IE"/>
        </w:rPr>
        <w:t>level</w:t>
      </w:r>
      <w:r w:rsidR="00F62A60" w:rsidRPr="007F3D01">
        <w:rPr>
          <w:rStyle w:val="FootnoteReference"/>
          <w:rFonts w:eastAsia="Times New Roman"/>
          <w:noProof/>
          <w:color w:val="000000" w:themeColor="text1"/>
          <w:lang w:val="en-IE"/>
        </w:rPr>
        <w:footnoteReference w:id="23"/>
      </w:r>
      <w:r w:rsidR="008278D2" w:rsidRPr="007F3D01">
        <w:rPr>
          <w:noProof/>
          <w:lang w:val="en-IE"/>
        </w:rPr>
        <w:t>.</w:t>
      </w:r>
    </w:p>
    <w:p w14:paraId="17F376FB" w14:textId="67C1173F" w:rsidR="0068325C" w:rsidRPr="007F3D01" w:rsidRDefault="0091419F">
      <w:pPr>
        <w:spacing w:line="276" w:lineRule="auto"/>
        <w:rPr>
          <w:rFonts w:eastAsia="Times New Roman"/>
          <w:noProof/>
          <w:color w:val="000000" w:themeColor="text1"/>
          <w:lang w:val="en-IE"/>
        </w:rPr>
      </w:pPr>
      <w:r w:rsidRPr="007F3D01">
        <w:rPr>
          <w:rFonts w:eastAsia="Times New Roman"/>
          <w:noProof/>
          <w:color w:val="000000" w:themeColor="text1"/>
          <w:lang w:val="en-IE"/>
        </w:rPr>
        <w:t xml:space="preserve">About half of the Member States provided information </w:t>
      </w:r>
      <w:r w:rsidR="0077686B">
        <w:rPr>
          <w:rFonts w:eastAsia="Times New Roman"/>
          <w:noProof/>
          <w:color w:val="000000" w:themeColor="text1"/>
          <w:lang w:val="en-IE"/>
        </w:rPr>
        <w:t>on</w:t>
      </w:r>
      <w:r w:rsidRPr="007F3D01">
        <w:rPr>
          <w:rFonts w:eastAsia="Times New Roman"/>
          <w:noProof/>
          <w:color w:val="000000" w:themeColor="text1"/>
          <w:lang w:val="en-IE"/>
        </w:rPr>
        <w:t xml:space="preserve"> the status of the funds for spent fuel and/or radioactive waste management although </w:t>
      </w:r>
      <w:r w:rsidR="0077686B">
        <w:rPr>
          <w:rFonts w:eastAsia="Times New Roman"/>
          <w:noProof/>
          <w:color w:val="000000" w:themeColor="text1"/>
          <w:lang w:val="en-IE"/>
        </w:rPr>
        <w:t>the</w:t>
      </w:r>
      <w:r w:rsidR="009A12F2" w:rsidRPr="007F3D01">
        <w:rPr>
          <w:rFonts w:eastAsia="Times New Roman"/>
          <w:noProof/>
          <w:color w:val="000000" w:themeColor="text1"/>
          <w:lang w:val="en-IE"/>
        </w:rPr>
        <w:t xml:space="preserve"> level</w:t>
      </w:r>
      <w:r w:rsidRPr="007F3D01">
        <w:rPr>
          <w:rFonts w:eastAsia="Times New Roman"/>
          <w:noProof/>
          <w:color w:val="000000" w:themeColor="text1"/>
          <w:lang w:val="en-IE"/>
        </w:rPr>
        <w:t xml:space="preserve"> of detail</w:t>
      </w:r>
      <w:r w:rsidR="0077686B">
        <w:rPr>
          <w:rFonts w:eastAsia="Times New Roman"/>
          <w:noProof/>
          <w:color w:val="000000" w:themeColor="text1"/>
          <w:lang w:val="en-IE"/>
        </w:rPr>
        <w:t xml:space="preserve"> varied</w:t>
      </w:r>
      <w:r w:rsidRPr="007F3D01">
        <w:rPr>
          <w:rStyle w:val="FootnoteReference"/>
          <w:rFonts w:eastAsia="Times New Roman"/>
          <w:noProof/>
          <w:color w:val="000000" w:themeColor="text1"/>
          <w:lang w:val="en-IE"/>
        </w:rPr>
        <w:footnoteReference w:id="24"/>
      </w:r>
      <w:r w:rsidRPr="007F3D01">
        <w:rPr>
          <w:rFonts w:eastAsia="Times New Roman"/>
          <w:noProof/>
          <w:color w:val="000000" w:themeColor="text1"/>
          <w:lang w:val="en-IE"/>
        </w:rPr>
        <w:t xml:space="preserve">. </w:t>
      </w:r>
      <w:r w:rsidR="00DE7693" w:rsidRPr="007F3D01">
        <w:rPr>
          <w:rFonts w:eastAsia="Times New Roman"/>
          <w:noProof/>
          <w:color w:val="000000" w:themeColor="text1"/>
          <w:lang w:val="en-IE"/>
        </w:rPr>
        <w:t xml:space="preserve">Overall, </w:t>
      </w:r>
      <w:r w:rsidR="005A3711">
        <w:rPr>
          <w:rFonts w:eastAsia="Times New Roman"/>
          <w:noProof/>
          <w:color w:val="000000" w:themeColor="text1"/>
          <w:lang w:val="en-IE"/>
        </w:rPr>
        <w:t>very</w:t>
      </w:r>
      <w:r w:rsidR="009A12F2" w:rsidRPr="007F3D01">
        <w:rPr>
          <w:rFonts w:eastAsia="Times New Roman"/>
          <w:noProof/>
          <w:color w:val="000000" w:themeColor="text1"/>
          <w:lang w:val="en-IE"/>
        </w:rPr>
        <w:t xml:space="preserve"> little</w:t>
      </w:r>
      <w:r w:rsidR="00DE7693" w:rsidRPr="007F3D01">
        <w:rPr>
          <w:rFonts w:eastAsia="Times New Roman"/>
          <w:noProof/>
          <w:color w:val="000000" w:themeColor="text1"/>
          <w:lang w:val="en-IE"/>
        </w:rPr>
        <w:t xml:space="preserve"> information was reported on the performance of the funds. Member States are encouraged to regularly assess </w:t>
      </w:r>
      <w:r w:rsidR="0077686B">
        <w:rPr>
          <w:rFonts w:eastAsia="Times New Roman"/>
          <w:noProof/>
          <w:color w:val="000000" w:themeColor="text1"/>
          <w:lang w:val="en-IE"/>
        </w:rPr>
        <w:t xml:space="preserve">how their funds </w:t>
      </w:r>
      <w:r w:rsidR="00DE7693" w:rsidRPr="007F3D01">
        <w:rPr>
          <w:rFonts w:eastAsia="Times New Roman"/>
          <w:noProof/>
          <w:color w:val="000000" w:themeColor="text1"/>
          <w:lang w:val="en-IE"/>
        </w:rPr>
        <w:t>perform</w:t>
      </w:r>
      <w:r w:rsidR="0077686B">
        <w:rPr>
          <w:rFonts w:eastAsia="Times New Roman"/>
          <w:noProof/>
          <w:color w:val="000000" w:themeColor="text1"/>
          <w:lang w:val="en-IE"/>
        </w:rPr>
        <w:t>, so as</w:t>
      </w:r>
      <w:r w:rsidR="00DE7693" w:rsidRPr="007F3D01">
        <w:rPr>
          <w:rFonts w:eastAsia="Times New Roman"/>
          <w:noProof/>
          <w:color w:val="000000" w:themeColor="text1"/>
          <w:lang w:val="en-IE"/>
        </w:rPr>
        <w:t xml:space="preserve"> to proactively react to any changes that may occur and ensure the timely adoption of corrective measures, if needed.</w:t>
      </w:r>
    </w:p>
    <w:p w14:paraId="17F376FD" w14:textId="5F718BDF" w:rsidR="0068325C" w:rsidRPr="007F3D01" w:rsidRDefault="0077686B" w:rsidP="000D4589">
      <w:pPr>
        <w:spacing w:line="276" w:lineRule="auto"/>
        <w:rPr>
          <w:rFonts w:eastAsia="Times New Roman"/>
          <w:noProof/>
          <w:color w:val="000000" w:themeColor="text1"/>
          <w:lang w:val="en-IE"/>
        </w:rPr>
      </w:pPr>
      <w:r>
        <w:rPr>
          <w:rFonts w:eastAsia="Times New Roman"/>
          <w:noProof/>
          <w:color w:val="000000" w:themeColor="text1"/>
          <w:lang w:val="en-IE"/>
        </w:rPr>
        <w:t>R</w:t>
      </w:r>
      <w:r w:rsidR="000D4589" w:rsidRPr="007F3D01">
        <w:rPr>
          <w:rFonts w:eastAsia="Times New Roman"/>
          <w:noProof/>
          <w:color w:val="000000" w:themeColor="text1"/>
          <w:lang w:val="en-IE"/>
        </w:rPr>
        <w:t>ecogni</w:t>
      </w:r>
      <w:r>
        <w:rPr>
          <w:rFonts w:eastAsia="Times New Roman"/>
          <w:noProof/>
          <w:color w:val="000000" w:themeColor="text1"/>
          <w:lang w:val="en-IE"/>
        </w:rPr>
        <w:t>sing</w:t>
      </w:r>
      <w:r w:rsidR="000D4589" w:rsidRPr="007F3D01">
        <w:rPr>
          <w:rFonts w:eastAsia="Times New Roman"/>
          <w:noProof/>
          <w:color w:val="000000" w:themeColor="text1"/>
          <w:lang w:val="en-IE"/>
        </w:rPr>
        <w:t xml:space="preserve"> the importance </w:t>
      </w:r>
      <w:r w:rsidR="005A3711">
        <w:rPr>
          <w:rFonts w:eastAsia="Times New Roman"/>
          <w:noProof/>
          <w:color w:val="000000" w:themeColor="text1"/>
          <w:lang w:val="en-IE"/>
        </w:rPr>
        <w:t xml:space="preserve">of </w:t>
      </w:r>
      <w:r w:rsidR="000D4589" w:rsidRPr="007F3D01">
        <w:rPr>
          <w:rFonts w:eastAsia="Times New Roman"/>
          <w:noProof/>
          <w:color w:val="000000" w:themeColor="text1"/>
          <w:lang w:val="en-IE"/>
        </w:rPr>
        <w:t xml:space="preserve">this subject, </w:t>
      </w:r>
      <w:r w:rsidR="00B55485">
        <w:rPr>
          <w:rFonts w:eastAsia="Times New Roman"/>
          <w:noProof/>
          <w:color w:val="000000" w:themeColor="text1"/>
          <w:lang w:val="en-IE"/>
        </w:rPr>
        <w:t>in 2020, t</w:t>
      </w:r>
      <w:r w:rsidR="00B55485" w:rsidRPr="00B55485">
        <w:rPr>
          <w:rFonts w:eastAsia="Times New Roman"/>
          <w:noProof/>
          <w:color w:val="000000" w:themeColor="text1"/>
          <w:lang w:val="en-IE"/>
        </w:rPr>
        <w:t>he Commission carried out a study</w:t>
      </w:r>
      <w:r w:rsidR="00B55485">
        <w:rPr>
          <w:rStyle w:val="FootnoteReference"/>
          <w:rFonts w:eastAsia="Times New Roman"/>
          <w:noProof/>
          <w:color w:val="000000" w:themeColor="text1"/>
          <w:lang w:val="en-IE"/>
        </w:rPr>
        <w:footnoteReference w:id="25"/>
      </w:r>
      <w:r w:rsidR="00B55485" w:rsidRPr="00B55485">
        <w:rPr>
          <w:rFonts w:eastAsia="Times New Roman"/>
          <w:noProof/>
          <w:color w:val="000000" w:themeColor="text1"/>
          <w:lang w:val="en-IE"/>
        </w:rPr>
        <w:t xml:space="preserve"> on the methodologies </w:t>
      </w:r>
      <w:r w:rsidR="00912594">
        <w:rPr>
          <w:rFonts w:eastAsia="Times New Roman"/>
          <w:noProof/>
          <w:color w:val="000000" w:themeColor="text1"/>
          <w:lang w:val="en-IE"/>
        </w:rPr>
        <w:t xml:space="preserve">in </w:t>
      </w:r>
      <w:r w:rsidR="00B55485" w:rsidRPr="00B55485">
        <w:rPr>
          <w:rFonts w:eastAsia="Times New Roman"/>
          <w:noProof/>
          <w:color w:val="000000" w:themeColor="text1"/>
          <w:lang w:val="en-IE"/>
        </w:rPr>
        <w:t>use for cost assessment, as well as the financing schemes in place and the relationship between them. The study identified common trends, good practices and challenges for all Member States.</w:t>
      </w:r>
      <w:r w:rsidR="00B55485">
        <w:rPr>
          <w:rFonts w:eastAsia="Times New Roman"/>
          <w:noProof/>
          <w:color w:val="000000" w:themeColor="text1"/>
          <w:lang w:val="en-IE"/>
        </w:rPr>
        <w:t xml:space="preserve"> Furthermore, </w:t>
      </w:r>
      <w:r w:rsidR="000D4589" w:rsidRPr="007F3D01">
        <w:rPr>
          <w:rFonts w:eastAsia="Times New Roman"/>
          <w:noProof/>
          <w:color w:val="000000" w:themeColor="text1"/>
          <w:lang w:val="en-IE"/>
        </w:rPr>
        <w:t>in 2021</w:t>
      </w:r>
      <w:r>
        <w:rPr>
          <w:rFonts w:eastAsia="Times New Roman"/>
          <w:noProof/>
          <w:color w:val="000000" w:themeColor="text1"/>
          <w:lang w:val="en-IE"/>
        </w:rPr>
        <w:t>,</w:t>
      </w:r>
      <w:r w:rsidR="000D4589" w:rsidRPr="007F3D01">
        <w:rPr>
          <w:rFonts w:eastAsia="Times New Roman"/>
          <w:noProof/>
          <w:color w:val="000000" w:themeColor="text1"/>
          <w:lang w:val="en-IE"/>
        </w:rPr>
        <w:t xml:space="preserve"> t</w:t>
      </w:r>
      <w:r w:rsidR="0091419F" w:rsidRPr="007F3D01">
        <w:rPr>
          <w:rFonts w:eastAsia="Times New Roman"/>
          <w:noProof/>
          <w:color w:val="000000" w:themeColor="text1"/>
          <w:lang w:val="en-IE"/>
        </w:rPr>
        <w:t>he Commission</w:t>
      </w:r>
      <w:r w:rsidR="00DD49FD" w:rsidRPr="007F3D01">
        <w:rPr>
          <w:rFonts w:eastAsia="Times New Roman"/>
          <w:noProof/>
          <w:color w:val="000000" w:themeColor="text1"/>
          <w:lang w:val="en-IE"/>
        </w:rPr>
        <w:t xml:space="preserve"> </w:t>
      </w:r>
      <w:r w:rsidR="0088635E" w:rsidRPr="007F3D01">
        <w:rPr>
          <w:rFonts w:eastAsia="Times New Roman"/>
          <w:noProof/>
          <w:color w:val="000000" w:themeColor="text1"/>
          <w:lang w:val="en-IE"/>
        </w:rPr>
        <w:t xml:space="preserve">formally </w:t>
      </w:r>
      <w:r w:rsidR="000D4589" w:rsidRPr="007F3D01">
        <w:rPr>
          <w:rFonts w:eastAsia="Times New Roman"/>
          <w:noProof/>
          <w:color w:val="000000" w:themeColor="text1"/>
          <w:lang w:val="en-IE"/>
        </w:rPr>
        <w:t>established the group of experts on financial aspects of nuclear decommissioning and spent fuel and radioactive waste management (short name</w:t>
      </w:r>
      <w:r>
        <w:rPr>
          <w:rFonts w:eastAsia="Times New Roman"/>
          <w:noProof/>
          <w:color w:val="000000" w:themeColor="text1"/>
          <w:lang w:val="en-IE"/>
        </w:rPr>
        <w:t>:</w:t>
      </w:r>
      <w:r w:rsidR="00B52CFF" w:rsidRPr="007F3D01">
        <w:rPr>
          <w:rFonts w:eastAsia="Times New Roman"/>
          <w:noProof/>
          <w:color w:val="000000" w:themeColor="text1"/>
          <w:lang w:val="en-IE"/>
        </w:rPr>
        <w:t xml:space="preserve"> </w:t>
      </w:r>
      <w:r>
        <w:rPr>
          <w:rFonts w:eastAsia="Times New Roman"/>
          <w:noProof/>
          <w:color w:val="000000" w:themeColor="text1"/>
          <w:lang w:val="en-IE"/>
        </w:rPr>
        <w:t>‘</w:t>
      </w:r>
      <w:r w:rsidR="00B52CFF" w:rsidRPr="007F3D01">
        <w:rPr>
          <w:rFonts w:eastAsia="Times New Roman"/>
          <w:noProof/>
          <w:color w:val="000000" w:themeColor="text1"/>
          <w:lang w:val="en-IE"/>
        </w:rPr>
        <w:t>Nuclear Backend Financial Aspects expert group</w:t>
      </w:r>
      <w:r w:rsidR="0032609E">
        <w:rPr>
          <w:rFonts w:eastAsia="Times New Roman"/>
          <w:noProof/>
          <w:color w:val="000000" w:themeColor="text1"/>
          <w:lang w:val="en-IE"/>
        </w:rPr>
        <w:t>’</w:t>
      </w:r>
      <w:r w:rsidR="000D4589" w:rsidRPr="007F3D01">
        <w:rPr>
          <w:rFonts w:eastAsia="Times New Roman"/>
          <w:noProof/>
          <w:color w:val="000000" w:themeColor="text1"/>
          <w:lang w:val="en-IE"/>
        </w:rPr>
        <w:t>)</w:t>
      </w:r>
      <w:r w:rsidR="000D4589" w:rsidRPr="007F3D01">
        <w:rPr>
          <w:rStyle w:val="FootnoteReference"/>
          <w:rFonts w:eastAsia="Times New Roman"/>
          <w:noProof/>
          <w:color w:val="000000" w:themeColor="text1"/>
          <w:lang w:val="en-IE"/>
        </w:rPr>
        <w:footnoteReference w:id="26"/>
      </w:r>
      <w:r w:rsidR="000D4589" w:rsidRPr="007F3D01">
        <w:rPr>
          <w:rFonts w:eastAsia="Times New Roman"/>
          <w:noProof/>
          <w:color w:val="000000" w:themeColor="text1"/>
          <w:lang w:val="en-IE"/>
        </w:rPr>
        <w:t xml:space="preserve">. </w:t>
      </w:r>
      <w:r>
        <w:rPr>
          <w:rFonts w:eastAsia="Times New Roman"/>
          <w:noProof/>
          <w:color w:val="000000" w:themeColor="text1"/>
          <w:lang w:val="en-IE"/>
        </w:rPr>
        <w:t>Through</w:t>
      </w:r>
      <w:r w:rsidR="000D4589" w:rsidRPr="007F3D01">
        <w:rPr>
          <w:rFonts w:eastAsia="Times New Roman"/>
          <w:noProof/>
          <w:color w:val="000000" w:themeColor="text1"/>
          <w:lang w:val="en-IE"/>
        </w:rPr>
        <w:t xml:space="preserve"> its work programme</w:t>
      </w:r>
      <w:r w:rsidR="0051232B">
        <w:rPr>
          <w:rFonts w:eastAsia="Times New Roman"/>
          <w:noProof/>
          <w:color w:val="000000" w:themeColor="text1"/>
        </w:rPr>
        <w:t>,</w:t>
      </w:r>
      <w:r w:rsidR="000D4589" w:rsidRPr="007F3D01">
        <w:rPr>
          <w:rFonts w:eastAsia="Times New Roman"/>
          <w:noProof/>
          <w:color w:val="000000" w:themeColor="text1"/>
          <w:lang w:val="en-IE"/>
        </w:rPr>
        <w:t xml:space="preserve"> the group of experts will support the Commission and the Member States </w:t>
      </w:r>
      <w:r>
        <w:rPr>
          <w:rFonts w:eastAsia="Times New Roman"/>
          <w:noProof/>
          <w:color w:val="000000" w:themeColor="text1"/>
          <w:lang w:val="en-IE"/>
        </w:rPr>
        <w:t>in</w:t>
      </w:r>
      <w:r w:rsidR="00DD49FD" w:rsidRPr="007F3D01">
        <w:rPr>
          <w:rFonts w:eastAsia="Times New Roman"/>
          <w:noProof/>
          <w:color w:val="000000" w:themeColor="text1"/>
          <w:lang w:val="en-IE"/>
        </w:rPr>
        <w:t xml:space="preserve"> financial </w:t>
      </w:r>
      <w:r w:rsidR="00B96355" w:rsidRPr="007F3D01">
        <w:rPr>
          <w:rFonts w:eastAsia="Times New Roman"/>
          <w:noProof/>
          <w:color w:val="000000" w:themeColor="text1"/>
          <w:lang w:val="en-IE"/>
        </w:rPr>
        <w:t>assessment</w:t>
      </w:r>
      <w:r w:rsidR="00DD49FD" w:rsidRPr="007F3D01">
        <w:rPr>
          <w:rFonts w:eastAsia="Times New Roman"/>
          <w:noProof/>
          <w:color w:val="000000" w:themeColor="text1"/>
          <w:lang w:val="en-IE"/>
        </w:rPr>
        <w:t xml:space="preserve"> and modelling</w:t>
      </w:r>
      <w:r w:rsidR="00B52CFF" w:rsidRPr="007F3D01">
        <w:rPr>
          <w:rFonts w:eastAsia="Times New Roman"/>
          <w:noProof/>
          <w:color w:val="000000" w:themeColor="text1"/>
          <w:lang w:val="en-IE"/>
        </w:rPr>
        <w:t>.</w:t>
      </w:r>
      <w:r w:rsidR="00C00471">
        <w:rPr>
          <w:rFonts w:eastAsia="Times New Roman"/>
          <w:noProof/>
          <w:color w:val="000000" w:themeColor="text1"/>
          <w:lang w:val="en-IE"/>
        </w:rPr>
        <w:t xml:space="preserve"> Nonetheless</w:t>
      </w:r>
      <w:r w:rsidR="0088635E">
        <w:rPr>
          <w:rFonts w:eastAsia="Times New Roman"/>
          <w:noProof/>
          <w:color w:val="000000" w:themeColor="text1"/>
          <w:lang w:val="en-IE"/>
        </w:rPr>
        <w:t>,</w:t>
      </w:r>
      <w:r w:rsidR="00C00471">
        <w:rPr>
          <w:rFonts w:eastAsia="Times New Roman"/>
          <w:noProof/>
          <w:color w:val="000000" w:themeColor="text1"/>
          <w:lang w:val="en-IE"/>
        </w:rPr>
        <w:t xml:space="preserve"> </w:t>
      </w:r>
      <w:r w:rsidR="00C00471">
        <w:rPr>
          <w:noProof/>
          <w:lang w:val="en-IE"/>
        </w:rPr>
        <w:t xml:space="preserve">it is apparent </w:t>
      </w:r>
      <w:r w:rsidR="0088635E">
        <w:rPr>
          <w:noProof/>
          <w:lang w:val="en-IE"/>
        </w:rPr>
        <w:t xml:space="preserve">that </w:t>
      </w:r>
      <w:r w:rsidR="00C00471">
        <w:rPr>
          <w:noProof/>
          <w:lang w:val="en-IE"/>
        </w:rPr>
        <w:t xml:space="preserve">the Directive </w:t>
      </w:r>
      <w:r w:rsidR="0076187B">
        <w:rPr>
          <w:noProof/>
          <w:lang w:val="en-IE"/>
        </w:rPr>
        <w:t>has</w:t>
      </w:r>
      <w:r w:rsidR="00C00471">
        <w:rPr>
          <w:noProof/>
          <w:lang w:val="en-IE"/>
        </w:rPr>
        <w:t xml:space="preserve"> not </w:t>
      </w:r>
      <w:r w:rsidR="0076187B">
        <w:rPr>
          <w:noProof/>
          <w:lang w:val="en-IE"/>
        </w:rPr>
        <w:t xml:space="preserve">been </w:t>
      </w:r>
      <w:r w:rsidR="00C00471">
        <w:rPr>
          <w:noProof/>
          <w:lang w:val="en-IE"/>
        </w:rPr>
        <w:t xml:space="preserve">effective </w:t>
      </w:r>
      <w:r w:rsidR="009A3499">
        <w:rPr>
          <w:noProof/>
          <w:lang w:val="en-IE"/>
        </w:rPr>
        <w:t>as regards</w:t>
      </w:r>
      <w:r w:rsidR="00805794">
        <w:rPr>
          <w:noProof/>
          <w:lang w:val="en-IE"/>
        </w:rPr>
        <w:t xml:space="preserve"> </w:t>
      </w:r>
      <w:r w:rsidR="0076187B">
        <w:rPr>
          <w:noProof/>
          <w:lang w:val="en-IE"/>
        </w:rPr>
        <w:t xml:space="preserve">its </w:t>
      </w:r>
      <w:r w:rsidR="009A3499">
        <w:rPr>
          <w:noProof/>
          <w:lang w:val="en-IE"/>
        </w:rPr>
        <w:t xml:space="preserve">rules that </w:t>
      </w:r>
      <w:r w:rsidR="0076187B">
        <w:rPr>
          <w:noProof/>
          <w:lang w:val="en-IE"/>
        </w:rPr>
        <w:t>aimed to</w:t>
      </w:r>
      <w:r w:rsidR="00E43F3D">
        <w:rPr>
          <w:noProof/>
          <w:lang w:val="en-IE"/>
        </w:rPr>
        <w:t xml:space="preserve"> create</w:t>
      </w:r>
      <w:r w:rsidR="00525A2F">
        <w:rPr>
          <w:noProof/>
          <w:lang w:val="en-IE"/>
        </w:rPr>
        <w:t xml:space="preserve"> conditions </w:t>
      </w:r>
      <w:r w:rsidR="0076187B">
        <w:rPr>
          <w:noProof/>
          <w:lang w:val="en-IE"/>
        </w:rPr>
        <w:t>for</w:t>
      </w:r>
      <w:r w:rsidR="00525A2F">
        <w:rPr>
          <w:noProof/>
          <w:lang w:val="en-IE"/>
        </w:rPr>
        <w:t xml:space="preserve"> </w:t>
      </w:r>
      <w:r w:rsidR="0076187B">
        <w:rPr>
          <w:noProof/>
          <w:lang w:val="en-IE"/>
        </w:rPr>
        <w:t>fully ensuring</w:t>
      </w:r>
      <w:r w:rsidR="00525A2F">
        <w:rPr>
          <w:noProof/>
          <w:lang w:val="en-IE"/>
        </w:rPr>
        <w:t xml:space="preserve"> </w:t>
      </w:r>
      <w:r w:rsidR="0076187B">
        <w:rPr>
          <w:noProof/>
          <w:lang w:val="en-IE"/>
        </w:rPr>
        <w:t xml:space="preserve">the availability of </w:t>
      </w:r>
      <w:r w:rsidR="00A9223D" w:rsidRPr="00A9223D">
        <w:rPr>
          <w:noProof/>
          <w:lang w:val="en-IE"/>
        </w:rPr>
        <w:t xml:space="preserve">adequate financial resources </w:t>
      </w:r>
      <w:r w:rsidR="0076187B">
        <w:rPr>
          <w:noProof/>
          <w:lang w:val="en-IE"/>
        </w:rPr>
        <w:t>for spent fuel and radioactive waste management</w:t>
      </w:r>
      <w:r w:rsidR="00C274C9">
        <w:rPr>
          <w:noProof/>
          <w:lang w:val="en-IE"/>
        </w:rPr>
        <w:t xml:space="preserve">, </w:t>
      </w:r>
      <w:r w:rsidR="00C274C9" w:rsidRPr="00C274C9">
        <w:rPr>
          <w:noProof/>
          <w:lang w:val="en-IE"/>
        </w:rPr>
        <w:t>including radioactive waste from decommissioning activitie</w:t>
      </w:r>
      <w:r w:rsidR="00C274C9">
        <w:rPr>
          <w:noProof/>
          <w:lang w:val="en-IE"/>
        </w:rPr>
        <w:t>s,</w:t>
      </w:r>
      <w:r w:rsidR="0076187B">
        <w:rPr>
          <w:noProof/>
          <w:lang w:val="en-IE"/>
        </w:rPr>
        <w:t xml:space="preserve"> </w:t>
      </w:r>
      <w:r w:rsidR="00A9223D" w:rsidRPr="00A9223D">
        <w:rPr>
          <w:noProof/>
          <w:lang w:val="en-IE"/>
        </w:rPr>
        <w:t>when needed</w:t>
      </w:r>
      <w:r w:rsidR="009C33E5">
        <w:rPr>
          <w:noProof/>
          <w:lang w:val="en-IE"/>
        </w:rPr>
        <w:t xml:space="preserve">. </w:t>
      </w:r>
    </w:p>
    <w:p w14:paraId="17F376FE" w14:textId="00DB9A95" w:rsidR="0068325C" w:rsidRPr="007F3D01" w:rsidRDefault="0091419F" w:rsidP="00DF191B">
      <w:pPr>
        <w:pStyle w:val="Heading3"/>
        <w:rPr>
          <w:lang w:val="en-IE"/>
        </w:rPr>
      </w:pPr>
      <w:bookmarkStart w:id="19" w:name="_Toc166055462"/>
      <w:r w:rsidRPr="007F3D01">
        <w:rPr>
          <w:lang w:val="en-IE"/>
        </w:rPr>
        <w:t>Transparency</w:t>
      </w:r>
      <w:r w:rsidR="006515D6" w:rsidRPr="007F3D01">
        <w:rPr>
          <w:lang w:val="en-IE"/>
        </w:rPr>
        <w:t xml:space="preserve"> and public participation</w:t>
      </w:r>
      <w:bookmarkEnd w:id="19"/>
    </w:p>
    <w:p w14:paraId="71044CA5" w14:textId="3955E6D8" w:rsidR="00D14E65" w:rsidRPr="007F3D01" w:rsidRDefault="00482863">
      <w:pPr>
        <w:spacing w:line="276" w:lineRule="auto"/>
        <w:rPr>
          <w:noProof/>
          <w:lang w:val="en-IE"/>
        </w:rPr>
      </w:pPr>
      <w:r w:rsidRPr="007F3D01">
        <w:rPr>
          <w:noProof/>
          <w:lang w:val="en-IE"/>
        </w:rPr>
        <w:t>No major steps or developments were reported by the Member States, except</w:t>
      </w:r>
      <w:r w:rsidR="0069247C">
        <w:rPr>
          <w:noProof/>
          <w:lang w:val="en-IE"/>
        </w:rPr>
        <w:t xml:space="preserve"> for</w:t>
      </w:r>
      <w:r w:rsidRPr="007F3D01">
        <w:rPr>
          <w:noProof/>
          <w:lang w:val="en-IE"/>
        </w:rPr>
        <w:t xml:space="preserve"> France’s public</w:t>
      </w:r>
      <w:r w:rsidR="006515D6" w:rsidRPr="007F3D01">
        <w:rPr>
          <w:noProof/>
          <w:lang w:val="en-IE"/>
        </w:rPr>
        <w:t xml:space="preserve"> debate</w:t>
      </w:r>
      <w:r w:rsidRPr="007F3D01">
        <w:rPr>
          <w:noProof/>
          <w:lang w:val="en-IE"/>
        </w:rPr>
        <w:t xml:space="preserve"> on the </w:t>
      </w:r>
      <w:r w:rsidR="006515D6" w:rsidRPr="007F3D01">
        <w:rPr>
          <w:noProof/>
          <w:lang w:val="en-IE"/>
        </w:rPr>
        <w:t>fifth National Programme</w:t>
      </w:r>
      <w:r w:rsidR="00076972" w:rsidRPr="007F3D01">
        <w:rPr>
          <w:rStyle w:val="FootnoteReference"/>
          <w:rFonts w:eastAsia="Times New Roman"/>
          <w:noProof/>
          <w:color w:val="000000" w:themeColor="text1"/>
          <w:lang w:val="en-IE"/>
        </w:rPr>
        <w:footnoteReference w:id="27"/>
      </w:r>
      <w:r w:rsidR="006515D6" w:rsidRPr="007F3D01">
        <w:rPr>
          <w:noProof/>
          <w:lang w:val="en-IE"/>
        </w:rPr>
        <w:t xml:space="preserve">. </w:t>
      </w:r>
      <w:r w:rsidR="002D58C9" w:rsidRPr="007F3D01">
        <w:rPr>
          <w:noProof/>
          <w:lang w:val="en-IE"/>
        </w:rPr>
        <w:t>The</w:t>
      </w:r>
      <w:r w:rsidR="00490CF2" w:rsidRPr="007F3D01">
        <w:rPr>
          <w:noProof/>
          <w:lang w:val="en-IE"/>
        </w:rPr>
        <w:t xml:space="preserve"> national reports </w:t>
      </w:r>
      <w:r w:rsidRPr="007F3D01">
        <w:rPr>
          <w:noProof/>
          <w:lang w:val="en-IE"/>
        </w:rPr>
        <w:t>presented</w:t>
      </w:r>
      <w:r w:rsidR="00490CF2" w:rsidRPr="007F3D01">
        <w:rPr>
          <w:noProof/>
          <w:lang w:val="en-IE"/>
        </w:rPr>
        <w:t xml:space="preserve"> </w:t>
      </w:r>
      <w:r w:rsidRPr="007F3D01">
        <w:rPr>
          <w:noProof/>
          <w:lang w:val="en-IE"/>
        </w:rPr>
        <w:t xml:space="preserve">mainly </w:t>
      </w:r>
      <w:r w:rsidR="00490CF2" w:rsidRPr="007F3D01">
        <w:rPr>
          <w:noProof/>
          <w:lang w:val="en-IE"/>
        </w:rPr>
        <w:t>the policy and legal framework regula</w:t>
      </w:r>
      <w:r w:rsidR="00A33053" w:rsidRPr="007F3D01">
        <w:rPr>
          <w:noProof/>
          <w:lang w:val="en-IE"/>
        </w:rPr>
        <w:t>t</w:t>
      </w:r>
      <w:r w:rsidR="00490CF2" w:rsidRPr="007F3D01">
        <w:rPr>
          <w:noProof/>
          <w:lang w:val="en-IE"/>
        </w:rPr>
        <w:t xml:space="preserve">ing the transparency </w:t>
      </w:r>
      <w:r w:rsidR="00341A8A" w:rsidRPr="007F3D01">
        <w:rPr>
          <w:noProof/>
          <w:lang w:val="en-IE"/>
        </w:rPr>
        <w:t>arrangements and</w:t>
      </w:r>
      <w:r w:rsidR="00A33053" w:rsidRPr="007F3D01">
        <w:rPr>
          <w:noProof/>
          <w:lang w:val="en-IE"/>
        </w:rPr>
        <w:t xml:space="preserve"> </w:t>
      </w:r>
      <w:r w:rsidRPr="007F3D01">
        <w:rPr>
          <w:noProof/>
          <w:lang w:val="en-IE"/>
        </w:rPr>
        <w:t xml:space="preserve">provided </w:t>
      </w:r>
      <w:r w:rsidR="00490CF2" w:rsidRPr="007F3D01">
        <w:rPr>
          <w:noProof/>
          <w:lang w:val="en-IE"/>
        </w:rPr>
        <w:t>little or no details</w:t>
      </w:r>
      <w:r w:rsidR="00A33053" w:rsidRPr="007F3D01">
        <w:rPr>
          <w:noProof/>
          <w:lang w:val="en-IE"/>
        </w:rPr>
        <w:t xml:space="preserve"> </w:t>
      </w:r>
      <w:r w:rsidRPr="007F3D01">
        <w:rPr>
          <w:noProof/>
          <w:lang w:val="en-IE"/>
        </w:rPr>
        <w:t xml:space="preserve">regarding </w:t>
      </w:r>
      <w:r w:rsidR="00490CF2" w:rsidRPr="007F3D01">
        <w:rPr>
          <w:noProof/>
          <w:lang w:val="en-IE"/>
        </w:rPr>
        <w:t>actual implementation or practice</w:t>
      </w:r>
      <w:r w:rsidR="00A33053" w:rsidRPr="007F3D01">
        <w:rPr>
          <w:noProof/>
          <w:lang w:val="en-IE"/>
        </w:rPr>
        <w:t>s</w:t>
      </w:r>
      <w:r w:rsidR="00490CF2" w:rsidRPr="007F3D01">
        <w:rPr>
          <w:noProof/>
          <w:lang w:val="en-IE"/>
        </w:rPr>
        <w:t xml:space="preserve">. </w:t>
      </w:r>
      <w:r w:rsidR="002D58C9" w:rsidRPr="007F3D01">
        <w:rPr>
          <w:noProof/>
          <w:lang w:val="en-IE"/>
        </w:rPr>
        <w:t>T</w:t>
      </w:r>
      <w:r w:rsidR="00490CF2" w:rsidRPr="007F3D01">
        <w:rPr>
          <w:noProof/>
          <w:lang w:val="en-IE"/>
        </w:rPr>
        <w:t xml:space="preserve">he </w:t>
      </w:r>
      <w:r w:rsidR="002D58C9" w:rsidRPr="007F3D01">
        <w:rPr>
          <w:noProof/>
          <w:lang w:val="en-IE"/>
        </w:rPr>
        <w:t xml:space="preserve">major </w:t>
      </w:r>
      <w:r w:rsidR="00490CF2" w:rsidRPr="007F3D01">
        <w:rPr>
          <w:noProof/>
          <w:lang w:val="en-IE"/>
        </w:rPr>
        <w:t>channels of publicity</w:t>
      </w:r>
      <w:r w:rsidR="0069247C">
        <w:rPr>
          <w:noProof/>
          <w:lang w:val="en-IE"/>
        </w:rPr>
        <w:t xml:space="preserve"> continued to be</w:t>
      </w:r>
      <w:r w:rsidR="00490CF2" w:rsidRPr="007F3D01">
        <w:rPr>
          <w:noProof/>
          <w:lang w:val="en-IE"/>
        </w:rPr>
        <w:t xml:space="preserve"> web sites, reports, media, etc. </w:t>
      </w:r>
      <w:r w:rsidR="00A33053" w:rsidRPr="007F3D01">
        <w:rPr>
          <w:noProof/>
          <w:lang w:val="en-IE"/>
        </w:rPr>
        <w:t>T</w:t>
      </w:r>
      <w:r w:rsidR="00EE54A8" w:rsidRPr="007F3D01">
        <w:rPr>
          <w:noProof/>
          <w:lang w:val="en-IE"/>
        </w:rPr>
        <w:t>ypically</w:t>
      </w:r>
      <w:r w:rsidR="00D262D3">
        <w:rPr>
          <w:noProof/>
          <w:lang w:val="en-IE"/>
        </w:rPr>
        <w:t>,</w:t>
      </w:r>
      <w:r w:rsidR="00EE54A8" w:rsidRPr="007F3D01">
        <w:rPr>
          <w:noProof/>
          <w:lang w:val="en-IE"/>
        </w:rPr>
        <w:t xml:space="preserve"> regulatory authorities</w:t>
      </w:r>
      <w:r w:rsidR="0069247C">
        <w:rPr>
          <w:noProof/>
          <w:lang w:val="en-IE"/>
        </w:rPr>
        <w:t xml:space="preserve"> carry out</w:t>
      </w:r>
      <w:r w:rsidR="00EE54A8" w:rsidRPr="007F3D01">
        <w:rPr>
          <w:noProof/>
          <w:lang w:val="en-IE"/>
        </w:rPr>
        <w:t xml:space="preserve"> t</w:t>
      </w:r>
      <w:r w:rsidR="00490CF2" w:rsidRPr="007F3D01">
        <w:rPr>
          <w:noProof/>
          <w:lang w:val="en-IE"/>
        </w:rPr>
        <w:t xml:space="preserve">hese </w:t>
      </w:r>
      <w:r w:rsidR="00B96355" w:rsidRPr="007F3D01">
        <w:rPr>
          <w:noProof/>
          <w:lang w:val="en-IE"/>
        </w:rPr>
        <w:t>activities</w:t>
      </w:r>
      <w:r w:rsidR="00D14E65" w:rsidRPr="007F3D01">
        <w:rPr>
          <w:noProof/>
          <w:lang w:val="en-IE"/>
        </w:rPr>
        <w:t xml:space="preserve">, though </w:t>
      </w:r>
      <w:r w:rsidR="0069247C">
        <w:rPr>
          <w:noProof/>
          <w:lang w:val="en-IE"/>
        </w:rPr>
        <w:t xml:space="preserve">in </w:t>
      </w:r>
      <w:r w:rsidR="00D14E65" w:rsidRPr="007F3D01">
        <w:rPr>
          <w:noProof/>
          <w:lang w:val="en-IE"/>
        </w:rPr>
        <w:t xml:space="preserve">some </w:t>
      </w:r>
      <w:r w:rsidR="0069247C">
        <w:rPr>
          <w:noProof/>
          <w:lang w:val="en-IE"/>
        </w:rPr>
        <w:t xml:space="preserve">Member States </w:t>
      </w:r>
      <w:r w:rsidR="00D14E65" w:rsidRPr="007F3D01">
        <w:rPr>
          <w:noProof/>
          <w:lang w:val="en-IE"/>
        </w:rPr>
        <w:t>national legislation also create</w:t>
      </w:r>
      <w:r w:rsidR="0069247C">
        <w:rPr>
          <w:noProof/>
          <w:lang w:val="en-IE"/>
        </w:rPr>
        <w:t>s</w:t>
      </w:r>
      <w:r w:rsidR="00D14E65" w:rsidRPr="007F3D01">
        <w:rPr>
          <w:noProof/>
          <w:lang w:val="en-IE"/>
        </w:rPr>
        <w:t xml:space="preserve"> obligations towards the licence holders</w:t>
      </w:r>
      <w:r w:rsidR="00490CF2" w:rsidRPr="007F3D01">
        <w:rPr>
          <w:noProof/>
          <w:lang w:val="en-IE"/>
        </w:rPr>
        <w:t xml:space="preserve">. </w:t>
      </w:r>
      <w:r w:rsidR="00D14E65" w:rsidRPr="007F3D01">
        <w:rPr>
          <w:noProof/>
          <w:lang w:val="en-IE"/>
        </w:rPr>
        <w:t xml:space="preserve">Over two thirds of the Member States consult the public </w:t>
      </w:r>
      <w:r w:rsidR="0069247C">
        <w:rPr>
          <w:noProof/>
          <w:lang w:val="en-IE"/>
        </w:rPr>
        <w:t xml:space="preserve">as part </w:t>
      </w:r>
      <w:r w:rsidR="00D14E65" w:rsidRPr="007F3D01">
        <w:rPr>
          <w:noProof/>
          <w:lang w:val="en-IE"/>
        </w:rPr>
        <w:t>of the environmental impact assessment as a precondition for issuing licen</w:t>
      </w:r>
      <w:r w:rsidR="0069247C">
        <w:rPr>
          <w:noProof/>
          <w:lang w:val="en-IE"/>
        </w:rPr>
        <w:t>c</w:t>
      </w:r>
      <w:r w:rsidR="00D14E65" w:rsidRPr="007F3D01">
        <w:rPr>
          <w:noProof/>
          <w:lang w:val="en-IE"/>
        </w:rPr>
        <w:t>es for nuclear and radioactive waste management installations.</w:t>
      </w:r>
    </w:p>
    <w:p w14:paraId="17F37701" w14:textId="276CB425" w:rsidR="0068325C" w:rsidRPr="007F3D01" w:rsidRDefault="0091419F">
      <w:pPr>
        <w:spacing w:line="276" w:lineRule="auto"/>
        <w:rPr>
          <w:noProof/>
          <w:color w:val="000000" w:themeColor="text1"/>
          <w:lang w:val="en-IE"/>
        </w:rPr>
      </w:pPr>
      <w:r w:rsidRPr="007F3D01">
        <w:rPr>
          <w:noProof/>
          <w:color w:val="000000" w:themeColor="text1"/>
          <w:lang w:val="en-IE"/>
        </w:rPr>
        <w:t>The Commission</w:t>
      </w:r>
      <w:r w:rsidR="001E5A61" w:rsidRPr="007F3D01">
        <w:rPr>
          <w:noProof/>
          <w:color w:val="000000" w:themeColor="text1"/>
          <w:lang w:val="en-IE"/>
        </w:rPr>
        <w:t xml:space="preserve"> reiterates</w:t>
      </w:r>
      <w:r w:rsidRPr="007F3D01">
        <w:rPr>
          <w:noProof/>
          <w:color w:val="000000" w:themeColor="text1"/>
          <w:lang w:val="en-IE"/>
        </w:rPr>
        <w:t xml:space="preserve"> the importance of implement</w:t>
      </w:r>
      <w:r w:rsidR="0069247C">
        <w:rPr>
          <w:noProof/>
          <w:color w:val="000000" w:themeColor="text1"/>
          <w:lang w:val="en-IE"/>
        </w:rPr>
        <w:t>ing</w:t>
      </w:r>
      <w:r w:rsidRPr="007F3D01">
        <w:rPr>
          <w:noProof/>
          <w:color w:val="000000" w:themeColor="text1"/>
          <w:lang w:val="en-IE"/>
        </w:rPr>
        <w:t xml:space="preserve"> the transparency </w:t>
      </w:r>
      <w:r w:rsidR="00760B72" w:rsidRPr="007F3D01">
        <w:rPr>
          <w:noProof/>
          <w:color w:val="000000" w:themeColor="text1"/>
          <w:lang w:val="en-IE"/>
        </w:rPr>
        <w:t xml:space="preserve">and public participation </w:t>
      </w:r>
      <w:r w:rsidRPr="007F3D01">
        <w:rPr>
          <w:noProof/>
          <w:color w:val="000000" w:themeColor="text1"/>
          <w:lang w:val="en-IE"/>
        </w:rPr>
        <w:t>requirements</w:t>
      </w:r>
      <w:r w:rsidR="0069247C">
        <w:rPr>
          <w:noProof/>
          <w:color w:val="000000" w:themeColor="text1"/>
          <w:lang w:val="en-IE"/>
        </w:rPr>
        <w:t xml:space="preserve"> effectively</w:t>
      </w:r>
      <w:r w:rsidR="00760B72" w:rsidRPr="007F3D01">
        <w:rPr>
          <w:noProof/>
          <w:color w:val="000000" w:themeColor="text1"/>
          <w:lang w:val="en-IE"/>
        </w:rPr>
        <w:t>, including</w:t>
      </w:r>
      <w:r w:rsidRPr="007F3D01">
        <w:rPr>
          <w:noProof/>
          <w:color w:val="000000" w:themeColor="text1"/>
          <w:lang w:val="en-IE"/>
        </w:rPr>
        <w:t xml:space="preserve"> </w:t>
      </w:r>
      <w:r w:rsidR="0069247C">
        <w:rPr>
          <w:noProof/>
          <w:color w:val="000000" w:themeColor="text1"/>
          <w:lang w:val="en-IE"/>
        </w:rPr>
        <w:t xml:space="preserve">providing </w:t>
      </w:r>
      <w:r w:rsidR="004F09F8" w:rsidRPr="007F3D01">
        <w:rPr>
          <w:noProof/>
          <w:color w:val="000000" w:themeColor="text1"/>
          <w:lang w:val="en-IE"/>
        </w:rPr>
        <w:t>inform</w:t>
      </w:r>
      <w:r w:rsidR="0069247C">
        <w:rPr>
          <w:noProof/>
          <w:color w:val="000000" w:themeColor="text1"/>
          <w:lang w:val="en-IE"/>
        </w:rPr>
        <w:t>ation</w:t>
      </w:r>
      <w:r w:rsidRPr="007F3D01">
        <w:rPr>
          <w:noProof/>
          <w:color w:val="000000" w:themeColor="text1"/>
          <w:lang w:val="en-IE"/>
        </w:rPr>
        <w:t xml:space="preserve"> on </w:t>
      </w:r>
      <w:r w:rsidR="0069247C">
        <w:rPr>
          <w:noProof/>
          <w:color w:val="000000" w:themeColor="text1"/>
          <w:lang w:val="en-IE"/>
        </w:rPr>
        <w:t xml:space="preserve">the </w:t>
      </w:r>
      <w:r w:rsidRPr="007F3D01">
        <w:rPr>
          <w:noProof/>
          <w:color w:val="000000" w:themeColor="text1"/>
          <w:lang w:val="en-IE"/>
        </w:rPr>
        <w:t>progress of implementation in practice</w:t>
      </w:r>
      <w:r w:rsidR="00760B72" w:rsidRPr="007F3D01">
        <w:rPr>
          <w:noProof/>
          <w:color w:val="000000" w:themeColor="text1"/>
          <w:lang w:val="en-IE"/>
        </w:rPr>
        <w:t xml:space="preserve"> in the next </w:t>
      </w:r>
      <w:r w:rsidR="004F09F8" w:rsidRPr="007F3D01">
        <w:rPr>
          <w:noProof/>
          <w:color w:val="000000" w:themeColor="text1"/>
          <w:lang w:val="en-IE"/>
        </w:rPr>
        <w:t xml:space="preserve">reporting </w:t>
      </w:r>
      <w:r w:rsidR="00760B72" w:rsidRPr="007F3D01">
        <w:rPr>
          <w:noProof/>
          <w:color w:val="000000" w:themeColor="text1"/>
          <w:lang w:val="en-IE"/>
        </w:rPr>
        <w:t>cycle.</w:t>
      </w:r>
      <w:r w:rsidR="008F1138">
        <w:rPr>
          <w:noProof/>
          <w:color w:val="000000" w:themeColor="text1"/>
          <w:lang w:val="en-IE"/>
        </w:rPr>
        <w:t xml:space="preserve"> The </w:t>
      </w:r>
      <w:r w:rsidR="0076187B">
        <w:rPr>
          <w:noProof/>
          <w:color w:val="000000" w:themeColor="text1"/>
          <w:lang w:val="en-IE"/>
        </w:rPr>
        <w:t>importance</w:t>
      </w:r>
      <w:r w:rsidR="008F1138">
        <w:rPr>
          <w:noProof/>
          <w:color w:val="000000" w:themeColor="text1"/>
          <w:lang w:val="en-IE"/>
        </w:rPr>
        <w:t xml:space="preserve"> of</w:t>
      </w:r>
      <w:r w:rsidR="0069247C">
        <w:rPr>
          <w:noProof/>
          <w:color w:val="000000" w:themeColor="text1"/>
          <w:lang w:val="en-IE"/>
        </w:rPr>
        <w:t xml:space="preserve"> appropriate</w:t>
      </w:r>
      <w:r w:rsidR="008F1138">
        <w:rPr>
          <w:noProof/>
          <w:color w:val="000000" w:themeColor="text1"/>
          <w:lang w:val="en-IE"/>
        </w:rPr>
        <w:t xml:space="preserve"> key performance indicators</w:t>
      </w:r>
      <w:r w:rsidR="00CE5AEB">
        <w:rPr>
          <w:noProof/>
          <w:color w:val="000000" w:themeColor="text1"/>
          <w:lang w:val="en-IE"/>
        </w:rPr>
        <w:t xml:space="preserve"> has been largely disregarded in reporting</w:t>
      </w:r>
      <w:r w:rsidR="0069247C">
        <w:rPr>
          <w:noProof/>
          <w:color w:val="000000" w:themeColor="text1"/>
          <w:lang w:val="en-IE"/>
        </w:rPr>
        <w:t>.</w:t>
      </w:r>
      <w:r w:rsidR="00CE5AEB">
        <w:rPr>
          <w:noProof/>
          <w:color w:val="000000" w:themeColor="text1"/>
          <w:lang w:val="en-IE"/>
        </w:rPr>
        <w:t xml:space="preserve"> </w:t>
      </w:r>
      <w:r w:rsidR="0069247C">
        <w:rPr>
          <w:noProof/>
          <w:color w:val="000000" w:themeColor="text1"/>
        </w:rPr>
        <w:t>T</w:t>
      </w:r>
      <w:r w:rsidR="00357597">
        <w:rPr>
          <w:noProof/>
          <w:color w:val="000000" w:themeColor="text1"/>
        </w:rPr>
        <w:t>his indicates</w:t>
      </w:r>
      <w:r w:rsidR="00CE5AEB">
        <w:rPr>
          <w:noProof/>
          <w:color w:val="000000" w:themeColor="text1"/>
          <w:lang w:val="en-IE"/>
        </w:rPr>
        <w:t xml:space="preserve"> that </w:t>
      </w:r>
      <w:r w:rsidR="00CE5AEB">
        <w:rPr>
          <w:noProof/>
          <w:lang w:val="en-IE"/>
        </w:rPr>
        <w:t>the Directive was not effective</w:t>
      </w:r>
      <w:r w:rsidR="00E54A1A">
        <w:rPr>
          <w:noProof/>
          <w:lang w:val="en-IE"/>
        </w:rPr>
        <w:t xml:space="preserve"> in ensuring </w:t>
      </w:r>
      <w:r w:rsidR="0076187B">
        <w:rPr>
          <w:noProof/>
          <w:lang w:val="en-IE"/>
        </w:rPr>
        <w:t xml:space="preserve">fully </w:t>
      </w:r>
      <w:r w:rsidR="00E54A1A">
        <w:rPr>
          <w:noProof/>
          <w:lang w:val="en-IE"/>
        </w:rPr>
        <w:t xml:space="preserve">transparent communication on </w:t>
      </w:r>
      <w:r w:rsidR="0069247C">
        <w:rPr>
          <w:noProof/>
          <w:lang w:val="en-IE"/>
        </w:rPr>
        <w:t>how</w:t>
      </w:r>
      <w:r w:rsidR="00E54A1A">
        <w:rPr>
          <w:noProof/>
          <w:lang w:val="en-IE"/>
        </w:rPr>
        <w:t xml:space="preserve"> the national programmes</w:t>
      </w:r>
      <w:r w:rsidR="0069247C">
        <w:rPr>
          <w:noProof/>
          <w:lang w:val="en-IE"/>
        </w:rPr>
        <w:t xml:space="preserve"> were implemented</w:t>
      </w:r>
      <w:r w:rsidR="00E54A1A">
        <w:rPr>
          <w:noProof/>
          <w:lang w:val="en-IE"/>
        </w:rPr>
        <w:t>.</w:t>
      </w:r>
    </w:p>
    <w:p w14:paraId="58C404D1" w14:textId="5DB9CCAD" w:rsidR="005310D6" w:rsidRPr="007F3D01" w:rsidRDefault="005310D6" w:rsidP="00DF191B">
      <w:pPr>
        <w:pStyle w:val="Heading3"/>
        <w:rPr>
          <w:lang w:val="en-IE"/>
        </w:rPr>
      </w:pPr>
      <w:bookmarkStart w:id="20" w:name="_Toc166055463"/>
      <w:r w:rsidRPr="007F3D01">
        <w:rPr>
          <w:lang w:val="en-IE"/>
        </w:rPr>
        <w:t>Infringements</w:t>
      </w:r>
      <w:bookmarkEnd w:id="20"/>
    </w:p>
    <w:p w14:paraId="4F9F2DD2" w14:textId="7608A987" w:rsidR="005310D6" w:rsidRPr="007F3D01" w:rsidRDefault="005310D6" w:rsidP="005310D6">
      <w:pPr>
        <w:tabs>
          <w:tab w:val="left" w:pos="220"/>
          <w:tab w:val="left" w:pos="720"/>
        </w:tabs>
        <w:rPr>
          <w:noProof/>
          <w:lang w:val="en-IE"/>
        </w:rPr>
      </w:pPr>
      <w:r w:rsidRPr="007F3D01">
        <w:rPr>
          <w:noProof/>
          <w:lang w:val="en-IE"/>
        </w:rPr>
        <w:t xml:space="preserve">In relation to the pending issues described above, the Commission had to initiate </w:t>
      </w:r>
      <w:r w:rsidR="0069247C">
        <w:rPr>
          <w:noProof/>
          <w:lang w:val="en-IE"/>
        </w:rPr>
        <w:t xml:space="preserve">several </w:t>
      </w:r>
      <w:r w:rsidRPr="007F3D01">
        <w:rPr>
          <w:noProof/>
          <w:lang w:val="en-IE"/>
        </w:rPr>
        <w:t>procedures against some Member States on the transposition of the Directive.</w:t>
      </w:r>
    </w:p>
    <w:p w14:paraId="28ADB339" w14:textId="09843D95" w:rsidR="005310D6" w:rsidRPr="007F3D01" w:rsidRDefault="005310D6" w:rsidP="005310D6">
      <w:pPr>
        <w:widowControl/>
        <w:shd w:val="clear" w:color="auto" w:fill="auto"/>
        <w:autoSpaceDE/>
        <w:autoSpaceDN/>
        <w:adjustRightInd/>
        <w:spacing w:after="0" w:line="276" w:lineRule="auto"/>
        <w:rPr>
          <w:noProof/>
          <w:lang w:val="en-IE"/>
        </w:rPr>
      </w:pPr>
      <w:r w:rsidRPr="007F3D01">
        <w:rPr>
          <w:noProof/>
          <w:lang w:val="en-IE"/>
        </w:rPr>
        <w:t>By the time of this report</w:t>
      </w:r>
      <w:r w:rsidR="00766006">
        <w:rPr>
          <w:noProof/>
          <w:lang w:val="en-IE"/>
        </w:rPr>
        <w:t>,</w:t>
      </w:r>
      <w:r w:rsidRPr="007F3D01">
        <w:rPr>
          <w:noProof/>
          <w:lang w:val="en-IE"/>
        </w:rPr>
        <w:t xml:space="preserve"> </w:t>
      </w:r>
      <w:r w:rsidR="009506A3">
        <w:rPr>
          <w:noProof/>
          <w:lang w:val="en-IE"/>
        </w:rPr>
        <w:t>two</w:t>
      </w:r>
      <w:r w:rsidR="009506A3" w:rsidRPr="007F3D01">
        <w:rPr>
          <w:noProof/>
          <w:lang w:val="en-IE"/>
        </w:rPr>
        <w:t xml:space="preserve"> </w:t>
      </w:r>
      <w:r w:rsidRPr="007F3D01">
        <w:rPr>
          <w:noProof/>
          <w:lang w:val="en-IE"/>
        </w:rPr>
        <w:t>procedures</w:t>
      </w:r>
      <w:r w:rsidR="00947148" w:rsidRPr="007F3D01">
        <w:rPr>
          <w:rStyle w:val="FootnoteReference"/>
          <w:noProof/>
          <w:lang w:val="en-IE"/>
        </w:rPr>
        <w:footnoteReference w:id="28"/>
      </w:r>
      <w:r w:rsidRPr="007F3D01">
        <w:rPr>
          <w:noProof/>
          <w:lang w:val="en-IE"/>
        </w:rPr>
        <w:t xml:space="preserve"> were on-going</w:t>
      </w:r>
      <w:r w:rsidR="005A5EE7" w:rsidRPr="007F3D01">
        <w:rPr>
          <w:noProof/>
          <w:lang w:val="en-IE"/>
        </w:rPr>
        <w:t>, while</w:t>
      </w:r>
      <w:r w:rsidRPr="007F3D01">
        <w:rPr>
          <w:noProof/>
          <w:lang w:val="en-IE"/>
        </w:rPr>
        <w:t xml:space="preserve"> </w:t>
      </w:r>
      <w:r w:rsidR="005A5EE7" w:rsidRPr="007F3D01">
        <w:rPr>
          <w:noProof/>
          <w:lang w:val="en-IE"/>
        </w:rPr>
        <w:t>t</w:t>
      </w:r>
      <w:r w:rsidRPr="007F3D01">
        <w:rPr>
          <w:noProof/>
          <w:lang w:val="en-IE"/>
        </w:rPr>
        <w:t xml:space="preserve">he Commission </w:t>
      </w:r>
      <w:r w:rsidR="005A5EE7" w:rsidRPr="007F3D01">
        <w:rPr>
          <w:noProof/>
          <w:lang w:val="en-IE"/>
        </w:rPr>
        <w:t xml:space="preserve">had </w:t>
      </w:r>
      <w:r w:rsidRPr="007F3D01">
        <w:rPr>
          <w:noProof/>
          <w:lang w:val="en-IE"/>
        </w:rPr>
        <w:t xml:space="preserve">closed </w:t>
      </w:r>
      <w:r w:rsidR="008F1950" w:rsidRPr="007F3D01">
        <w:rPr>
          <w:noProof/>
          <w:lang w:val="en-IE"/>
        </w:rPr>
        <w:t>six</w:t>
      </w:r>
      <w:r w:rsidRPr="007F3D01">
        <w:rPr>
          <w:rStyle w:val="FootnoteReference"/>
          <w:noProof/>
          <w:lang w:val="en-IE"/>
        </w:rPr>
        <w:footnoteReference w:id="29"/>
      </w:r>
      <w:r w:rsidRPr="007F3D01">
        <w:rPr>
          <w:noProof/>
          <w:lang w:val="en-IE"/>
        </w:rPr>
        <w:t xml:space="preserve"> infringement cases </w:t>
      </w:r>
      <w:r w:rsidR="005A5EE7" w:rsidRPr="007F3D01">
        <w:rPr>
          <w:noProof/>
          <w:lang w:val="en-IE"/>
        </w:rPr>
        <w:t>before the end of the</w:t>
      </w:r>
      <w:r w:rsidRPr="007F3D01">
        <w:rPr>
          <w:noProof/>
          <w:lang w:val="en-IE"/>
        </w:rPr>
        <w:t xml:space="preserve"> reporting cycle.</w:t>
      </w:r>
    </w:p>
    <w:p w14:paraId="17F37703" w14:textId="77777777" w:rsidR="0068325C" w:rsidRPr="007F3D01" w:rsidRDefault="0091419F" w:rsidP="007C596E">
      <w:pPr>
        <w:pStyle w:val="Heading2"/>
        <w:rPr>
          <w:noProof/>
          <w:lang w:val="en-IE"/>
        </w:rPr>
      </w:pPr>
      <w:bookmarkStart w:id="21" w:name="_Toc166055464"/>
      <w:r w:rsidRPr="007F3D01">
        <w:rPr>
          <w:noProof/>
          <w:lang w:val="en-IE"/>
        </w:rPr>
        <w:t>National programmes</w:t>
      </w:r>
      <w:bookmarkEnd w:id="21"/>
    </w:p>
    <w:p w14:paraId="17F37704" w14:textId="077C12F5" w:rsidR="0068325C" w:rsidRPr="007F3D01" w:rsidRDefault="0091419F">
      <w:pPr>
        <w:spacing w:line="276" w:lineRule="auto"/>
        <w:rPr>
          <w:noProof/>
          <w:color w:val="000000" w:themeColor="text1"/>
          <w:lang w:val="en-IE"/>
        </w:rPr>
      </w:pPr>
      <w:r w:rsidRPr="007F3D01">
        <w:rPr>
          <w:noProof/>
          <w:color w:val="000000" w:themeColor="text1"/>
          <w:lang w:val="en-IE"/>
        </w:rPr>
        <w:t>The Directive sets out a key requirement for Member States to establish and maintain national polic</w:t>
      </w:r>
      <w:r w:rsidR="0082531B" w:rsidRPr="007F3D01">
        <w:rPr>
          <w:noProof/>
          <w:color w:val="000000" w:themeColor="text1"/>
          <w:lang w:val="en-IE"/>
        </w:rPr>
        <w:t>ies</w:t>
      </w:r>
      <w:r w:rsidRPr="007F3D01">
        <w:rPr>
          <w:noProof/>
          <w:color w:val="000000" w:themeColor="text1"/>
          <w:lang w:val="en-IE"/>
        </w:rPr>
        <w:t xml:space="preserve"> on safe and long-term management of spent fuel and radioactive waste.</w:t>
      </w:r>
      <w:r w:rsidRPr="007F3D01">
        <w:rPr>
          <w:noProof/>
          <w:lang w:val="en-IE"/>
        </w:rPr>
        <w:t xml:space="preserve"> </w:t>
      </w:r>
      <w:r w:rsidRPr="007F3D01">
        <w:rPr>
          <w:noProof/>
          <w:color w:val="000000" w:themeColor="text1"/>
          <w:lang w:val="en-IE"/>
        </w:rPr>
        <w:t>These policies</w:t>
      </w:r>
      <w:r w:rsidR="0069247C">
        <w:rPr>
          <w:noProof/>
          <w:color w:val="000000" w:themeColor="text1"/>
          <w:lang w:val="en-IE"/>
        </w:rPr>
        <w:t xml:space="preserve"> must</w:t>
      </w:r>
      <w:r w:rsidRPr="007F3D01">
        <w:rPr>
          <w:noProof/>
          <w:color w:val="000000" w:themeColor="text1"/>
          <w:lang w:val="en-IE"/>
        </w:rPr>
        <w:t xml:space="preserve"> abide by general principles</w:t>
      </w:r>
      <w:r w:rsidRPr="007F3D01">
        <w:rPr>
          <w:rStyle w:val="FootnoteReference"/>
          <w:noProof/>
          <w:color w:val="000000" w:themeColor="text1"/>
          <w:lang w:val="en-IE"/>
        </w:rPr>
        <w:footnoteReference w:id="30"/>
      </w:r>
      <w:r w:rsidRPr="007F3D01">
        <w:rPr>
          <w:noProof/>
          <w:color w:val="000000" w:themeColor="text1"/>
          <w:lang w:val="en-IE"/>
        </w:rPr>
        <w:t xml:space="preserve"> </w:t>
      </w:r>
      <w:r w:rsidR="00100CDF" w:rsidRPr="007F3D01">
        <w:rPr>
          <w:noProof/>
          <w:color w:val="000000" w:themeColor="text1"/>
          <w:lang w:val="en-IE"/>
        </w:rPr>
        <w:t xml:space="preserve">and </w:t>
      </w:r>
      <w:r w:rsidRPr="007F3D01">
        <w:rPr>
          <w:noProof/>
          <w:color w:val="000000" w:themeColor="text1"/>
          <w:lang w:val="en-IE"/>
        </w:rPr>
        <w:t>should be translated into concrete plans of actions in each Member State</w:t>
      </w:r>
      <w:r w:rsidR="0069247C">
        <w:rPr>
          <w:noProof/>
          <w:color w:val="000000" w:themeColor="text1"/>
          <w:lang w:val="en-IE"/>
        </w:rPr>
        <w:t>’s</w:t>
      </w:r>
      <w:r w:rsidRPr="007F3D01">
        <w:rPr>
          <w:noProof/>
          <w:color w:val="000000" w:themeColor="text1"/>
          <w:lang w:val="en-IE"/>
        </w:rPr>
        <w:t xml:space="preserve"> national programme</w:t>
      </w:r>
      <w:r w:rsidRPr="007F3D01">
        <w:rPr>
          <w:rStyle w:val="FootnoteReference"/>
          <w:noProof/>
          <w:color w:val="000000" w:themeColor="text1"/>
          <w:lang w:val="en-IE"/>
        </w:rPr>
        <w:footnoteReference w:id="31"/>
      </w:r>
      <w:r w:rsidRPr="007F3D01">
        <w:rPr>
          <w:noProof/>
          <w:color w:val="000000" w:themeColor="text1"/>
          <w:lang w:val="en-IE"/>
        </w:rPr>
        <w:t>.</w:t>
      </w:r>
    </w:p>
    <w:p w14:paraId="0AE06415" w14:textId="35B76072" w:rsidR="00D15F3A" w:rsidRPr="007F3D01" w:rsidRDefault="00D15F3A" w:rsidP="00DF191B">
      <w:pPr>
        <w:pStyle w:val="Heading3"/>
        <w:rPr>
          <w:lang w:val="en-IE"/>
        </w:rPr>
      </w:pPr>
      <w:bookmarkStart w:id="22" w:name="_Toc166055465"/>
      <w:r w:rsidRPr="007F3D01">
        <w:rPr>
          <w:lang w:val="en-IE"/>
        </w:rPr>
        <w:t>State of progress</w:t>
      </w:r>
      <w:bookmarkEnd w:id="22"/>
    </w:p>
    <w:p w14:paraId="089AB79A" w14:textId="2BBD0C3A" w:rsidR="00E0130F" w:rsidRPr="007C19F4" w:rsidRDefault="00C006A1" w:rsidP="007C19F4">
      <w:pPr>
        <w:rPr>
          <w:noProof/>
          <w:lang w:val="en-IE"/>
        </w:rPr>
      </w:pPr>
      <w:r w:rsidRPr="007C19F4">
        <w:rPr>
          <w:noProof/>
          <w:lang w:val="en-IE"/>
        </w:rPr>
        <w:t>The Commission note</w:t>
      </w:r>
      <w:r w:rsidR="0082531B" w:rsidRPr="007C19F4">
        <w:rPr>
          <w:noProof/>
          <w:lang w:val="en-IE"/>
        </w:rPr>
        <w:t>d</w:t>
      </w:r>
      <w:r w:rsidRPr="007C19F4">
        <w:rPr>
          <w:noProof/>
          <w:lang w:val="en-IE"/>
        </w:rPr>
        <w:t xml:space="preserve"> continu</w:t>
      </w:r>
      <w:r w:rsidR="00941FFC" w:rsidRPr="007C19F4">
        <w:rPr>
          <w:noProof/>
          <w:lang w:val="en-IE"/>
        </w:rPr>
        <w:t>ous</w:t>
      </w:r>
      <w:r w:rsidRPr="007C19F4">
        <w:rPr>
          <w:noProof/>
          <w:lang w:val="en-IE"/>
        </w:rPr>
        <w:t xml:space="preserve"> </w:t>
      </w:r>
      <w:r w:rsidR="009A12F2" w:rsidRPr="007C19F4">
        <w:rPr>
          <w:noProof/>
          <w:lang w:val="en-IE"/>
        </w:rPr>
        <w:t>progress</w:t>
      </w:r>
      <w:r w:rsidRPr="007C19F4">
        <w:rPr>
          <w:noProof/>
          <w:lang w:val="en-IE"/>
        </w:rPr>
        <w:t xml:space="preserve"> </w:t>
      </w:r>
      <w:r w:rsidR="00941FFC" w:rsidRPr="007C19F4">
        <w:rPr>
          <w:noProof/>
          <w:lang w:val="en-IE"/>
        </w:rPr>
        <w:t>in</w:t>
      </w:r>
      <w:r w:rsidRPr="007C19F4">
        <w:rPr>
          <w:noProof/>
          <w:lang w:val="en-IE"/>
        </w:rPr>
        <w:t xml:space="preserve"> develop</w:t>
      </w:r>
      <w:r w:rsidR="0069247C">
        <w:rPr>
          <w:noProof/>
          <w:lang w:val="en-IE"/>
        </w:rPr>
        <w:t>ing</w:t>
      </w:r>
      <w:r w:rsidRPr="007C19F4">
        <w:rPr>
          <w:noProof/>
          <w:lang w:val="en-IE"/>
        </w:rPr>
        <w:t xml:space="preserve"> and adopti</w:t>
      </w:r>
      <w:r w:rsidR="0069247C">
        <w:rPr>
          <w:noProof/>
          <w:lang w:val="en-IE"/>
        </w:rPr>
        <w:t>ng</w:t>
      </w:r>
      <w:r w:rsidRPr="007C19F4">
        <w:rPr>
          <w:noProof/>
          <w:lang w:val="en-IE"/>
        </w:rPr>
        <w:t xml:space="preserve"> national programmes. </w:t>
      </w:r>
      <w:r w:rsidR="00100CDF" w:rsidRPr="007C19F4">
        <w:rPr>
          <w:noProof/>
          <w:lang w:val="en-IE"/>
        </w:rPr>
        <w:t>By now</w:t>
      </w:r>
      <w:r w:rsidR="00941FFC" w:rsidRPr="007C19F4">
        <w:rPr>
          <w:noProof/>
          <w:lang w:val="en-IE"/>
        </w:rPr>
        <w:t>,</w:t>
      </w:r>
      <w:r w:rsidR="00100CDF" w:rsidRPr="007C19F4">
        <w:rPr>
          <w:noProof/>
          <w:lang w:val="en-IE"/>
        </w:rPr>
        <w:t xml:space="preserve"> all 27 Member States have established their national programme and</w:t>
      </w:r>
      <w:r w:rsidR="00E304D1" w:rsidRPr="007C19F4">
        <w:rPr>
          <w:noProof/>
          <w:lang w:val="en-IE"/>
        </w:rPr>
        <w:t>,</w:t>
      </w:r>
      <w:r w:rsidR="00100CDF" w:rsidRPr="007C19F4">
        <w:rPr>
          <w:noProof/>
          <w:lang w:val="en-IE"/>
        </w:rPr>
        <w:t xml:space="preserve"> d</w:t>
      </w:r>
      <w:r w:rsidR="00B74E64" w:rsidRPr="007C19F4">
        <w:rPr>
          <w:noProof/>
          <w:lang w:val="en-IE"/>
        </w:rPr>
        <w:t>uring the reporting period</w:t>
      </w:r>
      <w:r w:rsidR="00E304D1" w:rsidRPr="007C19F4">
        <w:rPr>
          <w:noProof/>
          <w:lang w:val="en-IE"/>
        </w:rPr>
        <w:t>,</w:t>
      </w:r>
      <w:r w:rsidR="00B74E64" w:rsidRPr="007C19F4">
        <w:rPr>
          <w:noProof/>
          <w:lang w:val="en-IE"/>
        </w:rPr>
        <w:t xml:space="preserve"> one third of the</w:t>
      </w:r>
      <w:r w:rsidR="00E304D1" w:rsidRPr="007C19F4">
        <w:rPr>
          <w:noProof/>
          <w:lang w:val="en-IE"/>
        </w:rPr>
        <w:t>m</w:t>
      </w:r>
      <w:r w:rsidR="00B74E64" w:rsidRPr="007C19F4">
        <w:rPr>
          <w:noProof/>
          <w:lang w:val="en-IE"/>
        </w:rPr>
        <w:t xml:space="preserve"> </w:t>
      </w:r>
      <w:r w:rsidR="00E304D1" w:rsidRPr="007C19F4">
        <w:rPr>
          <w:noProof/>
          <w:lang w:val="en-IE"/>
        </w:rPr>
        <w:t>ha</w:t>
      </w:r>
      <w:r w:rsidR="007D6A6A">
        <w:rPr>
          <w:noProof/>
          <w:lang w:val="en-IE"/>
        </w:rPr>
        <w:t>ve</w:t>
      </w:r>
      <w:r w:rsidR="00E304D1" w:rsidRPr="007C19F4">
        <w:rPr>
          <w:noProof/>
          <w:lang w:val="en-IE"/>
        </w:rPr>
        <w:t xml:space="preserve"> been</w:t>
      </w:r>
      <w:r w:rsidR="00B74E64" w:rsidRPr="007C19F4">
        <w:rPr>
          <w:noProof/>
          <w:lang w:val="en-IE"/>
        </w:rPr>
        <w:t xml:space="preserve"> updated.</w:t>
      </w:r>
    </w:p>
    <w:p w14:paraId="71A64F37" w14:textId="1336638A" w:rsidR="00D15F3A" w:rsidRPr="007F3D01" w:rsidRDefault="00D15F3A" w:rsidP="00D15F3A">
      <w:pPr>
        <w:rPr>
          <w:noProof/>
          <w:lang w:val="en-IE"/>
        </w:rPr>
      </w:pPr>
      <w:r w:rsidRPr="007F3D01">
        <w:rPr>
          <w:noProof/>
          <w:lang w:val="en-IE"/>
        </w:rPr>
        <w:t xml:space="preserve">Some Member States have adopted national programmes detailing activities only for a specific timeframe, mostly covering </w:t>
      </w:r>
      <w:r w:rsidR="007C19F4">
        <w:rPr>
          <w:noProof/>
          <w:lang w:val="en-IE"/>
        </w:rPr>
        <w:t xml:space="preserve">a </w:t>
      </w:r>
      <w:r w:rsidRPr="007F3D01">
        <w:rPr>
          <w:noProof/>
          <w:lang w:val="en-IE"/>
        </w:rPr>
        <w:t>5 to 10</w:t>
      </w:r>
      <w:r w:rsidR="007C19F4">
        <w:rPr>
          <w:noProof/>
          <w:lang w:val="en-IE"/>
        </w:rPr>
        <w:t>-</w:t>
      </w:r>
      <w:r w:rsidRPr="007F3D01">
        <w:rPr>
          <w:noProof/>
          <w:lang w:val="en-IE"/>
        </w:rPr>
        <w:t>year period. However, two such Member States</w:t>
      </w:r>
      <w:r w:rsidR="0069247C">
        <w:rPr>
          <w:noProof/>
          <w:lang w:val="en-IE"/>
        </w:rPr>
        <w:t xml:space="preserve"> did</w:t>
      </w:r>
      <w:r w:rsidR="00EE1F87">
        <w:rPr>
          <w:noProof/>
          <w:lang w:val="en-IE"/>
        </w:rPr>
        <w:t xml:space="preserve"> not </w:t>
      </w:r>
      <w:r w:rsidRPr="007F3D01">
        <w:rPr>
          <w:noProof/>
          <w:lang w:val="en-IE"/>
        </w:rPr>
        <w:t>adopt updated versions</w:t>
      </w:r>
      <w:r w:rsidR="00EE1F87">
        <w:rPr>
          <w:noProof/>
          <w:lang w:val="en-IE"/>
        </w:rPr>
        <w:t xml:space="preserve"> in time</w:t>
      </w:r>
      <w:r w:rsidRPr="007F3D01">
        <w:rPr>
          <w:noProof/>
          <w:lang w:val="en-IE"/>
        </w:rPr>
        <w:t>. To avoid such situations in the future, Member States are encouraged to optimi</w:t>
      </w:r>
      <w:r w:rsidR="0069247C">
        <w:rPr>
          <w:noProof/>
          <w:lang w:val="en-IE"/>
        </w:rPr>
        <w:t>s</w:t>
      </w:r>
      <w:r w:rsidRPr="007F3D01">
        <w:rPr>
          <w:noProof/>
          <w:lang w:val="en-IE"/>
        </w:rPr>
        <w:t>e planning and adoption processes to ensure continuity of the national programme.</w:t>
      </w:r>
    </w:p>
    <w:p w14:paraId="37C59A35" w14:textId="08480FCD" w:rsidR="00E0130F" w:rsidRPr="007F3D01" w:rsidRDefault="00356E68" w:rsidP="00100CDF">
      <w:pPr>
        <w:widowControl/>
        <w:shd w:val="clear" w:color="auto" w:fill="auto"/>
        <w:autoSpaceDE/>
        <w:autoSpaceDN/>
        <w:adjustRightInd/>
        <w:spacing w:before="0" w:after="120" w:line="276" w:lineRule="auto"/>
        <w:ind w:right="12"/>
        <w:rPr>
          <w:noProof/>
          <w:color w:val="000000" w:themeColor="text1"/>
          <w:lang w:val="en-IE"/>
        </w:rPr>
      </w:pPr>
      <w:r w:rsidRPr="007F3D01">
        <w:rPr>
          <w:noProof/>
          <w:color w:val="000000" w:themeColor="text1"/>
          <w:lang w:val="en-IE"/>
        </w:rPr>
        <w:t xml:space="preserve">In most cases, </w:t>
      </w:r>
      <w:r w:rsidR="007F2915">
        <w:rPr>
          <w:noProof/>
          <w:color w:val="000000" w:themeColor="text1"/>
          <w:lang w:val="en-IE"/>
        </w:rPr>
        <w:t xml:space="preserve">updating </w:t>
      </w:r>
      <w:r w:rsidR="00941FFC" w:rsidRPr="007F3D01">
        <w:rPr>
          <w:noProof/>
          <w:color w:val="000000" w:themeColor="text1"/>
          <w:lang w:val="en-IE"/>
        </w:rPr>
        <w:t>programmes</w:t>
      </w:r>
      <w:r w:rsidRPr="007F3D01">
        <w:rPr>
          <w:noProof/>
          <w:color w:val="000000" w:themeColor="text1"/>
          <w:lang w:val="en-IE"/>
        </w:rPr>
        <w:t xml:space="preserve"> ha</w:t>
      </w:r>
      <w:r w:rsidR="00E0130F" w:rsidRPr="007F3D01">
        <w:rPr>
          <w:noProof/>
          <w:color w:val="000000" w:themeColor="text1"/>
          <w:lang w:val="en-IE"/>
        </w:rPr>
        <w:t>ve</w:t>
      </w:r>
      <w:r w:rsidRPr="007F3D01">
        <w:rPr>
          <w:noProof/>
          <w:color w:val="000000" w:themeColor="text1"/>
          <w:lang w:val="en-IE"/>
        </w:rPr>
        <w:t xml:space="preserve"> resulted in milestones </w:t>
      </w:r>
      <w:r w:rsidR="007F2915">
        <w:rPr>
          <w:noProof/>
          <w:color w:val="000000" w:themeColor="text1"/>
          <w:lang w:val="en-IE"/>
        </w:rPr>
        <w:t xml:space="preserve">being pushed </w:t>
      </w:r>
      <w:r w:rsidR="007C19F4">
        <w:rPr>
          <w:noProof/>
          <w:color w:val="000000" w:themeColor="text1"/>
          <w:lang w:val="en-IE"/>
        </w:rPr>
        <w:t>to a later</w:t>
      </w:r>
      <w:r w:rsidRPr="007F3D01">
        <w:rPr>
          <w:noProof/>
          <w:color w:val="000000" w:themeColor="text1"/>
          <w:lang w:val="en-IE"/>
        </w:rPr>
        <w:t xml:space="preserve"> time. </w:t>
      </w:r>
      <w:r w:rsidR="00A33B51" w:rsidRPr="007F3D01">
        <w:rPr>
          <w:noProof/>
          <w:color w:val="000000" w:themeColor="text1"/>
          <w:lang w:val="en-IE"/>
        </w:rPr>
        <w:t xml:space="preserve">The Commission would like to recall that Member States </w:t>
      </w:r>
      <w:r w:rsidR="007F2915">
        <w:rPr>
          <w:noProof/>
          <w:color w:val="000000" w:themeColor="text1"/>
          <w:lang w:val="en-IE"/>
        </w:rPr>
        <w:t>are required to</w:t>
      </w:r>
      <w:r w:rsidR="00A33B51" w:rsidRPr="007F3D01">
        <w:rPr>
          <w:noProof/>
          <w:color w:val="000000" w:themeColor="text1"/>
          <w:lang w:val="en-IE"/>
        </w:rPr>
        <w:t xml:space="preserve"> notify any significant change to the national programmes</w:t>
      </w:r>
      <w:r w:rsidR="00A1714B" w:rsidRPr="007F3D01">
        <w:rPr>
          <w:noProof/>
          <w:color w:val="000000" w:themeColor="text1"/>
          <w:lang w:val="en-IE"/>
        </w:rPr>
        <w:t xml:space="preserve"> in line with Article 13</w:t>
      </w:r>
      <w:r w:rsidR="00824BA4" w:rsidRPr="007F3D01">
        <w:rPr>
          <w:noProof/>
          <w:color w:val="000000" w:themeColor="text1"/>
          <w:lang w:val="en-IE"/>
        </w:rPr>
        <w:t>(</w:t>
      </w:r>
      <w:r w:rsidR="00A1714B" w:rsidRPr="007F3D01">
        <w:rPr>
          <w:noProof/>
          <w:color w:val="000000" w:themeColor="text1"/>
          <w:lang w:val="en-IE"/>
        </w:rPr>
        <w:t>1</w:t>
      </w:r>
      <w:r w:rsidR="00824BA4" w:rsidRPr="007F3D01">
        <w:rPr>
          <w:noProof/>
          <w:color w:val="000000" w:themeColor="text1"/>
          <w:lang w:val="en-IE"/>
        </w:rPr>
        <w:t>)</w:t>
      </w:r>
      <w:r w:rsidR="00A1714B" w:rsidRPr="007F3D01">
        <w:rPr>
          <w:noProof/>
          <w:color w:val="000000" w:themeColor="text1"/>
          <w:lang w:val="en-IE"/>
        </w:rPr>
        <w:t xml:space="preserve"> of the Directive</w:t>
      </w:r>
      <w:r w:rsidR="00A33B51" w:rsidRPr="007F3D01">
        <w:rPr>
          <w:noProof/>
          <w:color w:val="000000" w:themeColor="text1"/>
          <w:lang w:val="en-IE"/>
        </w:rPr>
        <w:t xml:space="preserve">, including </w:t>
      </w:r>
      <w:r w:rsidR="007F2915">
        <w:rPr>
          <w:noProof/>
          <w:color w:val="000000" w:themeColor="text1"/>
          <w:lang w:val="en-IE"/>
        </w:rPr>
        <w:t xml:space="preserve">changes to </w:t>
      </w:r>
      <w:r w:rsidR="00A33B51" w:rsidRPr="007F3D01">
        <w:rPr>
          <w:noProof/>
          <w:color w:val="000000" w:themeColor="text1"/>
          <w:lang w:val="en-IE"/>
        </w:rPr>
        <w:t>implementation schedule</w:t>
      </w:r>
      <w:r w:rsidR="007F2915">
        <w:rPr>
          <w:noProof/>
          <w:color w:val="000000" w:themeColor="text1"/>
          <w:lang w:val="en-IE"/>
        </w:rPr>
        <w:t>s</w:t>
      </w:r>
      <w:r w:rsidR="00A33B51" w:rsidRPr="007F3D01">
        <w:rPr>
          <w:noProof/>
          <w:color w:val="000000" w:themeColor="text1"/>
          <w:lang w:val="en-IE"/>
        </w:rPr>
        <w:t>.</w:t>
      </w:r>
    </w:p>
    <w:p w14:paraId="43E04055" w14:textId="25983C27" w:rsidR="00100CDF" w:rsidRPr="007F3D01" w:rsidRDefault="00E0130F" w:rsidP="00100CDF">
      <w:pPr>
        <w:widowControl/>
        <w:shd w:val="clear" w:color="auto" w:fill="auto"/>
        <w:autoSpaceDE/>
        <w:autoSpaceDN/>
        <w:adjustRightInd/>
        <w:spacing w:before="0" w:after="120" w:line="276" w:lineRule="auto"/>
        <w:ind w:right="12"/>
        <w:rPr>
          <w:noProof/>
          <w:color w:val="000000" w:themeColor="text1"/>
          <w:lang w:val="en-IE"/>
        </w:rPr>
      </w:pPr>
      <w:r w:rsidRPr="007F3D01">
        <w:rPr>
          <w:noProof/>
          <w:color w:val="000000" w:themeColor="text1"/>
          <w:lang w:val="en-IE"/>
        </w:rPr>
        <w:t>Generally</w:t>
      </w:r>
      <w:r w:rsidR="00620FC1" w:rsidRPr="007F3D01">
        <w:rPr>
          <w:noProof/>
          <w:color w:val="000000" w:themeColor="text1"/>
          <w:lang w:val="en-IE"/>
        </w:rPr>
        <w:t>,</w:t>
      </w:r>
      <w:r w:rsidRPr="007F3D01">
        <w:rPr>
          <w:noProof/>
          <w:color w:val="000000" w:themeColor="text1"/>
          <w:lang w:val="en-IE"/>
        </w:rPr>
        <w:t xml:space="preserve"> t</w:t>
      </w:r>
      <w:r w:rsidR="00100CDF" w:rsidRPr="007F3D01">
        <w:rPr>
          <w:noProof/>
          <w:color w:val="000000" w:themeColor="text1"/>
          <w:lang w:val="en-IE"/>
        </w:rPr>
        <w:t xml:space="preserve">he implementation of most Member States’ national programmes </w:t>
      </w:r>
      <w:r w:rsidRPr="007F3D01">
        <w:rPr>
          <w:noProof/>
          <w:color w:val="000000" w:themeColor="text1"/>
          <w:lang w:val="en-IE"/>
        </w:rPr>
        <w:t>was impacted by</w:t>
      </w:r>
      <w:r w:rsidR="00100CDF" w:rsidRPr="007F3D01">
        <w:rPr>
          <w:noProof/>
          <w:color w:val="000000" w:themeColor="text1"/>
          <w:lang w:val="en-IE"/>
        </w:rPr>
        <w:t xml:space="preserve"> delays up to 5 years</w:t>
      </w:r>
      <w:r w:rsidR="007F2915">
        <w:rPr>
          <w:noProof/>
          <w:color w:val="000000" w:themeColor="text1"/>
          <w:lang w:val="en-IE"/>
        </w:rPr>
        <w:t>, due</w:t>
      </w:r>
      <w:r w:rsidR="00100CDF" w:rsidRPr="007F3D01">
        <w:rPr>
          <w:noProof/>
          <w:color w:val="000000" w:themeColor="text1"/>
          <w:lang w:val="en-IE"/>
        </w:rPr>
        <w:t xml:space="preserve"> in part to lengthier than expected licen</w:t>
      </w:r>
      <w:r w:rsidR="007F2915">
        <w:rPr>
          <w:noProof/>
          <w:color w:val="000000" w:themeColor="text1"/>
          <w:lang w:val="en-IE"/>
        </w:rPr>
        <w:t>s</w:t>
      </w:r>
      <w:r w:rsidR="00100CDF" w:rsidRPr="007F3D01">
        <w:rPr>
          <w:noProof/>
          <w:color w:val="000000" w:themeColor="text1"/>
          <w:lang w:val="en-IE"/>
        </w:rPr>
        <w:t>ing procedures</w:t>
      </w:r>
      <w:r w:rsidR="007F2915">
        <w:rPr>
          <w:noProof/>
          <w:color w:val="000000" w:themeColor="text1"/>
          <w:lang w:val="en-IE"/>
        </w:rPr>
        <w:t>,</w:t>
      </w:r>
      <w:r w:rsidR="00100CDF" w:rsidRPr="007F3D01">
        <w:rPr>
          <w:noProof/>
          <w:color w:val="000000" w:themeColor="text1"/>
          <w:lang w:val="en-IE"/>
        </w:rPr>
        <w:t xml:space="preserve"> changes in the policy or political decisions. In some other cases</w:t>
      </w:r>
      <w:r w:rsidR="00C703A9" w:rsidRPr="007F3D01">
        <w:rPr>
          <w:noProof/>
          <w:color w:val="000000" w:themeColor="text1"/>
          <w:lang w:val="en-IE"/>
        </w:rPr>
        <w:t>,</w:t>
      </w:r>
      <w:r w:rsidR="00100CDF" w:rsidRPr="007F3D01">
        <w:rPr>
          <w:noProof/>
          <w:color w:val="000000" w:themeColor="text1"/>
          <w:lang w:val="en-IE"/>
        </w:rPr>
        <w:t xml:space="preserve"> where no clear timelines </w:t>
      </w:r>
      <w:r w:rsidRPr="007F3D01">
        <w:rPr>
          <w:noProof/>
          <w:color w:val="000000" w:themeColor="text1"/>
          <w:lang w:val="en-IE"/>
        </w:rPr>
        <w:t>we</w:t>
      </w:r>
      <w:r w:rsidR="00100CDF" w:rsidRPr="007F3D01">
        <w:rPr>
          <w:noProof/>
          <w:color w:val="000000" w:themeColor="text1"/>
          <w:lang w:val="en-IE"/>
        </w:rPr>
        <w:t xml:space="preserve">re reported or a long-term strategy </w:t>
      </w:r>
      <w:r w:rsidRPr="007F3D01">
        <w:rPr>
          <w:noProof/>
          <w:color w:val="000000" w:themeColor="text1"/>
          <w:lang w:val="en-IE"/>
        </w:rPr>
        <w:t>wa</w:t>
      </w:r>
      <w:r w:rsidR="00100CDF" w:rsidRPr="007F3D01">
        <w:rPr>
          <w:noProof/>
          <w:color w:val="000000" w:themeColor="text1"/>
          <w:lang w:val="en-IE"/>
        </w:rPr>
        <w:t>s not defined</w:t>
      </w:r>
      <w:r w:rsidR="00C703A9" w:rsidRPr="007F3D01">
        <w:rPr>
          <w:noProof/>
          <w:color w:val="000000" w:themeColor="text1"/>
          <w:lang w:val="en-IE"/>
        </w:rPr>
        <w:t>,</w:t>
      </w:r>
      <w:r w:rsidR="00100CDF" w:rsidRPr="007F3D01">
        <w:rPr>
          <w:noProof/>
          <w:color w:val="000000" w:themeColor="text1"/>
          <w:lang w:val="en-IE"/>
        </w:rPr>
        <w:t xml:space="preserve"> it </w:t>
      </w:r>
      <w:r w:rsidRPr="007F3D01">
        <w:rPr>
          <w:noProof/>
          <w:color w:val="000000" w:themeColor="text1"/>
          <w:lang w:val="en-IE"/>
        </w:rPr>
        <w:t>wa</w:t>
      </w:r>
      <w:r w:rsidR="00100CDF" w:rsidRPr="007F3D01">
        <w:rPr>
          <w:noProof/>
          <w:color w:val="000000" w:themeColor="text1"/>
          <w:lang w:val="en-IE"/>
        </w:rPr>
        <w:t xml:space="preserve">s difficult to assess the timeliness of the programme’s implementation. </w:t>
      </w:r>
      <w:r w:rsidR="00D15F3A" w:rsidRPr="007F3D01">
        <w:rPr>
          <w:noProof/>
          <w:color w:val="000000" w:themeColor="text1"/>
          <w:lang w:val="en-IE"/>
        </w:rPr>
        <w:t xml:space="preserve">Such delays may imply </w:t>
      </w:r>
      <w:r w:rsidR="007F2915">
        <w:rPr>
          <w:noProof/>
          <w:color w:val="000000" w:themeColor="text1"/>
          <w:lang w:val="en-IE"/>
        </w:rPr>
        <w:t xml:space="preserve">a </w:t>
      </w:r>
      <w:r w:rsidR="00D15F3A" w:rsidRPr="007F3D01">
        <w:rPr>
          <w:noProof/>
          <w:color w:val="000000" w:themeColor="text1"/>
          <w:lang w:val="en-IE"/>
        </w:rPr>
        <w:t>transfer of burden to future generations</w:t>
      </w:r>
      <w:r w:rsidR="007F2915">
        <w:rPr>
          <w:noProof/>
          <w:color w:val="000000" w:themeColor="text1"/>
          <w:lang w:val="en-IE"/>
        </w:rPr>
        <w:t>. H</w:t>
      </w:r>
      <w:r w:rsidR="00D15F3A" w:rsidRPr="007F3D01">
        <w:rPr>
          <w:noProof/>
          <w:color w:val="000000" w:themeColor="text1"/>
          <w:lang w:val="en-IE"/>
        </w:rPr>
        <w:t>owever</w:t>
      </w:r>
      <w:r w:rsidR="00D262D3">
        <w:rPr>
          <w:noProof/>
          <w:color w:val="000000" w:themeColor="text1"/>
          <w:lang w:val="en-IE"/>
        </w:rPr>
        <w:t>,</w:t>
      </w:r>
      <w:r w:rsidR="00D15F3A" w:rsidRPr="007F3D01">
        <w:rPr>
          <w:noProof/>
          <w:color w:val="000000" w:themeColor="text1"/>
          <w:lang w:val="en-IE"/>
        </w:rPr>
        <w:t xml:space="preserve"> they were not linked to any safety issues</w:t>
      </w:r>
      <w:r w:rsidR="007F2915">
        <w:rPr>
          <w:noProof/>
          <w:color w:val="000000" w:themeColor="text1"/>
          <w:lang w:val="en-IE"/>
        </w:rPr>
        <w:t>,</w:t>
      </w:r>
      <w:r w:rsidR="00D15F3A" w:rsidRPr="007F3D01">
        <w:rPr>
          <w:noProof/>
          <w:color w:val="000000" w:themeColor="text1"/>
          <w:lang w:val="en-IE"/>
        </w:rPr>
        <w:t xml:space="preserve"> as </w:t>
      </w:r>
      <w:r w:rsidR="007F2915">
        <w:rPr>
          <w:noProof/>
          <w:color w:val="000000" w:themeColor="text1"/>
          <w:lang w:val="en-IE"/>
        </w:rPr>
        <w:t xml:space="preserve">currently </w:t>
      </w:r>
      <w:r w:rsidR="00D15F3A" w:rsidRPr="007F3D01">
        <w:rPr>
          <w:noProof/>
          <w:color w:val="000000" w:themeColor="text1"/>
          <w:lang w:val="en-IE"/>
        </w:rPr>
        <w:t xml:space="preserve">the national frameworks ensure proper management of </w:t>
      </w:r>
      <w:r w:rsidR="00B96355" w:rsidRPr="007F3D01">
        <w:rPr>
          <w:noProof/>
          <w:color w:val="000000" w:themeColor="text1"/>
          <w:lang w:val="en-IE"/>
        </w:rPr>
        <w:t>radioactive</w:t>
      </w:r>
      <w:r w:rsidR="00D15F3A" w:rsidRPr="007F3D01">
        <w:rPr>
          <w:noProof/>
          <w:color w:val="000000" w:themeColor="text1"/>
          <w:lang w:val="en-IE"/>
        </w:rPr>
        <w:t xml:space="preserve"> waste and spent fuel.</w:t>
      </w:r>
    </w:p>
    <w:p w14:paraId="01BF4035" w14:textId="31DBF9CA" w:rsidR="00D15F3A" w:rsidRPr="007F3D01" w:rsidRDefault="00D15F3A" w:rsidP="00DF191B">
      <w:pPr>
        <w:pStyle w:val="Heading3"/>
        <w:rPr>
          <w:lang w:val="en-IE"/>
        </w:rPr>
      </w:pPr>
      <w:bookmarkStart w:id="23" w:name="_Toc166055466"/>
      <w:r w:rsidRPr="007F3D01">
        <w:rPr>
          <w:lang w:val="en-IE"/>
        </w:rPr>
        <w:t>Main plans and policies</w:t>
      </w:r>
      <w:bookmarkEnd w:id="23"/>
    </w:p>
    <w:p w14:paraId="7DAF5581" w14:textId="4F48C8DF" w:rsidR="002D58C9" w:rsidRPr="007F3D01" w:rsidRDefault="00DF2354" w:rsidP="004C14F6">
      <w:pPr>
        <w:rPr>
          <w:noProof/>
          <w:lang w:val="en-IE"/>
        </w:rPr>
      </w:pPr>
      <w:r w:rsidRPr="007F3D01">
        <w:rPr>
          <w:noProof/>
          <w:lang w:val="en-IE"/>
        </w:rPr>
        <w:t>Overall, almost all of the national programmes cover all types of radioactive waste and spent fuel generated in the Member States’ territor</w:t>
      </w:r>
      <w:r w:rsidR="00D15F3A" w:rsidRPr="007F3D01">
        <w:rPr>
          <w:noProof/>
          <w:lang w:val="en-IE"/>
        </w:rPr>
        <w:t>ies</w:t>
      </w:r>
      <w:r w:rsidRPr="007F3D01">
        <w:rPr>
          <w:noProof/>
          <w:lang w:val="en-IE"/>
        </w:rPr>
        <w:t xml:space="preserve">, but only one third of them indicate concrete plans from generation to disposal. </w:t>
      </w:r>
      <w:r w:rsidR="00356E68" w:rsidRPr="007F3D01">
        <w:rPr>
          <w:noProof/>
          <w:lang w:val="en-IE"/>
        </w:rPr>
        <w:t>While mos</w:t>
      </w:r>
      <w:r w:rsidR="005811A7" w:rsidRPr="007F3D01">
        <w:rPr>
          <w:noProof/>
          <w:lang w:val="en-IE"/>
        </w:rPr>
        <w:t xml:space="preserve">t of the Member States plan </w:t>
      </w:r>
      <w:r w:rsidR="00D15F3A" w:rsidRPr="007F3D01">
        <w:rPr>
          <w:noProof/>
          <w:lang w:val="en-IE"/>
        </w:rPr>
        <w:t xml:space="preserve">to </w:t>
      </w:r>
      <w:r w:rsidR="005811A7" w:rsidRPr="007F3D01">
        <w:rPr>
          <w:noProof/>
          <w:lang w:val="en-IE"/>
        </w:rPr>
        <w:t>dispos</w:t>
      </w:r>
      <w:r w:rsidR="00D15F3A" w:rsidRPr="007F3D01">
        <w:rPr>
          <w:noProof/>
          <w:lang w:val="en-IE"/>
        </w:rPr>
        <w:t>e of radioactive waste and/or spent fuel</w:t>
      </w:r>
      <w:r w:rsidR="00356E68" w:rsidRPr="007F3D01">
        <w:rPr>
          <w:noProof/>
          <w:lang w:val="en-IE"/>
        </w:rPr>
        <w:t xml:space="preserve"> in their territory, not all of them </w:t>
      </w:r>
      <w:r w:rsidR="00DF191B">
        <w:rPr>
          <w:noProof/>
          <w:lang w:val="en-IE"/>
        </w:rPr>
        <w:t xml:space="preserve">have </w:t>
      </w:r>
      <w:r w:rsidR="00356E68" w:rsidRPr="007F3D01">
        <w:rPr>
          <w:noProof/>
          <w:lang w:val="en-IE"/>
        </w:rPr>
        <w:t>made their final decision</w:t>
      </w:r>
      <w:r w:rsidR="007D6A6A">
        <w:rPr>
          <w:noProof/>
          <w:lang w:val="en-IE"/>
        </w:rPr>
        <w:t xml:space="preserve"> and </w:t>
      </w:r>
      <w:r w:rsidR="009D6D58">
        <w:rPr>
          <w:noProof/>
          <w:lang w:val="en-IE"/>
        </w:rPr>
        <w:t xml:space="preserve">some still </w:t>
      </w:r>
      <w:r w:rsidR="007D6A6A">
        <w:rPr>
          <w:noProof/>
          <w:lang w:val="en-IE"/>
        </w:rPr>
        <w:t>consider the possibilities of common multinational disposal</w:t>
      </w:r>
      <w:r w:rsidR="00356E68" w:rsidRPr="007F3D01">
        <w:rPr>
          <w:noProof/>
          <w:lang w:val="en-IE"/>
        </w:rPr>
        <w:t>.</w:t>
      </w:r>
    </w:p>
    <w:p w14:paraId="593180A9" w14:textId="211AF161" w:rsidR="00084CB6" w:rsidRPr="007F3D01" w:rsidRDefault="00EE54A8" w:rsidP="004C14F6">
      <w:pPr>
        <w:rPr>
          <w:noProof/>
          <w:lang w:val="en-IE"/>
        </w:rPr>
      </w:pPr>
      <w:r w:rsidRPr="007F3D01">
        <w:rPr>
          <w:noProof/>
          <w:lang w:val="en-IE"/>
        </w:rPr>
        <w:t xml:space="preserve">Most Member States </w:t>
      </w:r>
      <w:r w:rsidR="00FA670F">
        <w:rPr>
          <w:noProof/>
          <w:lang w:val="en-IE"/>
        </w:rPr>
        <w:t xml:space="preserve">without nuclear power programmes and some Member States with nuclear power programmes </w:t>
      </w:r>
      <w:r w:rsidR="00DF191B">
        <w:rPr>
          <w:noProof/>
          <w:lang w:val="en-IE"/>
        </w:rPr>
        <w:t xml:space="preserve">are </w:t>
      </w:r>
      <w:r w:rsidRPr="007F3D01">
        <w:rPr>
          <w:noProof/>
          <w:lang w:val="en-IE"/>
        </w:rPr>
        <w:t>consider</w:t>
      </w:r>
      <w:r w:rsidR="00DF191B">
        <w:rPr>
          <w:noProof/>
          <w:lang w:val="en-IE"/>
        </w:rPr>
        <w:t>ing</w:t>
      </w:r>
      <w:r w:rsidRPr="007F3D01">
        <w:rPr>
          <w:noProof/>
          <w:lang w:val="en-IE"/>
        </w:rPr>
        <w:t xml:space="preserve"> e</w:t>
      </w:r>
      <w:r w:rsidR="00356E68" w:rsidRPr="007F3D01">
        <w:rPr>
          <w:noProof/>
          <w:lang w:val="en-IE"/>
        </w:rPr>
        <w:t>xport</w:t>
      </w:r>
      <w:r w:rsidR="00DF191B">
        <w:rPr>
          <w:noProof/>
          <w:lang w:val="en-IE"/>
        </w:rPr>
        <w:t>ing</w:t>
      </w:r>
      <w:r w:rsidR="00356E68" w:rsidRPr="007F3D01">
        <w:rPr>
          <w:noProof/>
          <w:lang w:val="en-IE"/>
        </w:rPr>
        <w:t xml:space="preserve"> radioactive waste for disposal. However, </w:t>
      </w:r>
      <w:r w:rsidR="00D15F3A" w:rsidRPr="007F3D01">
        <w:rPr>
          <w:noProof/>
          <w:lang w:val="en-IE"/>
        </w:rPr>
        <w:t xml:space="preserve">the Commission has observed </w:t>
      </w:r>
      <w:r w:rsidR="005811A7" w:rsidRPr="007F3D01">
        <w:rPr>
          <w:noProof/>
          <w:lang w:val="en-IE"/>
        </w:rPr>
        <w:t xml:space="preserve">no significant development in practice in </w:t>
      </w:r>
      <w:r w:rsidR="00DF191B">
        <w:rPr>
          <w:noProof/>
          <w:lang w:val="en-IE"/>
        </w:rPr>
        <w:t>recent</w:t>
      </w:r>
      <w:r w:rsidR="005811A7" w:rsidRPr="007F3D01">
        <w:rPr>
          <w:noProof/>
          <w:lang w:val="en-IE"/>
        </w:rPr>
        <w:t xml:space="preserve"> years towards a shared solution for disposal. It is worth </w:t>
      </w:r>
      <w:r w:rsidR="00D15F3A" w:rsidRPr="007F3D01">
        <w:rPr>
          <w:noProof/>
          <w:lang w:val="en-IE"/>
        </w:rPr>
        <w:t>noting</w:t>
      </w:r>
      <w:r w:rsidR="005811A7" w:rsidRPr="007F3D01">
        <w:rPr>
          <w:noProof/>
          <w:lang w:val="en-IE"/>
        </w:rPr>
        <w:t xml:space="preserve"> that </w:t>
      </w:r>
      <w:r w:rsidR="00356E68" w:rsidRPr="007F3D01">
        <w:rPr>
          <w:noProof/>
          <w:lang w:val="en-IE"/>
        </w:rPr>
        <w:t>national framework</w:t>
      </w:r>
      <w:r w:rsidR="00D15F3A" w:rsidRPr="007F3D01">
        <w:rPr>
          <w:noProof/>
          <w:lang w:val="en-IE"/>
        </w:rPr>
        <w:t>s</w:t>
      </w:r>
      <w:r w:rsidR="00356E68" w:rsidRPr="007F3D01">
        <w:rPr>
          <w:noProof/>
          <w:lang w:val="en-IE"/>
        </w:rPr>
        <w:t xml:space="preserve"> prohibit import</w:t>
      </w:r>
      <w:r w:rsidR="00D15F3A" w:rsidRPr="007F3D01">
        <w:rPr>
          <w:noProof/>
          <w:lang w:val="en-IE"/>
        </w:rPr>
        <w:t>ing</w:t>
      </w:r>
      <w:r w:rsidR="00356E68" w:rsidRPr="007F3D01">
        <w:rPr>
          <w:noProof/>
          <w:lang w:val="en-IE"/>
        </w:rPr>
        <w:t xml:space="preserve"> radioactive waste in</w:t>
      </w:r>
      <w:r w:rsidR="00DF191B">
        <w:rPr>
          <w:noProof/>
          <w:lang w:val="en-IE"/>
        </w:rPr>
        <w:t xml:space="preserve"> several</w:t>
      </w:r>
      <w:r w:rsidR="00356E68" w:rsidRPr="007F3D01">
        <w:rPr>
          <w:noProof/>
          <w:lang w:val="en-IE"/>
        </w:rPr>
        <w:t xml:space="preserve"> Members States, including </w:t>
      </w:r>
      <w:r w:rsidR="00DF191B">
        <w:rPr>
          <w:noProof/>
          <w:lang w:val="en-IE"/>
        </w:rPr>
        <w:t>some</w:t>
      </w:r>
      <w:r w:rsidR="00356E68" w:rsidRPr="007F3D01">
        <w:rPr>
          <w:noProof/>
          <w:lang w:val="en-IE"/>
        </w:rPr>
        <w:t xml:space="preserve"> </w:t>
      </w:r>
      <w:r w:rsidR="00D15F3A" w:rsidRPr="007F3D01">
        <w:rPr>
          <w:noProof/>
          <w:lang w:val="en-IE"/>
        </w:rPr>
        <w:t xml:space="preserve">which are </w:t>
      </w:r>
      <w:r w:rsidR="00356E68" w:rsidRPr="007F3D01">
        <w:rPr>
          <w:noProof/>
          <w:lang w:val="en-IE"/>
        </w:rPr>
        <w:t>considering shared solutions</w:t>
      </w:r>
      <w:r w:rsidR="00E75EA1">
        <w:rPr>
          <w:rStyle w:val="FootnoteReference"/>
          <w:noProof/>
          <w:lang w:val="en-IE"/>
        </w:rPr>
        <w:footnoteReference w:id="32"/>
      </w:r>
      <w:r w:rsidR="00356E68" w:rsidRPr="007F3D01">
        <w:rPr>
          <w:noProof/>
          <w:lang w:val="en-IE"/>
        </w:rPr>
        <w:t>.</w:t>
      </w:r>
    </w:p>
    <w:p w14:paraId="32572B5E" w14:textId="74DCA5B6" w:rsidR="00356E68" w:rsidRPr="007F3D01" w:rsidRDefault="00356E68" w:rsidP="004C14F6">
      <w:pPr>
        <w:rPr>
          <w:noProof/>
          <w:lang w:val="en-IE"/>
        </w:rPr>
      </w:pPr>
      <w:r w:rsidRPr="007F3D01">
        <w:rPr>
          <w:noProof/>
          <w:lang w:val="en-IE"/>
        </w:rPr>
        <w:t>Similarly to the previous reporting cycle</w:t>
      </w:r>
      <w:r w:rsidR="007C19F4">
        <w:rPr>
          <w:noProof/>
          <w:lang w:val="en-IE"/>
        </w:rPr>
        <w:t>,</w:t>
      </w:r>
      <w:r w:rsidRPr="007F3D01">
        <w:rPr>
          <w:noProof/>
          <w:lang w:val="en-IE"/>
        </w:rPr>
        <w:t xml:space="preserve"> there is still little information on </w:t>
      </w:r>
      <w:r w:rsidR="00DF191B">
        <w:rPr>
          <w:noProof/>
          <w:lang w:val="en-IE"/>
        </w:rPr>
        <w:t>how</w:t>
      </w:r>
      <w:r w:rsidRPr="007F3D01">
        <w:rPr>
          <w:noProof/>
          <w:lang w:val="en-IE"/>
        </w:rPr>
        <w:t xml:space="preserve"> institutional radioactive waste</w:t>
      </w:r>
      <w:r w:rsidR="00A534AA" w:rsidRPr="007F3D01">
        <w:rPr>
          <w:rStyle w:val="FootnoteReference"/>
          <w:noProof/>
          <w:lang w:val="en-IE"/>
        </w:rPr>
        <w:footnoteReference w:id="33"/>
      </w:r>
      <w:r w:rsidR="00DF191B">
        <w:rPr>
          <w:noProof/>
          <w:lang w:val="en-IE"/>
        </w:rPr>
        <w:t xml:space="preserve"> is managed</w:t>
      </w:r>
      <w:r w:rsidR="00A534AA" w:rsidRPr="007F3D01">
        <w:rPr>
          <w:noProof/>
          <w:lang w:val="en-IE"/>
        </w:rPr>
        <w:t xml:space="preserve">, therefore </w:t>
      </w:r>
      <w:r w:rsidR="005A5EE7" w:rsidRPr="007F3D01">
        <w:rPr>
          <w:noProof/>
          <w:lang w:val="en-IE"/>
        </w:rPr>
        <w:t xml:space="preserve">this report </w:t>
      </w:r>
      <w:r w:rsidR="00A534AA" w:rsidRPr="007F3D01">
        <w:rPr>
          <w:noProof/>
          <w:lang w:val="en-IE"/>
        </w:rPr>
        <w:t>cover</w:t>
      </w:r>
      <w:r w:rsidR="005A5EE7" w:rsidRPr="007F3D01">
        <w:rPr>
          <w:noProof/>
          <w:lang w:val="en-IE"/>
        </w:rPr>
        <w:t>s</w:t>
      </w:r>
      <w:r w:rsidR="00A534AA" w:rsidRPr="007F3D01">
        <w:rPr>
          <w:noProof/>
          <w:lang w:val="en-IE"/>
        </w:rPr>
        <w:t xml:space="preserve"> th</w:t>
      </w:r>
      <w:r w:rsidR="007C19F4">
        <w:rPr>
          <w:noProof/>
          <w:lang w:val="en-IE"/>
        </w:rPr>
        <w:t>at</w:t>
      </w:r>
      <w:r w:rsidR="00A534AA" w:rsidRPr="007F3D01">
        <w:rPr>
          <w:noProof/>
          <w:lang w:val="en-IE"/>
        </w:rPr>
        <w:t xml:space="preserve"> aspect of radioactive waste management in </w:t>
      </w:r>
      <w:r w:rsidR="005A5EE7" w:rsidRPr="007F3D01">
        <w:rPr>
          <w:noProof/>
          <w:lang w:val="en-IE"/>
        </w:rPr>
        <w:t>broad terms</w:t>
      </w:r>
      <w:r w:rsidR="00DF191B">
        <w:rPr>
          <w:noProof/>
          <w:lang w:val="en-IE"/>
        </w:rPr>
        <w:t xml:space="preserve"> only</w:t>
      </w:r>
      <w:r w:rsidRPr="007F3D01">
        <w:rPr>
          <w:noProof/>
          <w:lang w:val="en-IE"/>
        </w:rPr>
        <w:t>.</w:t>
      </w:r>
    </w:p>
    <w:p w14:paraId="17F3770C" w14:textId="77777777" w:rsidR="0068325C" w:rsidRPr="007F3D01" w:rsidRDefault="0091419F" w:rsidP="00DF191B">
      <w:pPr>
        <w:pStyle w:val="Heading3"/>
        <w:rPr>
          <w:lang w:val="en-IE"/>
        </w:rPr>
      </w:pPr>
      <w:bookmarkStart w:id="24" w:name="_Toc166055467"/>
      <w:r w:rsidRPr="007F3D01">
        <w:rPr>
          <w:lang w:val="en-IE"/>
        </w:rPr>
        <w:t>Monitoring progress towards implementation</w:t>
      </w:r>
      <w:bookmarkEnd w:id="24"/>
    </w:p>
    <w:p w14:paraId="07F3A749" w14:textId="7B743D59" w:rsidR="00EA41E7" w:rsidRPr="007F3D01" w:rsidRDefault="00EA41E7">
      <w:pPr>
        <w:rPr>
          <w:noProof/>
          <w:lang w:val="en-IE"/>
        </w:rPr>
      </w:pPr>
      <w:r w:rsidRPr="007F3D01">
        <w:rPr>
          <w:noProof/>
          <w:lang w:val="en-IE"/>
        </w:rPr>
        <w:t>According to</w:t>
      </w:r>
      <w:r w:rsidR="00823B40" w:rsidRPr="007F3D01">
        <w:rPr>
          <w:noProof/>
          <w:lang w:val="en-IE"/>
        </w:rPr>
        <w:t xml:space="preserve"> Article 12(1)(g) of the Directive, national programmes </w:t>
      </w:r>
      <w:r w:rsidRPr="007F3D01">
        <w:rPr>
          <w:noProof/>
          <w:lang w:val="en-IE"/>
        </w:rPr>
        <w:t>must</w:t>
      </w:r>
      <w:r w:rsidR="00823B40" w:rsidRPr="007F3D01">
        <w:rPr>
          <w:noProof/>
          <w:lang w:val="en-IE"/>
        </w:rPr>
        <w:t xml:space="preserve"> include key performance indicators (KPIs) to monitor progress towards </w:t>
      </w:r>
      <w:r w:rsidRPr="007F3D01">
        <w:rPr>
          <w:noProof/>
          <w:lang w:val="en-IE"/>
        </w:rPr>
        <w:t xml:space="preserve">their </w:t>
      </w:r>
      <w:r w:rsidR="00823B40" w:rsidRPr="007F3D01">
        <w:rPr>
          <w:noProof/>
          <w:lang w:val="en-IE"/>
        </w:rPr>
        <w:t xml:space="preserve">implementation. </w:t>
      </w:r>
      <w:r w:rsidR="00C26B5C" w:rsidRPr="007F3D01">
        <w:rPr>
          <w:noProof/>
          <w:lang w:val="en-IE"/>
        </w:rPr>
        <w:t xml:space="preserve">Far from being a mere formal requirement, KPIs </w:t>
      </w:r>
      <w:r w:rsidR="00DF191B">
        <w:rPr>
          <w:noProof/>
          <w:lang w:val="en-IE"/>
        </w:rPr>
        <w:t>are</w:t>
      </w:r>
      <w:r w:rsidR="00C26B5C" w:rsidRPr="007F3D01">
        <w:rPr>
          <w:noProof/>
          <w:lang w:val="en-IE"/>
        </w:rPr>
        <w:t xml:space="preserve"> an essential element of the national programme, enabl</w:t>
      </w:r>
      <w:r w:rsidR="00DF191B">
        <w:rPr>
          <w:noProof/>
          <w:lang w:val="en-IE"/>
        </w:rPr>
        <w:t>ing</w:t>
      </w:r>
      <w:r w:rsidR="00C26B5C" w:rsidRPr="007F3D01">
        <w:rPr>
          <w:noProof/>
          <w:lang w:val="en-IE"/>
        </w:rPr>
        <w:t xml:space="preserve"> t</w:t>
      </w:r>
      <w:r w:rsidR="00DF191B">
        <w:rPr>
          <w:noProof/>
          <w:lang w:val="en-IE"/>
        </w:rPr>
        <w:t>he</w:t>
      </w:r>
      <w:r w:rsidR="00C26B5C" w:rsidRPr="007F3D01">
        <w:rPr>
          <w:noProof/>
          <w:lang w:val="en-IE"/>
        </w:rPr>
        <w:t xml:space="preserve"> monitor</w:t>
      </w:r>
      <w:r w:rsidR="00DF191B">
        <w:rPr>
          <w:noProof/>
          <w:lang w:val="en-IE"/>
        </w:rPr>
        <w:t>ing of</w:t>
      </w:r>
      <w:r w:rsidR="00C26B5C" w:rsidRPr="007F3D01">
        <w:rPr>
          <w:noProof/>
          <w:lang w:val="en-IE"/>
        </w:rPr>
        <w:t xml:space="preserve"> progress towards its implementation, the implementation of the national policy and, ultimately, towards achieving the Directive’s overarching objective of avoiding undue burdens on future generations.</w:t>
      </w:r>
      <w:r w:rsidR="00C63DF2" w:rsidRPr="007F3D01">
        <w:rPr>
          <w:noProof/>
          <w:lang w:val="en-IE"/>
        </w:rPr>
        <w:t xml:space="preserve"> Moreover, </w:t>
      </w:r>
      <w:r w:rsidR="0027690E" w:rsidRPr="007F3D01">
        <w:rPr>
          <w:noProof/>
          <w:lang w:val="en-IE"/>
        </w:rPr>
        <w:t>since</w:t>
      </w:r>
      <w:r w:rsidR="00C63DF2" w:rsidRPr="007F3D01">
        <w:rPr>
          <w:noProof/>
          <w:lang w:val="en-IE"/>
        </w:rPr>
        <w:t xml:space="preserve"> Member States</w:t>
      </w:r>
      <w:r w:rsidR="0027690E" w:rsidRPr="007F3D01">
        <w:rPr>
          <w:noProof/>
          <w:lang w:val="en-IE"/>
        </w:rPr>
        <w:t>,</w:t>
      </w:r>
      <w:r w:rsidR="009E6DD0">
        <w:rPr>
          <w:noProof/>
          <w:lang w:val="en-IE"/>
        </w:rPr>
        <w:t xml:space="preserve"> under</w:t>
      </w:r>
      <w:r w:rsidR="0027690E" w:rsidRPr="007F3D01">
        <w:rPr>
          <w:noProof/>
          <w:lang w:val="en-IE"/>
        </w:rPr>
        <w:t xml:space="preserve"> Article 14 of the Directive,</w:t>
      </w:r>
      <w:r w:rsidR="00C63DF2" w:rsidRPr="007F3D01">
        <w:rPr>
          <w:noProof/>
          <w:lang w:val="en-IE"/>
        </w:rPr>
        <w:t xml:space="preserve"> should report </w:t>
      </w:r>
      <w:r w:rsidR="009E6DD0">
        <w:rPr>
          <w:noProof/>
          <w:lang w:val="en-IE"/>
        </w:rPr>
        <w:t xml:space="preserve">them </w:t>
      </w:r>
      <w:r w:rsidR="00C63DF2" w:rsidRPr="007F3D01">
        <w:rPr>
          <w:noProof/>
          <w:lang w:val="en-IE"/>
        </w:rPr>
        <w:t xml:space="preserve">to the Commission </w:t>
      </w:r>
      <w:r w:rsidR="0027690E" w:rsidRPr="007F3D01">
        <w:rPr>
          <w:noProof/>
          <w:lang w:val="en-IE"/>
        </w:rPr>
        <w:t xml:space="preserve">every </w:t>
      </w:r>
      <w:r w:rsidR="009E6DD0">
        <w:rPr>
          <w:noProof/>
          <w:lang w:val="en-IE"/>
        </w:rPr>
        <w:t>3</w:t>
      </w:r>
      <w:r w:rsidR="0027690E" w:rsidRPr="007F3D01">
        <w:rPr>
          <w:noProof/>
          <w:lang w:val="en-IE"/>
        </w:rPr>
        <w:t xml:space="preserve"> year</w:t>
      </w:r>
      <w:r w:rsidR="007C19F4">
        <w:rPr>
          <w:noProof/>
          <w:lang w:val="en-IE"/>
        </w:rPr>
        <w:t>s</w:t>
      </w:r>
      <w:r w:rsidR="0027690E" w:rsidRPr="007F3D01">
        <w:rPr>
          <w:noProof/>
          <w:lang w:val="en-IE"/>
        </w:rPr>
        <w:t xml:space="preserve">, KPIs are also </w:t>
      </w:r>
      <w:r w:rsidR="009A12F2" w:rsidRPr="007F3D01">
        <w:rPr>
          <w:noProof/>
          <w:lang w:val="en-IE"/>
        </w:rPr>
        <w:t>a useful tool</w:t>
      </w:r>
      <w:r w:rsidR="0027690E" w:rsidRPr="007F3D01">
        <w:rPr>
          <w:noProof/>
          <w:lang w:val="en-IE"/>
        </w:rPr>
        <w:t xml:space="preserve"> for ensuring transparency</w:t>
      </w:r>
      <w:r w:rsidR="009E6DD0">
        <w:rPr>
          <w:noProof/>
          <w:lang w:val="en-IE"/>
        </w:rPr>
        <w:t xml:space="preserve"> for</w:t>
      </w:r>
      <w:r w:rsidR="00304523">
        <w:rPr>
          <w:noProof/>
          <w:lang w:val="en-IE"/>
        </w:rPr>
        <w:t xml:space="preserve"> </w:t>
      </w:r>
      <w:r w:rsidR="0027690E" w:rsidRPr="007F3D01">
        <w:rPr>
          <w:noProof/>
          <w:lang w:val="en-IE"/>
        </w:rPr>
        <w:t>the public.</w:t>
      </w:r>
    </w:p>
    <w:p w14:paraId="21931131" w14:textId="00D889CA" w:rsidR="00374C67" w:rsidRPr="007F3D01" w:rsidRDefault="00234393" w:rsidP="00374C67">
      <w:pPr>
        <w:rPr>
          <w:noProof/>
          <w:lang w:val="en-IE"/>
        </w:rPr>
      </w:pPr>
      <w:r w:rsidRPr="007F3D01">
        <w:rPr>
          <w:noProof/>
          <w:lang w:val="en-IE"/>
        </w:rPr>
        <w:t xml:space="preserve">Since the first </w:t>
      </w:r>
      <w:r w:rsidR="009E6DD0">
        <w:rPr>
          <w:noProof/>
          <w:lang w:val="en-IE"/>
        </w:rPr>
        <w:t xml:space="preserve">progress </w:t>
      </w:r>
      <w:r w:rsidRPr="007F3D01">
        <w:rPr>
          <w:noProof/>
          <w:lang w:val="en-IE"/>
        </w:rPr>
        <w:t>report the Commission has been identifying t</w:t>
      </w:r>
      <w:r w:rsidR="00C9431C" w:rsidRPr="007F3D01">
        <w:rPr>
          <w:noProof/>
          <w:lang w:val="en-IE"/>
        </w:rPr>
        <w:t>he definition of KPIs in line with the above</w:t>
      </w:r>
      <w:r w:rsidR="00FC0096" w:rsidRPr="007F3D01">
        <w:rPr>
          <w:noProof/>
          <w:lang w:val="en-IE"/>
        </w:rPr>
        <w:t>-</w:t>
      </w:r>
      <w:r w:rsidR="00C9431C" w:rsidRPr="007F3D01">
        <w:rPr>
          <w:noProof/>
          <w:lang w:val="en-IE"/>
        </w:rPr>
        <w:t xml:space="preserve">mentioned requirement as one of the main implementation challenges related to the national programmes. </w:t>
      </w:r>
      <w:r w:rsidR="00FB017E" w:rsidRPr="007F3D01">
        <w:rPr>
          <w:noProof/>
          <w:lang w:val="en-IE"/>
        </w:rPr>
        <w:t xml:space="preserve">In </w:t>
      </w:r>
      <w:r w:rsidR="007A6B72" w:rsidRPr="007F3D01">
        <w:rPr>
          <w:noProof/>
          <w:lang w:val="en-IE"/>
        </w:rPr>
        <w:t>its second report</w:t>
      </w:r>
      <w:r w:rsidR="00FB017E" w:rsidRPr="007F3D01">
        <w:rPr>
          <w:noProof/>
          <w:lang w:val="en-IE"/>
        </w:rPr>
        <w:t xml:space="preserve">, the Commission </w:t>
      </w:r>
      <w:r w:rsidR="00823B40" w:rsidRPr="007F3D01">
        <w:rPr>
          <w:noProof/>
          <w:lang w:val="en-IE"/>
        </w:rPr>
        <w:t xml:space="preserve">highlighted </w:t>
      </w:r>
      <w:r w:rsidR="00272B45" w:rsidRPr="007F3D01">
        <w:rPr>
          <w:noProof/>
          <w:lang w:val="en-IE"/>
        </w:rPr>
        <w:t>that</w:t>
      </w:r>
      <w:r w:rsidR="009E6DD0">
        <w:rPr>
          <w:noProof/>
          <w:lang w:val="en-IE"/>
        </w:rPr>
        <w:t xml:space="preserve"> further</w:t>
      </w:r>
      <w:r w:rsidR="00272B45" w:rsidRPr="007F3D01">
        <w:rPr>
          <w:noProof/>
          <w:lang w:val="en-IE"/>
        </w:rPr>
        <w:t xml:space="preserve"> effort was </w:t>
      </w:r>
      <w:r w:rsidR="00C9431C" w:rsidRPr="007F3D01">
        <w:rPr>
          <w:noProof/>
          <w:lang w:val="en-IE"/>
        </w:rPr>
        <w:t xml:space="preserve">still </w:t>
      </w:r>
      <w:r w:rsidR="00272B45" w:rsidRPr="007F3D01">
        <w:rPr>
          <w:noProof/>
          <w:lang w:val="en-IE"/>
        </w:rPr>
        <w:t xml:space="preserve">needed from the </w:t>
      </w:r>
      <w:r w:rsidR="00823B40" w:rsidRPr="007F3D01">
        <w:rPr>
          <w:noProof/>
          <w:lang w:val="en-IE"/>
        </w:rPr>
        <w:t xml:space="preserve">Member States </w:t>
      </w:r>
      <w:r w:rsidR="00272B45" w:rsidRPr="007F3D01">
        <w:rPr>
          <w:noProof/>
          <w:lang w:val="en-IE"/>
        </w:rPr>
        <w:t xml:space="preserve">to fully comply with the KPI </w:t>
      </w:r>
      <w:r w:rsidR="00823B40" w:rsidRPr="007F3D01">
        <w:rPr>
          <w:noProof/>
          <w:lang w:val="en-IE"/>
        </w:rPr>
        <w:t>requirement</w:t>
      </w:r>
      <w:r w:rsidR="007A6B72" w:rsidRPr="007F3D01">
        <w:rPr>
          <w:noProof/>
          <w:lang w:val="en-IE"/>
        </w:rPr>
        <w:t xml:space="preserve">, </w:t>
      </w:r>
      <w:r w:rsidR="005F70B3" w:rsidRPr="007F3D01">
        <w:rPr>
          <w:noProof/>
          <w:lang w:val="en-IE"/>
        </w:rPr>
        <w:t>stress</w:t>
      </w:r>
      <w:r w:rsidR="007A6B72" w:rsidRPr="007F3D01">
        <w:rPr>
          <w:noProof/>
          <w:lang w:val="en-IE"/>
        </w:rPr>
        <w:t>ing</w:t>
      </w:r>
      <w:r w:rsidR="005F70B3" w:rsidRPr="007F3D01">
        <w:rPr>
          <w:noProof/>
          <w:lang w:val="en-IE"/>
        </w:rPr>
        <w:t xml:space="preserve"> that over a third of the Member States </w:t>
      </w:r>
      <w:r w:rsidR="007A6B72" w:rsidRPr="007F3D01">
        <w:rPr>
          <w:noProof/>
          <w:lang w:val="en-IE"/>
        </w:rPr>
        <w:t>did</w:t>
      </w:r>
      <w:r w:rsidR="008521D9" w:rsidRPr="007F3D01">
        <w:rPr>
          <w:noProof/>
          <w:lang w:val="en-IE"/>
        </w:rPr>
        <w:t xml:space="preserve"> not define</w:t>
      </w:r>
      <w:r w:rsidR="009E6DD0">
        <w:rPr>
          <w:noProof/>
          <w:lang w:val="en-IE"/>
        </w:rPr>
        <w:t xml:space="preserve"> KPIs</w:t>
      </w:r>
      <w:r w:rsidR="005F70B3" w:rsidRPr="007F3D01">
        <w:rPr>
          <w:noProof/>
          <w:lang w:val="en-IE"/>
        </w:rPr>
        <w:t xml:space="preserve"> in line with the Directive.</w:t>
      </w:r>
      <w:r w:rsidR="00374C67" w:rsidRPr="007F3D01">
        <w:rPr>
          <w:noProof/>
          <w:lang w:val="en-IE"/>
        </w:rPr>
        <w:t xml:space="preserve"> </w:t>
      </w:r>
    </w:p>
    <w:p w14:paraId="7E9CE8CA" w14:textId="5E2B36AE" w:rsidR="00B90EDE" w:rsidRPr="007F3D01" w:rsidRDefault="009E6DD0">
      <w:pPr>
        <w:rPr>
          <w:noProof/>
          <w:lang w:val="en-IE"/>
        </w:rPr>
      </w:pPr>
      <w:r>
        <w:rPr>
          <w:noProof/>
          <w:lang w:val="en-IE"/>
        </w:rPr>
        <w:t>T</w:t>
      </w:r>
      <w:r w:rsidR="00411960" w:rsidRPr="007F3D01">
        <w:rPr>
          <w:noProof/>
          <w:lang w:val="en-IE"/>
        </w:rPr>
        <w:t xml:space="preserve">o support Member States in addressing this </w:t>
      </w:r>
      <w:r w:rsidR="00374C67" w:rsidRPr="007F3D01">
        <w:rPr>
          <w:noProof/>
          <w:lang w:val="en-IE"/>
        </w:rPr>
        <w:t>major compliance issue</w:t>
      </w:r>
      <w:r w:rsidR="00411960" w:rsidRPr="007F3D01">
        <w:rPr>
          <w:noProof/>
          <w:lang w:val="en-IE"/>
        </w:rPr>
        <w:t xml:space="preserve"> </w:t>
      </w:r>
      <w:r w:rsidR="00636A98" w:rsidRPr="007F3D01">
        <w:rPr>
          <w:noProof/>
          <w:lang w:val="en-IE"/>
        </w:rPr>
        <w:t xml:space="preserve">the Commission </w:t>
      </w:r>
      <w:r>
        <w:rPr>
          <w:noProof/>
          <w:lang w:val="en-IE"/>
        </w:rPr>
        <w:t>funded</w:t>
      </w:r>
      <w:r w:rsidR="00636A98" w:rsidRPr="007F3D01">
        <w:rPr>
          <w:noProof/>
          <w:lang w:val="en-IE"/>
        </w:rPr>
        <w:t xml:space="preserve"> a study</w:t>
      </w:r>
      <w:r w:rsidR="00411960" w:rsidRPr="007F3D01">
        <w:rPr>
          <w:rStyle w:val="FootnoteReference"/>
          <w:noProof/>
          <w:color w:val="000000" w:themeColor="text1"/>
          <w:lang w:val="en-IE"/>
        </w:rPr>
        <w:footnoteReference w:id="34"/>
      </w:r>
      <w:r w:rsidR="00636A98" w:rsidRPr="007F3D01">
        <w:rPr>
          <w:noProof/>
          <w:lang w:val="en-IE"/>
        </w:rPr>
        <w:t xml:space="preserve"> on KPI</w:t>
      </w:r>
      <w:r w:rsidR="00411960" w:rsidRPr="007F3D01">
        <w:rPr>
          <w:noProof/>
          <w:lang w:val="en-IE"/>
        </w:rPr>
        <w:t xml:space="preserve">s, which </w:t>
      </w:r>
      <w:r w:rsidR="00E510EF" w:rsidRPr="007F3D01">
        <w:rPr>
          <w:noProof/>
          <w:lang w:val="en-IE"/>
        </w:rPr>
        <w:t>was</w:t>
      </w:r>
      <w:r w:rsidR="00411960" w:rsidRPr="007F3D01">
        <w:rPr>
          <w:noProof/>
          <w:lang w:val="en-IE"/>
        </w:rPr>
        <w:t xml:space="preserve"> </w:t>
      </w:r>
      <w:r w:rsidR="00A344C8" w:rsidRPr="007F3D01">
        <w:rPr>
          <w:noProof/>
          <w:lang w:val="en-IE"/>
        </w:rPr>
        <w:t xml:space="preserve">presented to </w:t>
      </w:r>
      <w:r w:rsidR="00E510EF" w:rsidRPr="007F3D01">
        <w:rPr>
          <w:noProof/>
          <w:lang w:val="en-IE"/>
        </w:rPr>
        <w:t>and discus</w:t>
      </w:r>
      <w:r w:rsidR="002847CD" w:rsidRPr="007F3D01">
        <w:rPr>
          <w:noProof/>
          <w:lang w:val="en-IE"/>
        </w:rPr>
        <w:t>s</w:t>
      </w:r>
      <w:r w:rsidR="00E510EF" w:rsidRPr="007F3D01">
        <w:rPr>
          <w:noProof/>
          <w:lang w:val="en-IE"/>
        </w:rPr>
        <w:t xml:space="preserve">ed with </w:t>
      </w:r>
      <w:r w:rsidR="004E4BA7" w:rsidRPr="007F3D01">
        <w:rPr>
          <w:noProof/>
          <w:lang w:val="en-IE"/>
        </w:rPr>
        <w:t>the Member States’ regulatory authorities and relevant stakeholders</w:t>
      </w:r>
      <w:r w:rsidR="00411960" w:rsidRPr="007F3D01">
        <w:rPr>
          <w:noProof/>
          <w:lang w:val="en-IE"/>
        </w:rPr>
        <w:t>.</w:t>
      </w:r>
    </w:p>
    <w:p w14:paraId="4C722602" w14:textId="304EB4EF" w:rsidR="00B90EDE" w:rsidRPr="007F3D01" w:rsidRDefault="00B90EDE">
      <w:pPr>
        <w:rPr>
          <w:noProof/>
          <w:lang w:val="en-IE"/>
        </w:rPr>
      </w:pPr>
      <w:r w:rsidRPr="007F3D01">
        <w:rPr>
          <w:noProof/>
          <w:lang w:val="en-IE"/>
        </w:rPr>
        <w:t xml:space="preserve">Little progress on the KPIs has been observed </w:t>
      </w:r>
      <w:r w:rsidR="00374C67" w:rsidRPr="007F3D01">
        <w:rPr>
          <w:noProof/>
          <w:lang w:val="en-IE"/>
        </w:rPr>
        <w:t>since the last report</w:t>
      </w:r>
      <w:r w:rsidRPr="007F3D01">
        <w:rPr>
          <w:noProof/>
          <w:lang w:val="en-IE"/>
        </w:rPr>
        <w:t xml:space="preserve">. Most of the Member States have reported progress </w:t>
      </w:r>
      <w:r w:rsidR="009E6DD0">
        <w:rPr>
          <w:noProof/>
          <w:lang w:val="en-IE"/>
        </w:rPr>
        <w:t xml:space="preserve">made </w:t>
      </w:r>
      <w:r w:rsidRPr="007F3D01">
        <w:rPr>
          <w:noProof/>
          <w:lang w:val="en-IE"/>
        </w:rPr>
        <w:t>in implement</w:t>
      </w:r>
      <w:r w:rsidR="009E6DD0">
        <w:rPr>
          <w:noProof/>
          <w:lang w:val="en-IE"/>
        </w:rPr>
        <w:t>ing</w:t>
      </w:r>
      <w:r w:rsidRPr="007F3D01">
        <w:rPr>
          <w:noProof/>
          <w:lang w:val="en-IE"/>
        </w:rPr>
        <w:t xml:space="preserve"> the national programmes, mainly by describing what has been achieved since the last report, and many Member States have updated their milestones and timeframes. However, </w:t>
      </w:r>
      <w:r w:rsidR="00E510EF" w:rsidRPr="007F3D01">
        <w:rPr>
          <w:noProof/>
          <w:lang w:val="en-IE"/>
        </w:rPr>
        <w:t>the Member States did not use KPIs to present the status of implementation of the</w:t>
      </w:r>
      <w:r w:rsidR="009E6DD0">
        <w:rPr>
          <w:noProof/>
          <w:lang w:val="en-IE"/>
        </w:rPr>
        <w:t>ir</w:t>
      </w:r>
      <w:r w:rsidR="00E510EF" w:rsidRPr="007F3D01">
        <w:rPr>
          <w:noProof/>
          <w:lang w:val="en-IE"/>
        </w:rPr>
        <w:t xml:space="preserve"> national programmes </w:t>
      </w:r>
      <w:r w:rsidRPr="007F3D01">
        <w:rPr>
          <w:noProof/>
          <w:lang w:val="en-IE"/>
        </w:rPr>
        <w:t>in the</w:t>
      </w:r>
      <w:r w:rsidR="009E6DD0">
        <w:rPr>
          <w:noProof/>
          <w:lang w:val="en-IE"/>
        </w:rPr>
        <w:t>ir</w:t>
      </w:r>
      <w:r w:rsidRPr="007F3D01">
        <w:rPr>
          <w:noProof/>
          <w:lang w:val="en-IE"/>
        </w:rPr>
        <w:t xml:space="preserve"> national reports.</w:t>
      </w:r>
    </w:p>
    <w:p w14:paraId="04E74B4D" w14:textId="18ADB620" w:rsidR="00374C67" w:rsidRPr="007F3D01" w:rsidRDefault="009F57BE">
      <w:pPr>
        <w:rPr>
          <w:noProof/>
          <w:lang w:val="en-IE"/>
        </w:rPr>
      </w:pPr>
      <w:r>
        <w:rPr>
          <w:noProof/>
          <w:lang w:val="en-IE"/>
        </w:rPr>
        <w:t xml:space="preserve">Slovenia updated </w:t>
      </w:r>
      <w:r w:rsidR="009E6DD0">
        <w:rPr>
          <w:noProof/>
          <w:lang w:val="en-IE"/>
        </w:rPr>
        <w:t>its</w:t>
      </w:r>
      <w:r>
        <w:rPr>
          <w:noProof/>
          <w:lang w:val="en-IE"/>
        </w:rPr>
        <w:t xml:space="preserve"> national programme in </w:t>
      </w:r>
      <w:r w:rsidR="00A302B6">
        <w:rPr>
          <w:noProof/>
          <w:lang w:val="en-IE"/>
        </w:rPr>
        <w:t>January</w:t>
      </w:r>
      <w:r>
        <w:rPr>
          <w:noProof/>
          <w:lang w:val="en-IE"/>
        </w:rPr>
        <w:t xml:space="preserve"> 202</w:t>
      </w:r>
      <w:r w:rsidR="00A302B6">
        <w:rPr>
          <w:noProof/>
          <w:lang w:val="en-IE"/>
        </w:rPr>
        <w:t>3</w:t>
      </w:r>
      <w:r w:rsidR="009E6DD0">
        <w:rPr>
          <w:noProof/>
          <w:lang w:val="en-IE"/>
        </w:rPr>
        <w:t>,</w:t>
      </w:r>
      <w:r>
        <w:rPr>
          <w:noProof/>
          <w:lang w:val="en-IE"/>
        </w:rPr>
        <w:t xml:space="preserve"> </w:t>
      </w:r>
      <w:r w:rsidR="00A302B6">
        <w:rPr>
          <w:noProof/>
          <w:lang w:val="en-IE"/>
        </w:rPr>
        <w:t>i</w:t>
      </w:r>
      <w:r>
        <w:rPr>
          <w:noProof/>
          <w:lang w:val="en-IE"/>
        </w:rPr>
        <w:t>nclud</w:t>
      </w:r>
      <w:r w:rsidR="00A302B6">
        <w:rPr>
          <w:noProof/>
          <w:lang w:val="en-IE"/>
        </w:rPr>
        <w:t>ing</w:t>
      </w:r>
      <w:r>
        <w:rPr>
          <w:noProof/>
          <w:lang w:val="en-IE"/>
        </w:rPr>
        <w:t xml:space="preserve"> </w:t>
      </w:r>
      <w:r w:rsidR="009E6DD0">
        <w:rPr>
          <w:noProof/>
          <w:lang w:val="en-IE"/>
        </w:rPr>
        <w:t xml:space="preserve">bringing </w:t>
      </w:r>
      <w:r>
        <w:rPr>
          <w:noProof/>
          <w:lang w:val="en-IE"/>
        </w:rPr>
        <w:t>KPIs</w:t>
      </w:r>
      <w:r w:rsidR="00976FF7">
        <w:rPr>
          <w:noProof/>
          <w:lang w:val="en-IE"/>
        </w:rPr>
        <w:t xml:space="preserve"> </w:t>
      </w:r>
      <w:r w:rsidR="009C4367">
        <w:rPr>
          <w:noProof/>
          <w:lang w:val="en-IE"/>
        </w:rPr>
        <w:t>in line with the Directive’s requirements and set</w:t>
      </w:r>
      <w:r w:rsidR="00BF3339">
        <w:rPr>
          <w:noProof/>
          <w:lang w:val="en-IE"/>
        </w:rPr>
        <w:t>ting</w:t>
      </w:r>
      <w:r w:rsidR="009C4367">
        <w:rPr>
          <w:noProof/>
          <w:lang w:val="en-IE"/>
        </w:rPr>
        <w:t xml:space="preserve"> a benchmark for good practices.</w:t>
      </w:r>
    </w:p>
    <w:p w14:paraId="17F37712" w14:textId="77777777" w:rsidR="0068325C" w:rsidRPr="007F3D01" w:rsidRDefault="0091419F" w:rsidP="00DF191B">
      <w:pPr>
        <w:pStyle w:val="Heading3"/>
        <w:rPr>
          <w:lang w:val="en-IE"/>
        </w:rPr>
      </w:pPr>
      <w:bookmarkStart w:id="25" w:name="_Toc166055468"/>
      <w:r w:rsidRPr="007F3D01">
        <w:rPr>
          <w:lang w:val="en-IE"/>
        </w:rPr>
        <w:t>Research, development and demonstration activities</w:t>
      </w:r>
      <w:bookmarkEnd w:id="25"/>
    </w:p>
    <w:p w14:paraId="30AE354A" w14:textId="3A0C0894" w:rsidR="006E5D2B" w:rsidRPr="007F3D01" w:rsidRDefault="006E5D2B" w:rsidP="006E5D2B">
      <w:pPr>
        <w:tabs>
          <w:tab w:val="left" w:pos="220"/>
          <w:tab w:val="left" w:pos="720"/>
        </w:tabs>
        <w:rPr>
          <w:noProof/>
          <w:lang w:val="en-IE"/>
        </w:rPr>
      </w:pPr>
      <w:r w:rsidRPr="007F3D01">
        <w:rPr>
          <w:noProof/>
          <w:lang w:val="en-IE"/>
        </w:rPr>
        <w:t>The situation remained largely unchanged since the last report</w:t>
      </w:r>
      <w:r w:rsidR="00FA670F">
        <w:rPr>
          <w:noProof/>
          <w:lang w:val="en-IE"/>
        </w:rPr>
        <w:t xml:space="preserve"> in this area</w:t>
      </w:r>
      <w:r w:rsidRPr="007F3D01">
        <w:rPr>
          <w:noProof/>
          <w:lang w:val="en-IE"/>
        </w:rPr>
        <w:t xml:space="preserve">. The Member States provided minimal information on their research, development and demonstration activities planned to support </w:t>
      </w:r>
      <w:r w:rsidR="009E6DD0">
        <w:rPr>
          <w:noProof/>
          <w:lang w:val="en-IE"/>
        </w:rPr>
        <w:t xml:space="preserve">the </w:t>
      </w:r>
      <w:r w:rsidRPr="007F3D01">
        <w:rPr>
          <w:noProof/>
          <w:lang w:val="en-IE"/>
        </w:rPr>
        <w:t xml:space="preserve">implementation of their national programmes. </w:t>
      </w:r>
      <w:r w:rsidR="00C54B88" w:rsidRPr="007F3D01">
        <w:rPr>
          <w:noProof/>
          <w:lang w:val="en-IE"/>
        </w:rPr>
        <w:t>Six</w:t>
      </w:r>
      <w:r w:rsidRPr="007F3D01">
        <w:rPr>
          <w:noProof/>
          <w:lang w:val="en-IE"/>
        </w:rPr>
        <w:t xml:space="preserve"> Member States, mainly having large</w:t>
      </w:r>
      <w:r w:rsidR="007C19F4">
        <w:rPr>
          <w:noProof/>
          <w:lang w:val="en-IE"/>
        </w:rPr>
        <w:t>-</w:t>
      </w:r>
      <w:r w:rsidRPr="007F3D01">
        <w:rPr>
          <w:noProof/>
          <w:lang w:val="en-IE"/>
        </w:rPr>
        <w:t xml:space="preserve"> and medium</w:t>
      </w:r>
      <w:r w:rsidR="007C19F4">
        <w:rPr>
          <w:noProof/>
          <w:lang w:val="en-IE"/>
        </w:rPr>
        <w:t>-</w:t>
      </w:r>
      <w:r w:rsidRPr="007F3D01">
        <w:rPr>
          <w:noProof/>
          <w:lang w:val="en-IE"/>
        </w:rPr>
        <w:t>size</w:t>
      </w:r>
      <w:r w:rsidR="007C19F4">
        <w:rPr>
          <w:noProof/>
          <w:lang w:val="en-IE"/>
        </w:rPr>
        <w:t>d</w:t>
      </w:r>
      <w:r w:rsidRPr="007F3D01">
        <w:rPr>
          <w:noProof/>
          <w:lang w:val="en-IE"/>
        </w:rPr>
        <w:t xml:space="preserve"> nuclear programmes, provided details and presented the progress made</w:t>
      </w:r>
      <w:r w:rsidRPr="007F3D01">
        <w:rPr>
          <w:rStyle w:val="FootnoteReference"/>
          <w:noProof/>
          <w:lang w:val="en-IE"/>
        </w:rPr>
        <w:footnoteReference w:id="35"/>
      </w:r>
      <w:r w:rsidRPr="007F3D01">
        <w:rPr>
          <w:noProof/>
          <w:lang w:val="en-IE"/>
        </w:rPr>
        <w:t xml:space="preserve">. </w:t>
      </w:r>
      <w:r w:rsidR="00C54B88" w:rsidRPr="007F3D01">
        <w:rPr>
          <w:noProof/>
          <w:lang w:val="en-IE"/>
        </w:rPr>
        <w:t>O</w:t>
      </w:r>
      <w:r w:rsidRPr="007F3D01">
        <w:rPr>
          <w:noProof/>
          <w:lang w:val="en-IE"/>
        </w:rPr>
        <w:t xml:space="preserve">ther Member States presented the research and development activities and timeframes </w:t>
      </w:r>
      <w:r w:rsidR="009E6DD0">
        <w:rPr>
          <w:noProof/>
          <w:lang w:val="en-IE"/>
        </w:rPr>
        <w:t>for</w:t>
      </w:r>
      <w:r w:rsidRPr="007F3D01">
        <w:rPr>
          <w:noProof/>
          <w:lang w:val="en-IE"/>
        </w:rPr>
        <w:t xml:space="preserve"> final disposal in very general terms, and many Member States have not reported any details or confirmed that they do not have a specific research programme.</w:t>
      </w:r>
    </w:p>
    <w:p w14:paraId="263F122E" w14:textId="781C059D" w:rsidR="006E5D2B" w:rsidRPr="007F3D01" w:rsidRDefault="006E5D2B" w:rsidP="006E5D2B">
      <w:pPr>
        <w:tabs>
          <w:tab w:val="left" w:pos="220"/>
          <w:tab w:val="left" w:pos="720"/>
        </w:tabs>
        <w:rPr>
          <w:noProof/>
          <w:lang w:val="en-IE"/>
        </w:rPr>
      </w:pPr>
      <w:r w:rsidRPr="007F3D01">
        <w:rPr>
          <w:noProof/>
          <w:lang w:val="en-IE"/>
        </w:rPr>
        <w:t xml:space="preserve">The research programmes are at </w:t>
      </w:r>
      <w:r w:rsidR="00D262D3" w:rsidRPr="007F3D01">
        <w:rPr>
          <w:noProof/>
          <w:lang w:val="en-IE"/>
        </w:rPr>
        <w:t>various stages</w:t>
      </w:r>
      <w:r w:rsidRPr="007F3D01">
        <w:rPr>
          <w:noProof/>
          <w:lang w:val="en-IE"/>
        </w:rPr>
        <w:t xml:space="preserve"> of implementation, </w:t>
      </w:r>
      <w:r w:rsidR="00C54B88" w:rsidRPr="007F3D01">
        <w:rPr>
          <w:noProof/>
          <w:lang w:val="en-IE"/>
        </w:rPr>
        <w:t xml:space="preserve">and </w:t>
      </w:r>
      <w:r w:rsidRPr="007F3D01">
        <w:rPr>
          <w:noProof/>
          <w:lang w:val="en-IE"/>
        </w:rPr>
        <w:t xml:space="preserve">progress typically correlates with the advancement of the national radioactive waste and spent fuel management programmes. </w:t>
      </w:r>
    </w:p>
    <w:p w14:paraId="5CA92E53" w14:textId="554F077D" w:rsidR="006E5D2B" w:rsidRPr="007F3D01" w:rsidRDefault="006E5D2B" w:rsidP="006E5D2B">
      <w:pPr>
        <w:tabs>
          <w:tab w:val="left" w:pos="220"/>
          <w:tab w:val="left" w:pos="720"/>
        </w:tabs>
        <w:rPr>
          <w:noProof/>
          <w:lang w:val="en-IE"/>
        </w:rPr>
      </w:pPr>
      <w:r w:rsidRPr="007F3D01">
        <w:rPr>
          <w:noProof/>
          <w:lang w:val="en-IE"/>
        </w:rPr>
        <w:t xml:space="preserve">Many Member States </w:t>
      </w:r>
      <w:r w:rsidR="00C54B88" w:rsidRPr="007F3D01">
        <w:rPr>
          <w:noProof/>
          <w:lang w:val="en-IE"/>
        </w:rPr>
        <w:t xml:space="preserve">with </w:t>
      </w:r>
      <w:r w:rsidR="007D6A6A">
        <w:rPr>
          <w:noProof/>
          <w:lang w:val="en-IE"/>
        </w:rPr>
        <w:t>small</w:t>
      </w:r>
      <w:r w:rsidR="00C54B88" w:rsidRPr="007F3D01">
        <w:rPr>
          <w:noProof/>
          <w:lang w:val="en-IE"/>
        </w:rPr>
        <w:t xml:space="preserve"> inventories </w:t>
      </w:r>
      <w:r w:rsidR="00AE39D2" w:rsidRPr="007F3D01">
        <w:rPr>
          <w:noProof/>
          <w:lang w:val="en-IE"/>
        </w:rPr>
        <w:t>rely on participating in, or following the results of international programmes or projects that are in-line with their radioactive waste management needs</w:t>
      </w:r>
      <w:r w:rsidR="00634741" w:rsidRPr="007F3D01">
        <w:rPr>
          <w:noProof/>
          <w:lang w:val="en-IE"/>
        </w:rPr>
        <w:t>, with a few of them planning to develop their own research, development and demonstration activities</w:t>
      </w:r>
      <w:r w:rsidR="00AE39D2" w:rsidRPr="007F3D01">
        <w:rPr>
          <w:noProof/>
          <w:lang w:val="en-IE"/>
        </w:rPr>
        <w:t>. Member States also generally present</w:t>
      </w:r>
      <w:r w:rsidR="00C54B88" w:rsidRPr="007F3D01">
        <w:rPr>
          <w:noProof/>
          <w:lang w:val="en-IE"/>
        </w:rPr>
        <w:t>ed</w:t>
      </w:r>
      <w:r w:rsidR="00AE39D2" w:rsidRPr="007F3D01">
        <w:rPr>
          <w:noProof/>
          <w:lang w:val="en-IE"/>
        </w:rPr>
        <w:t xml:space="preserve"> the</w:t>
      </w:r>
      <w:r w:rsidRPr="007F3D01">
        <w:rPr>
          <w:noProof/>
          <w:lang w:val="en-IE"/>
        </w:rPr>
        <w:t xml:space="preserve"> international</w:t>
      </w:r>
      <w:r w:rsidR="00AE39D2" w:rsidRPr="007F3D01">
        <w:rPr>
          <w:noProof/>
          <w:lang w:val="en-IE"/>
        </w:rPr>
        <w:t xml:space="preserve"> activities</w:t>
      </w:r>
      <w:r w:rsidRPr="007F3D01">
        <w:rPr>
          <w:noProof/>
          <w:lang w:val="en-IE"/>
        </w:rPr>
        <w:t xml:space="preserve"> they part</w:t>
      </w:r>
      <w:r w:rsidR="007C19F4">
        <w:rPr>
          <w:noProof/>
          <w:lang w:val="en-IE"/>
        </w:rPr>
        <w:t>icipate</w:t>
      </w:r>
      <w:r w:rsidR="00C54B88" w:rsidRPr="007F3D01">
        <w:rPr>
          <w:noProof/>
          <w:lang w:val="en-IE"/>
        </w:rPr>
        <w:t xml:space="preserve"> </w:t>
      </w:r>
      <w:r w:rsidR="007C19F4">
        <w:rPr>
          <w:noProof/>
          <w:lang w:val="en-IE"/>
        </w:rPr>
        <w:t xml:space="preserve">in, </w:t>
      </w:r>
      <w:r w:rsidR="00B96355" w:rsidRPr="007F3D01">
        <w:rPr>
          <w:noProof/>
          <w:lang w:val="en-IE"/>
        </w:rPr>
        <w:t>providing</w:t>
      </w:r>
      <w:r w:rsidRPr="007F3D01">
        <w:rPr>
          <w:noProof/>
          <w:lang w:val="en-IE"/>
        </w:rPr>
        <w:t xml:space="preserve"> list</w:t>
      </w:r>
      <w:r w:rsidR="00C54B88" w:rsidRPr="007F3D01">
        <w:rPr>
          <w:noProof/>
          <w:lang w:val="en-IE"/>
        </w:rPr>
        <w:t>s</w:t>
      </w:r>
      <w:r w:rsidRPr="007F3D01">
        <w:rPr>
          <w:noProof/>
          <w:lang w:val="en-IE"/>
        </w:rPr>
        <w:t xml:space="preserve"> of projects </w:t>
      </w:r>
      <w:r w:rsidR="00C54B88" w:rsidRPr="007F3D01">
        <w:rPr>
          <w:noProof/>
          <w:lang w:val="en-IE"/>
        </w:rPr>
        <w:t xml:space="preserve">without a clear or explicit link to the </w:t>
      </w:r>
      <w:r w:rsidRPr="007F3D01">
        <w:rPr>
          <w:noProof/>
          <w:lang w:val="en-IE"/>
        </w:rPr>
        <w:t>implementation of the national programmes. Therefore</w:t>
      </w:r>
      <w:r w:rsidR="00D262D3">
        <w:rPr>
          <w:noProof/>
          <w:lang w:val="en-IE"/>
        </w:rPr>
        <w:t>,</w:t>
      </w:r>
      <w:r w:rsidRPr="007F3D01">
        <w:rPr>
          <w:noProof/>
          <w:lang w:val="en-IE"/>
        </w:rPr>
        <w:t xml:space="preserve"> the Commission invites the Member States to provide information on the expected impact those projects </w:t>
      </w:r>
      <w:r w:rsidR="009E6DD0">
        <w:rPr>
          <w:noProof/>
          <w:lang w:val="en-IE"/>
        </w:rPr>
        <w:t xml:space="preserve">have </w:t>
      </w:r>
      <w:r w:rsidRPr="007F3D01">
        <w:rPr>
          <w:noProof/>
          <w:lang w:val="en-IE"/>
        </w:rPr>
        <w:t>on the implementation of national programmes in their future reporting.</w:t>
      </w:r>
    </w:p>
    <w:p w14:paraId="197C6E0F" w14:textId="146526F9" w:rsidR="003448B8" w:rsidRPr="007F3D01" w:rsidRDefault="003448B8" w:rsidP="00DF191B">
      <w:pPr>
        <w:pStyle w:val="Heading3"/>
        <w:rPr>
          <w:lang w:val="en-IE"/>
        </w:rPr>
      </w:pPr>
      <w:bookmarkStart w:id="26" w:name="_Toc166055469"/>
      <w:r w:rsidRPr="007F3D01">
        <w:rPr>
          <w:lang w:val="en-IE"/>
        </w:rPr>
        <w:t>Infringements</w:t>
      </w:r>
      <w:bookmarkEnd w:id="26"/>
    </w:p>
    <w:p w14:paraId="0794C8CC" w14:textId="48FDC134" w:rsidR="003448B8" w:rsidRPr="007F3D01" w:rsidRDefault="003448B8" w:rsidP="006E5D2B">
      <w:pPr>
        <w:tabs>
          <w:tab w:val="left" w:pos="220"/>
          <w:tab w:val="left" w:pos="720"/>
        </w:tabs>
        <w:rPr>
          <w:noProof/>
          <w:lang w:val="en-IE"/>
        </w:rPr>
      </w:pPr>
      <w:r w:rsidRPr="007F3D01">
        <w:rPr>
          <w:noProof/>
          <w:lang w:val="en-IE"/>
        </w:rPr>
        <w:t xml:space="preserve">In relation to the pending issues described above, the Commission had to initiate </w:t>
      </w:r>
      <w:r w:rsidR="00F954FA">
        <w:rPr>
          <w:noProof/>
          <w:lang w:val="en-IE"/>
        </w:rPr>
        <w:t xml:space="preserve">several </w:t>
      </w:r>
      <w:r w:rsidRPr="007F3D01">
        <w:rPr>
          <w:noProof/>
          <w:lang w:val="en-IE"/>
        </w:rPr>
        <w:t>procedures against some Member States on the compliance of national programmes with the requirements</w:t>
      </w:r>
      <w:r w:rsidR="005310D6" w:rsidRPr="007F3D01">
        <w:rPr>
          <w:noProof/>
          <w:lang w:val="en-IE"/>
        </w:rPr>
        <w:t xml:space="preserve"> </w:t>
      </w:r>
      <w:r w:rsidRPr="007F3D01">
        <w:rPr>
          <w:noProof/>
          <w:lang w:val="en-IE"/>
        </w:rPr>
        <w:t>of the Directive.</w:t>
      </w:r>
    </w:p>
    <w:p w14:paraId="75383C87" w14:textId="63D709A0" w:rsidR="003448B8" w:rsidRPr="007F3D01" w:rsidRDefault="007D6A6A" w:rsidP="001F1CC5">
      <w:pPr>
        <w:widowControl/>
        <w:shd w:val="clear" w:color="auto" w:fill="auto"/>
        <w:autoSpaceDE/>
        <w:autoSpaceDN/>
        <w:adjustRightInd/>
        <w:spacing w:after="0" w:line="276" w:lineRule="auto"/>
        <w:rPr>
          <w:noProof/>
          <w:lang w:val="en-IE"/>
        </w:rPr>
      </w:pPr>
      <w:r>
        <w:rPr>
          <w:noProof/>
          <w:lang w:val="en-IE"/>
        </w:rPr>
        <w:t>In early 2024</w:t>
      </w:r>
      <w:r w:rsidR="007A66BA">
        <w:rPr>
          <w:noProof/>
          <w:lang w:val="en-IE"/>
        </w:rPr>
        <w:t xml:space="preserve"> </w:t>
      </w:r>
      <w:r w:rsidR="001F1CC5" w:rsidRPr="007F3D01">
        <w:rPr>
          <w:noProof/>
          <w:lang w:val="en-IE"/>
        </w:rPr>
        <w:t>1</w:t>
      </w:r>
      <w:r w:rsidR="00110646" w:rsidRPr="007F3D01">
        <w:rPr>
          <w:noProof/>
          <w:lang w:val="en-IE"/>
        </w:rPr>
        <w:t>8</w:t>
      </w:r>
      <w:r w:rsidR="003448B8" w:rsidRPr="007F3D01">
        <w:rPr>
          <w:noProof/>
          <w:lang w:val="en-IE"/>
        </w:rPr>
        <w:t xml:space="preserve"> procedures</w:t>
      </w:r>
      <w:r w:rsidR="00947148" w:rsidRPr="007F3D01">
        <w:rPr>
          <w:rStyle w:val="FootnoteReference"/>
          <w:noProof/>
          <w:lang w:val="en-IE"/>
        </w:rPr>
        <w:footnoteReference w:id="36"/>
      </w:r>
      <w:r w:rsidR="003448B8" w:rsidRPr="007F3D01">
        <w:rPr>
          <w:noProof/>
          <w:lang w:val="en-IE"/>
        </w:rPr>
        <w:t xml:space="preserve"> </w:t>
      </w:r>
      <w:r>
        <w:rPr>
          <w:noProof/>
          <w:lang w:val="en-IE"/>
        </w:rPr>
        <w:t>are</w:t>
      </w:r>
      <w:r w:rsidR="003448B8" w:rsidRPr="007F3D01">
        <w:rPr>
          <w:noProof/>
          <w:lang w:val="en-IE"/>
        </w:rPr>
        <w:t xml:space="preserve"> on-going. The Commission </w:t>
      </w:r>
      <w:r w:rsidR="00266284">
        <w:rPr>
          <w:noProof/>
          <w:lang w:val="en-IE"/>
        </w:rPr>
        <w:t xml:space="preserve">had </w:t>
      </w:r>
      <w:r w:rsidR="005A0BB0" w:rsidRPr="007F3D01">
        <w:rPr>
          <w:noProof/>
          <w:lang w:val="en-IE"/>
        </w:rPr>
        <w:t>closed</w:t>
      </w:r>
      <w:r w:rsidR="003448B8" w:rsidRPr="007F3D01">
        <w:rPr>
          <w:noProof/>
          <w:lang w:val="en-IE"/>
        </w:rPr>
        <w:t xml:space="preserve"> three</w:t>
      </w:r>
      <w:r w:rsidR="003448B8" w:rsidRPr="007F3D01">
        <w:rPr>
          <w:rStyle w:val="FootnoteReference"/>
          <w:noProof/>
          <w:lang w:val="en-IE"/>
        </w:rPr>
        <w:footnoteReference w:id="37"/>
      </w:r>
      <w:r w:rsidR="003448B8" w:rsidRPr="007F3D01">
        <w:rPr>
          <w:noProof/>
          <w:lang w:val="en-IE"/>
        </w:rPr>
        <w:t xml:space="preserve"> infringement cases </w:t>
      </w:r>
      <w:r w:rsidR="005A5EE7" w:rsidRPr="007F3D01">
        <w:rPr>
          <w:noProof/>
          <w:lang w:val="en-IE"/>
        </w:rPr>
        <w:t>before the end of the</w:t>
      </w:r>
      <w:r w:rsidR="003448B8" w:rsidRPr="007F3D01">
        <w:rPr>
          <w:noProof/>
          <w:lang w:val="en-IE"/>
        </w:rPr>
        <w:t xml:space="preserve"> reporting cycle.</w:t>
      </w:r>
    </w:p>
    <w:p w14:paraId="17F37715" w14:textId="77777777" w:rsidR="0068325C" w:rsidRPr="007F3D01" w:rsidRDefault="0091419F" w:rsidP="007C596E">
      <w:pPr>
        <w:pStyle w:val="Heading2"/>
        <w:rPr>
          <w:noProof/>
          <w:lang w:val="en-IE"/>
        </w:rPr>
      </w:pPr>
      <w:bookmarkStart w:id="27" w:name="_Toc166055470"/>
      <w:r w:rsidRPr="007F3D01">
        <w:rPr>
          <w:noProof/>
          <w:lang w:val="en-IE"/>
        </w:rPr>
        <w:t>Self-assessment and international peer reviews</w:t>
      </w:r>
      <w:bookmarkEnd w:id="27"/>
    </w:p>
    <w:p w14:paraId="302D692B" w14:textId="03324C2F" w:rsidR="00C54B88" w:rsidRPr="007F3D01" w:rsidRDefault="00814755">
      <w:pPr>
        <w:widowControl/>
        <w:shd w:val="clear" w:color="auto" w:fill="auto"/>
        <w:autoSpaceDE/>
        <w:autoSpaceDN/>
        <w:adjustRightInd/>
        <w:spacing w:before="0" w:after="120" w:line="276" w:lineRule="auto"/>
        <w:rPr>
          <w:noProof/>
          <w:lang w:val="en-IE"/>
        </w:rPr>
      </w:pPr>
      <w:r w:rsidRPr="007F3D01">
        <w:rPr>
          <w:noProof/>
          <w:lang w:val="en-IE"/>
        </w:rPr>
        <w:t>The Member States</w:t>
      </w:r>
      <w:r w:rsidR="00F954FA">
        <w:rPr>
          <w:noProof/>
          <w:lang w:val="en-IE"/>
        </w:rPr>
        <w:t xml:space="preserve"> must</w:t>
      </w:r>
      <w:r w:rsidRPr="007F3D01">
        <w:rPr>
          <w:noProof/>
          <w:lang w:val="en-IE"/>
        </w:rPr>
        <w:t xml:space="preserve"> arrange self-assessments of their national framework, competent regulatory authority, national programme and its implementation</w:t>
      </w:r>
      <w:r w:rsidR="00F954FA">
        <w:rPr>
          <w:noProof/>
          <w:lang w:val="en-IE"/>
        </w:rPr>
        <w:t>. They also must arrange</w:t>
      </w:r>
      <w:r w:rsidRPr="007F3D01">
        <w:rPr>
          <w:noProof/>
          <w:lang w:val="en-IE"/>
        </w:rPr>
        <w:t xml:space="preserve"> </w:t>
      </w:r>
      <w:r w:rsidR="00C54B88" w:rsidRPr="007F3D01">
        <w:rPr>
          <w:noProof/>
          <w:lang w:val="en-IE"/>
        </w:rPr>
        <w:t xml:space="preserve">an </w:t>
      </w:r>
      <w:r w:rsidRPr="007F3D01">
        <w:rPr>
          <w:noProof/>
          <w:lang w:val="en-IE"/>
        </w:rPr>
        <w:t>international peer review of their national framework, competent regulatory authority and/or national programme at least every 10 years</w:t>
      </w:r>
      <w:bookmarkStart w:id="28" w:name="_Ref125454493"/>
      <w:r w:rsidR="00C54B88" w:rsidRPr="007F3D01">
        <w:rPr>
          <w:rStyle w:val="FootnoteReference"/>
          <w:noProof/>
          <w:lang w:val="en-IE"/>
        </w:rPr>
        <w:footnoteReference w:id="38"/>
      </w:r>
      <w:bookmarkEnd w:id="28"/>
      <w:r w:rsidR="00C54B88" w:rsidRPr="007F3D01">
        <w:rPr>
          <w:noProof/>
          <w:lang w:val="en-IE"/>
        </w:rPr>
        <w:t xml:space="preserve">. </w:t>
      </w:r>
    </w:p>
    <w:p w14:paraId="6664DA7C" w14:textId="35636038" w:rsidR="00D53E41" w:rsidRPr="007F3D01" w:rsidRDefault="00814755">
      <w:pPr>
        <w:widowControl/>
        <w:shd w:val="clear" w:color="auto" w:fill="auto"/>
        <w:autoSpaceDE/>
        <w:autoSpaceDN/>
        <w:adjustRightInd/>
        <w:spacing w:before="0" w:after="120" w:line="276" w:lineRule="auto"/>
        <w:rPr>
          <w:noProof/>
          <w:lang w:val="en-IE"/>
        </w:rPr>
      </w:pPr>
      <w:r w:rsidRPr="007F3D01">
        <w:rPr>
          <w:noProof/>
          <w:lang w:val="en-IE"/>
        </w:rPr>
        <w:t xml:space="preserve">The Member States </w:t>
      </w:r>
      <w:r w:rsidR="00C54B88" w:rsidRPr="007F3D01">
        <w:rPr>
          <w:noProof/>
          <w:lang w:val="en-IE"/>
        </w:rPr>
        <w:t xml:space="preserve">have </w:t>
      </w:r>
      <w:r w:rsidR="00D53E41" w:rsidRPr="007F3D01">
        <w:rPr>
          <w:noProof/>
          <w:lang w:val="en-IE"/>
        </w:rPr>
        <w:t>generally</w:t>
      </w:r>
      <w:r w:rsidR="00BF0722" w:rsidRPr="007F3D01">
        <w:rPr>
          <w:noProof/>
          <w:lang w:val="en-IE"/>
        </w:rPr>
        <w:t xml:space="preserve"> ensure</w:t>
      </w:r>
      <w:r w:rsidR="00C54B88" w:rsidRPr="007F3D01">
        <w:rPr>
          <w:noProof/>
          <w:lang w:val="en-IE"/>
        </w:rPr>
        <w:t>d</w:t>
      </w:r>
      <w:r w:rsidR="00BF0722" w:rsidRPr="007F3D01">
        <w:rPr>
          <w:noProof/>
          <w:lang w:val="en-IE"/>
        </w:rPr>
        <w:t xml:space="preserve"> compliance </w:t>
      </w:r>
      <w:r w:rsidR="00C54B88" w:rsidRPr="007F3D01">
        <w:rPr>
          <w:noProof/>
          <w:lang w:val="en-IE"/>
        </w:rPr>
        <w:t xml:space="preserve">with this requirement </w:t>
      </w:r>
      <w:r w:rsidR="00F954FA">
        <w:rPr>
          <w:noProof/>
          <w:lang w:val="en-IE"/>
        </w:rPr>
        <w:t>by means of</w:t>
      </w:r>
      <w:r w:rsidR="00C54B88" w:rsidRPr="007F3D01">
        <w:rPr>
          <w:noProof/>
          <w:lang w:val="en-IE"/>
        </w:rPr>
        <w:t xml:space="preserve"> services provided by </w:t>
      </w:r>
      <w:r w:rsidR="00BF0722" w:rsidRPr="007F3D01">
        <w:rPr>
          <w:noProof/>
          <w:lang w:val="en-IE"/>
        </w:rPr>
        <w:t xml:space="preserve">the </w:t>
      </w:r>
      <w:r w:rsidR="0091419F" w:rsidRPr="007F3D01">
        <w:rPr>
          <w:noProof/>
          <w:lang w:val="en-IE"/>
        </w:rPr>
        <w:t>IAEA</w:t>
      </w:r>
      <w:r w:rsidR="00C54B88" w:rsidRPr="007F3D01">
        <w:rPr>
          <w:noProof/>
          <w:lang w:val="en-IE"/>
        </w:rPr>
        <w:t>, such as</w:t>
      </w:r>
      <w:r w:rsidR="0091419F" w:rsidRPr="007F3D01">
        <w:rPr>
          <w:noProof/>
          <w:lang w:val="en-IE"/>
        </w:rPr>
        <w:t xml:space="preserve"> </w:t>
      </w:r>
      <w:r w:rsidR="00F954FA">
        <w:rPr>
          <w:noProof/>
          <w:lang w:val="en-IE"/>
        </w:rPr>
        <w:t xml:space="preserve">the </w:t>
      </w:r>
      <w:r w:rsidR="0091419F" w:rsidRPr="007F3D01">
        <w:rPr>
          <w:noProof/>
          <w:lang w:val="en-IE"/>
        </w:rPr>
        <w:t>IRRS (Integrated Regulatory Review Service) and ARTEMIS (Integrated Review Service for Radioactive Waste and Spent Fuel Management, Decommissioning and Remediation)</w:t>
      </w:r>
      <w:r w:rsidR="00D53E41" w:rsidRPr="007F3D01">
        <w:rPr>
          <w:noProof/>
          <w:lang w:val="en-IE"/>
        </w:rPr>
        <w:t xml:space="preserve">, which </w:t>
      </w:r>
      <w:r w:rsidR="00F954FA">
        <w:rPr>
          <w:noProof/>
          <w:lang w:val="en-IE"/>
        </w:rPr>
        <w:t>have been</w:t>
      </w:r>
      <w:r w:rsidR="00D53E41" w:rsidRPr="007F3D01">
        <w:rPr>
          <w:noProof/>
          <w:lang w:val="en-IE"/>
        </w:rPr>
        <w:t xml:space="preserve"> </w:t>
      </w:r>
      <w:r w:rsidR="00B96355" w:rsidRPr="007F3D01">
        <w:rPr>
          <w:noProof/>
          <w:lang w:val="en-IE"/>
        </w:rPr>
        <w:t>developed</w:t>
      </w:r>
      <w:r w:rsidR="00D53E41" w:rsidRPr="007F3D01">
        <w:rPr>
          <w:noProof/>
          <w:lang w:val="en-IE"/>
        </w:rPr>
        <w:t xml:space="preserve"> with the support of the </w:t>
      </w:r>
      <w:r w:rsidR="00BF0722" w:rsidRPr="007F3D01">
        <w:rPr>
          <w:noProof/>
          <w:lang w:val="en-IE"/>
        </w:rPr>
        <w:t>Co</w:t>
      </w:r>
      <w:r w:rsidR="00D53E41" w:rsidRPr="007F3D01">
        <w:rPr>
          <w:noProof/>
          <w:lang w:val="en-IE"/>
        </w:rPr>
        <w:t>mmission</w:t>
      </w:r>
      <w:r w:rsidR="00510B72" w:rsidRPr="007F3D01">
        <w:rPr>
          <w:noProof/>
          <w:lang w:val="en-IE"/>
        </w:rPr>
        <w:t>.</w:t>
      </w:r>
    </w:p>
    <w:p w14:paraId="5C5E741F" w14:textId="3ECD6337" w:rsidR="00D53E41" w:rsidRPr="007F3D01" w:rsidRDefault="00D53E41" w:rsidP="00D53E41">
      <w:pPr>
        <w:rPr>
          <w:noProof/>
          <w:lang w:val="en-IE"/>
        </w:rPr>
      </w:pPr>
      <w:r w:rsidRPr="007F3D01">
        <w:rPr>
          <w:noProof/>
          <w:lang w:val="en-IE"/>
        </w:rPr>
        <w:t>T</w:t>
      </w:r>
      <w:r w:rsidR="0091419F" w:rsidRPr="007F3D01">
        <w:rPr>
          <w:noProof/>
          <w:lang w:val="en-IE"/>
        </w:rPr>
        <w:t xml:space="preserve">he reporting period </w:t>
      </w:r>
      <w:r w:rsidRPr="007F3D01">
        <w:rPr>
          <w:noProof/>
          <w:lang w:val="en-IE"/>
        </w:rPr>
        <w:t xml:space="preserve">coincided with the 2020-2021 COVID-19 pandemic, which has significantly disrupted </w:t>
      </w:r>
      <w:r w:rsidR="00206C61">
        <w:rPr>
          <w:noProof/>
          <w:lang w:val="en-IE"/>
        </w:rPr>
        <w:t xml:space="preserve">the </w:t>
      </w:r>
      <w:r w:rsidRPr="007F3D01">
        <w:rPr>
          <w:noProof/>
          <w:lang w:val="en-IE"/>
        </w:rPr>
        <w:t xml:space="preserve">ARTEMIS </w:t>
      </w:r>
      <w:r w:rsidR="00206C61">
        <w:rPr>
          <w:noProof/>
          <w:lang w:val="en-IE"/>
        </w:rPr>
        <w:t xml:space="preserve">peer-review </w:t>
      </w:r>
      <w:r w:rsidRPr="007F3D01">
        <w:rPr>
          <w:noProof/>
          <w:lang w:val="en-IE"/>
        </w:rPr>
        <w:t xml:space="preserve">schedule. Despite this setback, </w:t>
      </w:r>
      <w:r w:rsidR="00D76921">
        <w:rPr>
          <w:noProof/>
          <w:lang w:val="en-IE"/>
        </w:rPr>
        <w:t xml:space="preserve">all </w:t>
      </w:r>
      <w:r w:rsidRPr="007F3D01">
        <w:rPr>
          <w:noProof/>
          <w:lang w:val="en-IE"/>
        </w:rPr>
        <w:t>Member States conducted the ARTEMIS peer-review by the end of 2023</w:t>
      </w:r>
      <w:r w:rsidR="00FD6DF1" w:rsidRPr="00FD6DF1">
        <w:rPr>
          <w:noProof/>
          <w:lang w:val="en-IE"/>
        </w:rPr>
        <w:t xml:space="preserve"> </w:t>
      </w:r>
      <w:r w:rsidR="00FD6DF1">
        <w:rPr>
          <w:noProof/>
          <w:lang w:val="en-IE"/>
        </w:rPr>
        <w:t>in line</w:t>
      </w:r>
      <w:r w:rsidR="00FD6DF1" w:rsidRPr="007F3D01">
        <w:rPr>
          <w:noProof/>
          <w:lang w:val="en-IE"/>
        </w:rPr>
        <w:t xml:space="preserve"> </w:t>
      </w:r>
      <w:r w:rsidR="006737BD">
        <w:rPr>
          <w:noProof/>
          <w:lang w:val="en-IE"/>
        </w:rPr>
        <w:t xml:space="preserve">with </w:t>
      </w:r>
      <w:r w:rsidR="00FD6DF1" w:rsidRPr="007F3D01">
        <w:rPr>
          <w:noProof/>
          <w:lang w:val="en-IE"/>
        </w:rPr>
        <w:t>Article 14(3) requirements</w:t>
      </w:r>
      <w:r w:rsidRPr="007F3D01">
        <w:rPr>
          <w:noProof/>
          <w:lang w:val="en-IE"/>
        </w:rPr>
        <w:t>.</w:t>
      </w:r>
      <w:r w:rsidR="007D6074" w:rsidRPr="007F3D01">
        <w:rPr>
          <w:noProof/>
          <w:lang w:val="en-IE"/>
        </w:rPr>
        <w:t xml:space="preserve"> </w:t>
      </w:r>
      <w:r w:rsidR="00BF0722" w:rsidRPr="007F3D01">
        <w:rPr>
          <w:noProof/>
          <w:lang w:val="en-IE"/>
        </w:rPr>
        <w:t xml:space="preserve">The Commission </w:t>
      </w:r>
      <w:r w:rsidR="00F954FA">
        <w:rPr>
          <w:noProof/>
          <w:lang w:val="en-IE"/>
        </w:rPr>
        <w:t xml:space="preserve">participated in </w:t>
      </w:r>
      <w:r w:rsidR="00BF0722" w:rsidRPr="007F3D01">
        <w:rPr>
          <w:noProof/>
          <w:lang w:val="en-IE"/>
        </w:rPr>
        <w:t xml:space="preserve">the missions as </w:t>
      </w:r>
      <w:r w:rsidR="00F954FA">
        <w:rPr>
          <w:noProof/>
          <w:lang w:val="en-IE"/>
        </w:rPr>
        <w:t xml:space="preserve">an </w:t>
      </w:r>
      <w:r w:rsidR="00BF0722" w:rsidRPr="007F3D01">
        <w:rPr>
          <w:noProof/>
          <w:lang w:val="en-IE"/>
        </w:rPr>
        <w:t xml:space="preserve">observer </w:t>
      </w:r>
      <w:r w:rsidR="005A0BB0" w:rsidRPr="007F3D01">
        <w:rPr>
          <w:noProof/>
          <w:lang w:val="en-IE"/>
        </w:rPr>
        <w:t>and</w:t>
      </w:r>
      <w:r w:rsidR="00BF0722" w:rsidRPr="007F3D01">
        <w:rPr>
          <w:noProof/>
          <w:lang w:val="en-IE"/>
        </w:rPr>
        <w:t xml:space="preserve"> followed up the development of the ARTEMIS peer-review service.</w:t>
      </w:r>
    </w:p>
    <w:p w14:paraId="0001DC02" w14:textId="7A669FFF" w:rsidR="007D6074" w:rsidRPr="007F3D01" w:rsidRDefault="0091419F">
      <w:pPr>
        <w:spacing w:line="276" w:lineRule="auto"/>
        <w:rPr>
          <w:noProof/>
          <w:color w:val="000000" w:themeColor="text1"/>
          <w:lang w:val="en-IE"/>
        </w:rPr>
      </w:pPr>
      <w:r w:rsidRPr="007F3D01">
        <w:rPr>
          <w:noProof/>
          <w:color w:val="000000" w:themeColor="text1"/>
          <w:lang w:val="en-IE"/>
        </w:rPr>
        <w:t>Similar</w:t>
      </w:r>
      <w:r w:rsidR="00B74E64" w:rsidRPr="007F3D01">
        <w:rPr>
          <w:noProof/>
          <w:color w:val="000000" w:themeColor="text1"/>
          <w:lang w:val="en-IE"/>
        </w:rPr>
        <w:t>ly</w:t>
      </w:r>
      <w:r w:rsidRPr="007F3D01">
        <w:rPr>
          <w:noProof/>
          <w:color w:val="000000" w:themeColor="text1"/>
          <w:lang w:val="en-IE"/>
        </w:rPr>
        <w:t xml:space="preserve"> to the first </w:t>
      </w:r>
      <w:r w:rsidR="007D6074" w:rsidRPr="007F3D01">
        <w:rPr>
          <w:noProof/>
          <w:color w:val="000000" w:themeColor="text1"/>
          <w:lang w:val="en-IE"/>
        </w:rPr>
        <w:t xml:space="preserve">and second </w:t>
      </w:r>
      <w:r w:rsidRPr="007F3D01">
        <w:rPr>
          <w:noProof/>
          <w:color w:val="000000" w:themeColor="text1"/>
          <w:lang w:val="en-IE"/>
        </w:rPr>
        <w:t>reporting cycle</w:t>
      </w:r>
      <w:r w:rsidR="00B74E64" w:rsidRPr="007F3D01">
        <w:rPr>
          <w:noProof/>
          <w:color w:val="000000" w:themeColor="text1"/>
          <w:lang w:val="en-IE"/>
        </w:rPr>
        <w:t>s</w:t>
      </w:r>
      <w:r w:rsidR="00206C61">
        <w:rPr>
          <w:noProof/>
          <w:color w:val="000000" w:themeColor="text1"/>
          <w:lang w:val="en-IE"/>
        </w:rPr>
        <w:t>,</w:t>
      </w:r>
      <w:r w:rsidRPr="007F3D01">
        <w:rPr>
          <w:noProof/>
          <w:color w:val="000000" w:themeColor="text1"/>
          <w:lang w:val="en-IE"/>
        </w:rPr>
        <w:t xml:space="preserve"> most Member States have provided information on self-assessments and international peer reviews of the regulatory authorities (IRRS).</w:t>
      </w:r>
      <w:r w:rsidR="003B6EF0" w:rsidRPr="007F3D01">
        <w:rPr>
          <w:noProof/>
          <w:color w:val="000000" w:themeColor="text1"/>
          <w:lang w:val="en-IE"/>
        </w:rPr>
        <w:t xml:space="preserve"> Two IRRS missions and three IRRS follow-up mission</w:t>
      </w:r>
      <w:r w:rsidR="00F954FA">
        <w:rPr>
          <w:noProof/>
          <w:color w:val="000000" w:themeColor="text1"/>
          <w:lang w:val="en-IE"/>
        </w:rPr>
        <w:t>s</w:t>
      </w:r>
      <w:r w:rsidR="003B6EF0" w:rsidRPr="007F3D01">
        <w:rPr>
          <w:noProof/>
          <w:color w:val="000000" w:themeColor="text1"/>
          <w:lang w:val="en-IE"/>
        </w:rPr>
        <w:t xml:space="preserve"> were carried out during the reporting period, and t</w:t>
      </w:r>
      <w:r w:rsidRPr="007F3D01">
        <w:rPr>
          <w:noProof/>
          <w:color w:val="000000" w:themeColor="text1"/>
          <w:lang w:val="en-IE"/>
        </w:rPr>
        <w:t>o date all EU Member States have carried out or planned IRRS review missions.</w:t>
      </w:r>
    </w:p>
    <w:p w14:paraId="17F37718" w14:textId="22A3AEB0" w:rsidR="0068325C" w:rsidRPr="007F3D01" w:rsidRDefault="00532D31">
      <w:pPr>
        <w:spacing w:line="276" w:lineRule="auto"/>
        <w:rPr>
          <w:noProof/>
          <w:lang w:val="en-IE"/>
        </w:rPr>
      </w:pPr>
      <w:r w:rsidRPr="007F3D01">
        <w:rPr>
          <w:noProof/>
          <w:lang w:val="en-IE"/>
        </w:rPr>
        <w:t xml:space="preserve">The Commission already noted </w:t>
      </w:r>
      <w:r w:rsidR="007D6074" w:rsidRPr="007F3D01">
        <w:rPr>
          <w:noProof/>
          <w:lang w:val="en-IE"/>
        </w:rPr>
        <w:t xml:space="preserve">in its previous report </w:t>
      </w:r>
      <w:r w:rsidRPr="007F3D01">
        <w:rPr>
          <w:noProof/>
          <w:lang w:val="en-IE"/>
        </w:rPr>
        <w:t>that</w:t>
      </w:r>
      <w:r w:rsidR="0091419F" w:rsidRPr="007F3D01">
        <w:rPr>
          <w:noProof/>
          <w:lang w:val="en-IE"/>
        </w:rPr>
        <w:t xml:space="preserve"> </w:t>
      </w:r>
      <w:r w:rsidR="00B96355" w:rsidRPr="007F3D01">
        <w:rPr>
          <w:noProof/>
          <w:lang w:val="en-IE"/>
        </w:rPr>
        <w:t>although</w:t>
      </w:r>
      <w:r w:rsidR="007D6074" w:rsidRPr="007F3D01">
        <w:rPr>
          <w:noProof/>
          <w:lang w:val="en-IE"/>
        </w:rPr>
        <w:t xml:space="preserve"> </w:t>
      </w:r>
      <w:r w:rsidR="00F954FA">
        <w:rPr>
          <w:noProof/>
          <w:lang w:val="en-IE"/>
        </w:rPr>
        <w:t xml:space="preserve">in most Member States </w:t>
      </w:r>
      <w:r w:rsidR="0091419F" w:rsidRPr="007F3D01">
        <w:rPr>
          <w:noProof/>
          <w:lang w:val="en-IE"/>
        </w:rPr>
        <w:t>IRRS and ARTEMIS reports are publicly available, Member States need to notify the outcomes of such reviews and their plans to address recommendations and suggestions</w:t>
      </w:r>
      <w:r w:rsidR="00F954FA">
        <w:rPr>
          <w:noProof/>
          <w:lang w:val="en-IE"/>
        </w:rPr>
        <w:t xml:space="preserve"> to the Commission</w:t>
      </w:r>
      <w:r w:rsidR="0091419F" w:rsidRPr="007F3D01">
        <w:rPr>
          <w:noProof/>
          <w:lang w:val="en-IE"/>
        </w:rPr>
        <w:t>.</w:t>
      </w:r>
    </w:p>
    <w:p w14:paraId="17F37719" w14:textId="5C76EC38" w:rsidR="0068325C" w:rsidRPr="007F3D01" w:rsidRDefault="0091419F" w:rsidP="0070351D">
      <w:pPr>
        <w:pStyle w:val="Heading1"/>
        <w:rPr>
          <w:noProof/>
          <w:lang w:val="en-IE"/>
        </w:rPr>
      </w:pPr>
      <w:bookmarkStart w:id="29" w:name="_Toc166055471"/>
      <w:r w:rsidRPr="007F3D01">
        <w:rPr>
          <w:noProof/>
          <w:lang w:val="en-IE"/>
        </w:rPr>
        <w:t>CONCLUSIONS</w:t>
      </w:r>
      <w:bookmarkEnd w:id="29"/>
    </w:p>
    <w:p w14:paraId="16E1ECB4" w14:textId="695753C0" w:rsidR="00146405" w:rsidRPr="007F3D01" w:rsidRDefault="00146405" w:rsidP="00146405">
      <w:pPr>
        <w:rPr>
          <w:noProof/>
          <w:lang w:val="en-IE"/>
        </w:rPr>
      </w:pPr>
      <w:r w:rsidRPr="007F3D01">
        <w:rPr>
          <w:noProof/>
          <w:lang w:val="en-IE"/>
        </w:rPr>
        <w:t>The Commission considers that radioactive waste and spent fuel were managed safely in the Member States</w:t>
      </w:r>
      <w:r w:rsidR="00C04CEC">
        <w:rPr>
          <w:noProof/>
          <w:lang w:val="en-IE"/>
        </w:rPr>
        <w:t xml:space="preserve"> in the reporting period</w:t>
      </w:r>
      <w:r w:rsidRPr="007F3D01">
        <w:rPr>
          <w:noProof/>
          <w:lang w:val="en-IE"/>
        </w:rPr>
        <w:t xml:space="preserve">. National programmes are in place </w:t>
      </w:r>
      <w:r w:rsidR="00AC64F7">
        <w:rPr>
          <w:noProof/>
          <w:lang w:val="en-IE"/>
        </w:rPr>
        <w:t>across</w:t>
      </w:r>
      <w:r w:rsidRPr="007F3D01">
        <w:rPr>
          <w:noProof/>
          <w:lang w:val="en-IE"/>
        </w:rPr>
        <w:t xml:space="preserve"> the</w:t>
      </w:r>
      <w:r w:rsidR="00EA522D">
        <w:rPr>
          <w:noProof/>
          <w:lang w:val="en-IE"/>
        </w:rPr>
        <w:t xml:space="preserve"> EU</w:t>
      </w:r>
      <w:r w:rsidR="00A5295A">
        <w:rPr>
          <w:noProof/>
          <w:lang w:val="en-IE"/>
        </w:rPr>
        <w:t xml:space="preserve"> and general</w:t>
      </w:r>
      <w:r w:rsidR="003056B0">
        <w:rPr>
          <w:noProof/>
          <w:lang w:val="en-IE"/>
        </w:rPr>
        <w:t xml:space="preserve">ly </w:t>
      </w:r>
      <w:r w:rsidRPr="007F3D01">
        <w:rPr>
          <w:noProof/>
          <w:lang w:val="en-IE"/>
        </w:rPr>
        <w:t xml:space="preserve">were established in a transparent and participative manner. For the largest share of radioactive waste safe solutions for management and disposal </w:t>
      </w:r>
      <w:r w:rsidR="00510845">
        <w:rPr>
          <w:noProof/>
          <w:lang w:val="en-IE"/>
        </w:rPr>
        <w:t>we</w:t>
      </w:r>
      <w:r w:rsidRPr="007F3D01">
        <w:rPr>
          <w:noProof/>
          <w:lang w:val="en-IE"/>
        </w:rPr>
        <w:t xml:space="preserve">re pursued, as demonstrated by increasing amounts of disposed </w:t>
      </w:r>
      <w:r>
        <w:rPr>
          <w:noProof/>
          <w:lang w:val="en-IE"/>
        </w:rPr>
        <w:t xml:space="preserve">of </w:t>
      </w:r>
      <w:r w:rsidRPr="007F3D01">
        <w:rPr>
          <w:noProof/>
          <w:lang w:val="en-IE"/>
        </w:rPr>
        <w:t>volumes against decreasing amounts of stored volumes. The system of self-assessments and international peer review</w:t>
      </w:r>
      <w:r w:rsidR="00EA522D">
        <w:rPr>
          <w:noProof/>
          <w:lang w:val="en-IE"/>
        </w:rPr>
        <w:t>s</w:t>
      </w:r>
      <w:r w:rsidRPr="007F3D01">
        <w:rPr>
          <w:noProof/>
          <w:lang w:val="en-IE"/>
        </w:rPr>
        <w:t xml:space="preserve"> appear</w:t>
      </w:r>
      <w:r w:rsidR="00510845">
        <w:rPr>
          <w:noProof/>
          <w:lang w:val="en-IE"/>
        </w:rPr>
        <w:t>ed</w:t>
      </w:r>
      <w:r w:rsidRPr="007F3D01">
        <w:rPr>
          <w:noProof/>
          <w:lang w:val="en-IE"/>
        </w:rPr>
        <w:t xml:space="preserve"> consistent with the needs and is driving updates and continuous improvement</w:t>
      </w:r>
      <w:r w:rsidR="00C04CEC">
        <w:rPr>
          <w:noProof/>
          <w:lang w:val="en-IE"/>
        </w:rPr>
        <w:t xml:space="preserve"> in waste management</w:t>
      </w:r>
      <w:r w:rsidRPr="007F3D01">
        <w:rPr>
          <w:noProof/>
          <w:lang w:val="en-IE"/>
        </w:rPr>
        <w:t xml:space="preserve">; it is worth remarking </w:t>
      </w:r>
      <w:r w:rsidR="00C04CEC">
        <w:rPr>
          <w:noProof/>
          <w:lang w:val="en-IE"/>
        </w:rPr>
        <w:t xml:space="preserve">that </w:t>
      </w:r>
      <w:r w:rsidRPr="007F3D01">
        <w:rPr>
          <w:noProof/>
          <w:lang w:val="en-IE"/>
        </w:rPr>
        <w:t xml:space="preserve">this </w:t>
      </w:r>
      <w:r w:rsidR="00C04CEC">
        <w:rPr>
          <w:noProof/>
          <w:lang w:val="en-IE"/>
        </w:rPr>
        <w:t>is</w:t>
      </w:r>
      <w:r w:rsidRPr="007F3D01">
        <w:rPr>
          <w:noProof/>
          <w:lang w:val="en-IE"/>
        </w:rPr>
        <w:t xml:space="preserve"> best practice on a global scale, as EU Member States have been the main clients of </w:t>
      </w:r>
      <w:r w:rsidR="00C04CEC">
        <w:rPr>
          <w:noProof/>
          <w:lang w:val="en-IE"/>
        </w:rPr>
        <w:t xml:space="preserve">the IAEA </w:t>
      </w:r>
      <w:r w:rsidRPr="007F3D01">
        <w:rPr>
          <w:noProof/>
          <w:lang w:val="en-IE"/>
        </w:rPr>
        <w:t xml:space="preserve">ARTEMIS </w:t>
      </w:r>
      <w:r w:rsidR="00C04CEC">
        <w:rPr>
          <w:noProof/>
          <w:lang w:val="en-IE"/>
        </w:rPr>
        <w:t>peer review</w:t>
      </w:r>
      <w:r w:rsidR="00EA522D">
        <w:rPr>
          <w:noProof/>
          <w:lang w:val="en-IE"/>
        </w:rPr>
        <w:t>-</w:t>
      </w:r>
      <w:r w:rsidR="00C04CEC">
        <w:rPr>
          <w:noProof/>
          <w:lang w:val="en-IE"/>
        </w:rPr>
        <w:t xml:space="preserve">mechanism </w:t>
      </w:r>
      <w:r w:rsidRPr="007F3D01">
        <w:rPr>
          <w:noProof/>
          <w:lang w:val="en-IE"/>
        </w:rPr>
        <w:t>thus far.</w:t>
      </w:r>
    </w:p>
    <w:p w14:paraId="5C5CAB38" w14:textId="7B4424B8" w:rsidR="000C4FD9" w:rsidRPr="007F3D01" w:rsidRDefault="00E05F74" w:rsidP="004C14F6">
      <w:pPr>
        <w:rPr>
          <w:noProof/>
          <w:lang w:val="en-IE"/>
        </w:rPr>
      </w:pPr>
      <w:r w:rsidRPr="007F3D01">
        <w:rPr>
          <w:noProof/>
          <w:lang w:val="en-IE"/>
        </w:rPr>
        <w:t xml:space="preserve">However, the rate of addressing key challenges remained generally slow, </w:t>
      </w:r>
      <w:r>
        <w:rPr>
          <w:noProof/>
          <w:lang w:val="en-IE"/>
        </w:rPr>
        <w:t xml:space="preserve">and </w:t>
      </w:r>
      <w:r w:rsidR="008A359F">
        <w:rPr>
          <w:noProof/>
          <w:lang w:val="en-IE"/>
        </w:rPr>
        <w:t>few</w:t>
      </w:r>
      <w:r>
        <w:rPr>
          <w:noProof/>
          <w:lang w:val="en-IE"/>
        </w:rPr>
        <w:t xml:space="preserve"> changes </w:t>
      </w:r>
      <w:r w:rsidR="008A359F">
        <w:rPr>
          <w:noProof/>
          <w:lang w:val="en-IE"/>
        </w:rPr>
        <w:t xml:space="preserve">can </w:t>
      </w:r>
      <w:r>
        <w:rPr>
          <w:noProof/>
          <w:lang w:val="en-IE"/>
        </w:rPr>
        <w:t xml:space="preserve">be reported </w:t>
      </w:r>
      <w:r w:rsidR="004B7026">
        <w:rPr>
          <w:noProof/>
          <w:lang w:val="en-IE"/>
        </w:rPr>
        <w:t>in relation to the previous report</w:t>
      </w:r>
      <w:r w:rsidR="0027197C">
        <w:rPr>
          <w:noProof/>
          <w:lang w:val="en-IE"/>
        </w:rPr>
        <w:t xml:space="preserve"> (i</w:t>
      </w:r>
      <w:r w:rsidR="0027197C" w:rsidRPr="007F3D01">
        <w:rPr>
          <w:noProof/>
          <w:lang w:val="en-IE"/>
        </w:rPr>
        <w:t>n several cases the national reports were almost identical to the one</w:t>
      </w:r>
      <w:r w:rsidR="0027197C">
        <w:rPr>
          <w:noProof/>
          <w:lang w:val="en-IE"/>
        </w:rPr>
        <w:t>s</w:t>
      </w:r>
      <w:r w:rsidR="0027197C" w:rsidRPr="007F3D01">
        <w:rPr>
          <w:noProof/>
          <w:lang w:val="en-IE"/>
        </w:rPr>
        <w:t xml:space="preserve"> submitted in the previous reporting cycle</w:t>
      </w:r>
      <w:r w:rsidR="0027197C">
        <w:rPr>
          <w:noProof/>
          <w:lang w:val="en-IE"/>
        </w:rPr>
        <w:t>)</w:t>
      </w:r>
      <w:r w:rsidRPr="007F3D01">
        <w:rPr>
          <w:noProof/>
          <w:lang w:val="en-IE"/>
        </w:rPr>
        <w:t>.</w:t>
      </w:r>
      <w:r>
        <w:rPr>
          <w:noProof/>
          <w:lang w:val="en-IE"/>
        </w:rPr>
        <w:t xml:space="preserve"> </w:t>
      </w:r>
      <w:r w:rsidR="00DA0D34">
        <w:rPr>
          <w:noProof/>
          <w:lang w:val="en-IE"/>
        </w:rPr>
        <w:t>As</w:t>
      </w:r>
      <w:r w:rsidR="006B2E38" w:rsidRPr="007F3D01">
        <w:rPr>
          <w:noProof/>
          <w:lang w:val="en-IE"/>
        </w:rPr>
        <w:t xml:space="preserve"> the 10</w:t>
      </w:r>
      <w:r w:rsidR="006B2E38" w:rsidRPr="007F3D01">
        <w:rPr>
          <w:noProof/>
          <w:vertAlign w:val="superscript"/>
          <w:lang w:val="en-IE"/>
        </w:rPr>
        <w:t>th</w:t>
      </w:r>
      <w:r w:rsidR="000C4FD9" w:rsidRPr="007F3D01">
        <w:rPr>
          <w:noProof/>
          <w:lang w:val="en-IE"/>
        </w:rPr>
        <w:t xml:space="preserve"> </w:t>
      </w:r>
      <w:r w:rsidR="006B2E38" w:rsidRPr="007F3D01">
        <w:rPr>
          <w:noProof/>
          <w:lang w:val="en-IE"/>
        </w:rPr>
        <w:t xml:space="preserve">anniversary </w:t>
      </w:r>
      <w:r w:rsidR="00206C61">
        <w:rPr>
          <w:noProof/>
          <w:lang w:val="en-IE"/>
        </w:rPr>
        <w:t>of</w:t>
      </w:r>
      <w:r w:rsidR="006B2E38" w:rsidRPr="007F3D01">
        <w:rPr>
          <w:noProof/>
          <w:lang w:val="en-IE"/>
        </w:rPr>
        <w:t xml:space="preserve"> the transposition </w:t>
      </w:r>
      <w:r w:rsidR="00206C61">
        <w:rPr>
          <w:noProof/>
          <w:lang w:val="en-IE"/>
        </w:rPr>
        <w:t xml:space="preserve">deadline </w:t>
      </w:r>
      <w:r w:rsidR="006B2E38" w:rsidRPr="007F3D01">
        <w:rPr>
          <w:noProof/>
          <w:lang w:val="en-IE"/>
        </w:rPr>
        <w:t xml:space="preserve">of the Directive into national legislation </w:t>
      </w:r>
      <w:r w:rsidR="00B26488">
        <w:rPr>
          <w:noProof/>
          <w:lang w:val="en-IE"/>
        </w:rPr>
        <w:t>has passed</w:t>
      </w:r>
      <w:r w:rsidR="006B2E38" w:rsidRPr="007F3D01">
        <w:rPr>
          <w:noProof/>
          <w:lang w:val="en-IE"/>
        </w:rPr>
        <w:t xml:space="preserve">, </w:t>
      </w:r>
      <w:r w:rsidR="00FB04EA">
        <w:rPr>
          <w:noProof/>
          <w:lang w:val="en-IE"/>
        </w:rPr>
        <w:t>o</w:t>
      </w:r>
      <w:r w:rsidR="00DA0D34">
        <w:rPr>
          <w:noProof/>
          <w:lang w:val="en-IE"/>
        </w:rPr>
        <w:t xml:space="preserve">verall, a general conclusion can be drawn that the transposition and implementation of the Directive in the Member States </w:t>
      </w:r>
      <w:r w:rsidR="0089718F">
        <w:rPr>
          <w:noProof/>
        </w:rPr>
        <w:t>have</w:t>
      </w:r>
      <w:r w:rsidR="00DA0D34">
        <w:rPr>
          <w:noProof/>
          <w:lang w:val="en-IE"/>
        </w:rPr>
        <w:t xml:space="preserve"> not to date </w:t>
      </w:r>
      <w:r w:rsidR="00EA522D">
        <w:rPr>
          <w:noProof/>
          <w:lang w:val="en-IE"/>
        </w:rPr>
        <w:t xml:space="preserve">fully </w:t>
      </w:r>
      <w:r w:rsidR="00DA0D34">
        <w:rPr>
          <w:noProof/>
          <w:lang w:val="en-IE"/>
        </w:rPr>
        <w:t xml:space="preserve">achieved </w:t>
      </w:r>
      <w:r w:rsidR="0089718F">
        <w:rPr>
          <w:noProof/>
        </w:rPr>
        <w:t>the Directive’s</w:t>
      </w:r>
      <w:r w:rsidR="00DA0D34">
        <w:rPr>
          <w:noProof/>
          <w:lang w:val="en-IE"/>
        </w:rPr>
        <w:t xml:space="preserve"> objectives</w:t>
      </w:r>
      <w:r w:rsidR="00C04CEC">
        <w:rPr>
          <w:noProof/>
          <w:lang w:val="en-IE"/>
        </w:rPr>
        <w:t xml:space="preserve"> for all categories of radioactive waste</w:t>
      </w:r>
      <w:r w:rsidR="00DA0D34">
        <w:rPr>
          <w:noProof/>
          <w:lang w:val="en-IE"/>
        </w:rPr>
        <w:t xml:space="preserve">. This calls for a more thorough evaluation of the Directive’s effectiveness in ensuring </w:t>
      </w:r>
      <w:r w:rsidR="0089718F">
        <w:rPr>
          <w:noProof/>
        </w:rPr>
        <w:t>responsible</w:t>
      </w:r>
      <w:r w:rsidR="00DA0D34">
        <w:rPr>
          <w:noProof/>
          <w:lang w:val="en-IE"/>
        </w:rPr>
        <w:t xml:space="preserve"> management of spent nuclear fuel and radioactive waste in the</w:t>
      </w:r>
      <w:r w:rsidR="00EA522D">
        <w:rPr>
          <w:noProof/>
          <w:lang w:val="en-IE"/>
        </w:rPr>
        <w:t xml:space="preserve"> EU</w:t>
      </w:r>
      <w:r w:rsidR="00B27085">
        <w:rPr>
          <w:noProof/>
          <w:lang w:val="en-IE"/>
        </w:rPr>
        <w:t xml:space="preserve"> </w:t>
      </w:r>
      <w:r w:rsidR="00DA0D34">
        <w:rPr>
          <w:noProof/>
          <w:lang w:val="en-IE"/>
        </w:rPr>
        <w:t>and avoiding the transfer of any undue burden to future generations</w:t>
      </w:r>
      <w:r w:rsidR="00DA0D34" w:rsidRPr="007F3D01">
        <w:rPr>
          <w:noProof/>
          <w:lang w:val="en-IE"/>
        </w:rPr>
        <w:t>.</w:t>
      </w:r>
    </w:p>
    <w:p w14:paraId="251EE819" w14:textId="074E6262" w:rsidR="00FF0B46" w:rsidRPr="007F3D01" w:rsidRDefault="00410380" w:rsidP="004C14F6">
      <w:pPr>
        <w:rPr>
          <w:noProof/>
          <w:lang w:val="en-IE"/>
        </w:rPr>
      </w:pPr>
      <w:r w:rsidRPr="007F3D01">
        <w:rPr>
          <w:noProof/>
          <w:lang w:val="en-IE"/>
        </w:rPr>
        <w:t xml:space="preserve">While Finland, France and Sweden progressed substantially </w:t>
      </w:r>
      <w:r w:rsidR="00EA522D">
        <w:rPr>
          <w:noProof/>
          <w:lang w:val="en-IE"/>
        </w:rPr>
        <w:t>in</w:t>
      </w:r>
      <w:r w:rsidRPr="007F3D01">
        <w:rPr>
          <w:noProof/>
          <w:lang w:val="en-IE"/>
        </w:rPr>
        <w:t xml:space="preserve"> constructi</w:t>
      </w:r>
      <w:r w:rsidR="00EA522D">
        <w:rPr>
          <w:noProof/>
          <w:lang w:val="en-IE"/>
        </w:rPr>
        <w:t>ng</w:t>
      </w:r>
      <w:r w:rsidRPr="007F3D01">
        <w:rPr>
          <w:noProof/>
          <w:lang w:val="en-IE"/>
        </w:rPr>
        <w:t xml:space="preserve"> deep geological repositories and maintained ambitious plans, </w:t>
      </w:r>
      <w:r w:rsidR="00EA522D">
        <w:rPr>
          <w:noProof/>
          <w:lang w:val="en-IE"/>
        </w:rPr>
        <w:t>several</w:t>
      </w:r>
      <w:r w:rsidR="00CE4428" w:rsidRPr="007F3D01">
        <w:rPr>
          <w:noProof/>
          <w:lang w:val="en-IE"/>
        </w:rPr>
        <w:t xml:space="preserve"> Member States still did not </w:t>
      </w:r>
      <w:r w:rsidR="00C04CEC">
        <w:rPr>
          <w:noProof/>
          <w:lang w:val="en-IE"/>
        </w:rPr>
        <w:t xml:space="preserve">further </w:t>
      </w:r>
      <w:bookmarkStart w:id="30" w:name="_Hlk157608422"/>
      <w:r w:rsidR="003F52B5" w:rsidRPr="007F3D01">
        <w:rPr>
          <w:noProof/>
          <w:lang w:val="en-IE"/>
        </w:rPr>
        <w:t xml:space="preserve">define </w:t>
      </w:r>
      <w:r w:rsidR="00C04CEC">
        <w:rPr>
          <w:noProof/>
          <w:lang w:val="en-IE"/>
        </w:rPr>
        <w:t>national</w:t>
      </w:r>
      <w:r w:rsidR="003F52B5" w:rsidRPr="007F3D01">
        <w:rPr>
          <w:noProof/>
          <w:lang w:val="en-IE"/>
        </w:rPr>
        <w:t xml:space="preserve"> polic</w:t>
      </w:r>
      <w:r w:rsidR="00C04CEC">
        <w:rPr>
          <w:noProof/>
          <w:lang w:val="en-IE"/>
        </w:rPr>
        <w:t>ies</w:t>
      </w:r>
      <w:r w:rsidR="003F52B5" w:rsidRPr="007F3D01">
        <w:rPr>
          <w:noProof/>
          <w:lang w:val="en-IE"/>
        </w:rPr>
        <w:t xml:space="preserve"> for the long-term management </w:t>
      </w:r>
      <w:bookmarkStart w:id="31" w:name="_Hlk157608435"/>
      <w:bookmarkEnd w:id="30"/>
      <w:r w:rsidR="003F52B5" w:rsidRPr="007F3D01">
        <w:rPr>
          <w:noProof/>
          <w:lang w:val="en-IE"/>
        </w:rPr>
        <w:t>of all their radioactive waste</w:t>
      </w:r>
      <w:bookmarkEnd w:id="31"/>
      <w:r w:rsidR="00CE4428" w:rsidRPr="007F3D01">
        <w:rPr>
          <w:noProof/>
          <w:lang w:val="en-IE"/>
        </w:rPr>
        <w:t>, particular</w:t>
      </w:r>
      <w:r w:rsidR="00EA522D">
        <w:rPr>
          <w:noProof/>
          <w:lang w:val="en-IE"/>
        </w:rPr>
        <w:t>ly</w:t>
      </w:r>
      <w:r w:rsidR="00CE4428" w:rsidRPr="007F3D01">
        <w:rPr>
          <w:noProof/>
          <w:lang w:val="en-IE"/>
        </w:rPr>
        <w:t xml:space="preserve"> intermediate-level waste and high-level waste. </w:t>
      </w:r>
      <w:r w:rsidRPr="007F3D01">
        <w:rPr>
          <w:noProof/>
          <w:lang w:val="en-IE"/>
        </w:rPr>
        <w:t xml:space="preserve">Furthermore, the targets set in some national programmes are </w:t>
      </w:r>
      <w:bookmarkStart w:id="32" w:name="_Hlk157608454"/>
      <w:r w:rsidRPr="007F3D01">
        <w:rPr>
          <w:noProof/>
          <w:lang w:val="en-IE"/>
        </w:rPr>
        <w:t xml:space="preserve">not sufficiently ambitious </w:t>
      </w:r>
      <w:bookmarkEnd w:id="32"/>
      <w:r w:rsidRPr="007F3D01">
        <w:rPr>
          <w:noProof/>
          <w:lang w:val="en-IE"/>
        </w:rPr>
        <w:t xml:space="preserve">and </w:t>
      </w:r>
      <w:r w:rsidR="00B26488">
        <w:rPr>
          <w:noProof/>
          <w:lang w:val="en-IE"/>
        </w:rPr>
        <w:t>envisage</w:t>
      </w:r>
      <w:r w:rsidR="00B26488" w:rsidRPr="007F3D01">
        <w:rPr>
          <w:noProof/>
          <w:lang w:val="en-IE"/>
        </w:rPr>
        <w:t xml:space="preserve"> </w:t>
      </w:r>
      <w:r w:rsidRPr="007F3D01">
        <w:rPr>
          <w:noProof/>
          <w:lang w:val="en-IE"/>
        </w:rPr>
        <w:t xml:space="preserve">long implementation periods that </w:t>
      </w:r>
      <w:bookmarkStart w:id="33" w:name="_Hlk157608480"/>
      <w:r w:rsidRPr="007F3D01">
        <w:rPr>
          <w:noProof/>
          <w:lang w:val="en-IE"/>
        </w:rPr>
        <w:t>risk burdening future generations</w:t>
      </w:r>
      <w:bookmarkEnd w:id="33"/>
      <w:r w:rsidRPr="007F3D01">
        <w:rPr>
          <w:noProof/>
          <w:lang w:val="en-IE"/>
        </w:rPr>
        <w:t>.</w:t>
      </w:r>
      <w:r w:rsidR="00EA522D">
        <w:rPr>
          <w:noProof/>
          <w:lang w:val="en-IE"/>
        </w:rPr>
        <w:t xml:space="preserve"> Several</w:t>
      </w:r>
      <w:r w:rsidR="006A72CD" w:rsidRPr="006A72CD">
        <w:rPr>
          <w:noProof/>
          <w:lang w:val="en-IE"/>
        </w:rPr>
        <w:t xml:space="preserve"> Member States keep an option for shared disposal solutions with other countries</w:t>
      </w:r>
      <w:r w:rsidR="00EA522D">
        <w:rPr>
          <w:noProof/>
          <w:lang w:val="en-IE"/>
        </w:rPr>
        <w:t>. However</w:t>
      </w:r>
      <w:r w:rsidR="00021F18">
        <w:rPr>
          <w:noProof/>
          <w:lang w:val="en-IE"/>
        </w:rPr>
        <w:t>,</w:t>
      </w:r>
      <w:r w:rsidR="006A72CD" w:rsidRPr="006A72CD">
        <w:rPr>
          <w:noProof/>
          <w:lang w:val="en-IE"/>
        </w:rPr>
        <w:t xml:space="preserve"> this may lead to deferral of decisions rather than acceleration especially </w:t>
      </w:r>
      <w:r w:rsidR="00EA522D">
        <w:rPr>
          <w:noProof/>
          <w:lang w:val="en-IE"/>
        </w:rPr>
        <w:t>because of</w:t>
      </w:r>
      <w:r w:rsidR="006A72CD" w:rsidRPr="006A72CD">
        <w:rPr>
          <w:noProof/>
          <w:lang w:val="en-IE"/>
        </w:rPr>
        <w:t xml:space="preserve"> import bans in </w:t>
      </w:r>
      <w:r w:rsidR="005318CA" w:rsidRPr="006A72CD">
        <w:rPr>
          <w:noProof/>
          <w:lang w:val="en-IE"/>
        </w:rPr>
        <w:t xml:space="preserve">numerous </w:t>
      </w:r>
      <w:r w:rsidR="006A72CD" w:rsidRPr="006A72CD">
        <w:rPr>
          <w:noProof/>
          <w:lang w:val="en-IE"/>
        </w:rPr>
        <w:t>Member States.</w:t>
      </w:r>
    </w:p>
    <w:p w14:paraId="17F3771D" w14:textId="4C1860F0" w:rsidR="0068325C" w:rsidRPr="007F3D01" w:rsidRDefault="006F3CEB">
      <w:pPr>
        <w:widowControl/>
        <w:shd w:val="clear" w:color="auto" w:fill="auto"/>
        <w:autoSpaceDE/>
        <w:autoSpaceDN/>
        <w:adjustRightInd/>
        <w:spacing w:line="276" w:lineRule="auto"/>
        <w:rPr>
          <w:noProof/>
          <w:lang w:val="en-IE"/>
        </w:rPr>
      </w:pPr>
      <w:r w:rsidRPr="006F3CEB">
        <w:rPr>
          <w:noProof/>
          <w:lang w:val="en-IE"/>
        </w:rPr>
        <w:t xml:space="preserve">Main issues to </w:t>
      </w:r>
      <w:r w:rsidR="008961BA">
        <w:rPr>
          <w:noProof/>
          <w:lang w:val="en-IE"/>
        </w:rPr>
        <w:t>address</w:t>
      </w:r>
      <w:r w:rsidRPr="006F3CEB">
        <w:rPr>
          <w:noProof/>
          <w:lang w:val="en-IE"/>
        </w:rPr>
        <w:t xml:space="preserve"> are </w:t>
      </w:r>
      <w:bookmarkStart w:id="34" w:name="_Hlk157608529"/>
      <w:r w:rsidRPr="006F3CEB">
        <w:rPr>
          <w:noProof/>
          <w:lang w:val="en-IE"/>
        </w:rPr>
        <w:t>programmes' control and funding</w:t>
      </w:r>
      <w:bookmarkEnd w:id="34"/>
      <w:r w:rsidRPr="006F3CEB">
        <w:rPr>
          <w:noProof/>
          <w:lang w:val="en-IE"/>
        </w:rPr>
        <w:t>. The assessment of costs is sometimes out-of-date or not comprehensive, th</w:t>
      </w:r>
      <w:r w:rsidR="00613B39">
        <w:rPr>
          <w:noProof/>
          <w:lang w:val="en-IE"/>
        </w:rPr>
        <w:t>erefore</w:t>
      </w:r>
      <w:r w:rsidRPr="006F3CEB">
        <w:rPr>
          <w:noProof/>
          <w:lang w:val="en-IE"/>
        </w:rPr>
        <w:t xml:space="preserve"> impacting the effectiveness of financing schemes with a risk that they will not be sufficient to cover the costs.</w:t>
      </w:r>
      <w:r w:rsidR="00B524FA" w:rsidRPr="007F3D01">
        <w:rPr>
          <w:noProof/>
          <w:lang w:val="en-IE"/>
        </w:rPr>
        <w:t xml:space="preserve"> </w:t>
      </w:r>
      <w:r w:rsidR="004C447C" w:rsidRPr="007F3D01">
        <w:rPr>
          <w:noProof/>
          <w:lang w:val="en-IE"/>
        </w:rPr>
        <w:t xml:space="preserve">The Member States </w:t>
      </w:r>
      <w:r w:rsidR="007B7467" w:rsidRPr="007F3D01">
        <w:rPr>
          <w:noProof/>
          <w:lang w:val="en-IE"/>
        </w:rPr>
        <w:t>should also</w:t>
      </w:r>
      <w:r w:rsidR="004C447C" w:rsidRPr="007F3D01">
        <w:rPr>
          <w:noProof/>
          <w:lang w:val="en-IE"/>
        </w:rPr>
        <w:t xml:space="preserve"> improve the</w:t>
      </w:r>
      <w:r w:rsidR="00AE6E73">
        <w:rPr>
          <w:noProof/>
          <w:lang w:val="en-IE"/>
        </w:rPr>
        <w:t xml:space="preserve"> use of</w:t>
      </w:r>
      <w:r w:rsidR="00613B39">
        <w:rPr>
          <w:noProof/>
          <w:lang w:val="en-IE"/>
        </w:rPr>
        <w:t xml:space="preserve"> KPIs</w:t>
      </w:r>
      <w:r w:rsidR="004871A2">
        <w:rPr>
          <w:noProof/>
          <w:lang w:val="en-IE"/>
        </w:rPr>
        <w:t xml:space="preserve"> in</w:t>
      </w:r>
      <w:r w:rsidR="00934989">
        <w:rPr>
          <w:noProof/>
          <w:lang w:val="en-IE"/>
        </w:rPr>
        <w:t xml:space="preserve"> controlling</w:t>
      </w:r>
      <w:r w:rsidR="00AC64F7">
        <w:rPr>
          <w:noProof/>
          <w:lang w:val="en-IE"/>
        </w:rPr>
        <w:t xml:space="preserve"> </w:t>
      </w:r>
      <w:r w:rsidR="004871A2">
        <w:rPr>
          <w:noProof/>
          <w:lang w:val="en-IE"/>
        </w:rPr>
        <w:t>and</w:t>
      </w:r>
      <w:r w:rsidR="004871A2" w:rsidRPr="007F3D01">
        <w:rPr>
          <w:noProof/>
          <w:lang w:val="en-IE"/>
        </w:rPr>
        <w:t xml:space="preserve"> </w:t>
      </w:r>
      <w:r w:rsidR="004C447C" w:rsidRPr="007F3D01">
        <w:rPr>
          <w:noProof/>
          <w:lang w:val="en-IE"/>
        </w:rPr>
        <w:t xml:space="preserve">reporting on the </w:t>
      </w:r>
      <w:r w:rsidR="00613B39">
        <w:rPr>
          <w:noProof/>
          <w:lang w:val="en-IE"/>
        </w:rPr>
        <w:t xml:space="preserve">progress made with the </w:t>
      </w:r>
      <w:r w:rsidR="004C447C" w:rsidRPr="007F3D01">
        <w:rPr>
          <w:noProof/>
          <w:lang w:val="en-IE"/>
        </w:rPr>
        <w:t>implementation.</w:t>
      </w:r>
    </w:p>
    <w:p w14:paraId="17F37724" w14:textId="04C91612" w:rsidR="0068325C" w:rsidRPr="007F3D01" w:rsidRDefault="0091419F">
      <w:pPr>
        <w:widowControl/>
        <w:shd w:val="clear" w:color="auto" w:fill="auto"/>
        <w:autoSpaceDE/>
        <w:autoSpaceDN/>
        <w:adjustRightInd/>
        <w:spacing w:line="276" w:lineRule="auto"/>
        <w:rPr>
          <w:noProof/>
          <w:lang w:val="en-IE"/>
        </w:rPr>
      </w:pPr>
      <w:r w:rsidRPr="007F3D01">
        <w:rPr>
          <w:noProof/>
          <w:lang w:val="en-IE"/>
        </w:rPr>
        <w:t xml:space="preserve">The </w:t>
      </w:r>
      <w:r w:rsidR="008C2EF7" w:rsidRPr="007F3D01">
        <w:rPr>
          <w:noProof/>
          <w:lang w:val="en-IE"/>
        </w:rPr>
        <w:t xml:space="preserve">Commission </w:t>
      </w:r>
      <w:r w:rsidR="00C04CEC">
        <w:rPr>
          <w:noProof/>
          <w:lang w:val="en-IE"/>
        </w:rPr>
        <w:t>considers</w:t>
      </w:r>
      <w:r w:rsidR="00DA0D34">
        <w:rPr>
          <w:noProof/>
          <w:lang w:val="en-IE"/>
        </w:rPr>
        <w:t xml:space="preserve"> that</w:t>
      </w:r>
      <w:r w:rsidR="00622C1F" w:rsidRPr="007F3D01">
        <w:rPr>
          <w:noProof/>
          <w:lang w:val="en-IE"/>
        </w:rPr>
        <w:t xml:space="preserve"> Member </w:t>
      </w:r>
      <w:r w:rsidR="008C2EF7" w:rsidRPr="007F3D01">
        <w:rPr>
          <w:noProof/>
          <w:lang w:val="en-IE"/>
        </w:rPr>
        <w:t xml:space="preserve">States </w:t>
      </w:r>
      <w:r w:rsidR="00C04CEC">
        <w:rPr>
          <w:noProof/>
          <w:lang w:val="en-IE"/>
        </w:rPr>
        <w:t xml:space="preserve">should </w:t>
      </w:r>
      <w:r w:rsidR="0076675C" w:rsidRPr="007F3D01">
        <w:rPr>
          <w:noProof/>
          <w:lang w:val="en-IE"/>
        </w:rPr>
        <w:t>accel</w:t>
      </w:r>
      <w:r w:rsidR="00AB79D3" w:rsidRPr="007F3D01">
        <w:rPr>
          <w:noProof/>
          <w:lang w:val="en-IE"/>
        </w:rPr>
        <w:t>e</w:t>
      </w:r>
      <w:r w:rsidR="00622C1F" w:rsidRPr="007F3D01">
        <w:rPr>
          <w:noProof/>
          <w:lang w:val="en-IE"/>
        </w:rPr>
        <w:t xml:space="preserve">rate the </w:t>
      </w:r>
      <w:r w:rsidRPr="007F3D01">
        <w:rPr>
          <w:noProof/>
          <w:lang w:val="en-IE"/>
        </w:rPr>
        <w:t>review and update of the national programmes</w:t>
      </w:r>
      <w:r w:rsidR="00622C1F" w:rsidRPr="007F3D01">
        <w:rPr>
          <w:noProof/>
          <w:lang w:val="en-IE"/>
        </w:rPr>
        <w:t>,</w:t>
      </w:r>
      <w:r w:rsidRPr="007F3D01">
        <w:rPr>
          <w:noProof/>
          <w:lang w:val="en-IE"/>
        </w:rPr>
        <w:t xml:space="preserve"> taking into account the outcomes of self-assessments and international peer review</w:t>
      </w:r>
      <w:r w:rsidR="005439EF" w:rsidRPr="007F3D01">
        <w:rPr>
          <w:noProof/>
          <w:lang w:val="en-IE"/>
        </w:rPr>
        <w:t>s</w:t>
      </w:r>
      <w:r w:rsidR="00694C4E">
        <w:rPr>
          <w:noProof/>
          <w:lang w:val="en-IE"/>
        </w:rPr>
        <w:t>, and</w:t>
      </w:r>
      <w:r w:rsidR="00C04CEC">
        <w:rPr>
          <w:noProof/>
          <w:lang w:val="en-IE"/>
        </w:rPr>
        <w:t xml:space="preserve"> – at the same time – </w:t>
      </w:r>
      <w:r w:rsidR="00694C4E">
        <w:rPr>
          <w:noProof/>
          <w:lang w:val="en-IE"/>
        </w:rPr>
        <w:t>improv</w:t>
      </w:r>
      <w:r w:rsidR="00613B39">
        <w:rPr>
          <w:noProof/>
          <w:lang w:val="en-IE"/>
        </w:rPr>
        <w:t>ing</w:t>
      </w:r>
      <w:r w:rsidR="00055861">
        <w:rPr>
          <w:noProof/>
          <w:lang w:val="en-IE"/>
        </w:rPr>
        <w:t xml:space="preserve"> </w:t>
      </w:r>
      <w:r w:rsidR="00613B39">
        <w:rPr>
          <w:noProof/>
          <w:lang w:val="en-IE"/>
        </w:rPr>
        <w:t xml:space="preserve">the </w:t>
      </w:r>
      <w:r w:rsidR="00055861">
        <w:rPr>
          <w:noProof/>
          <w:lang w:val="en-IE"/>
        </w:rPr>
        <w:t xml:space="preserve">quality of reporting </w:t>
      </w:r>
      <w:r w:rsidR="00613B39">
        <w:rPr>
          <w:noProof/>
          <w:lang w:val="en-IE"/>
        </w:rPr>
        <w:t>on</w:t>
      </w:r>
      <w:r w:rsidR="00FD3517">
        <w:rPr>
          <w:noProof/>
          <w:lang w:val="en-IE"/>
        </w:rPr>
        <w:t xml:space="preserve"> the programmes’ implementation </w:t>
      </w:r>
      <w:r w:rsidR="00613B39">
        <w:rPr>
          <w:noProof/>
          <w:lang w:val="en-IE"/>
        </w:rPr>
        <w:t>regarding</w:t>
      </w:r>
      <w:r w:rsidR="00C04CEC">
        <w:rPr>
          <w:noProof/>
          <w:lang w:val="en-IE"/>
        </w:rPr>
        <w:t xml:space="preserve"> the </w:t>
      </w:r>
      <w:r w:rsidR="00055861">
        <w:rPr>
          <w:noProof/>
          <w:lang w:val="en-IE"/>
        </w:rPr>
        <w:t>aspects identified in this report</w:t>
      </w:r>
      <w:r w:rsidRPr="007F3D01">
        <w:rPr>
          <w:noProof/>
          <w:lang w:val="en-IE"/>
        </w:rPr>
        <w:t>.</w:t>
      </w:r>
      <w:r w:rsidR="006F3CEB" w:rsidRPr="006F3CEB">
        <w:rPr>
          <w:noProof/>
          <w:lang w:val="en-IE"/>
        </w:rPr>
        <w:t xml:space="preserve"> </w:t>
      </w:r>
      <w:r w:rsidR="00055861" w:rsidRPr="001C5A3F">
        <w:rPr>
          <w:noProof/>
          <w:lang w:val="en-IE"/>
        </w:rPr>
        <w:t xml:space="preserve">Member States should </w:t>
      </w:r>
      <w:r w:rsidR="00C04CEC">
        <w:rPr>
          <w:noProof/>
          <w:lang w:val="en-IE"/>
        </w:rPr>
        <w:t xml:space="preserve">address these issues </w:t>
      </w:r>
      <w:r w:rsidR="00055861" w:rsidRPr="007F3D01">
        <w:rPr>
          <w:noProof/>
          <w:lang w:val="en-IE"/>
        </w:rPr>
        <w:t>in the next reporting cycle</w:t>
      </w:r>
      <w:r w:rsidR="00C04CEC">
        <w:rPr>
          <w:noProof/>
          <w:lang w:val="en-IE"/>
        </w:rPr>
        <w:t>.</w:t>
      </w:r>
      <w:r w:rsidR="00055861">
        <w:rPr>
          <w:noProof/>
          <w:lang w:val="en-IE"/>
        </w:rPr>
        <w:t xml:space="preserve"> </w:t>
      </w:r>
      <w:r w:rsidR="00C04CEC">
        <w:rPr>
          <w:noProof/>
          <w:lang w:val="en-IE"/>
        </w:rPr>
        <w:t xml:space="preserve">At the same time, </w:t>
      </w:r>
      <w:r w:rsidR="00055861">
        <w:rPr>
          <w:noProof/>
          <w:lang w:val="en-IE"/>
        </w:rPr>
        <w:t xml:space="preserve">the Commission </w:t>
      </w:r>
      <w:r w:rsidR="00C04CEC">
        <w:rPr>
          <w:noProof/>
          <w:lang w:val="en-IE"/>
        </w:rPr>
        <w:t xml:space="preserve">will </w:t>
      </w:r>
      <w:r w:rsidR="00055861">
        <w:rPr>
          <w:noProof/>
          <w:lang w:val="en-IE"/>
        </w:rPr>
        <w:t xml:space="preserve">carry out a thorough reassessment of the current </w:t>
      </w:r>
      <w:r w:rsidR="00934989">
        <w:rPr>
          <w:noProof/>
          <w:lang w:val="en-IE"/>
        </w:rPr>
        <w:t xml:space="preserve">ENSREG </w:t>
      </w:r>
      <w:r w:rsidR="00055861">
        <w:rPr>
          <w:noProof/>
          <w:lang w:val="en-IE"/>
        </w:rPr>
        <w:t>guidelines</w:t>
      </w:r>
      <w:r w:rsidR="00934989">
        <w:rPr>
          <w:rStyle w:val="FootnoteReference"/>
          <w:noProof/>
          <w:lang w:val="en-IE"/>
        </w:rPr>
        <w:footnoteReference w:id="39"/>
      </w:r>
      <w:r w:rsidR="00055861">
        <w:rPr>
          <w:noProof/>
          <w:lang w:val="en-IE"/>
        </w:rPr>
        <w:t xml:space="preserve"> setting out reporting requirements and establish more specific reporting criteria</w:t>
      </w:r>
      <w:r w:rsidR="00C04CEC">
        <w:rPr>
          <w:noProof/>
          <w:lang w:val="en-IE"/>
        </w:rPr>
        <w:t xml:space="preserve"> to support the efforts of the Member States.</w:t>
      </w:r>
    </w:p>
    <w:sectPr w:rsidR="0068325C" w:rsidRPr="007F3D01" w:rsidSect="00AF1838">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1" w:right="1411" w:bottom="907" w:left="1411" w:header="706" w:footer="70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84B6" w14:textId="77777777" w:rsidR="002C1FA4" w:rsidRDefault="002C1FA4">
      <w:pPr>
        <w:spacing w:before="0" w:after="0" w:line="240" w:lineRule="auto"/>
      </w:pPr>
      <w:r>
        <w:separator/>
      </w:r>
    </w:p>
  </w:endnote>
  <w:endnote w:type="continuationSeparator" w:id="0">
    <w:p w14:paraId="14836327" w14:textId="77777777" w:rsidR="002C1FA4" w:rsidRDefault="002C1FA4">
      <w:pPr>
        <w:spacing w:before="0" w:after="0" w:line="240" w:lineRule="auto"/>
      </w:pPr>
      <w:r>
        <w:continuationSeparator/>
      </w:r>
    </w:p>
  </w:endnote>
  <w:endnote w:type="continuationNotice" w:id="1">
    <w:p w14:paraId="284856B0" w14:textId="77777777" w:rsidR="002C1FA4" w:rsidRDefault="002C1F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CAE0" w14:textId="1F25F57C" w:rsidR="0048051C" w:rsidRPr="0048051C" w:rsidRDefault="0048051C" w:rsidP="0048051C">
    <w:pPr>
      <w:pStyle w:val="FooterCoverPage"/>
      <w:rPr>
        <w:rFonts w:ascii="Arial" w:hAnsi="Arial" w:cs="Arial"/>
        <w:b/>
        <w:sz w:val="48"/>
      </w:rPr>
    </w:pPr>
    <w:r w:rsidRPr="0048051C">
      <w:rPr>
        <w:rFonts w:ascii="Arial" w:hAnsi="Arial" w:cs="Arial"/>
        <w:b/>
        <w:sz w:val="48"/>
      </w:rPr>
      <w:t>EN</w:t>
    </w:r>
    <w:r w:rsidRPr="0048051C">
      <w:rPr>
        <w:rFonts w:ascii="Arial" w:hAnsi="Arial" w:cs="Arial"/>
        <w:b/>
        <w:sz w:val="48"/>
      </w:rPr>
      <w:tab/>
    </w:r>
    <w:r w:rsidRPr="0048051C">
      <w:rPr>
        <w:rFonts w:ascii="Arial" w:hAnsi="Arial" w:cs="Arial"/>
        <w:b/>
        <w:sz w:val="48"/>
      </w:rPr>
      <w:tab/>
    </w:r>
    <w:r w:rsidRPr="0048051C">
      <w:tab/>
    </w:r>
    <w:r w:rsidRPr="0048051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03F0" w14:textId="6936A18F" w:rsidR="0048051C" w:rsidRPr="0048051C" w:rsidRDefault="0048051C" w:rsidP="0048051C">
    <w:pPr>
      <w:pStyle w:val="FooterCoverPage"/>
      <w:rPr>
        <w:rFonts w:ascii="Arial" w:hAnsi="Arial" w:cs="Arial"/>
        <w:b/>
        <w:sz w:val="48"/>
      </w:rPr>
    </w:pPr>
    <w:r w:rsidRPr="0048051C">
      <w:rPr>
        <w:rFonts w:ascii="Arial" w:hAnsi="Arial" w:cs="Arial"/>
        <w:b/>
        <w:sz w:val="48"/>
      </w:rPr>
      <w:t>EN</w:t>
    </w:r>
    <w:r w:rsidRPr="0048051C">
      <w:rPr>
        <w:rFonts w:ascii="Arial" w:hAnsi="Arial" w:cs="Arial"/>
        <w:b/>
        <w:sz w:val="48"/>
      </w:rPr>
      <w:tab/>
    </w:r>
    <w:r w:rsidRPr="0048051C">
      <w:rPr>
        <w:rFonts w:ascii="Arial" w:hAnsi="Arial" w:cs="Arial"/>
        <w:b/>
        <w:sz w:val="48"/>
      </w:rPr>
      <w:tab/>
    </w:r>
    <w:r w:rsidRPr="0048051C">
      <w:tab/>
    </w:r>
    <w:r w:rsidRPr="0048051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9C2" w14:textId="77777777" w:rsidR="0048051C" w:rsidRPr="0048051C" w:rsidRDefault="0048051C" w:rsidP="0048051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773C" w14:textId="77777777" w:rsidR="008F1950" w:rsidRDefault="008F195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28044"/>
      <w:docPartObj>
        <w:docPartGallery w:val="Page Numbers (Bottom of Page)"/>
        <w:docPartUnique/>
      </w:docPartObj>
    </w:sdtPr>
    <w:sdtEndPr>
      <w:rPr>
        <w:noProof/>
      </w:rPr>
    </w:sdtEndPr>
    <w:sdtContent>
      <w:p w14:paraId="17F3773D" w14:textId="45CE85D8" w:rsidR="008F1950" w:rsidRDefault="008F1950">
        <w:pPr>
          <w:pStyle w:val="Footer"/>
          <w:jc w:val="center"/>
        </w:pPr>
        <w:r>
          <w:fldChar w:fldCharType="begin"/>
        </w:r>
        <w:r>
          <w:instrText xml:space="preserve"> PAGE   \* MERGEFORMAT </w:instrText>
        </w:r>
        <w:r>
          <w:fldChar w:fldCharType="separate"/>
        </w:r>
        <w:r w:rsidR="0048051C">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7740" w14:textId="77777777" w:rsidR="008F1950" w:rsidRDefault="008F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9C9E3" w14:textId="77777777" w:rsidR="002C1FA4" w:rsidRDefault="002C1FA4">
      <w:pPr>
        <w:spacing w:before="0" w:after="0" w:line="240" w:lineRule="auto"/>
      </w:pPr>
      <w:r>
        <w:separator/>
      </w:r>
    </w:p>
  </w:footnote>
  <w:footnote w:type="continuationSeparator" w:id="0">
    <w:p w14:paraId="12AFDAD6" w14:textId="77777777" w:rsidR="002C1FA4" w:rsidRDefault="002C1FA4">
      <w:pPr>
        <w:spacing w:before="0" w:after="0" w:line="240" w:lineRule="auto"/>
      </w:pPr>
      <w:r>
        <w:continuationSeparator/>
      </w:r>
    </w:p>
  </w:footnote>
  <w:footnote w:type="continuationNotice" w:id="1">
    <w:p w14:paraId="496F24EA" w14:textId="77777777" w:rsidR="002C1FA4" w:rsidRDefault="002C1FA4">
      <w:pPr>
        <w:spacing w:before="0" w:after="0" w:line="240" w:lineRule="auto"/>
      </w:pPr>
    </w:p>
  </w:footnote>
  <w:footnote w:id="2">
    <w:p w14:paraId="17F37741" w14:textId="0676DE07" w:rsidR="008F1950" w:rsidRPr="004340CF" w:rsidRDefault="008F1950">
      <w:pPr>
        <w:pStyle w:val="FootnoteText"/>
        <w:ind w:left="567" w:hanging="567"/>
        <w:rPr>
          <w:rFonts w:eastAsia="Times New Roman"/>
          <w:sz w:val="22"/>
          <w:szCs w:val="22"/>
        </w:rPr>
      </w:pPr>
      <w:r w:rsidRPr="004340CF">
        <w:rPr>
          <w:rStyle w:val="FootnoteReference"/>
          <w:sz w:val="22"/>
          <w:szCs w:val="22"/>
        </w:rPr>
        <w:footnoteRef/>
      </w:r>
      <w:r w:rsidRPr="004340CF">
        <w:rPr>
          <w:sz w:val="22"/>
          <w:szCs w:val="22"/>
        </w:rPr>
        <w:t xml:space="preserve"> </w:t>
      </w:r>
      <w:r>
        <w:tab/>
      </w:r>
      <w:r w:rsidRPr="004340CF">
        <w:rPr>
          <w:rFonts w:eastAsia="Times New Roman"/>
          <w:sz w:val="22"/>
          <w:szCs w:val="22"/>
        </w:rPr>
        <w:t>Council Directive 2011/70/Euratom of 19 July 2011 establishing a Community framework for the responsible and safe management of spent fuel and radioactive waste, OJ L 199, 2.8.2011, p. 48.</w:t>
      </w:r>
    </w:p>
  </w:footnote>
  <w:footnote w:id="3">
    <w:p w14:paraId="17F37742" w14:textId="311D2B5D" w:rsidR="008F1950" w:rsidRPr="004340CF" w:rsidRDefault="008F1950">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Spent fuel is “nuclear fuel that has been irradiated in and permanently removed from a reactor core” (Article 3(11) of the Directive) and that is no longer usable in its</w:t>
      </w:r>
      <w:r w:rsidR="008C737D" w:rsidRPr="004340CF">
        <w:rPr>
          <w:sz w:val="22"/>
          <w:szCs w:val="22"/>
        </w:rPr>
        <w:t xml:space="preserve"> current</w:t>
      </w:r>
      <w:r w:rsidRPr="004340CF">
        <w:rPr>
          <w:sz w:val="22"/>
          <w:szCs w:val="22"/>
        </w:rPr>
        <w:t xml:space="preserve"> form. It is generated by the operation of nuclear reactors for power generation, research, training and demonstration.</w:t>
      </w:r>
    </w:p>
  </w:footnote>
  <w:footnote w:id="4">
    <w:p w14:paraId="17F37743" w14:textId="717330D9" w:rsidR="008F1950" w:rsidRPr="004340CF" w:rsidRDefault="008F1950">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 xml:space="preserve">Radioactive waste is “radioactive material in gaseous, liquid or solid form for which no further use is foreseen or considered” (Article 3(7) of the Directive) and which has been classified as radioactive waste. Its generation is associated with the production of electricity in nuclear power plants or with non-power-related uses of radioactive materials for medical, research, industrial and agricultural purposes. Please </w:t>
      </w:r>
      <w:r w:rsidRPr="006154E9">
        <w:rPr>
          <w:sz w:val="22"/>
          <w:szCs w:val="22"/>
        </w:rPr>
        <w:t xml:space="preserve">see </w:t>
      </w:r>
      <w:r w:rsidR="00F35EB4" w:rsidRPr="006154E9">
        <w:rPr>
          <w:rStyle w:val="FootnoteReference"/>
          <w:sz w:val="22"/>
          <w:szCs w:val="22"/>
          <w:vertAlign w:val="baseline"/>
        </w:rPr>
        <w:t>SWD(2024)</w:t>
      </w:r>
      <w:r w:rsidR="006154E9">
        <w:rPr>
          <w:sz w:val="22"/>
          <w:szCs w:val="22"/>
        </w:rPr>
        <w:t xml:space="preserve"> 123</w:t>
      </w:r>
      <w:r w:rsidR="00F35EB4">
        <w:rPr>
          <w:rStyle w:val="FootnoteReference"/>
          <w:sz w:val="22"/>
          <w:szCs w:val="22"/>
          <w:vertAlign w:val="baseline"/>
        </w:rPr>
        <w:t xml:space="preserve"> </w:t>
      </w:r>
      <w:r w:rsidRPr="004340CF">
        <w:rPr>
          <w:rStyle w:val="FootnoteReference"/>
          <w:sz w:val="22"/>
          <w:szCs w:val="22"/>
          <w:vertAlign w:val="baseline"/>
        </w:rPr>
        <w:t xml:space="preserve">on </w:t>
      </w:r>
      <w:r w:rsidR="008C737D" w:rsidRPr="004340CF">
        <w:rPr>
          <w:sz w:val="22"/>
          <w:szCs w:val="22"/>
        </w:rPr>
        <w:t>p</w:t>
      </w:r>
      <w:r w:rsidRPr="004340CF">
        <w:rPr>
          <w:rStyle w:val="FootnoteReference"/>
          <w:sz w:val="22"/>
          <w:szCs w:val="22"/>
          <w:vertAlign w:val="baseline"/>
        </w:rPr>
        <w:t xml:space="preserve">rogress of </w:t>
      </w:r>
      <w:r w:rsidR="008C737D" w:rsidRPr="004340CF">
        <w:rPr>
          <w:sz w:val="22"/>
          <w:szCs w:val="22"/>
        </w:rPr>
        <w:t>i</w:t>
      </w:r>
      <w:r w:rsidRPr="004340CF">
        <w:rPr>
          <w:rStyle w:val="FootnoteReference"/>
          <w:sz w:val="22"/>
          <w:szCs w:val="22"/>
          <w:vertAlign w:val="baseline"/>
        </w:rPr>
        <w:t>mplementation of Council Directive 2011/70/Euratom for the definitions of others important concepts as provided by the Directive, such as storage or disposal.</w:t>
      </w:r>
    </w:p>
  </w:footnote>
  <w:footnote w:id="5">
    <w:p w14:paraId="4970BFB8" w14:textId="46399A5B" w:rsidR="00766006" w:rsidRPr="004340CF" w:rsidRDefault="00766006" w:rsidP="00766006">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The analysis presented in the report is based on the</w:t>
      </w:r>
      <w:r w:rsidRPr="004340CF">
        <w:rPr>
          <w:rFonts w:eastAsia="Times New Roman"/>
          <w:color w:val="000000" w:themeColor="text1"/>
          <w:sz w:val="22"/>
          <w:szCs w:val="22"/>
        </w:rPr>
        <w:t xml:space="preserve"> national reports and the newly adopted or updated national programmes as submitted by Member States </w:t>
      </w:r>
      <w:r w:rsidR="008C737D" w:rsidRPr="004340CF">
        <w:rPr>
          <w:rFonts w:eastAsia="Times New Roman"/>
          <w:color w:val="000000" w:themeColor="text1"/>
          <w:sz w:val="22"/>
          <w:szCs w:val="22"/>
        </w:rPr>
        <w:t>in</w:t>
      </w:r>
      <w:r w:rsidRPr="004340CF">
        <w:rPr>
          <w:rFonts w:eastAsia="Times New Roman"/>
          <w:color w:val="000000" w:themeColor="text1"/>
          <w:sz w:val="22"/>
          <w:szCs w:val="22"/>
        </w:rPr>
        <w:t xml:space="preserve"> August</w:t>
      </w:r>
      <w:r w:rsidRPr="004340CF" w:rsidDel="00573DA4">
        <w:rPr>
          <w:rFonts w:eastAsia="Times New Roman"/>
          <w:color w:val="000000" w:themeColor="text1"/>
          <w:sz w:val="22"/>
          <w:szCs w:val="22"/>
        </w:rPr>
        <w:t xml:space="preserve"> </w:t>
      </w:r>
      <w:r w:rsidR="00E82B60" w:rsidRPr="004340CF">
        <w:rPr>
          <w:rFonts w:eastAsia="Times New Roman"/>
          <w:color w:val="000000" w:themeColor="text1"/>
          <w:sz w:val="22"/>
          <w:szCs w:val="22"/>
        </w:rPr>
        <w:t>2021</w:t>
      </w:r>
      <w:r w:rsidRPr="004340CF">
        <w:rPr>
          <w:rFonts w:eastAsia="Times New Roman"/>
          <w:color w:val="000000" w:themeColor="text1"/>
          <w:sz w:val="22"/>
          <w:szCs w:val="22"/>
        </w:rPr>
        <w:t xml:space="preserve">. The United Kingdom did not provide a report. To </w:t>
      </w:r>
      <w:r w:rsidR="008C737D" w:rsidRPr="004340CF">
        <w:rPr>
          <w:rFonts w:eastAsia="Times New Roman"/>
          <w:color w:val="000000" w:themeColor="text1"/>
          <w:sz w:val="22"/>
          <w:szCs w:val="22"/>
        </w:rPr>
        <w:t>enable</w:t>
      </w:r>
      <w:r w:rsidRPr="004340CF">
        <w:rPr>
          <w:rFonts w:eastAsia="Times New Roman"/>
          <w:color w:val="000000" w:themeColor="text1"/>
          <w:sz w:val="22"/>
          <w:szCs w:val="22"/>
        </w:rPr>
        <w:t xml:space="preserve"> comparison with historical data, the United Kingdom’s inventory share was removed from the overall EU inventory in 2013 and 2016.</w:t>
      </w:r>
    </w:p>
  </w:footnote>
  <w:footnote w:id="6">
    <w:p w14:paraId="6CAAFB5B" w14:textId="0B6713E0" w:rsidR="008F1950" w:rsidRPr="004340CF" w:rsidRDefault="008F1950" w:rsidP="00FF0975">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Report from the Commission to the Council and the European Parliament on progress of implementation of Council Directive 2011/70/Euratom and an inventory of radioactive waste and spent fuel present in the Community's territory and the future prospects, 15 May 2017, COM(2017) 236 final, and corresponding SWD(2017) 159 final and SWD(2017) 161 final.</w:t>
      </w:r>
    </w:p>
  </w:footnote>
  <w:footnote w:id="7">
    <w:p w14:paraId="035CD56C" w14:textId="756AB802" w:rsidR="008F1950" w:rsidRPr="004340CF" w:rsidRDefault="008F1950" w:rsidP="00FF0975">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Report from the Commission to the Council and the European Parliament on progress of implementation of Council Directive 2011/70/Euratom and an inventory of radioactive waste and spent fuel present in the Community's territory and the future prospects</w:t>
      </w:r>
      <w:r w:rsidR="008E1D3C">
        <w:rPr>
          <w:sz w:val="22"/>
          <w:szCs w:val="22"/>
        </w:rPr>
        <w:t xml:space="preserve"> – Second report</w:t>
      </w:r>
      <w:r w:rsidRPr="004340CF">
        <w:rPr>
          <w:sz w:val="22"/>
          <w:szCs w:val="22"/>
        </w:rPr>
        <w:t>, 17 December 2019, COM(2019) 632 final, and corresponding SWD(2019) 435 final and SWD(2019) 436 final.</w:t>
      </w:r>
    </w:p>
  </w:footnote>
  <w:footnote w:id="8">
    <w:p w14:paraId="17F37746" w14:textId="5D54EC0D" w:rsidR="008F1950" w:rsidRPr="004340CF" w:rsidRDefault="008F1950">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tab/>
      </w:r>
      <w:r w:rsidRPr="004340CF">
        <w:rPr>
          <w:sz w:val="22"/>
          <w:szCs w:val="22"/>
        </w:rPr>
        <w:t>Belgium, Bulgaria, Czechia, Finland, France, Germany, Hungary, the Netherlands, Romania, Slova</w:t>
      </w:r>
      <w:r w:rsidR="001829C7" w:rsidRPr="004340CF">
        <w:rPr>
          <w:sz w:val="22"/>
          <w:szCs w:val="22"/>
        </w:rPr>
        <w:t>kia</w:t>
      </w:r>
      <w:r w:rsidRPr="004340CF">
        <w:rPr>
          <w:sz w:val="22"/>
          <w:szCs w:val="22"/>
        </w:rPr>
        <w:t>, Slovenia, Spain</w:t>
      </w:r>
      <w:r w:rsidR="001829C7" w:rsidRPr="004340CF">
        <w:rPr>
          <w:sz w:val="22"/>
          <w:szCs w:val="22"/>
        </w:rPr>
        <w:t xml:space="preserve"> and</w:t>
      </w:r>
      <w:r w:rsidRPr="004340CF">
        <w:rPr>
          <w:sz w:val="22"/>
          <w:szCs w:val="22"/>
        </w:rPr>
        <w:t xml:space="preserve"> Sweden. In addition, although it has no nuclear power plant within its own national borders, Croatia co-owns the Krsko nuclear power plant with Slovenia.</w:t>
      </w:r>
    </w:p>
  </w:footnote>
  <w:footnote w:id="9">
    <w:p w14:paraId="5007C2A8" w14:textId="77777777" w:rsidR="008F1950" w:rsidRPr="004340CF" w:rsidRDefault="008F1950" w:rsidP="00675820">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For the purposes of this report, those Member States that have nuclear power reactors on their territory either operational or shut-down are indicated as Member States with a nuclear power programme.</w:t>
      </w:r>
    </w:p>
  </w:footnote>
  <w:footnote w:id="10">
    <w:p w14:paraId="17F37748" w14:textId="77777777" w:rsidR="008F1950" w:rsidRPr="004340CF" w:rsidRDefault="008F1950" w:rsidP="00F35EB4">
      <w:pPr>
        <w:pStyle w:val="FootnoteText"/>
      </w:pPr>
      <w:r w:rsidRPr="004340CF">
        <w:rPr>
          <w:rStyle w:val="FootnoteReference"/>
          <w:sz w:val="22"/>
          <w:szCs w:val="22"/>
        </w:rPr>
        <w:footnoteRef/>
      </w:r>
      <w:r w:rsidRPr="004340CF">
        <w:t xml:space="preserve"> </w:t>
      </w:r>
      <w:r w:rsidRPr="004340CF">
        <w:tab/>
        <w:t>See the IAEA Research Reactor Database: https://nucleus.iaea.org/RRDB/RR/ReactorSearch.aspx.</w:t>
      </w:r>
    </w:p>
  </w:footnote>
  <w:footnote w:id="11">
    <w:p w14:paraId="17F37749" w14:textId="3CB68276" w:rsidR="008F1950" w:rsidRPr="004340CF" w:rsidRDefault="008F1950" w:rsidP="00F35EB4">
      <w:pPr>
        <w:pStyle w:val="FootnoteText"/>
      </w:pPr>
      <w:r w:rsidRPr="004340CF">
        <w:rPr>
          <w:rStyle w:val="FootnoteReference"/>
          <w:sz w:val="22"/>
          <w:szCs w:val="22"/>
        </w:rPr>
        <w:footnoteRef/>
      </w:r>
      <w:r w:rsidRPr="004340CF">
        <w:t xml:space="preserve"> </w:t>
      </w:r>
      <w:r w:rsidRPr="004340CF">
        <w:tab/>
      </w:r>
      <w:r w:rsidRPr="004340CF">
        <w:rPr>
          <w:bCs/>
        </w:rPr>
        <w:t xml:space="preserve">Benchmark Analysis of Member States Approaches to Definition of National Inventories for Radioactive Waste and Spent Fuel - </w:t>
      </w:r>
      <w:hyperlink r:id="rId1" w:history="1">
        <w:r w:rsidRPr="004340CF">
          <w:rPr>
            <w:rStyle w:val="Hyperlink"/>
            <w:bCs/>
            <w:sz w:val="22"/>
            <w:szCs w:val="22"/>
          </w:rPr>
          <w:t>https://op.europa.eu/en/publication-detail/-/publication/e8d170a2-4016-11eb-b27b-01aa75ed71a1/language-en</w:t>
        </w:r>
      </w:hyperlink>
      <w:r w:rsidRPr="004340CF">
        <w:rPr>
          <w:bCs/>
        </w:rPr>
        <w:t>.</w:t>
      </w:r>
      <w:r w:rsidR="002B037D" w:rsidRPr="004340CF">
        <w:rPr>
          <w:bCs/>
        </w:rPr>
        <w:t xml:space="preserve"> </w:t>
      </w:r>
    </w:p>
  </w:footnote>
  <w:footnote w:id="12">
    <w:p w14:paraId="1718ECE3" w14:textId="385D3034" w:rsidR="005941EA" w:rsidRPr="004340CF" w:rsidRDefault="005941EA" w:rsidP="00F35EB4">
      <w:pPr>
        <w:pStyle w:val="FootnoteText"/>
      </w:pPr>
      <w:r w:rsidRPr="004340CF">
        <w:rPr>
          <w:rStyle w:val="FootnoteReference"/>
          <w:sz w:val="22"/>
          <w:szCs w:val="22"/>
        </w:rPr>
        <w:footnoteRef/>
      </w:r>
      <w:r w:rsidRPr="004340CF">
        <w:t xml:space="preserve"> </w:t>
      </w:r>
      <w:r w:rsidRPr="004340CF">
        <w:tab/>
      </w:r>
      <w:r w:rsidR="002B037D" w:rsidRPr="004340CF">
        <w:t>Study on radioactive waste classification schemes in the EU - https://op.europa.eu/en/publication-detail/-/publication/a3fa58a2-dcce-11ed-a05c-01aa75ed71a1.</w:t>
      </w:r>
    </w:p>
  </w:footnote>
  <w:footnote w:id="13">
    <w:p w14:paraId="17F3774A" w14:textId="77777777" w:rsidR="008F1950" w:rsidRPr="004340CF" w:rsidRDefault="008F1950">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‘Classification of Radioactive Waste’, General Safety Guide, IAEA, Vienna, 2009.</w:t>
      </w:r>
    </w:p>
  </w:footnote>
  <w:footnote w:id="14">
    <w:p w14:paraId="6F983A18" w14:textId="6A2E3B7A" w:rsidR="008F1950" w:rsidRPr="004340CF" w:rsidRDefault="008F1950" w:rsidP="005A4080">
      <w:pPr>
        <w:pStyle w:val="FootnoteText"/>
        <w:ind w:left="567" w:hanging="567"/>
        <w:rPr>
          <w:sz w:val="22"/>
          <w:szCs w:val="22"/>
          <w:lang w:val="en-IE"/>
        </w:rPr>
      </w:pPr>
      <w:r w:rsidRPr="004340CF">
        <w:rPr>
          <w:rStyle w:val="FootnoteReference"/>
          <w:sz w:val="22"/>
          <w:szCs w:val="22"/>
        </w:rPr>
        <w:footnoteRef/>
      </w:r>
      <w:r w:rsidRPr="004340CF">
        <w:rPr>
          <w:sz w:val="22"/>
          <w:szCs w:val="22"/>
        </w:rPr>
        <w:t xml:space="preserve"> </w:t>
      </w:r>
      <w:r w:rsidRPr="004340CF">
        <w:rPr>
          <w:sz w:val="22"/>
          <w:szCs w:val="22"/>
        </w:rPr>
        <w:tab/>
        <w:t>The yearly average radioactive waste generation per capita was ~90 milliliters; this amount corresponds to less than 0.1% compared to the yearly production of hazardous waste in general.</w:t>
      </w:r>
    </w:p>
  </w:footnote>
  <w:footnote w:id="15">
    <w:p w14:paraId="65CC3163" w14:textId="6B6BDF48" w:rsidR="008F1950" w:rsidRPr="004340CF" w:rsidRDefault="008F1950" w:rsidP="005A4080">
      <w:pPr>
        <w:pStyle w:val="FootnoteText"/>
        <w:ind w:left="567" w:hanging="567"/>
        <w:rPr>
          <w:sz w:val="22"/>
          <w:szCs w:val="22"/>
          <w:lang w:val="en-IE"/>
        </w:rPr>
      </w:pPr>
      <w:r w:rsidRPr="004340CF">
        <w:rPr>
          <w:rStyle w:val="FootnoteReference"/>
          <w:sz w:val="22"/>
          <w:szCs w:val="22"/>
        </w:rPr>
        <w:footnoteRef/>
      </w:r>
      <w:r w:rsidRPr="004340CF">
        <w:rPr>
          <w:sz w:val="22"/>
          <w:szCs w:val="22"/>
        </w:rPr>
        <w:t xml:space="preserve"> </w:t>
      </w:r>
      <w:r w:rsidRPr="004340CF">
        <w:rPr>
          <w:sz w:val="22"/>
          <w:szCs w:val="22"/>
          <w:lang w:val="en-IE"/>
        </w:rPr>
        <w:tab/>
        <w:t>‘Disposal’ means the emplacement of spent fuel or radioactive waste in a facility without the intention of retrieval.</w:t>
      </w:r>
    </w:p>
  </w:footnote>
  <w:footnote w:id="16">
    <w:p w14:paraId="445B0740" w14:textId="69E45D9B" w:rsidR="008F1950" w:rsidRPr="005A4080" w:rsidRDefault="008F1950" w:rsidP="005A4080">
      <w:pPr>
        <w:pStyle w:val="FootnoteText"/>
        <w:ind w:left="567" w:hanging="567"/>
        <w:rPr>
          <w:lang w:val="en-IE"/>
        </w:rPr>
      </w:pPr>
      <w:r w:rsidRPr="004340CF">
        <w:rPr>
          <w:rStyle w:val="FootnoteReference"/>
          <w:sz w:val="22"/>
          <w:szCs w:val="22"/>
        </w:rPr>
        <w:footnoteRef/>
      </w:r>
      <w:r w:rsidRPr="004340CF">
        <w:rPr>
          <w:sz w:val="22"/>
          <w:szCs w:val="22"/>
        </w:rPr>
        <w:t xml:space="preserve"> </w:t>
      </w:r>
      <w:r w:rsidRPr="004340CF">
        <w:rPr>
          <w:sz w:val="22"/>
          <w:szCs w:val="22"/>
        </w:rPr>
        <w:tab/>
        <w:t xml:space="preserve">‘Storage’ means the holding </w:t>
      </w:r>
      <w:r w:rsidRPr="004340CF">
        <w:rPr>
          <w:sz w:val="22"/>
          <w:szCs w:val="22"/>
          <w:lang w:val="en-IE"/>
        </w:rPr>
        <w:t>of</w:t>
      </w:r>
      <w:r w:rsidRPr="004340CF">
        <w:rPr>
          <w:sz w:val="22"/>
          <w:szCs w:val="22"/>
        </w:rPr>
        <w:t xml:space="preserve"> spent fuel or of radioactive waste in a facility with the intention of retrieval.</w:t>
      </w:r>
    </w:p>
  </w:footnote>
  <w:footnote w:id="17">
    <w:p w14:paraId="17F3774C" w14:textId="5D862BA2" w:rsidR="008F1950" w:rsidRPr="004340CF" w:rsidRDefault="008F1950">
      <w:pPr>
        <w:pStyle w:val="FootnoteText"/>
        <w:ind w:left="567" w:hanging="567"/>
        <w:rPr>
          <w:sz w:val="22"/>
          <w:szCs w:val="22"/>
        </w:rPr>
      </w:pPr>
      <w:r w:rsidRPr="004340CF">
        <w:rPr>
          <w:rStyle w:val="FootnoteReference"/>
          <w:sz w:val="22"/>
          <w:szCs w:val="22"/>
        </w:rPr>
        <w:footnoteRef/>
      </w:r>
      <w:r w:rsidR="004340CF">
        <w:rPr>
          <w:sz w:val="22"/>
          <w:szCs w:val="22"/>
        </w:rPr>
        <w:t xml:space="preserve"> </w:t>
      </w:r>
      <w:r w:rsidRPr="004340CF">
        <w:rPr>
          <w:sz w:val="22"/>
          <w:szCs w:val="22"/>
        </w:rPr>
        <w:tab/>
        <w:t xml:space="preserve">The cut-off date for most data is end 2019 in order to reduce reporting burden on the Member States and facilitate joint reporting with the Joint Convention. Please see </w:t>
      </w:r>
      <w:r w:rsidR="00F35EB4" w:rsidRPr="008E1D3C">
        <w:rPr>
          <w:sz w:val="22"/>
          <w:szCs w:val="22"/>
        </w:rPr>
        <w:t>SWD(2024)</w:t>
      </w:r>
      <w:r w:rsidR="008E1D3C" w:rsidRPr="008E1D3C">
        <w:rPr>
          <w:sz w:val="22"/>
          <w:szCs w:val="22"/>
        </w:rPr>
        <w:t xml:space="preserve"> 127</w:t>
      </w:r>
      <w:r w:rsidR="00F35EB4" w:rsidRPr="008E1D3C">
        <w:rPr>
          <w:sz w:val="22"/>
          <w:szCs w:val="22"/>
        </w:rPr>
        <w:t xml:space="preserve"> </w:t>
      </w:r>
      <w:r w:rsidRPr="008E1D3C">
        <w:rPr>
          <w:sz w:val="22"/>
          <w:szCs w:val="22"/>
        </w:rPr>
        <w:t>on inventory for details.</w:t>
      </w:r>
    </w:p>
  </w:footnote>
  <w:footnote w:id="18">
    <w:p w14:paraId="17F3775C" w14:textId="77777777" w:rsidR="008F1950" w:rsidRPr="004340CF" w:rsidRDefault="008F1950">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rStyle w:val="FootnoteReference"/>
          <w:sz w:val="22"/>
          <w:szCs w:val="22"/>
        </w:rPr>
        <w:tab/>
      </w:r>
      <w:r w:rsidRPr="004340CF">
        <w:rPr>
          <w:sz w:val="22"/>
          <w:szCs w:val="22"/>
        </w:rPr>
        <w:t>Joint Convention on the Safety of Spent Fuel management and on the Safety of Radioactive Waste Management.</w:t>
      </w:r>
    </w:p>
  </w:footnote>
  <w:footnote w:id="19">
    <w:p w14:paraId="43E18193" w14:textId="6A3A6D4E" w:rsidR="008F1950" w:rsidRPr="004340CF" w:rsidRDefault="008F1950" w:rsidP="00000722">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Articles 7(2), 7(3) of the Directive.</w:t>
      </w:r>
    </w:p>
  </w:footnote>
  <w:footnote w:id="20">
    <w:p w14:paraId="3C5F4028" w14:textId="7D78D587" w:rsidR="008F1950" w:rsidRDefault="008F1950" w:rsidP="00142C38">
      <w:pPr>
        <w:pStyle w:val="FootnoteText"/>
        <w:ind w:left="567" w:hanging="567"/>
      </w:pPr>
      <w:r w:rsidRPr="004340CF">
        <w:rPr>
          <w:rStyle w:val="FootnoteReference"/>
          <w:sz w:val="22"/>
          <w:szCs w:val="22"/>
        </w:rPr>
        <w:footnoteRef/>
      </w:r>
      <w:r w:rsidRPr="004340CF">
        <w:rPr>
          <w:sz w:val="22"/>
          <w:szCs w:val="22"/>
        </w:rPr>
        <w:t xml:space="preserve"> </w:t>
      </w:r>
      <w:r w:rsidRPr="004340CF">
        <w:rPr>
          <w:sz w:val="22"/>
          <w:szCs w:val="22"/>
        </w:rPr>
        <w:tab/>
        <w:t>Only two Member States (having only institutional waste) did not provide any cost assessment.</w:t>
      </w:r>
      <w:r>
        <w:t xml:space="preserve"> </w:t>
      </w:r>
    </w:p>
  </w:footnote>
  <w:footnote w:id="21">
    <w:p w14:paraId="38C06F16" w14:textId="32047CA8" w:rsidR="00B652E7" w:rsidRPr="004340CF" w:rsidRDefault="00B652E7" w:rsidP="00AC64F7">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w:t>
      </w:r>
      <w:r w:rsidR="001E6745" w:rsidRPr="004340CF">
        <w:rPr>
          <w:sz w:val="22"/>
          <w:szCs w:val="22"/>
        </w:rPr>
        <w:t>E</w:t>
      </w:r>
      <w:r w:rsidRPr="004340CF">
        <w:rPr>
          <w:sz w:val="22"/>
          <w:szCs w:val="22"/>
        </w:rPr>
        <w:t>stimated total cost of radioactive waste management’ means the aggr</w:t>
      </w:r>
      <w:r w:rsidR="00837E5E" w:rsidRPr="004340CF">
        <w:rPr>
          <w:sz w:val="22"/>
          <w:szCs w:val="22"/>
        </w:rPr>
        <w:t>e</w:t>
      </w:r>
      <w:r w:rsidRPr="004340CF">
        <w:rPr>
          <w:sz w:val="22"/>
          <w:szCs w:val="22"/>
        </w:rPr>
        <w:t>gated total cost of all the EU Member States’ national programmes during their full duration.</w:t>
      </w:r>
    </w:p>
  </w:footnote>
  <w:footnote w:id="22">
    <w:p w14:paraId="1876B543" w14:textId="30660B86" w:rsidR="001443F8" w:rsidRPr="004340CF" w:rsidRDefault="001443F8" w:rsidP="00B7195F">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 xml:space="preserve">These </w:t>
      </w:r>
      <w:r w:rsidR="005A5EE7" w:rsidRPr="004340CF">
        <w:rPr>
          <w:sz w:val="22"/>
          <w:szCs w:val="22"/>
        </w:rPr>
        <w:t>figures</w:t>
      </w:r>
      <w:r w:rsidRPr="004340CF">
        <w:rPr>
          <w:sz w:val="22"/>
          <w:szCs w:val="22"/>
        </w:rPr>
        <w:t xml:space="preserve"> do not include </w:t>
      </w:r>
      <w:r w:rsidR="005A5EE7" w:rsidRPr="004340CF">
        <w:rPr>
          <w:sz w:val="22"/>
          <w:szCs w:val="22"/>
        </w:rPr>
        <w:t xml:space="preserve">cost estimates for </w:t>
      </w:r>
      <w:r w:rsidRPr="004340CF">
        <w:rPr>
          <w:sz w:val="22"/>
          <w:szCs w:val="22"/>
          <w:lang w:val="en-IE"/>
        </w:rPr>
        <w:t>the UK</w:t>
      </w:r>
      <w:r w:rsidR="005A5EE7" w:rsidRPr="004340CF">
        <w:rPr>
          <w:sz w:val="22"/>
          <w:szCs w:val="22"/>
          <w:lang w:val="en-IE"/>
        </w:rPr>
        <w:t xml:space="preserve"> national pr</w:t>
      </w:r>
      <w:r w:rsidR="00837E5E" w:rsidRPr="004340CF">
        <w:rPr>
          <w:sz w:val="22"/>
          <w:szCs w:val="22"/>
          <w:lang w:val="en-IE"/>
        </w:rPr>
        <w:t>o</w:t>
      </w:r>
      <w:r w:rsidR="005A5EE7" w:rsidRPr="004340CF">
        <w:rPr>
          <w:sz w:val="22"/>
          <w:szCs w:val="22"/>
          <w:lang w:val="en-IE"/>
        </w:rPr>
        <w:t>gramme</w:t>
      </w:r>
      <w:r w:rsidRPr="004340CF">
        <w:rPr>
          <w:sz w:val="22"/>
          <w:szCs w:val="22"/>
          <w:lang w:val="en-IE"/>
        </w:rPr>
        <w:t>.</w:t>
      </w:r>
    </w:p>
  </w:footnote>
  <w:footnote w:id="23">
    <w:p w14:paraId="089680E6" w14:textId="2A5759A8" w:rsidR="008F1950" w:rsidRPr="009763AE" w:rsidRDefault="008F1950" w:rsidP="00F62A60">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r>
      <w:r w:rsidRPr="004340CF">
        <w:rPr>
          <w:rFonts w:eastAsia="Times New Roman"/>
          <w:color w:val="000000" w:themeColor="text1"/>
          <w:sz w:val="22"/>
          <w:szCs w:val="22"/>
        </w:rPr>
        <w:t>See detail</w:t>
      </w:r>
      <w:r w:rsidR="009A6BCF" w:rsidRPr="004340CF">
        <w:rPr>
          <w:rFonts w:eastAsia="Times New Roman"/>
          <w:color w:val="000000" w:themeColor="text1"/>
          <w:sz w:val="22"/>
          <w:szCs w:val="22"/>
        </w:rPr>
        <w:t>s</w:t>
      </w:r>
      <w:r w:rsidR="009A3499" w:rsidRPr="004340CF">
        <w:rPr>
          <w:rFonts w:eastAsia="Times New Roman"/>
          <w:color w:val="000000" w:themeColor="text1"/>
          <w:sz w:val="22"/>
          <w:szCs w:val="22"/>
        </w:rPr>
        <w:t xml:space="preserve"> for </w:t>
      </w:r>
      <w:r w:rsidR="009A3499" w:rsidRPr="009763AE">
        <w:rPr>
          <w:rFonts w:eastAsia="Times New Roman"/>
          <w:color w:val="000000" w:themeColor="text1"/>
          <w:sz w:val="22"/>
          <w:szCs w:val="22"/>
        </w:rPr>
        <w:t>each</w:t>
      </w:r>
      <w:r w:rsidRPr="009763AE">
        <w:rPr>
          <w:rFonts w:eastAsia="Times New Roman"/>
          <w:color w:val="000000" w:themeColor="text1"/>
          <w:sz w:val="22"/>
          <w:szCs w:val="22"/>
        </w:rPr>
        <w:t xml:space="preserve"> Member State in the </w:t>
      </w:r>
      <w:r w:rsidR="00F35EB4" w:rsidRPr="009763AE">
        <w:rPr>
          <w:rFonts w:eastAsia="Times New Roman"/>
          <w:color w:val="000000" w:themeColor="text1"/>
          <w:sz w:val="22"/>
          <w:szCs w:val="22"/>
        </w:rPr>
        <w:t>SWD(2024)</w:t>
      </w:r>
      <w:r w:rsidR="009763AE" w:rsidRPr="009763AE">
        <w:rPr>
          <w:rFonts w:eastAsia="Times New Roman"/>
          <w:color w:val="000000" w:themeColor="text1"/>
          <w:sz w:val="22"/>
          <w:szCs w:val="22"/>
        </w:rPr>
        <w:t xml:space="preserve"> 123</w:t>
      </w:r>
      <w:r w:rsidR="00F35EB4" w:rsidRPr="009763AE">
        <w:rPr>
          <w:rFonts w:eastAsia="Times New Roman"/>
          <w:color w:val="000000" w:themeColor="text1"/>
          <w:sz w:val="22"/>
          <w:szCs w:val="22"/>
        </w:rPr>
        <w:t xml:space="preserve"> </w:t>
      </w:r>
      <w:r w:rsidRPr="009763AE">
        <w:rPr>
          <w:rFonts w:eastAsia="Times New Roman"/>
          <w:color w:val="000000" w:themeColor="text1"/>
          <w:sz w:val="22"/>
          <w:szCs w:val="22"/>
        </w:rPr>
        <w:t xml:space="preserve">on Progress of Implementation of Council Directive 2011/70/Euratom. </w:t>
      </w:r>
      <w:r w:rsidR="009A3499" w:rsidRPr="009763AE">
        <w:rPr>
          <w:rFonts w:eastAsia="Times New Roman"/>
          <w:color w:val="000000" w:themeColor="text1"/>
          <w:sz w:val="22"/>
          <w:szCs w:val="22"/>
        </w:rPr>
        <w:t>However, i</w:t>
      </w:r>
      <w:r w:rsidRPr="009763AE">
        <w:rPr>
          <w:rFonts w:eastAsia="Times New Roman"/>
          <w:color w:val="000000" w:themeColor="text1"/>
          <w:sz w:val="22"/>
          <w:szCs w:val="22"/>
        </w:rPr>
        <w:t>nformation from ongoing infringement procedures has not been included.</w:t>
      </w:r>
    </w:p>
  </w:footnote>
  <w:footnote w:id="24">
    <w:p w14:paraId="17F37760" w14:textId="596C992A" w:rsidR="008F1950" w:rsidRPr="009763AE" w:rsidRDefault="008F1950">
      <w:pPr>
        <w:pStyle w:val="FootnoteText"/>
        <w:ind w:left="567" w:hanging="567"/>
        <w:rPr>
          <w:sz w:val="22"/>
          <w:szCs w:val="22"/>
        </w:rPr>
      </w:pPr>
      <w:r w:rsidRPr="009763AE">
        <w:rPr>
          <w:rStyle w:val="FootnoteReference"/>
          <w:sz w:val="22"/>
          <w:szCs w:val="22"/>
        </w:rPr>
        <w:footnoteRef/>
      </w:r>
      <w:r w:rsidRPr="009763AE">
        <w:rPr>
          <w:sz w:val="22"/>
          <w:szCs w:val="22"/>
        </w:rPr>
        <w:t xml:space="preserve"> </w:t>
      </w:r>
      <w:r w:rsidRPr="009763AE">
        <w:rPr>
          <w:sz w:val="22"/>
          <w:szCs w:val="22"/>
        </w:rPr>
        <w:tab/>
      </w:r>
      <w:r w:rsidRPr="009763AE">
        <w:rPr>
          <w:rFonts w:eastAsia="Times New Roman"/>
          <w:color w:val="000000" w:themeColor="text1"/>
          <w:sz w:val="22"/>
          <w:szCs w:val="22"/>
        </w:rPr>
        <w:t>See Table 10 in SWD(202</w:t>
      </w:r>
      <w:r w:rsidR="00F35EB4" w:rsidRPr="009763AE">
        <w:rPr>
          <w:rFonts w:eastAsia="Times New Roman"/>
          <w:color w:val="000000" w:themeColor="text1"/>
          <w:sz w:val="22"/>
          <w:szCs w:val="22"/>
        </w:rPr>
        <w:t>4</w:t>
      </w:r>
      <w:r w:rsidRPr="009763AE">
        <w:rPr>
          <w:rFonts w:eastAsia="Times New Roman"/>
          <w:color w:val="000000" w:themeColor="text1"/>
          <w:sz w:val="22"/>
          <w:szCs w:val="22"/>
        </w:rPr>
        <w:t>)</w:t>
      </w:r>
      <w:r w:rsidR="005C1F0C">
        <w:rPr>
          <w:rFonts w:eastAsia="Times New Roman"/>
          <w:color w:val="000000" w:themeColor="text1"/>
          <w:sz w:val="22"/>
          <w:szCs w:val="22"/>
        </w:rPr>
        <w:t xml:space="preserve"> </w:t>
      </w:r>
      <w:r w:rsidR="009763AE" w:rsidRPr="009763AE">
        <w:rPr>
          <w:rFonts w:eastAsia="Times New Roman"/>
          <w:color w:val="000000" w:themeColor="text1"/>
          <w:sz w:val="22"/>
          <w:szCs w:val="22"/>
        </w:rPr>
        <w:t>123</w:t>
      </w:r>
      <w:r w:rsidR="00F35EB4" w:rsidRPr="009763AE">
        <w:rPr>
          <w:sz w:val="22"/>
          <w:szCs w:val="22"/>
        </w:rPr>
        <w:t>.</w:t>
      </w:r>
    </w:p>
  </w:footnote>
  <w:footnote w:id="25">
    <w:p w14:paraId="6D060BE9" w14:textId="46123DE2" w:rsidR="00B55485" w:rsidRPr="004340CF" w:rsidRDefault="00B55485" w:rsidP="00AC64F7">
      <w:pPr>
        <w:pStyle w:val="FootnoteText"/>
        <w:ind w:left="567" w:hanging="567"/>
        <w:rPr>
          <w:sz w:val="22"/>
          <w:szCs w:val="22"/>
        </w:rPr>
      </w:pPr>
      <w:r w:rsidRPr="009763AE">
        <w:rPr>
          <w:rStyle w:val="FootnoteReference"/>
          <w:sz w:val="22"/>
          <w:szCs w:val="22"/>
        </w:rPr>
        <w:footnoteRef/>
      </w:r>
      <w:r w:rsidRPr="009763AE">
        <w:rPr>
          <w:sz w:val="22"/>
          <w:szCs w:val="22"/>
        </w:rPr>
        <w:t xml:space="preserve"> </w:t>
      </w:r>
      <w:r w:rsidRPr="009763AE">
        <w:rPr>
          <w:sz w:val="22"/>
          <w:szCs w:val="22"/>
        </w:rPr>
        <w:tab/>
        <w:t>European Commission, Directorate-</w:t>
      </w:r>
      <w:r w:rsidRPr="004340CF">
        <w:rPr>
          <w:sz w:val="22"/>
          <w:szCs w:val="22"/>
        </w:rPr>
        <w:t>General for Energy, Methodologies of cost assessment for radioactive waste and spent fuel management : an overview of the practices adopted in the EU, Publications Office, 2020, https://data.europa.eu/doi/10.2833/476584.</w:t>
      </w:r>
    </w:p>
  </w:footnote>
  <w:footnote w:id="26">
    <w:p w14:paraId="16DC988A" w14:textId="6CD07467" w:rsidR="008F1950" w:rsidRPr="004340CF" w:rsidRDefault="008F1950" w:rsidP="006941B2">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r>
      <w:hyperlink r:id="rId2" w:history="1">
        <w:r w:rsidRPr="004340CF">
          <w:rPr>
            <w:rStyle w:val="Hyperlink"/>
            <w:rFonts w:eastAsia="Times New Roman"/>
            <w:sz w:val="22"/>
            <w:szCs w:val="22"/>
          </w:rPr>
          <w:t>https</w:t>
        </w:r>
        <w:r w:rsidRPr="004340CF">
          <w:rPr>
            <w:rStyle w:val="Hyperlink"/>
            <w:sz w:val="22"/>
            <w:szCs w:val="22"/>
          </w:rPr>
          <w:t>://ec.europa.eu/transparency/expert-groups-register/screen/expert-groups/consult?lang=en&amp;groupID=3777</w:t>
        </w:r>
      </w:hyperlink>
      <w:r w:rsidRPr="004340CF">
        <w:rPr>
          <w:sz w:val="22"/>
          <w:szCs w:val="22"/>
        </w:rPr>
        <w:t xml:space="preserve"> .</w:t>
      </w:r>
    </w:p>
  </w:footnote>
  <w:footnote w:id="27">
    <w:p w14:paraId="022EEEE8" w14:textId="3620DEB3" w:rsidR="00076972" w:rsidRPr="000D4589" w:rsidRDefault="00076972" w:rsidP="00076972">
      <w:pPr>
        <w:pStyle w:val="FootnoteText"/>
        <w:ind w:left="567" w:hanging="567"/>
      </w:pPr>
      <w:r w:rsidRPr="004340CF">
        <w:rPr>
          <w:rStyle w:val="FootnoteReference"/>
          <w:sz w:val="22"/>
          <w:szCs w:val="22"/>
        </w:rPr>
        <w:footnoteRef/>
      </w:r>
      <w:r w:rsidRPr="004340CF">
        <w:rPr>
          <w:sz w:val="22"/>
          <w:szCs w:val="22"/>
        </w:rPr>
        <w:t xml:space="preserve"> </w:t>
      </w:r>
      <w:r w:rsidRPr="004340CF">
        <w:rPr>
          <w:sz w:val="22"/>
          <w:szCs w:val="22"/>
        </w:rPr>
        <w:tab/>
        <w:t>https://www.asn.fr/l-asn-informe/dossiers-pedagogiques/la-gestion-des-dechets-radioactifs#plan-national-de-gestion-des-matieres-et-dechets-radioactifs</w:t>
      </w:r>
    </w:p>
  </w:footnote>
  <w:footnote w:id="28">
    <w:p w14:paraId="29891BB9" w14:textId="3B224F62" w:rsidR="008F1950" w:rsidRPr="004340CF" w:rsidRDefault="008F1950" w:rsidP="00947148">
      <w:pPr>
        <w:pStyle w:val="FootnoteText"/>
        <w:ind w:left="567" w:hanging="567"/>
        <w:rPr>
          <w:sz w:val="22"/>
          <w:szCs w:val="22"/>
        </w:rPr>
      </w:pPr>
      <w:r w:rsidRPr="004340CF">
        <w:rPr>
          <w:rStyle w:val="FootnoteReference"/>
          <w:sz w:val="22"/>
          <w:szCs w:val="22"/>
        </w:rPr>
        <w:footnoteRef/>
      </w:r>
      <w:r w:rsidRPr="004340CF">
        <w:rPr>
          <w:sz w:val="22"/>
          <w:szCs w:val="22"/>
        </w:rPr>
        <w:t xml:space="preserve"> </w:t>
      </w:r>
      <w:r w:rsidRPr="004340CF">
        <w:rPr>
          <w:sz w:val="22"/>
          <w:szCs w:val="22"/>
        </w:rPr>
        <w:tab/>
        <w:t xml:space="preserve">Against Croatia, </w:t>
      </w:r>
      <w:r w:rsidR="009506A3" w:rsidRPr="004340CF">
        <w:rPr>
          <w:sz w:val="22"/>
          <w:szCs w:val="22"/>
        </w:rPr>
        <w:t xml:space="preserve">and </w:t>
      </w:r>
      <w:r w:rsidRPr="004340CF">
        <w:rPr>
          <w:sz w:val="22"/>
          <w:szCs w:val="22"/>
        </w:rPr>
        <w:t>Latvia.</w:t>
      </w:r>
    </w:p>
  </w:footnote>
  <w:footnote w:id="29">
    <w:p w14:paraId="55DAF2F9" w14:textId="62CDAE1B" w:rsidR="008F1950" w:rsidRPr="004340CF" w:rsidRDefault="008F1950" w:rsidP="005310D6">
      <w:pPr>
        <w:pStyle w:val="FootnoteText"/>
        <w:ind w:left="567" w:hanging="567"/>
        <w:rPr>
          <w:sz w:val="22"/>
          <w:szCs w:val="22"/>
          <w:lang w:val="hu-HU"/>
        </w:rPr>
      </w:pPr>
      <w:r w:rsidRPr="004340CF">
        <w:rPr>
          <w:rStyle w:val="FootnoteReference"/>
          <w:sz w:val="22"/>
          <w:szCs w:val="22"/>
        </w:rPr>
        <w:footnoteRef/>
      </w:r>
      <w:r w:rsidRPr="004340CF">
        <w:rPr>
          <w:sz w:val="22"/>
          <w:szCs w:val="22"/>
        </w:rPr>
        <w:t xml:space="preserve"> </w:t>
      </w:r>
      <w:r w:rsidRPr="004340CF">
        <w:rPr>
          <w:sz w:val="22"/>
          <w:szCs w:val="22"/>
        </w:rPr>
        <w:tab/>
      </w:r>
      <w:r w:rsidRPr="004340CF">
        <w:rPr>
          <w:sz w:val="22"/>
          <w:szCs w:val="22"/>
          <w:lang w:val="hu-HU"/>
        </w:rPr>
        <w:t>Against</w:t>
      </w:r>
      <w:r w:rsidRPr="004340CF">
        <w:rPr>
          <w:sz w:val="22"/>
          <w:szCs w:val="22"/>
        </w:rPr>
        <w:t xml:space="preserve"> Estonia, Hungary, Ireland, Malta, Portugal and the United Kingdom</w:t>
      </w:r>
      <w:r w:rsidRPr="004340CF">
        <w:rPr>
          <w:sz w:val="22"/>
          <w:szCs w:val="22"/>
          <w:lang w:val="hu-HU"/>
        </w:rPr>
        <w:t>.</w:t>
      </w:r>
    </w:p>
  </w:footnote>
  <w:footnote w:id="30">
    <w:p w14:paraId="17F37763" w14:textId="77777777" w:rsidR="008F1950" w:rsidRPr="004340CF" w:rsidRDefault="008F1950" w:rsidP="000A65F7">
      <w:pPr>
        <w:widowControl/>
        <w:shd w:val="clear" w:color="auto" w:fill="auto"/>
        <w:spacing w:before="0" w:after="0" w:line="240" w:lineRule="auto"/>
        <w:ind w:left="567" w:hanging="567"/>
        <w:rPr>
          <w:sz w:val="22"/>
          <w:szCs w:val="22"/>
        </w:rPr>
      </w:pPr>
      <w:r w:rsidRPr="004340CF">
        <w:rPr>
          <w:bCs/>
          <w:sz w:val="22"/>
          <w:szCs w:val="22"/>
          <w:vertAlign w:val="superscript"/>
        </w:rPr>
        <w:footnoteRef/>
      </w:r>
      <w:r w:rsidRPr="004340CF">
        <w:rPr>
          <w:bCs/>
          <w:sz w:val="22"/>
          <w:szCs w:val="22"/>
        </w:rPr>
        <w:t xml:space="preserve"> </w:t>
      </w:r>
      <w:r w:rsidRPr="004340CF">
        <w:rPr>
          <w:bCs/>
          <w:sz w:val="22"/>
          <w:szCs w:val="22"/>
        </w:rPr>
        <w:tab/>
        <w:t>Article 4 of the Directive.</w:t>
      </w:r>
    </w:p>
  </w:footnote>
  <w:footnote w:id="31">
    <w:p w14:paraId="17F37764" w14:textId="77777777" w:rsidR="008F1950" w:rsidRPr="00F10765" w:rsidRDefault="008F1950" w:rsidP="00A1714B">
      <w:pPr>
        <w:widowControl/>
        <w:shd w:val="clear" w:color="auto" w:fill="auto"/>
        <w:spacing w:before="0" w:after="0" w:line="240" w:lineRule="auto"/>
        <w:ind w:left="567" w:hanging="567"/>
        <w:rPr>
          <w:sz w:val="20"/>
          <w:szCs w:val="20"/>
        </w:rPr>
      </w:pPr>
      <w:r w:rsidRPr="004340CF">
        <w:rPr>
          <w:bCs/>
          <w:sz w:val="22"/>
          <w:szCs w:val="22"/>
          <w:vertAlign w:val="superscript"/>
        </w:rPr>
        <w:footnoteRef/>
      </w:r>
      <w:r w:rsidRPr="004340CF">
        <w:rPr>
          <w:bCs/>
          <w:sz w:val="22"/>
          <w:szCs w:val="22"/>
        </w:rPr>
        <w:t xml:space="preserve"> </w:t>
      </w:r>
      <w:r w:rsidRPr="004340CF">
        <w:rPr>
          <w:bCs/>
          <w:sz w:val="22"/>
          <w:szCs w:val="22"/>
        </w:rPr>
        <w:tab/>
        <w:t>Articles 11 and 12 of the Directive.</w:t>
      </w:r>
    </w:p>
  </w:footnote>
  <w:footnote w:id="32">
    <w:p w14:paraId="692F04B3" w14:textId="398A086E" w:rsidR="00E75EA1" w:rsidRPr="00236484" w:rsidRDefault="00E75EA1" w:rsidP="005941EA">
      <w:pPr>
        <w:pStyle w:val="FootnoteText"/>
        <w:ind w:left="567" w:hanging="567"/>
        <w:rPr>
          <w:sz w:val="22"/>
          <w:szCs w:val="22"/>
          <w:lang w:val="en-IE"/>
        </w:rPr>
      </w:pPr>
      <w:r w:rsidRPr="004340CF">
        <w:rPr>
          <w:rStyle w:val="FootnoteReference"/>
          <w:sz w:val="22"/>
          <w:szCs w:val="22"/>
        </w:rPr>
        <w:footnoteRef/>
      </w:r>
      <w:r w:rsidRPr="004340CF">
        <w:rPr>
          <w:sz w:val="22"/>
          <w:szCs w:val="22"/>
        </w:rPr>
        <w:t xml:space="preserve"> </w:t>
      </w:r>
      <w:r w:rsidRPr="004340CF">
        <w:rPr>
          <w:sz w:val="22"/>
          <w:szCs w:val="22"/>
        </w:rPr>
        <w:tab/>
        <w:t xml:space="preserve">See Table </w:t>
      </w:r>
      <w:r w:rsidRPr="00236484">
        <w:rPr>
          <w:sz w:val="22"/>
          <w:szCs w:val="22"/>
        </w:rPr>
        <w:t>1</w:t>
      </w:r>
      <w:r w:rsidR="00C5681C" w:rsidRPr="00236484">
        <w:rPr>
          <w:rFonts w:eastAsia="Times New Roman"/>
          <w:color w:val="000000" w:themeColor="text1"/>
          <w:sz w:val="22"/>
          <w:szCs w:val="22"/>
        </w:rPr>
        <w:t xml:space="preserve"> in SWD(202</w:t>
      </w:r>
      <w:r w:rsidR="00F35EB4" w:rsidRPr="00236484">
        <w:rPr>
          <w:rFonts w:eastAsia="Times New Roman"/>
          <w:color w:val="000000" w:themeColor="text1"/>
          <w:sz w:val="22"/>
          <w:szCs w:val="22"/>
        </w:rPr>
        <w:t>4)</w:t>
      </w:r>
      <w:r w:rsidR="005C1F0C">
        <w:rPr>
          <w:rFonts w:eastAsia="Times New Roman"/>
          <w:color w:val="000000" w:themeColor="text1"/>
          <w:sz w:val="22"/>
          <w:szCs w:val="22"/>
        </w:rPr>
        <w:t xml:space="preserve"> </w:t>
      </w:r>
      <w:r w:rsidR="00236484" w:rsidRPr="00236484">
        <w:rPr>
          <w:rFonts w:eastAsia="Times New Roman"/>
          <w:color w:val="000000" w:themeColor="text1"/>
          <w:sz w:val="22"/>
          <w:szCs w:val="22"/>
        </w:rPr>
        <w:t>123</w:t>
      </w:r>
      <w:r w:rsidR="00C5681C" w:rsidRPr="00236484">
        <w:rPr>
          <w:rFonts w:eastAsia="Times New Roman"/>
          <w:color w:val="000000" w:themeColor="text1"/>
          <w:sz w:val="22"/>
          <w:szCs w:val="22"/>
        </w:rPr>
        <w:t>.</w:t>
      </w:r>
    </w:p>
  </w:footnote>
  <w:footnote w:id="33">
    <w:p w14:paraId="6059D85B" w14:textId="5C283CE6" w:rsidR="008F1950" w:rsidRPr="00A534AA" w:rsidRDefault="008F1950" w:rsidP="00A534AA">
      <w:pPr>
        <w:pStyle w:val="FootnoteText"/>
        <w:ind w:left="567" w:hanging="567"/>
        <w:rPr>
          <w:lang w:val="hu-HU"/>
        </w:rPr>
      </w:pPr>
      <w:r w:rsidRPr="00236484">
        <w:rPr>
          <w:rStyle w:val="FootnoteReference"/>
          <w:sz w:val="22"/>
          <w:szCs w:val="22"/>
        </w:rPr>
        <w:footnoteRef/>
      </w:r>
      <w:r w:rsidR="004340CF" w:rsidRPr="00236484">
        <w:rPr>
          <w:sz w:val="22"/>
          <w:szCs w:val="22"/>
        </w:rPr>
        <w:t xml:space="preserve"> </w:t>
      </w:r>
      <w:r w:rsidRPr="00236484">
        <w:rPr>
          <w:sz w:val="22"/>
          <w:szCs w:val="22"/>
        </w:rPr>
        <w:tab/>
        <w:t>Institutional waste is radioactive</w:t>
      </w:r>
      <w:r w:rsidRPr="004340CF">
        <w:rPr>
          <w:sz w:val="22"/>
          <w:szCs w:val="22"/>
        </w:rPr>
        <w:t xml:space="preserve"> waste originating from medical and industrial applications,</w:t>
      </w:r>
      <w:r w:rsidR="005A5EE7" w:rsidRPr="004340CF">
        <w:rPr>
          <w:sz w:val="22"/>
          <w:szCs w:val="22"/>
        </w:rPr>
        <w:t xml:space="preserve"> and</w:t>
      </w:r>
      <w:r w:rsidRPr="004340CF">
        <w:rPr>
          <w:sz w:val="22"/>
          <w:szCs w:val="22"/>
        </w:rPr>
        <w:t xml:space="preserve"> research institutions.</w:t>
      </w:r>
    </w:p>
  </w:footnote>
  <w:footnote w:id="34">
    <w:p w14:paraId="215727C8" w14:textId="0EB530BB" w:rsidR="008F1950" w:rsidRPr="004340CF" w:rsidRDefault="008F1950" w:rsidP="00411960">
      <w:pPr>
        <w:pStyle w:val="FootnoteText"/>
        <w:ind w:left="567" w:hanging="567"/>
        <w:rPr>
          <w:sz w:val="22"/>
          <w:szCs w:val="22"/>
        </w:rPr>
      </w:pPr>
      <w:r w:rsidRPr="004340CF">
        <w:rPr>
          <w:rStyle w:val="FootnoteReference"/>
          <w:sz w:val="22"/>
          <w:szCs w:val="22"/>
        </w:rPr>
        <w:footnoteRef/>
      </w:r>
      <w:r w:rsidR="004340CF">
        <w:rPr>
          <w:rStyle w:val="FootnoteReference"/>
          <w:sz w:val="22"/>
          <w:szCs w:val="22"/>
        </w:rPr>
        <w:t xml:space="preserve"> </w:t>
      </w:r>
      <w:r w:rsidRPr="004340CF">
        <w:rPr>
          <w:rStyle w:val="FootnoteReference"/>
          <w:sz w:val="22"/>
          <w:szCs w:val="22"/>
        </w:rPr>
        <w:tab/>
      </w:r>
      <w:r w:rsidRPr="004340CF">
        <w:rPr>
          <w:sz w:val="22"/>
          <w:szCs w:val="22"/>
        </w:rPr>
        <w:t xml:space="preserve">European Commission, Directorate-General for Energy, Study on key performance indicators for monitoring implementation of national programmes on safe and long-term management of spent fuel and radioactive waste: final report, Publications Office of the European Union, 2022, </w:t>
      </w:r>
      <w:hyperlink r:id="rId3" w:history="1">
        <w:r w:rsidRPr="004340CF">
          <w:rPr>
            <w:rStyle w:val="Hyperlink"/>
            <w:sz w:val="22"/>
            <w:szCs w:val="22"/>
          </w:rPr>
          <w:t>https://data.europa.eu/doi/10.2833/052078</w:t>
        </w:r>
      </w:hyperlink>
      <w:r w:rsidRPr="004340CF">
        <w:rPr>
          <w:rStyle w:val="Hyperlink"/>
          <w:sz w:val="22"/>
          <w:szCs w:val="22"/>
        </w:rPr>
        <w:t>.</w:t>
      </w:r>
    </w:p>
  </w:footnote>
  <w:footnote w:id="35">
    <w:p w14:paraId="4CEAE819" w14:textId="6C7A86AE" w:rsidR="008F1950" w:rsidRPr="004340CF" w:rsidRDefault="008F1950" w:rsidP="006E5D2B">
      <w:pPr>
        <w:pStyle w:val="FootnoteText"/>
        <w:ind w:left="567" w:hanging="567"/>
        <w:rPr>
          <w:sz w:val="22"/>
          <w:szCs w:val="22"/>
          <w:lang w:val="hu-HU"/>
        </w:rPr>
      </w:pPr>
      <w:r w:rsidRPr="004340CF">
        <w:rPr>
          <w:rStyle w:val="FootnoteReference"/>
          <w:sz w:val="22"/>
          <w:szCs w:val="22"/>
        </w:rPr>
        <w:footnoteRef/>
      </w:r>
      <w:r w:rsidRPr="004340CF">
        <w:rPr>
          <w:sz w:val="22"/>
          <w:szCs w:val="22"/>
        </w:rPr>
        <w:t xml:space="preserve"> </w:t>
      </w:r>
      <w:r w:rsidRPr="004340CF">
        <w:rPr>
          <w:sz w:val="22"/>
          <w:szCs w:val="22"/>
        </w:rPr>
        <w:tab/>
        <w:t xml:space="preserve">Research, development and demonstration activities are usually </w:t>
      </w:r>
      <w:r w:rsidR="009E6DD0" w:rsidRPr="004340CF">
        <w:rPr>
          <w:sz w:val="22"/>
          <w:szCs w:val="22"/>
        </w:rPr>
        <w:t xml:space="preserve">carried out </w:t>
      </w:r>
      <w:r w:rsidRPr="004340CF">
        <w:rPr>
          <w:sz w:val="22"/>
          <w:szCs w:val="22"/>
        </w:rPr>
        <w:t>by the national waste management organisation and by research organisations.</w:t>
      </w:r>
    </w:p>
  </w:footnote>
  <w:footnote w:id="36">
    <w:p w14:paraId="6BE09959" w14:textId="6304AD67" w:rsidR="008F1950" w:rsidRPr="00417982" w:rsidRDefault="008F1950" w:rsidP="00947148">
      <w:pPr>
        <w:pStyle w:val="FootnoteText"/>
        <w:ind w:left="567" w:hanging="567"/>
        <w:rPr>
          <w:lang w:val="hu-HU"/>
        </w:rPr>
      </w:pPr>
      <w:r w:rsidRPr="004340CF">
        <w:rPr>
          <w:rStyle w:val="FootnoteReference"/>
          <w:sz w:val="22"/>
          <w:szCs w:val="22"/>
        </w:rPr>
        <w:footnoteRef/>
      </w:r>
      <w:r w:rsidRPr="004340CF">
        <w:rPr>
          <w:sz w:val="22"/>
          <w:szCs w:val="22"/>
          <w:lang w:val="hu-HU"/>
        </w:rPr>
        <w:t xml:space="preserve"> </w:t>
      </w:r>
      <w:r w:rsidRPr="004340CF">
        <w:rPr>
          <w:sz w:val="22"/>
          <w:szCs w:val="22"/>
          <w:lang w:val="hu-HU"/>
        </w:rPr>
        <w:tab/>
        <w:t>Against Austria, Belgium, Bulgaria, Czechia, Germany, Denmark, Estonia, Greece, Spain, Croatia, Ireland, Italy, Latvia, Lithuania, the Netherlands, Portugal, Romania and Slovenia.</w:t>
      </w:r>
    </w:p>
  </w:footnote>
  <w:footnote w:id="37">
    <w:p w14:paraId="10A50BF4" w14:textId="77777777" w:rsidR="008F1950" w:rsidRPr="004340CF" w:rsidRDefault="008F1950" w:rsidP="003448B8">
      <w:pPr>
        <w:pStyle w:val="FootnoteText"/>
        <w:ind w:left="567" w:hanging="567"/>
        <w:rPr>
          <w:sz w:val="22"/>
          <w:szCs w:val="22"/>
          <w:lang w:val="hu-HU"/>
        </w:rPr>
      </w:pPr>
      <w:r w:rsidRPr="004340CF">
        <w:rPr>
          <w:rStyle w:val="FootnoteReference"/>
          <w:sz w:val="22"/>
          <w:szCs w:val="22"/>
        </w:rPr>
        <w:footnoteRef/>
      </w:r>
      <w:r w:rsidRPr="004340CF">
        <w:rPr>
          <w:sz w:val="22"/>
          <w:szCs w:val="22"/>
        </w:rPr>
        <w:t xml:space="preserve"> </w:t>
      </w:r>
      <w:r w:rsidRPr="004340CF">
        <w:rPr>
          <w:sz w:val="22"/>
          <w:szCs w:val="22"/>
        </w:rPr>
        <w:tab/>
      </w:r>
      <w:r w:rsidRPr="004340CF">
        <w:rPr>
          <w:sz w:val="22"/>
          <w:szCs w:val="22"/>
          <w:lang w:val="hu-HU"/>
        </w:rPr>
        <w:t>Against Poland, Romania and the United Kingdom.</w:t>
      </w:r>
    </w:p>
  </w:footnote>
  <w:footnote w:id="38">
    <w:p w14:paraId="6F0F58A9" w14:textId="32883BB3" w:rsidR="008F1950" w:rsidRPr="00C54B88" w:rsidRDefault="008F1950" w:rsidP="00C54B88">
      <w:pPr>
        <w:pStyle w:val="FootnoteText"/>
        <w:ind w:left="567" w:hanging="567"/>
        <w:rPr>
          <w:lang w:val="en-IE"/>
        </w:rPr>
      </w:pPr>
      <w:r w:rsidRPr="004340CF">
        <w:rPr>
          <w:rStyle w:val="FootnoteReference"/>
          <w:sz w:val="22"/>
          <w:szCs w:val="22"/>
        </w:rPr>
        <w:footnoteRef/>
      </w:r>
      <w:r w:rsidRPr="004340CF">
        <w:rPr>
          <w:sz w:val="22"/>
          <w:szCs w:val="22"/>
        </w:rPr>
        <w:t xml:space="preserve"> </w:t>
      </w:r>
      <w:r w:rsidRPr="004340CF">
        <w:rPr>
          <w:sz w:val="22"/>
          <w:szCs w:val="22"/>
        </w:rPr>
        <w:tab/>
        <w:t>Article 14(3) of the Directive.</w:t>
      </w:r>
    </w:p>
  </w:footnote>
  <w:footnote w:id="39">
    <w:p w14:paraId="316054CE" w14:textId="581B1BFF" w:rsidR="00934989" w:rsidRPr="004340CF" w:rsidRDefault="00934989" w:rsidP="004340CF">
      <w:pPr>
        <w:pStyle w:val="FootnoteText"/>
        <w:ind w:left="567" w:hanging="567"/>
        <w:rPr>
          <w:sz w:val="22"/>
          <w:szCs w:val="22"/>
          <w:lang w:val="hu-HU"/>
        </w:rPr>
      </w:pPr>
      <w:r w:rsidRPr="004340CF">
        <w:rPr>
          <w:rStyle w:val="FootnoteReference"/>
          <w:sz w:val="22"/>
          <w:szCs w:val="22"/>
        </w:rPr>
        <w:footnoteRef/>
      </w:r>
      <w:r w:rsidRPr="004340CF">
        <w:rPr>
          <w:sz w:val="22"/>
          <w:szCs w:val="22"/>
        </w:rPr>
        <w:t xml:space="preserve"> </w:t>
      </w:r>
      <w:r w:rsidR="004340CF">
        <w:rPr>
          <w:sz w:val="22"/>
          <w:szCs w:val="22"/>
        </w:rPr>
        <w:tab/>
      </w:r>
      <w:hyperlink r:id="rId4" w:history="1">
        <w:r w:rsidRPr="004340CF">
          <w:rPr>
            <w:rStyle w:val="Hyperlink"/>
            <w:sz w:val="22"/>
            <w:szCs w:val="22"/>
          </w:rPr>
          <w:t xml:space="preserve">ENSREG reporting guidelines for Member States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D67E" w14:textId="77777777" w:rsidR="0048051C" w:rsidRPr="0048051C" w:rsidRDefault="0048051C" w:rsidP="0048051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5C22" w14:textId="77777777" w:rsidR="0048051C" w:rsidRPr="0048051C" w:rsidRDefault="0048051C" w:rsidP="0048051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1FAD7" w14:textId="77777777" w:rsidR="0048051C" w:rsidRPr="0048051C" w:rsidRDefault="0048051C" w:rsidP="0048051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773A" w14:textId="77777777" w:rsidR="008F1950" w:rsidRDefault="008F195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773B" w14:textId="77777777" w:rsidR="008F1950" w:rsidRDefault="008F195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773F" w14:textId="77777777" w:rsidR="008F1950" w:rsidRDefault="008F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FBE"/>
    <w:multiLevelType w:val="hybridMultilevel"/>
    <w:tmpl w:val="1F58FDBC"/>
    <w:lvl w:ilvl="0" w:tplc="9B5A5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621DB"/>
    <w:multiLevelType w:val="hybridMultilevel"/>
    <w:tmpl w:val="05063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574F6E"/>
    <w:multiLevelType w:val="hybridMultilevel"/>
    <w:tmpl w:val="F30A4C86"/>
    <w:lvl w:ilvl="0" w:tplc="6A7A2550">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A646FE5"/>
    <w:multiLevelType w:val="hybridMultilevel"/>
    <w:tmpl w:val="6C2A1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F09D6"/>
    <w:multiLevelType w:val="hybridMultilevel"/>
    <w:tmpl w:val="267E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F6D02"/>
    <w:multiLevelType w:val="hybridMultilevel"/>
    <w:tmpl w:val="5650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619A6"/>
    <w:multiLevelType w:val="hybridMultilevel"/>
    <w:tmpl w:val="3B688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A2203F"/>
    <w:multiLevelType w:val="hybridMultilevel"/>
    <w:tmpl w:val="6C0EC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94F3BA5"/>
    <w:multiLevelType w:val="hybridMultilevel"/>
    <w:tmpl w:val="C2EED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C235768"/>
    <w:multiLevelType w:val="multilevel"/>
    <w:tmpl w:val="8C7A88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FFC6FD8"/>
    <w:multiLevelType w:val="hybridMultilevel"/>
    <w:tmpl w:val="F02A1E20"/>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93DAC"/>
    <w:multiLevelType w:val="hybridMultilevel"/>
    <w:tmpl w:val="6AFE0DD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2" w15:restartNumberingAfterBreak="0">
    <w:nsid w:val="7B233C38"/>
    <w:multiLevelType w:val="hybridMultilevel"/>
    <w:tmpl w:val="81DAE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6B26F202"/>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num w:numId="1">
    <w:abstractNumId w:val="10"/>
  </w:num>
  <w:num w:numId="2">
    <w:abstractNumId w:val="5"/>
  </w:num>
  <w:num w:numId="3">
    <w:abstractNumId w:val="0"/>
  </w:num>
  <w:num w:numId="4">
    <w:abstractNumId w:val="4"/>
  </w:num>
  <w:num w:numId="5">
    <w:abstractNumId w:val="6"/>
  </w:num>
  <w:num w:numId="6">
    <w:abstractNumId w:val="1"/>
  </w:num>
  <w:num w:numId="7">
    <w:abstractNumId w:val="12"/>
  </w:num>
  <w:num w:numId="8">
    <w:abstractNumId w:val="2"/>
  </w:num>
  <w:num w:numId="9">
    <w:abstractNumId w:val="9"/>
  </w:num>
  <w:num w:numId="10">
    <w:abstractNumId w:val="9"/>
  </w:num>
  <w:num w:numId="11">
    <w:abstractNumId w:val="13"/>
  </w:num>
  <w:num w:numId="12">
    <w:abstractNumId w:val="3"/>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7"/>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hu-HU" w:vendorID="64" w:dllVersion="0" w:nlCheck="1" w:checkStyle="0"/>
  <w:activeWritingStyle w:appName="MSWord" w:lang="it-IT" w:vendorID="64" w:dllVersion="0" w:nlCheck="1" w:checkStyle="0"/>
  <w:activeWritingStyle w:appName="MSWord" w:lang="en-IE" w:vendorID="64" w:dllVersion="6" w:nlCheck="1" w:checkStyle="1"/>
  <w:activeWritingStyle w:appName="MSWord" w:lang="fr-BE" w:vendorID="64" w:dllVersion="0" w:nlCheck="1" w:checkStyle="0"/>
  <w:activeWritingStyle w:appName="MSWord" w:lang="en-I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2BA5290-DEF5-4C82-8F77-076631B647A4"/>
    <w:docVar w:name="LW_COVERPAGE_TYPE" w:val="1"/>
    <w:docVar w:name="LW_CROSSREFERENCE" w:val="{SWD(2024) 123 final} - {SWD(2024) 127 final}"/>
    <w:docVar w:name="LW_DocType" w:val="NORMAL"/>
    <w:docVar w:name="LW_EMISSION" w:val="22.5.2024"/>
    <w:docVar w:name="LW_EMISSION_ISODATE" w:val="2024-05-22"/>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19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progress of implementation of Council Directive 2011/70/EURATOM and an inventory of radioactive waste and spent fuel present in the Community's territory and the future prospects _x000d__x000d__x000d__x000d__x000d__x000d__x000d__x000d__x000d__x000d__x000d__x000d__x000d__x000d__x000d__x000d__x000d__x000d__x000d__x000b__x000d__x000d__x000d__x000d__x000d__x000d__x000d__x000d__x000d__x000d__x000d__x000d__x000d__x000d__x000d__x000d__x000d__x000b_THIRD REPORT"/>
    <w:docVar w:name="LW_TYPE.DOC.CP" w:val="REPORT FROM THE COMMISSION TO THE COUNCIL AND THE EUROPEAN PARLIAMENT"/>
    <w:docVar w:name="LwApiVersions" w:val="LW4CoDe 1.24.5.0; LW 9.0, Build 20240221"/>
  </w:docVars>
  <w:rsids>
    <w:rsidRoot w:val="0068325C"/>
    <w:rsid w:val="00000722"/>
    <w:rsid w:val="000015CB"/>
    <w:rsid w:val="00002D43"/>
    <w:rsid w:val="0000501B"/>
    <w:rsid w:val="00014D1F"/>
    <w:rsid w:val="00015664"/>
    <w:rsid w:val="00015DAE"/>
    <w:rsid w:val="00021F18"/>
    <w:rsid w:val="00026EC6"/>
    <w:rsid w:val="00032B88"/>
    <w:rsid w:val="000332B2"/>
    <w:rsid w:val="000361A0"/>
    <w:rsid w:val="00042391"/>
    <w:rsid w:val="00044446"/>
    <w:rsid w:val="00053092"/>
    <w:rsid w:val="00055861"/>
    <w:rsid w:val="00062F0E"/>
    <w:rsid w:val="00063039"/>
    <w:rsid w:val="00063643"/>
    <w:rsid w:val="00067B71"/>
    <w:rsid w:val="00076972"/>
    <w:rsid w:val="00083715"/>
    <w:rsid w:val="00083EDA"/>
    <w:rsid w:val="00084CB6"/>
    <w:rsid w:val="000850C0"/>
    <w:rsid w:val="000A0060"/>
    <w:rsid w:val="000A34DD"/>
    <w:rsid w:val="000A65F7"/>
    <w:rsid w:val="000B1146"/>
    <w:rsid w:val="000B2B1C"/>
    <w:rsid w:val="000B2DFC"/>
    <w:rsid w:val="000C3CF9"/>
    <w:rsid w:val="000C4FD9"/>
    <w:rsid w:val="000C60EC"/>
    <w:rsid w:val="000D247B"/>
    <w:rsid w:val="000D4589"/>
    <w:rsid w:val="000D4949"/>
    <w:rsid w:val="000D55AD"/>
    <w:rsid w:val="000D62E9"/>
    <w:rsid w:val="000D7382"/>
    <w:rsid w:val="000D77AD"/>
    <w:rsid w:val="000D7DBF"/>
    <w:rsid w:val="000F4240"/>
    <w:rsid w:val="000F53D9"/>
    <w:rsid w:val="000F6FB1"/>
    <w:rsid w:val="00100CDF"/>
    <w:rsid w:val="001024EF"/>
    <w:rsid w:val="00104878"/>
    <w:rsid w:val="00110646"/>
    <w:rsid w:val="00112F61"/>
    <w:rsid w:val="00113BBF"/>
    <w:rsid w:val="00115270"/>
    <w:rsid w:val="001154BC"/>
    <w:rsid w:val="00122429"/>
    <w:rsid w:val="0012748B"/>
    <w:rsid w:val="00132290"/>
    <w:rsid w:val="00133689"/>
    <w:rsid w:val="00136BA0"/>
    <w:rsid w:val="0014040C"/>
    <w:rsid w:val="00140C27"/>
    <w:rsid w:val="00142C38"/>
    <w:rsid w:val="001443F8"/>
    <w:rsid w:val="00146405"/>
    <w:rsid w:val="00151569"/>
    <w:rsid w:val="00154071"/>
    <w:rsid w:val="00154EB0"/>
    <w:rsid w:val="00156908"/>
    <w:rsid w:val="001629AD"/>
    <w:rsid w:val="0017125E"/>
    <w:rsid w:val="00182612"/>
    <w:rsid w:val="001829C7"/>
    <w:rsid w:val="00184610"/>
    <w:rsid w:val="00192310"/>
    <w:rsid w:val="001958CB"/>
    <w:rsid w:val="00195EAA"/>
    <w:rsid w:val="00197930"/>
    <w:rsid w:val="001A0DB0"/>
    <w:rsid w:val="001A7E37"/>
    <w:rsid w:val="001B232A"/>
    <w:rsid w:val="001B52AA"/>
    <w:rsid w:val="001B66A3"/>
    <w:rsid w:val="001B6F86"/>
    <w:rsid w:val="001C092D"/>
    <w:rsid w:val="001C42F0"/>
    <w:rsid w:val="001C5A3F"/>
    <w:rsid w:val="001C5AC8"/>
    <w:rsid w:val="001D7C8D"/>
    <w:rsid w:val="001E04B0"/>
    <w:rsid w:val="001E0805"/>
    <w:rsid w:val="001E1055"/>
    <w:rsid w:val="001E5A61"/>
    <w:rsid w:val="001E6745"/>
    <w:rsid w:val="001E67AD"/>
    <w:rsid w:val="001F1CC5"/>
    <w:rsid w:val="001F3F1A"/>
    <w:rsid w:val="001F4711"/>
    <w:rsid w:val="001F4B3E"/>
    <w:rsid w:val="001F4BBF"/>
    <w:rsid w:val="001F50E1"/>
    <w:rsid w:val="001F52C4"/>
    <w:rsid w:val="001F571F"/>
    <w:rsid w:val="001F5968"/>
    <w:rsid w:val="0020024C"/>
    <w:rsid w:val="00206C61"/>
    <w:rsid w:val="00210ADF"/>
    <w:rsid w:val="00210F83"/>
    <w:rsid w:val="002201B5"/>
    <w:rsid w:val="002223AB"/>
    <w:rsid w:val="00224D08"/>
    <w:rsid w:val="00234393"/>
    <w:rsid w:val="00236484"/>
    <w:rsid w:val="002368BC"/>
    <w:rsid w:val="002368E3"/>
    <w:rsid w:val="00241803"/>
    <w:rsid w:val="002419E6"/>
    <w:rsid w:val="00250003"/>
    <w:rsid w:val="00250F4A"/>
    <w:rsid w:val="002519FF"/>
    <w:rsid w:val="00253533"/>
    <w:rsid w:val="00254741"/>
    <w:rsid w:val="00263433"/>
    <w:rsid w:val="00266284"/>
    <w:rsid w:val="002704A2"/>
    <w:rsid w:val="00270976"/>
    <w:rsid w:val="00271063"/>
    <w:rsid w:val="0027197C"/>
    <w:rsid w:val="00272B45"/>
    <w:rsid w:val="00272D7C"/>
    <w:rsid w:val="002738D6"/>
    <w:rsid w:val="00274AFD"/>
    <w:rsid w:val="0027690E"/>
    <w:rsid w:val="00276958"/>
    <w:rsid w:val="00277172"/>
    <w:rsid w:val="002842AF"/>
    <w:rsid w:val="002847CD"/>
    <w:rsid w:val="00284C5F"/>
    <w:rsid w:val="002851C3"/>
    <w:rsid w:val="00287040"/>
    <w:rsid w:val="0029145A"/>
    <w:rsid w:val="00294737"/>
    <w:rsid w:val="00294D0E"/>
    <w:rsid w:val="002A4F52"/>
    <w:rsid w:val="002A60D8"/>
    <w:rsid w:val="002B037D"/>
    <w:rsid w:val="002B18B3"/>
    <w:rsid w:val="002B52D4"/>
    <w:rsid w:val="002B5FCF"/>
    <w:rsid w:val="002B6559"/>
    <w:rsid w:val="002B6A6D"/>
    <w:rsid w:val="002C1FA4"/>
    <w:rsid w:val="002C2C2B"/>
    <w:rsid w:val="002C4890"/>
    <w:rsid w:val="002C577E"/>
    <w:rsid w:val="002D58C9"/>
    <w:rsid w:val="002D6C04"/>
    <w:rsid w:val="002E13CE"/>
    <w:rsid w:val="002E6104"/>
    <w:rsid w:val="002E6AA9"/>
    <w:rsid w:val="002F0AEB"/>
    <w:rsid w:val="002F2C09"/>
    <w:rsid w:val="002F304A"/>
    <w:rsid w:val="002F38ED"/>
    <w:rsid w:val="002F6753"/>
    <w:rsid w:val="002F7614"/>
    <w:rsid w:val="002F7D5B"/>
    <w:rsid w:val="003015D4"/>
    <w:rsid w:val="00302F94"/>
    <w:rsid w:val="00304523"/>
    <w:rsid w:val="003056B0"/>
    <w:rsid w:val="00305E5A"/>
    <w:rsid w:val="003063FF"/>
    <w:rsid w:val="00307261"/>
    <w:rsid w:val="0032184E"/>
    <w:rsid w:val="00324238"/>
    <w:rsid w:val="0032609E"/>
    <w:rsid w:val="00331260"/>
    <w:rsid w:val="003356AA"/>
    <w:rsid w:val="00341A8A"/>
    <w:rsid w:val="003438EB"/>
    <w:rsid w:val="00343D3D"/>
    <w:rsid w:val="003448B8"/>
    <w:rsid w:val="0034659F"/>
    <w:rsid w:val="00346B09"/>
    <w:rsid w:val="00347FC2"/>
    <w:rsid w:val="00351BD7"/>
    <w:rsid w:val="0035388A"/>
    <w:rsid w:val="00356E68"/>
    <w:rsid w:val="00357597"/>
    <w:rsid w:val="0036094C"/>
    <w:rsid w:val="00361969"/>
    <w:rsid w:val="0036531A"/>
    <w:rsid w:val="003669B2"/>
    <w:rsid w:val="003708E3"/>
    <w:rsid w:val="00374945"/>
    <w:rsid w:val="00374C67"/>
    <w:rsid w:val="00374EDC"/>
    <w:rsid w:val="003801F2"/>
    <w:rsid w:val="00383370"/>
    <w:rsid w:val="00391364"/>
    <w:rsid w:val="003920BA"/>
    <w:rsid w:val="003A0D19"/>
    <w:rsid w:val="003A3C1C"/>
    <w:rsid w:val="003A5431"/>
    <w:rsid w:val="003A7307"/>
    <w:rsid w:val="003B0C1C"/>
    <w:rsid w:val="003B2879"/>
    <w:rsid w:val="003B55A2"/>
    <w:rsid w:val="003B6C95"/>
    <w:rsid w:val="003B6EF0"/>
    <w:rsid w:val="003C7787"/>
    <w:rsid w:val="003C7A4E"/>
    <w:rsid w:val="003D146B"/>
    <w:rsid w:val="003D1CC1"/>
    <w:rsid w:val="003D37A6"/>
    <w:rsid w:val="003E2812"/>
    <w:rsid w:val="003E42C0"/>
    <w:rsid w:val="003E519F"/>
    <w:rsid w:val="003E6012"/>
    <w:rsid w:val="003E610B"/>
    <w:rsid w:val="003E683B"/>
    <w:rsid w:val="003F03F3"/>
    <w:rsid w:val="003F1CAA"/>
    <w:rsid w:val="003F3014"/>
    <w:rsid w:val="003F52B5"/>
    <w:rsid w:val="003F6B53"/>
    <w:rsid w:val="00400CCA"/>
    <w:rsid w:val="0040204A"/>
    <w:rsid w:val="0040263B"/>
    <w:rsid w:val="00405354"/>
    <w:rsid w:val="004057C2"/>
    <w:rsid w:val="00407518"/>
    <w:rsid w:val="00410380"/>
    <w:rsid w:val="00410640"/>
    <w:rsid w:val="004108F9"/>
    <w:rsid w:val="00411960"/>
    <w:rsid w:val="00413901"/>
    <w:rsid w:val="00413B6F"/>
    <w:rsid w:val="00415258"/>
    <w:rsid w:val="00417471"/>
    <w:rsid w:val="00417982"/>
    <w:rsid w:val="0042127B"/>
    <w:rsid w:val="00421A77"/>
    <w:rsid w:val="00424209"/>
    <w:rsid w:val="0042497F"/>
    <w:rsid w:val="00426EF7"/>
    <w:rsid w:val="00430B7D"/>
    <w:rsid w:val="0043112B"/>
    <w:rsid w:val="00432D5F"/>
    <w:rsid w:val="004340CF"/>
    <w:rsid w:val="004349BE"/>
    <w:rsid w:val="0043590C"/>
    <w:rsid w:val="00436E42"/>
    <w:rsid w:val="00453658"/>
    <w:rsid w:val="00457D39"/>
    <w:rsid w:val="00461576"/>
    <w:rsid w:val="0046353E"/>
    <w:rsid w:val="00467AE7"/>
    <w:rsid w:val="00471111"/>
    <w:rsid w:val="00471DF7"/>
    <w:rsid w:val="00475D1A"/>
    <w:rsid w:val="004763F4"/>
    <w:rsid w:val="00476E74"/>
    <w:rsid w:val="0048051C"/>
    <w:rsid w:val="00482863"/>
    <w:rsid w:val="00485262"/>
    <w:rsid w:val="00485828"/>
    <w:rsid w:val="004871A2"/>
    <w:rsid w:val="00487D52"/>
    <w:rsid w:val="004903B0"/>
    <w:rsid w:val="00490CF2"/>
    <w:rsid w:val="00491321"/>
    <w:rsid w:val="00493E2A"/>
    <w:rsid w:val="004A23A2"/>
    <w:rsid w:val="004B0057"/>
    <w:rsid w:val="004B0106"/>
    <w:rsid w:val="004B0588"/>
    <w:rsid w:val="004B14E7"/>
    <w:rsid w:val="004B4A1A"/>
    <w:rsid w:val="004B7026"/>
    <w:rsid w:val="004C14F6"/>
    <w:rsid w:val="004C447C"/>
    <w:rsid w:val="004C518E"/>
    <w:rsid w:val="004C64BB"/>
    <w:rsid w:val="004C7636"/>
    <w:rsid w:val="004C7648"/>
    <w:rsid w:val="004D4DAD"/>
    <w:rsid w:val="004D64FF"/>
    <w:rsid w:val="004D6CBB"/>
    <w:rsid w:val="004E4BA7"/>
    <w:rsid w:val="004E520C"/>
    <w:rsid w:val="004E599A"/>
    <w:rsid w:val="004E5F10"/>
    <w:rsid w:val="004E6398"/>
    <w:rsid w:val="004E6486"/>
    <w:rsid w:val="004E753F"/>
    <w:rsid w:val="004F09F8"/>
    <w:rsid w:val="00503A2F"/>
    <w:rsid w:val="0050713F"/>
    <w:rsid w:val="00510845"/>
    <w:rsid w:val="00510B72"/>
    <w:rsid w:val="0051232B"/>
    <w:rsid w:val="00513DC6"/>
    <w:rsid w:val="005155E7"/>
    <w:rsid w:val="005205B4"/>
    <w:rsid w:val="005218D7"/>
    <w:rsid w:val="00525A2F"/>
    <w:rsid w:val="005310D6"/>
    <w:rsid w:val="005318CA"/>
    <w:rsid w:val="0053220E"/>
    <w:rsid w:val="00532D31"/>
    <w:rsid w:val="005351D5"/>
    <w:rsid w:val="00540705"/>
    <w:rsid w:val="0054226E"/>
    <w:rsid w:val="005439EF"/>
    <w:rsid w:val="005451CD"/>
    <w:rsid w:val="0054646F"/>
    <w:rsid w:val="00554193"/>
    <w:rsid w:val="00554FB1"/>
    <w:rsid w:val="00556461"/>
    <w:rsid w:val="005649AB"/>
    <w:rsid w:val="00564D9D"/>
    <w:rsid w:val="00570322"/>
    <w:rsid w:val="0057108A"/>
    <w:rsid w:val="00573DA4"/>
    <w:rsid w:val="005750A8"/>
    <w:rsid w:val="005758A4"/>
    <w:rsid w:val="00577BB4"/>
    <w:rsid w:val="00580148"/>
    <w:rsid w:val="005811A7"/>
    <w:rsid w:val="005924B6"/>
    <w:rsid w:val="005941EA"/>
    <w:rsid w:val="00594DB1"/>
    <w:rsid w:val="00595830"/>
    <w:rsid w:val="00595BAA"/>
    <w:rsid w:val="00595C43"/>
    <w:rsid w:val="005960FE"/>
    <w:rsid w:val="005964F0"/>
    <w:rsid w:val="00597413"/>
    <w:rsid w:val="00597A4B"/>
    <w:rsid w:val="005A0BB0"/>
    <w:rsid w:val="005A3711"/>
    <w:rsid w:val="005A4080"/>
    <w:rsid w:val="005A4519"/>
    <w:rsid w:val="005A466F"/>
    <w:rsid w:val="005A50B9"/>
    <w:rsid w:val="005A5EE7"/>
    <w:rsid w:val="005C1F0C"/>
    <w:rsid w:val="005C4546"/>
    <w:rsid w:val="005C4AD0"/>
    <w:rsid w:val="005C6786"/>
    <w:rsid w:val="005C7C0E"/>
    <w:rsid w:val="005D5D66"/>
    <w:rsid w:val="005D621E"/>
    <w:rsid w:val="005E0DAA"/>
    <w:rsid w:val="005E1E4A"/>
    <w:rsid w:val="005E3181"/>
    <w:rsid w:val="005E5F73"/>
    <w:rsid w:val="005F0967"/>
    <w:rsid w:val="005F36DC"/>
    <w:rsid w:val="005F5696"/>
    <w:rsid w:val="005F665A"/>
    <w:rsid w:val="005F70B3"/>
    <w:rsid w:val="00600A3D"/>
    <w:rsid w:val="00602322"/>
    <w:rsid w:val="006036BD"/>
    <w:rsid w:val="006051AB"/>
    <w:rsid w:val="00611188"/>
    <w:rsid w:val="00612749"/>
    <w:rsid w:val="00613B39"/>
    <w:rsid w:val="00614D46"/>
    <w:rsid w:val="006154E9"/>
    <w:rsid w:val="00616A2C"/>
    <w:rsid w:val="00620FC1"/>
    <w:rsid w:val="00621CE7"/>
    <w:rsid w:val="006224C5"/>
    <w:rsid w:val="00622C1F"/>
    <w:rsid w:val="00625111"/>
    <w:rsid w:val="006331CC"/>
    <w:rsid w:val="00634741"/>
    <w:rsid w:val="00634A27"/>
    <w:rsid w:val="006355B6"/>
    <w:rsid w:val="00636A98"/>
    <w:rsid w:val="00646854"/>
    <w:rsid w:val="006515D6"/>
    <w:rsid w:val="00652612"/>
    <w:rsid w:val="00655DEC"/>
    <w:rsid w:val="0065736E"/>
    <w:rsid w:val="006606D1"/>
    <w:rsid w:val="00663468"/>
    <w:rsid w:val="00665C7B"/>
    <w:rsid w:val="006737BD"/>
    <w:rsid w:val="00675820"/>
    <w:rsid w:val="0068074E"/>
    <w:rsid w:val="0068276C"/>
    <w:rsid w:val="0068325C"/>
    <w:rsid w:val="00683D67"/>
    <w:rsid w:val="00685766"/>
    <w:rsid w:val="00686897"/>
    <w:rsid w:val="0069247C"/>
    <w:rsid w:val="00693931"/>
    <w:rsid w:val="006941B2"/>
    <w:rsid w:val="00694331"/>
    <w:rsid w:val="00694C4E"/>
    <w:rsid w:val="006A31FD"/>
    <w:rsid w:val="006A3389"/>
    <w:rsid w:val="006A3EE5"/>
    <w:rsid w:val="006A72CD"/>
    <w:rsid w:val="006B2608"/>
    <w:rsid w:val="006B2E38"/>
    <w:rsid w:val="006B5187"/>
    <w:rsid w:val="006B64D2"/>
    <w:rsid w:val="006B6F63"/>
    <w:rsid w:val="006C08EE"/>
    <w:rsid w:val="006C1B73"/>
    <w:rsid w:val="006C329D"/>
    <w:rsid w:val="006C32D8"/>
    <w:rsid w:val="006C5906"/>
    <w:rsid w:val="006D0FDE"/>
    <w:rsid w:val="006D21B8"/>
    <w:rsid w:val="006D5950"/>
    <w:rsid w:val="006E1C31"/>
    <w:rsid w:val="006E5D2B"/>
    <w:rsid w:val="006F2D4D"/>
    <w:rsid w:val="006F3CEB"/>
    <w:rsid w:val="00702BBB"/>
    <w:rsid w:val="0070351D"/>
    <w:rsid w:val="00711335"/>
    <w:rsid w:val="0071153C"/>
    <w:rsid w:val="00712680"/>
    <w:rsid w:val="00712974"/>
    <w:rsid w:val="00713F26"/>
    <w:rsid w:val="00714153"/>
    <w:rsid w:val="007165DF"/>
    <w:rsid w:val="0073005A"/>
    <w:rsid w:val="0073355B"/>
    <w:rsid w:val="007336A3"/>
    <w:rsid w:val="007360F4"/>
    <w:rsid w:val="00740717"/>
    <w:rsid w:val="007410E6"/>
    <w:rsid w:val="00741BAD"/>
    <w:rsid w:val="00742C15"/>
    <w:rsid w:val="00743E30"/>
    <w:rsid w:val="0075048B"/>
    <w:rsid w:val="00751026"/>
    <w:rsid w:val="00751EF0"/>
    <w:rsid w:val="00755B71"/>
    <w:rsid w:val="00760659"/>
    <w:rsid w:val="00760B72"/>
    <w:rsid w:val="007614DB"/>
    <w:rsid w:val="0076187B"/>
    <w:rsid w:val="00766006"/>
    <w:rsid w:val="0076675C"/>
    <w:rsid w:val="00774B73"/>
    <w:rsid w:val="0077686B"/>
    <w:rsid w:val="00776D27"/>
    <w:rsid w:val="007813D5"/>
    <w:rsid w:val="007832B9"/>
    <w:rsid w:val="00783318"/>
    <w:rsid w:val="007A1993"/>
    <w:rsid w:val="007A66BA"/>
    <w:rsid w:val="007A6B72"/>
    <w:rsid w:val="007B7467"/>
    <w:rsid w:val="007C19F4"/>
    <w:rsid w:val="007C596E"/>
    <w:rsid w:val="007C6E86"/>
    <w:rsid w:val="007C71D7"/>
    <w:rsid w:val="007D1E5D"/>
    <w:rsid w:val="007D486A"/>
    <w:rsid w:val="007D5A12"/>
    <w:rsid w:val="007D6074"/>
    <w:rsid w:val="007D6A6A"/>
    <w:rsid w:val="007D74F1"/>
    <w:rsid w:val="007E3046"/>
    <w:rsid w:val="007E6D12"/>
    <w:rsid w:val="007E7971"/>
    <w:rsid w:val="007F2792"/>
    <w:rsid w:val="007F2915"/>
    <w:rsid w:val="007F3D01"/>
    <w:rsid w:val="00802707"/>
    <w:rsid w:val="00805794"/>
    <w:rsid w:val="00806142"/>
    <w:rsid w:val="00811A6A"/>
    <w:rsid w:val="00813A1C"/>
    <w:rsid w:val="0081444F"/>
    <w:rsid w:val="00814755"/>
    <w:rsid w:val="00815073"/>
    <w:rsid w:val="00823B40"/>
    <w:rsid w:val="00823B81"/>
    <w:rsid w:val="00824BA4"/>
    <w:rsid w:val="0082531B"/>
    <w:rsid w:val="008263AA"/>
    <w:rsid w:val="008278D2"/>
    <w:rsid w:val="00834245"/>
    <w:rsid w:val="008366B4"/>
    <w:rsid w:val="0083790E"/>
    <w:rsid w:val="00837E5E"/>
    <w:rsid w:val="008400FC"/>
    <w:rsid w:val="00842EE7"/>
    <w:rsid w:val="00843223"/>
    <w:rsid w:val="008521D9"/>
    <w:rsid w:val="00853975"/>
    <w:rsid w:val="00854A00"/>
    <w:rsid w:val="0085500E"/>
    <w:rsid w:val="00857F21"/>
    <w:rsid w:val="00860831"/>
    <w:rsid w:val="00864145"/>
    <w:rsid w:val="008655E8"/>
    <w:rsid w:val="00865662"/>
    <w:rsid w:val="00866F0C"/>
    <w:rsid w:val="008753A4"/>
    <w:rsid w:val="00880490"/>
    <w:rsid w:val="00881CAE"/>
    <w:rsid w:val="0088635E"/>
    <w:rsid w:val="00886A2C"/>
    <w:rsid w:val="00893686"/>
    <w:rsid w:val="00895F0F"/>
    <w:rsid w:val="008961BA"/>
    <w:rsid w:val="0089718F"/>
    <w:rsid w:val="008A359F"/>
    <w:rsid w:val="008B5147"/>
    <w:rsid w:val="008C1C25"/>
    <w:rsid w:val="008C2EF7"/>
    <w:rsid w:val="008C38DB"/>
    <w:rsid w:val="008C42F1"/>
    <w:rsid w:val="008C4C13"/>
    <w:rsid w:val="008C6643"/>
    <w:rsid w:val="008C6BDD"/>
    <w:rsid w:val="008C6E6E"/>
    <w:rsid w:val="008C737D"/>
    <w:rsid w:val="008D0E4F"/>
    <w:rsid w:val="008D1332"/>
    <w:rsid w:val="008D4F51"/>
    <w:rsid w:val="008E1008"/>
    <w:rsid w:val="008E1D3C"/>
    <w:rsid w:val="008E263F"/>
    <w:rsid w:val="008F1138"/>
    <w:rsid w:val="008F1950"/>
    <w:rsid w:val="008F1D33"/>
    <w:rsid w:val="008F71EB"/>
    <w:rsid w:val="00900045"/>
    <w:rsid w:val="0090431D"/>
    <w:rsid w:val="00904417"/>
    <w:rsid w:val="00905646"/>
    <w:rsid w:val="009060B1"/>
    <w:rsid w:val="00912594"/>
    <w:rsid w:val="00912A64"/>
    <w:rsid w:val="0091419F"/>
    <w:rsid w:val="00915CA0"/>
    <w:rsid w:val="009176E3"/>
    <w:rsid w:val="00922B7D"/>
    <w:rsid w:val="009231D8"/>
    <w:rsid w:val="00925E5C"/>
    <w:rsid w:val="00926290"/>
    <w:rsid w:val="00927C45"/>
    <w:rsid w:val="009342E9"/>
    <w:rsid w:val="00934989"/>
    <w:rsid w:val="00934F8A"/>
    <w:rsid w:val="0093664A"/>
    <w:rsid w:val="00936C58"/>
    <w:rsid w:val="009377FE"/>
    <w:rsid w:val="00941A9E"/>
    <w:rsid w:val="00941FFC"/>
    <w:rsid w:val="00942AA3"/>
    <w:rsid w:val="00943BAE"/>
    <w:rsid w:val="00947148"/>
    <w:rsid w:val="009506A3"/>
    <w:rsid w:val="009506E3"/>
    <w:rsid w:val="00955EAA"/>
    <w:rsid w:val="0095636C"/>
    <w:rsid w:val="0096529E"/>
    <w:rsid w:val="00967174"/>
    <w:rsid w:val="00967349"/>
    <w:rsid w:val="00970B86"/>
    <w:rsid w:val="00971E82"/>
    <w:rsid w:val="009763AE"/>
    <w:rsid w:val="00976FF7"/>
    <w:rsid w:val="009775B1"/>
    <w:rsid w:val="009813BE"/>
    <w:rsid w:val="00983490"/>
    <w:rsid w:val="0099041B"/>
    <w:rsid w:val="0099289E"/>
    <w:rsid w:val="009943CC"/>
    <w:rsid w:val="00995698"/>
    <w:rsid w:val="00995C58"/>
    <w:rsid w:val="00995F0B"/>
    <w:rsid w:val="009A12F2"/>
    <w:rsid w:val="009A3499"/>
    <w:rsid w:val="009A3702"/>
    <w:rsid w:val="009A6BCF"/>
    <w:rsid w:val="009B3458"/>
    <w:rsid w:val="009B372B"/>
    <w:rsid w:val="009B3F39"/>
    <w:rsid w:val="009B65D4"/>
    <w:rsid w:val="009C1DF5"/>
    <w:rsid w:val="009C33E5"/>
    <w:rsid w:val="009C3898"/>
    <w:rsid w:val="009C4367"/>
    <w:rsid w:val="009C57B6"/>
    <w:rsid w:val="009C6FE7"/>
    <w:rsid w:val="009C72A5"/>
    <w:rsid w:val="009D6D58"/>
    <w:rsid w:val="009D75B7"/>
    <w:rsid w:val="009E242D"/>
    <w:rsid w:val="009E3B95"/>
    <w:rsid w:val="009E3F1C"/>
    <w:rsid w:val="009E6DD0"/>
    <w:rsid w:val="009E6DDB"/>
    <w:rsid w:val="009F1E4E"/>
    <w:rsid w:val="009F24B3"/>
    <w:rsid w:val="009F2CD8"/>
    <w:rsid w:val="009F433C"/>
    <w:rsid w:val="009F57BE"/>
    <w:rsid w:val="009F7604"/>
    <w:rsid w:val="00A003FD"/>
    <w:rsid w:val="00A01A29"/>
    <w:rsid w:val="00A06205"/>
    <w:rsid w:val="00A06E30"/>
    <w:rsid w:val="00A1714B"/>
    <w:rsid w:val="00A23D10"/>
    <w:rsid w:val="00A26B29"/>
    <w:rsid w:val="00A302B6"/>
    <w:rsid w:val="00A33053"/>
    <w:rsid w:val="00A3397B"/>
    <w:rsid w:val="00A33B51"/>
    <w:rsid w:val="00A344C8"/>
    <w:rsid w:val="00A36926"/>
    <w:rsid w:val="00A42C62"/>
    <w:rsid w:val="00A443F3"/>
    <w:rsid w:val="00A514AC"/>
    <w:rsid w:val="00A5295A"/>
    <w:rsid w:val="00A534AA"/>
    <w:rsid w:val="00A56688"/>
    <w:rsid w:val="00A60A96"/>
    <w:rsid w:val="00A60BF5"/>
    <w:rsid w:val="00A60FA7"/>
    <w:rsid w:val="00A664A8"/>
    <w:rsid w:val="00A72B61"/>
    <w:rsid w:val="00A742A5"/>
    <w:rsid w:val="00A74D1B"/>
    <w:rsid w:val="00A81749"/>
    <w:rsid w:val="00A82FA3"/>
    <w:rsid w:val="00A87226"/>
    <w:rsid w:val="00A91968"/>
    <w:rsid w:val="00A91BB3"/>
    <w:rsid w:val="00A91E8E"/>
    <w:rsid w:val="00A9223D"/>
    <w:rsid w:val="00A96F0D"/>
    <w:rsid w:val="00A97161"/>
    <w:rsid w:val="00AA3B8F"/>
    <w:rsid w:val="00AA3DD1"/>
    <w:rsid w:val="00AA4BBF"/>
    <w:rsid w:val="00AB10B6"/>
    <w:rsid w:val="00AB384A"/>
    <w:rsid w:val="00AB3CF3"/>
    <w:rsid w:val="00AB79D3"/>
    <w:rsid w:val="00AC59DD"/>
    <w:rsid w:val="00AC64F7"/>
    <w:rsid w:val="00AC677F"/>
    <w:rsid w:val="00AD5A39"/>
    <w:rsid w:val="00AD64E3"/>
    <w:rsid w:val="00AD71D8"/>
    <w:rsid w:val="00AE261B"/>
    <w:rsid w:val="00AE39D2"/>
    <w:rsid w:val="00AE39E6"/>
    <w:rsid w:val="00AE6E73"/>
    <w:rsid w:val="00AF1159"/>
    <w:rsid w:val="00AF1838"/>
    <w:rsid w:val="00AF3709"/>
    <w:rsid w:val="00B11302"/>
    <w:rsid w:val="00B1480C"/>
    <w:rsid w:val="00B2444B"/>
    <w:rsid w:val="00B26488"/>
    <w:rsid w:val="00B27085"/>
    <w:rsid w:val="00B350AD"/>
    <w:rsid w:val="00B359F0"/>
    <w:rsid w:val="00B367BC"/>
    <w:rsid w:val="00B40690"/>
    <w:rsid w:val="00B415E6"/>
    <w:rsid w:val="00B44C63"/>
    <w:rsid w:val="00B47161"/>
    <w:rsid w:val="00B524FA"/>
    <w:rsid w:val="00B52CFF"/>
    <w:rsid w:val="00B542E6"/>
    <w:rsid w:val="00B55485"/>
    <w:rsid w:val="00B630C6"/>
    <w:rsid w:val="00B645B5"/>
    <w:rsid w:val="00B652E7"/>
    <w:rsid w:val="00B716B0"/>
    <w:rsid w:val="00B7195F"/>
    <w:rsid w:val="00B738F8"/>
    <w:rsid w:val="00B74E64"/>
    <w:rsid w:val="00B82D42"/>
    <w:rsid w:val="00B86044"/>
    <w:rsid w:val="00B90EDE"/>
    <w:rsid w:val="00B92FF4"/>
    <w:rsid w:val="00B93550"/>
    <w:rsid w:val="00B96355"/>
    <w:rsid w:val="00BA7D3E"/>
    <w:rsid w:val="00BA7EEA"/>
    <w:rsid w:val="00BB03F5"/>
    <w:rsid w:val="00BB352F"/>
    <w:rsid w:val="00BB3693"/>
    <w:rsid w:val="00BB43B9"/>
    <w:rsid w:val="00BB497B"/>
    <w:rsid w:val="00BB74D0"/>
    <w:rsid w:val="00BC3634"/>
    <w:rsid w:val="00BD166B"/>
    <w:rsid w:val="00BD1C65"/>
    <w:rsid w:val="00BD21AD"/>
    <w:rsid w:val="00BE068B"/>
    <w:rsid w:val="00BE3A52"/>
    <w:rsid w:val="00BF0722"/>
    <w:rsid w:val="00BF2ECA"/>
    <w:rsid w:val="00BF3339"/>
    <w:rsid w:val="00BF3AD4"/>
    <w:rsid w:val="00BF5817"/>
    <w:rsid w:val="00C00471"/>
    <w:rsid w:val="00C006A1"/>
    <w:rsid w:val="00C00D0B"/>
    <w:rsid w:val="00C04CEC"/>
    <w:rsid w:val="00C04E86"/>
    <w:rsid w:val="00C10AA1"/>
    <w:rsid w:val="00C15486"/>
    <w:rsid w:val="00C160D9"/>
    <w:rsid w:val="00C17F17"/>
    <w:rsid w:val="00C20F4B"/>
    <w:rsid w:val="00C24060"/>
    <w:rsid w:val="00C26B5C"/>
    <w:rsid w:val="00C274C9"/>
    <w:rsid w:val="00C315C0"/>
    <w:rsid w:val="00C34A29"/>
    <w:rsid w:val="00C352AA"/>
    <w:rsid w:val="00C377AA"/>
    <w:rsid w:val="00C41DCE"/>
    <w:rsid w:val="00C43A47"/>
    <w:rsid w:val="00C46F8A"/>
    <w:rsid w:val="00C530D2"/>
    <w:rsid w:val="00C546A7"/>
    <w:rsid w:val="00C5499F"/>
    <w:rsid w:val="00C54B88"/>
    <w:rsid w:val="00C5605C"/>
    <w:rsid w:val="00C5681C"/>
    <w:rsid w:val="00C577BD"/>
    <w:rsid w:val="00C60EDF"/>
    <w:rsid w:val="00C63B21"/>
    <w:rsid w:val="00C63DF2"/>
    <w:rsid w:val="00C65BD3"/>
    <w:rsid w:val="00C6738D"/>
    <w:rsid w:val="00C703A9"/>
    <w:rsid w:val="00C740B4"/>
    <w:rsid w:val="00C76E33"/>
    <w:rsid w:val="00C80E83"/>
    <w:rsid w:val="00C86D5B"/>
    <w:rsid w:val="00C87491"/>
    <w:rsid w:val="00C92010"/>
    <w:rsid w:val="00C9431C"/>
    <w:rsid w:val="00C96348"/>
    <w:rsid w:val="00CA420C"/>
    <w:rsid w:val="00CA4F73"/>
    <w:rsid w:val="00CA5C02"/>
    <w:rsid w:val="00CA694C"/>
    <w:rsid w:val="00CB2294"/>
    <w:rsid w:val="00CB5A03"/>
    <w:rsid w:val="00CB75B3"/>
    <w:rsid w:val="00CC2D17"/>
    <w:rsid w:val="00CC2ED1"/>
    <w:rsid w:val="00CC49DD"/>
    <w:rsid w:val="00CD3726"/>
    <w:rsid w:val="00CD45CC"/>
    <w:rsid w:val="00CD705E"/>
    <w:rsid w:val="00CE1A2B"/>
    <w:rsid w:val="00CE4428"/>
    <w:rsid w:val="00CE4A01"/>
    <w:rsid w:val="00CE4A90"/>
    <w:rsid w:val="00CE5021"/>
    <w:rsid w:val="00CE5AEB"/>
    <w:rsid w:val="00CF285B"/>
    <w:rsid w:val="00CF3E97"/>
    <w:rsid w:val="00CF5A86"/>
    <w:rsid w:val="00D00D7B"/>
    <w:rsid w:val="00D00E62"/>
    <w:rsid w:val="00D014EB"/>
    <w:rsid w:val="00D07A56"/>
    <w:rsid w:val="00D104EA"/>
    <w:rsid w:val="00D14331"/>
    <w:rsid w:val="00D14E65"/>
    <w:rsid w:val="00D15F3A"/>
    <w:rsid w:val="00D16A45"/>
    <w:rsid w:val="00D2608E"/>
    <w:rsid w:val="00D261FB"/>
    <w:rsid w:val="00D262D3"/>
    <w:rsid w:val="00D27BDB"/>
    <w:rsid w:val="00D27F62"/>
    <w:rsid w:val="00D30501"/>
    <w:rsid w:val="00D325E1"/>
    <w:rsid w:val="00D350D6"/>
    <w:rsid w:val="00D35FFF"/>
    <w:rsid w:val="00D4385E"/>
    <w:rsid w:val="00D43DED"/>
    <w:rsid w:val="00D44245"/>
    <w:rsid w:val="00D44DBF"/>
    <w:rsid w:val="00D46DE2"/>
    <w:rsid w:val="00D53E41"/>
    <w:rsid w:val="00D5529B"/>
    <w:rsid w:val="00D560F9"/>
    <w:rsid w:val="00D60550"/>
    <w:rsid w:val="00D61F26"/>
    <w:rsid w:val="00D65634"/>
    <w:rsid w:val="00D663AB"/>
    <w:rsid w:val="00D74BA7"/>
    <w:rsid w:val="00D759FB"/>
    <w:rsid w:val="00D76921"/>
    <w:rsid w:val="00D81C56"/>
    <w:rsid w:val="00D90FBF"/>
    <w:rsid w:val="00D94AC1"/>
    <w:rsid w:val="00DA03A9"/>
    <w:rsid w:val="00DA043D"/>
    <w:rsid w:val="00DA0D34"/>
    <w:rsid w:val="00DA1AD1"/>
    <w:rsid w:val="00DA5208"/>
    <w:rsid w:val="00DB1AF4"/>
    <w:rsid w:val="00DB60A6"/>
    <w:rsid w:val="00DC2E3C"/>
    <w:rsid w:val="00DC4BB0"/>
    <w:rsid w:val="00DC56E5"/>
    <w:rsid w:val="00DC697C"/>
    <w:rsid w:val="00DD0800"/>
    <w:rsid w:val="00DD49FD"/>
    <w:rsid w:val="00DD5A58"/>
    <w:rsid w:val="00DD64F9"/>
    <w:rsid w:val="00DD689A"/>
    <w:rsid w:val="00DD6F1F"/>
    <w:rsid w:val="00DE2797"/>
    <w:rsid w:val="00DE4DA9"/>
    <w:rsid w:val="00DE6F44"/>
    <w:rsid w:val="00DE7693"/>
    <w:rsid w:val="00DE76E9"/>
    <w:rsid w:val="00DF0FDB"/>
    <w:rsid w:val="00DF180D"/>
    <w:rsid w:val="00DF191B"/>
    <w:rsid w:val="00DF2354"/>
    <w:rsid w:val="00DF4050"/>
    <w:rsid w:val="00DF6915"/>
    <w:rsid w:val="00E000F3"/>
    <w:rsid w:val="00E0071F"/>
    <w:rsid w:val="00E0130F"/>
    <w:rsid w:val="00E038E0"/>
    <w:rsid w:val="00E05F74"/>
    <w:rsid w:val="00E10CD3"/>
    <w:rsid w:val="00E12791"/>
    <w:rsid w:val="00E1471C"/>
    <w:rsid w:val="00E20E01"/>
    <w:rsid w:val="00E22386"/>
    <w:rsid w:val="00E25755"/>
    <w:rsid w:val="00E304D1"/>
    <w:rsid w:val="00E309C6"/>
    <w:rsid w:val="00E3132D"/>
    <w:rsid w:val="00E33413"/>
    <w:rsid w:val="00E36644"/>
    <w:rsid w:val="00E37056"/>
    <w:rsid w:val="00E43F3D"/>
    <w:rsid w:val="00E4531D"/>
    <w:rsid w:val="00E47E60"/>
    <w:rsid w:val="00E510EF"/>
    <w:rsid w:val="00E52B71"/>
    <w:rsid w:val="00E52D18"/>
    <w:rsid w:val="00E5476F"/>
    <w:rsid w:val="00E54A1A"/>
    <w:rsid w:val="00E633E6"/>
    <w:rsid w:val="00E662F7"/>
    <w:rsid w:val="00E67D41"/>
    <w:rsid w:val="00E75EA1"/>
    <w:rsid w:val="00E7630D"/>
    <w:rsid w:val="00E77433"/>
    <w:rsid w:val="00E82B60"/>
    <w:rsid w:val="00E83203"/>
    <w:rsid w:val="00E91ACC"/>
    <w:rsid w:val="00E93AFF"/>
    <w:rsid w:val="00E95A86"/>
    <w:rsid w:val="00EA37D6"/>
    <w:rsid w:val="00EA41E7"/>
    <w:rsid w:val="00EA522D"/>
    <w:rsid w:val="00EB5C48"/>
    <w:rsid w:val="00EB6062"/>
    <w:rsid w:val="00EC1962"/>
    <w:rsid w:val="00EC4642"/>
    <w:rsid w:val="00EC4A05"/>
    <w:rsid w:val="00ED08CF"/>
    <w:rsid w:val="00ED1E63"/>
    <w:rsid w:val="00ED263A"/>
    <w:rsid w:val="00ED3C7D"/>
    <w:rsid w:val="00ED6334"/>
    <w:rsid w:val="00ED6F4D"/>
    <w:rsid w:val="00ED70B0"/>
    <w:rsid w:val="00EE1F87"/>
    <w:rsid w:val="00EE54A8"/>
    <w:rsid w:val="00EE5A94"/>
    <w:rsid w:val="00EF41E5"/>
    <w:rsid w:val="00EF6026"/>
    <w:rsid w:val="00EF659C"/>
    <w:rsid w:val="00F01848"/>
    <w:rsid w:val="00F01A7D"/>
    <w:rsid w:val="00F048AA"/>
    <w:rsid w:val="00F06407"/>
    <w:rsid w:val="00F07E0C"/>
    <w:rsid w:val="00F10765"/>
    <w:rsid w:val="00F143F7"/>
    <w:rsid w:val="00F240DA"/>
    <w:rsid w:val="00F260BC"/>
    <w:rsid w:val="00F318C8"/>
    <w:rsid w:val="00F31CE7"/>
    <w:rsid w:val="00F35EB4"/>
    <w:rsid w:val="00F41199"/>
    <w:rsid w:val="00F41306"/>
    <w:rsid w:val="00F437AB"/>
    <w:rsid w:val="00F46624"/>
    <w:rsid w:val="00F505BE"/>
    <w:rsid w:val="00F62A60"/>
    <w:rsid w:val="00F62B0A"/>
    <w:rsid w:val="00F63278"/>
    <w:rsid w:val="00F71943"/>
    <w:rsid w:val="00F71DF3"/>
    <w:rsid w:val="00F77B2C"/>
    <w:rsid w:val="00F77B30"/>
    <w:rsid w:val="00F874CC"/>
    <w:rsid w:val="00F87EA8"/>
    <w:rsid w:val="00F91816"/>
    <w:rsid w:val="00F9295E"/>
    <w:rsid w:val="00F954FA"/>
    <w:rsid w:val="00F957C5"/>
    <w:rsid w:val="00FA1942"/>
    <w:rsid w:val="00FA2020"/>
    <w:rsid w:val="00FA3653"/>
    <w:rsid w:val="00FA3DA5"/>
    <w:rsid w:val="00FA670F"/>
    <w:rsid w:val="00FB017E"/>
    <w:rsid w:val="00FB04EA"/>
    <w:rsid w:val="00FB096C"/>
    <w:rsid w:val="00FB7B4C"/>
    <w:rsid w:val="00FC0096"/>
    <w:rsid w:val="00FC1614"/>
    <w:rsid w:val="00FD3517"/>
    <w:rsid w:val="00FD6DF1"/>
    <w:rsid w:val="00FE74D8"/>
    <w:rsid w:val="00FF0526"/>
    <w:rsid w:val="00FF0975"/>
    <w:rsid w:val="00FF0B46"/>
    <w:rsid w:val="00FF0C99"/>
    <w:rsid w:val="00FF6719"/>
    <w:rsid w:val="00FF6FC0"/>
    <w:rsid w:val="00FF7237"/>
    <w:rsid w:val="1F5BF6EF"/>
    <w:rsid w:val="50D5BB69"/>
    <w:rsid w:val="63E91970"/>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F37664"/>
  <w15:docId w15:val="{107B6EA7-C536-46EC-B3A0-CCDBE359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autoRedefine/>
    <w:uiPriority w:val="1"/>
    <w:qFormat/>
    <w:rsid w:val="0070351D"/>
    <w:pPr>
      <w:keepNext/>
      <w:numPr>
        <w:numId w:val="9"/>
      </w:numPr>
      <w:tabs>
        <w:tab w:val="right" w:leader="dot" w:pos="9071"/>
      </w:tabs>
      <w:spacing w:before="360"/>
      <w:ind w:left="454" w:hanging="454"/>
      <w:outlineLvl w:val="0"/>
    </w:pPr>
    <w:rPr>
      <w:rFonts w:eastAsia="Times New Roman"/>
      <w:b/>
    </w:rPr>
  </w:style>
  <w:style w:type="paragraph" w:styleId="Heading2">
    <w:name w:val="heading 2"/>
    <w:basedOn w:val="Normal"/>
    <w:next w:val="Normal"/>
    <w:link w:val="Heading2Char"/>
    <w:autoRedefine/>
    <w:uiPriority w:val="1"/>
    <w:unhideWhenUsed/>
    <w:qFormat/>
    <w:rsid w:val="007C596E"/>
    <w:pPr>
      <w:keepNext/>
      <w:numPr>
        <w:ilvl w:val="1"/>
        <w:numId w:val="9"/>
      </w:numPr>
      <w:spacing w:line="276" w:lineRule="auto"/>
      <w:ind w:left="1021" w:hanging="567"/>
      <w:outlineLvl w:val="1"/>
    </w:pPr>
    <w:rPr>
      <w:rFonts w:eastAsia="Times New Roman"/>
      <w:b/>
      <w:color w:val="000000" w:themeColor="text1"/>
    </w:rPr>
  </w:style>
  <w:style w:type="paragraph" w:styleId="Heading3">
    <w:name w:val="heading 3"/>
    <w:basedOn w:val="Normal"/>
    <w:next w:val="Normal"/>
    <w:link w:val="Heading3Char"/>
    <w:autoRedefine/>
    <w:uiPriority w:val="1"/>
    <w:unhideWhenUsed/>
    <w:qFormat/>
    <w:rsid w:val="00DF191B"/>
    <w:pPr>
      <w:keepNext/>
      <w:keepLines/>
      <w:numPr>
        <w:ilvl w:val="2"/>
        <w:numId w:val="9"/>
      </w:numPr>
      <w:spacing w:before="40" w:after="0"/>
      <w:outlineLvl w:val="2"/>
    </w:pPr>
    <w:rPr>
      <w:rFonts w:eastAsiaTheme="majorEastAsia" w:cstheme="majorBidi"/>
      <w:i/>
      <w:noProof/>
    </w:rPr>
  </w:style>
  <w:style w:type="paragraph" w:styleId="Heading4">
    <w:name w:val="heading 4"/>
    <w:basedOn w:val="Normal"/>
    <w:next w:val="Normal"/>
    <w:link w:val="Heading4Char"/>
    <w:uiPriority w:val="1"/>
    <w:unhideWhenUsed/>
    <w:qFormat/>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351D"/>
    <w:rPr>
      <w:rFonts w:ascii="Times New Roman" w:eastAsia="Times New Roman" w:hAnsi="Times New Roman" w:cs="Times New Roman"/>
      <w:b/>
      <w:sz w:val="24"/>
      <w:szCs w:val="24"/>
      <w:shd w:val="clear" w:color="auto" w:fill="FFFFFF" w:themeFill="background1"/>
    </w:rPr>
  </w:style>
  <w:style w:type="character" w:customStyle="1" w:styleId="Heading2Char">
    <w:name w:val="Heading 2 Char"/>
    <w:basedOn w:val="DefaultParagraphFont"/>
    <w:link w:val="Heading2"/>
    <w:uiPriority w:val="1"/>
    <w:rsid w:val="007C596E"/>
    <w:rPr>
      <w:rFonts w:ascii="Times New Roman" w:eastAsia="Times New Roman" w:hAnsi="Times New Roman" w:cs="Times New Roman"/>
      <w:b/>
      <w:color w:val="000000" w:themeColor="text1"/>
      <w:sz w:val="24"/>
      <w:szCs w:val="24"/>
      <w:shd w:val="clear" w:color="auto" w:fill="FFFFFF" w:themeFill="background1"/>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sz w:val="24"/>
      <w:szCs w:val="24"/>
      <w:shd w:val="clear" w:color="auto" w:fill="FFFFFF" w:themeFill="background1"/>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sz w:val="24"/>
      <w:szCs w:val="24"/>
      <w:shd w:val="clear" w:color="auto" w:fill="FFFFFF" w:themeFill="background1"/>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shd w:val="clear" w:color="auto" w:fill="FFFFFF" w:themeFill="background1"/>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lang w:val="en-US"/>
    </w:rPr>
  </w:style>
  <w:style w:type="paragraph" w:styleId="FootnoteText">
    <w:name w:val="footnote text"/>
    <w:basedOn w:val="Normal"/>
    <w:link w:val="FootnoteTextChar"/>
    <w:uiPriority w:val="99"/>
    <w:unhideWhenUsed/>
    <w:pPr>
      <w:spacing w:before="0" w:after="0" w:line="240" w:lineRule="auto"/>
      <w:ind w:left="709" w:hanging="709"/>
    </w:pPr>
    <w:rPr>
      <w:rFonts w:eastAsiaTheme="minorEastAsia"/>
      <w:noProof/>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noProof/>
      <w:sz w:val="20"/>
      <w:szCs w:val="20"/>
      <w:shd w:val="clear" w:color="auto" w:fill="FFFFFF" w:themeFill="background1"/>
    </w:rPr>
  </w:style>
  <w:style w:type="character" w:styleId="FootnoteReference">
    <w:name w:val="footnote reference"/>
    <w:aliases w:val="BVI fnr,E FNZ,-E Fußnotenzeichen,SUPERS"/>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after="0" w:line="240" w:lineRule="auto"/>
    </w:pPr>
    <w:rPr>
      <w:rFonts w:eastAsiaTheme="minorEastAsia"/>
      <w:lang w:val="en-US"/>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4"/>
      <w:szCs w:val="24"/>
      <w:shd w:val="clear" w:color="auto" w:fill="FFFFFF" w:themeFill="background1"/>
      <w:lang w:val="en-US"/>
    </w:rPr>
  </w:style>
  <w:style w:type="paragraph" w:styleId="TOCHeading">
    <w:name w:val="TOC Heading"/>
    <w:basedOn w:val="Heading1"/>
    <w:next w:val="Normal"/>
    <w:uiPriority w:val="39"/>
    <w:unhideWhenUsed/>
    <w:qFormat/>
    <w:pPr>
      <w:outlineLvl w:val="9"/>
    </w:pPr>
    <w:rPr>
      <w:lang w:bidi="en-U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lang w:val="en-US"/>
    </w:rPr>
  </w:style>
  <w:style w:type="paragraph" w:customStyle="1" w:styleId="CM1">
    <w:name w:val="CM1"/>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tabs>
        <w:tab w:val="left" w:pos="440"/>
        <w:tab w:val="right" w:leader="dot" w:pos="9072"/>
      </w:tabs>
      <w:spacing w:after="100"/>
      <w:ind w:left="426" w:hanging="426"/>
    </w:pPr>
    <w:rPr>
      <w:rFonts w:eastAsiaTheme="minorEastAsia"/>
      <w:noProof/>
      <w:sz w:val="22"/>
      <w:szCs w:val="22"/>
      <w:lang w:eastAsia="en-GB"/>
    </w:rPr>
  </w:style>
  <w:style w:type="paragraph" w:styleId="TOC2">
    <w:name w:val="toc 2"/>
    <w:basedOn w:val="Normal"/>
    <w:next w:val="Normal"/>
    <w:autoRedefine/>
    <w:uiPriority w:val="39"/>
    <w:unhideWhenUsed/>
    <w:pPr>
      <w:tabs>
        <w:tab w:val="right" w:leader="dot" w:pos="9074"/>
      </w:tabs>
      <w:spacing w:after="100"/>
      <w:ind w:left="960" w:hanging="534"/>
    </w:p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shd w:val="clear" w:color="auto" w:fill="FFFFFF" w:themeFill="background1"/>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sz w:val="20"/>
      <w:szCs w:val="20"/>
      <w:lang w:val="en-GB"/>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shd w:val="clear" w:color="auto" w:fill="FFFFFF" w:themeFill="background1"/>
      <w:lang w:val="en-US"/>
    </w:rPr>
  </w:style>
  <w:style w:type="paragraph" w:customStyle="1" w:styleId="FigureCaption">
    <w:name w:val="Figure Caption"/>
    <w:basedOn w:val="Normal"/>
    <w:pPr>
      <w:widowControl/>
      <w:shd w:val="clear" w:color="auto" w:fill="auto"/>
      <w:autoSpaceDE/>
      <w:autoSpaceDN/>
      <w:adjustRightInd/>
      <w:spacing w:before="240" w:after="0" w:line="240" w:lineRule="exact"/>
      <w:jc w:val="center"/>
    </w:pPr>
    <w:rPr>
      <w:rFonts w:ascii="Arial" w:hAnsi="Arial" w:cs="Arial"/>
      <w:sz w:val="20"/>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pPr>
      <w:widowControl/>
      <w:shd w:val="clear" w:color="auto" w:fill="auto"/>
      <w:autoSpaceDE/>
      <w:autoSpaceDN/>
      <w:adjustRightInd/>
      <w:spacing w:after="120" w:line="276" w:lineRule="auto"/>
      <w:jc w:val="center"/>
    </w:pPr>
    <w:rPr>
      <w:rFonts w:cstheme="minorBidi"/>
      <w:noProof/>
      <w:szCs w:val="22"/>
      <w:lang w:val="de-DE" w:eastAsia="de-DE"/>
    </w:rPr>
  </w:style>
  <w:style w:type="paragraph" w:customStyle="1" w:styleId="Textblock">
    <w:name w:val="Textblock"/>
    <w:basedOn w:val="Normal"/>
    <w:pPr>
      <w:widowControl/>
      <w:shd w:val="clear" w:color="auto" w:fill="auto"/>
      <w:autoSpaceDE/>
      <w:autoSpaceDN/>
      <w:adjustRightInd/>
      <w:spacing w:before="240" w:after="0" w:line="320" w:lineRule="exact"/>
    </w:pPr>
    <w:rPr>
      <w:rFonts w:cstheme="minorBidi"/>
      <w:szCs w:val="22"/>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shd w:val="clear" w:color="auto" w:fill="FFFFFF" w:themeFill="background1"/>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shd w:val="clear" w:color="auto" w:fill="FFFFFF" w:themeFill="background1"/>
    </w:rPr>
  </w:style>
  <w:style w:type="table" w:customStyle="1" w:styleId="TableGrid211">
    <w:name w:val="Table Grid2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1"/>
    <w:rsid w:val="00DF191B"/>
    <w:rPr>
      <w:rFonts w:ascii="Times New Roman" w:eastAsiaTheme="majorEastAsia" w:hAnsi="Times New Roman" w:cstheme="majorBidi"/>
      <w:i/>
      <w:noProof/>
      <w:sz w:val="24"/>
      <w:szCs w:val="24"/>
      <w:shd w:val="clear" w:color="auto" w:fill="FFFFFF" w:themeFill="background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shd w:val="clear" w:color="auto" w:fill="FFFFFF" w:themeFill="background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shd w:val="clear" w:color="auto" w:fill="FFFFFF" w:themeFill="background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shd w:val="clear" w:color="auto" w:fill="FFFFFF" w:themeFill="background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shd w:val="clear" w:color="auto" w:fill="FFFFFF" w:themeFill="background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shd w:val="clear" w:color="auto" w:fill="FFFFFF" w:themeFill="background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shd w:val="clear" w:color="auto" w:fill="FFFFFF" w:themeFill="background1"/>
    </w:rPr>
  </w:style>
  <w:style w:type="paragraph" w:styleId="Caption">
    <w:name w:val="caption"/>
    <w:basedOn w:val="Normal"/>
    <w:next w:val="Normal"/>
    <w:uiPriority w:val="35"/>
    <w:unhideWhenUsed/>
    <w:qFormat/>
    <w:pPr>
      <w:spacing w:before="0" w:line="240" w:lineRule="auto"/>
    </w:pPr>
    <w:rPr>
      <w:i/>
      <w:iCs/>
      <w:color w:val="1F497D" w:themeColor="text2"/>
      <w:sz w:val="18"/>
      <w:szCs w:val="18"/>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autoSpaceDE/>
      <w:autoSpaceDN/>
      <w:adjustRightInd/>
      <w:spacing w:after="120" w:line="240" w:lineRule="auto"/>
    </w:pPr>
    <w:rPr>
      <w:szCs w:val="22"/>
    </w:rPr>
  </w:style>
  <w:style w:type="paragraph" w:customStyle="1" w:styleId="SecurityMarking">
    <w:name w:val="SecurityMarking"/>
    <w:basedOn w:val="Normal"/>
    <w:pPr>
      <w:widowControl/>
      <w:shd w:val="clear" w:color="auto" w:fill="auto"/>
      <w:autoSpaceDE/>
      <w:autoSpaceDN/>
      <w:adjustRightInd/>
      <w:spacing w:before="0" w:after="0" w:line="276" w:lineRule="auto"/>
      <w:ind w:left="5103"/>
      <w:jc w:val="left"/>
    </w:pPr>
    <w:rPr>
      <w:sz w:val="28"/>
      <w:szCs w:val="22"/>
    </w:rPr>
  </w:style>
  <w:style w:type="paragraph" w:customStyle="1" w:styleId="DateMarking">
    <w:name w:val="DateMarking"/>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ReleasableTo">
    <w:name w:val="ReleasableTo"/>
    <w:basedOn w:val="Normal"/>
    <w:pPr>
      <w:widowControl/>
      <w:shd w:val="clear" w:color="auto" w:fill="auto"/>
      <w:autoSpaceDE/>
      <w:autoSpaceDN/>
      <w:adjustRightInd/>
      <w:spacing w:before="0" w:after="0" w:line="276" w:lineRule="auto"/>
      <w:ind w:left="5103"/>
      <w:jc w:val="left"/>
    </w:pPr>
    <w:rPr>
      <w:i/>
      <w:sz w:val="28"/>
      <w:szCs w:val="22"/>
    </w:rPr>
  </w:style>
  <w:style w:type="paragraph" w:customStyle="1" w:styleId="HeaderSensitivityRight">
    <w:name w:val="Header Sensitivity Right"/>
    <w:basedOn w:val="Normal"/>
    <w:pPr>
      <w:widowControl/>
      <w:shd w:val="clear" w:color="auto" w:fill="auto"/>
      <w:autoSpaceDE/>
      <w:autoSpaceDN/>
      <w:adjustRightInd/>
      <w:spacing w:before="0" w:after="120" w:line="240" w:lineRule="auto"/>
      <w:jc w:val="right"/>
    </w:pPr>
    <w:rPr>
      <w:sz w:val="28"/>
    </w:rPr>
  </w:style>
  <w:style w:type="paragraph" w:customStyle="1" w:styleId="NumPar2">
    <w:name w:val="NumPar 2"/>
    <w:basedOn w:val="Heading2"/>
    <w:uiPriority w:val="1"/>
    <w:qFormat/>
    <w:rsid w:val="00B524FA"/>
    <w:pPr>
      <w:keepNext w:val="0"/>
      <w:widowControl/>
      <w:shd w:val="clear" w:color="auto" w:fill="auto"/>
      <w:tabs>
        <w:tab w:val="num" w:pos="1077"/>
      </w:tabs>
      <w:autoSpaceDE/>
      <w:autoSpaceDN/>
      <w:adjustRightInd/>
      <w:spacing w:before="0" w:after="240" w:line="240" w:lineRule="auto"/>
      <w:ind w:left="1077" w:hanging="595"/>
      <w:outlineLvl w:val="9"/>
    </w:pPr>
    <w:rPr>
      <w:b w:val="0"/>
      <w:color w:val="auto"/>
      <w:szCs w:val="20"/>
    </w:rPr>
  </w:style>
  <w:style w:type="paragraph" w:styleId="TOC3">
    <w:name w:val="toc 3"/>
    <w:basedOn w:val="Normal"/>
    <w:next w:val="Normal"/>
    <w:autoRedefine/>
    <w:uiPriority w:val="39"/>
    <w:unhideWhenUsed/>
    <w:rsid w:val="0081444F"/>
    <w:pPr>
      <w:spacing w:after="100"/>
      <w:ind w:left="480"/>
    </w:pPr>
  </w:style>
  <w:style w:type="character" w:styleId="FollowedHyperlink">
    <w:name w:val="FollowedHyperlink"/>
    <w:basedOn w:val="DefaultParagraphFont"/>
    <w:uiPriority w:val="99"/>
    <w:semiHidden/>
    <w:unhideWhenUsed/>
    <w:rsid w:val="000D55AD"/>
    <w:rPr>
      <w:color w:val="800080" w:themeColor="followedHyperlink"/>
      <w:u w:val="single"/>
    </w:rPr>
  </w:style>
  <w:style w:type="character" w:customStyle="1" w:styleId="UnresolvedMention1">
    <w:name w:val="Unresolved Mention1"/>
    <w:basedOn w:val="DefaultParagraphFont"/>
    <w:uiPriority w:val="99"/>
    <w:semiHidden/>
    <w:unhideWhenUsed/>
    <w:rsid w:val="000A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76810">
      <w:bodyDiv w:val="1"/>
      <w:marLeft w:val="0"/>
      <w:marRight w:val="0"/>
      <w:marTop w:val="0"/>
      <w:marBottom w:val="0"/>
      <w:divBdr>
        <w:top w:val="none" w:sz="0" w:space="0" w:color="auto"/>
        <w:left w:val="none" w:sz="0" w:space="0" w:color="auto"/>
        <w:bottom w:val="none" w:sz="0" w:space="0" w:color="auto"/>
        <w:right w:val="none" w:sz="0" w:space="0" w:color="auto"/>
      </w:divBdr>
    </w:div>
    <w:div w:id="740257619">
      <w:bodyDiv w:val="1"/>
      <w:marLeft w:val="0"/>
      <w:marRight w:val="0"/>
      <w:marTop w:val="0"/>
      <w:marBottom w:val="0"/>
      <w:divBdr>
        <w:top w:val="none" w:sz="0" w:space="0" w:color="auto"/>
        <w:left w:val="none" w:sz="0" w:space="0" w:color="auto"/>
        <w:bottom w:val="none" w:sz="0" w:space="0" w:color="auto"/>
        <w:right w:val="none" w:sz="0" w:space="0" w:color="auto"/>
      </w:divBdr>
    </w:div>
    <w:div w:id="1797597887">
      <w:bodyDiv w:val="1"/>
      <w:marLeft w:val="0"/>
      <w:marRight w:val="0"/>
      <w:marTop w:val="0"/>
      <w:marBottom w:val="0"/>
      <w:divBdr>
        <w:top w:val="none" w:sz="0" w:space="0" w:color="auto"/>
        <w:left w:val="none" w:sz="0" w:space="0" w:color="auto"/>
        <w:bottom w:val="none" w:sz="0" w:space="0" w:color="auto"/>
        <w:right w:val="none" w:sz="0" w:space="0" w:color="auto"/>
      </w:divBdr>
    </w:div>
    <w:div w:id="20697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833/052078" TargetMode="External"/><Relationship Id="rId2" Type="http://schemas.openxmlformats.org/officeDocument/2006/relationships/hyperlink" Target="https://ec.europa.eu/transparency/expert-groups-register/screen/expert-groups/consult?lang=en&amp;groupID=3777" TargetMode="External"/><Relationship Id="rId1" Type="http://schemas.openxmlformats.org/officeDocument/2006/relationships/hyperlink" Target="https://op.europa.eu/en/publication-detail/-/publication/e8d170a2-4016-11eb-b27b-01aa75ed71a1/language-en" TargetMode="External"/><Relationship Id="rId4" Type="http://schemas.openxmlformats.org/officeDocument/2006/relationships/hyperlink" Target="https://www.ensreg.eu/sites/default/files/attachments/guidelines_for_reporting_on_directive_2011-70-eurat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50DD215E5FCED40A24853182B6A5813" ma:contentTypeVersion="6" ma:contentTypeDescription="Create a new document in this library." ma:contentTypeScope="" ma:versionID="19c9fe5c9910de73d9c6926faa9ebb4f">
  <xsd:schema xmlns:xsd="http://www.w3.org/2001/XMLSchema" xmlns:xs="http://www.w3.org/2001/XMLSchema" xmlns:p="http://schemas.microsoft.com/office/2006/metadata/properties" xmlns:ns3="735afc32-0393-421e-bcef-2ea6208327cd" xmlns:ns4="c076530c-96ce-4d12-b43c-8303a5440bd9" targetNamespace="http://schemas.microsoft.com/office/2006/metadata/properties" ma:root="true" ma:fieldsID="78a59c6f839e954efb437397ad3b8298" ns3:_="" ns4:_="">
    <xsd:import namespace="735afc32-0393-421e-bcef-2ea6208327cd"/>
    <xsd:import namespace="c076530c-96ce-4d12-b43c-8303a5440bd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afc32-0393-421e-bcef-2ea6208327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6530c-96ce-4d12-b43c-8303a5440b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NUMBER xmlns="735afc32-0393-421e-bcef-2ea6208327cd">
      <Url xsi:nil="true"/>
      <Description xsi:nil="true"/>
    </EC_ARES_NUMBER>
    <EC_ARES_TRANSFERRED_BY xmlns="735afc32-0393-421e-bcef-2ea6208327cd" xsi:nil="true"/>
    <EC_Collab_DocumentLanguage xmlns="735afc32-0393-421e-bcef-2ea6208327cd">EN</EC_Collab_DocumentLanguage>
    <EC_Collab_Status xmlns="735afc32-0393-421e-bcef-2ea6208327cd">Not Started</EC_Collab_Status>
    <EC_ARES_DATE_TRANSFERRED xmlns="735afc32-0393-421e-bcef-2ea6208327cd" xsi:nil="true"/>
    <EC_Collab_Reference xmlns="735afc32-0393-421e-bcef-2ea6208327cd" xsi:nil="true"/>
    <SharedWithUsers xmlns="c076530c-96ce-4d12-b43c-8303a5440bd9">
      <UserInfo>
        <DisplayName>MATUZAS Vaidas</DisplayName>
        <AccountId>3275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C495CB-B273-4880-95D4-DD8BC30325C6}">
  <ds:schemaRefs>
    <ds:schemaRef ds:uri="http://schemas.microsoft.com/sharepoint/v3/contenttype/forms"/>
  </ds:schemaRefs>
</ds:datastoreItem>
</file>

<file path=customXml/itemProps2.xml><?xml version="1.0" encoding="utf-8"?>
<ds:datastoreItem xmlns:ds="http://schemas.openxmlformats.org/officeDocument/2006/customXml" ds:itemID="{3C12A48A-A08F-4891-A590-6BACD163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afc32-0393-421e-bcef-2ea6208327cd"/>
    <ds:schemaRef ds:uri="c076530c-96ce-4d12-b43c-8303a5440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1B0C6-46BC-4C2E-871F-9629BFCE800E}">
  <ds:schemaRefs>
    <ds:schemaRef ds:uri="http://purl.org/dc/elements/1.1/"/>
    <ds:schemaRef ds:uri="http://schemas.openxmlformats.org/package/2006/metadata/core-properties"/>
    <ds:schemaRef ds:uri="http://www.w3.org/XML/1998/namespace"/>
    <ds:schemaRef ds:uri="http://schemas.microsoft.com/office/infopath/2007/PartnerControls"/>
    <ds:schemaRef ds:uri="735afc32-0393-421e-bcef-2ea6208327cd"/>
    <ds:schemaRef ds:uri="http://schemas.microsoft.com/office/2006/metadata/properties"/>
    <ds:schemaRef ds:uri="http://schemas.microsoft.com/office/2006/documentManagement/types"/>
    <ds:schemaRef ds:uri="c076530c-96ce-4d12-b43c-8303a5440bd9"/>
    <ds:schemaRef ds:uri="http://purl.org/dc/dcmitype/"/>
    <ds:schemaRef ds:uri="http://purl.org/dc/terms/"/>
  </ds:schemaRefs>
</ds:datastoreItem>
</file>

<file path=customXml/itemProps4.xml><?xml version="1.0" encoding="utf-8"?>
<ds:datastoreItem xmlns:ds="http://schemas.openxmlformats.org/officeDocument/2006/customXml" ds:itemID="{6D278CD9-41E9-464D-A845-F7B0F6F9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5298</Words>
  <Characters>30200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This is the common draft where we introduce the received comments.</dc:description>
  <cp:lastModifiedBy>EC CoDe</cp:lastModifiedBy>
  <cp:revision>6</cp:revision>
  <dcterms:created xsi:type="dcterms:W3CDTF">2024-05-13T10:10:00Z</dcterms:created>
  <dcterms:modified xsi:type="dcterms:W3CDTF">2024-05-13T16:49:00Z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9.0, Build 20230317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CP-005</vt:lpwstr>
  </property>
  <property fmtid="{D5CDD505-2E9C-101B-9397-08002B2CF9AE}" pid="8" name="ContentTypeId">
    <vt:lpwstr>0x010100258AA79CEB83498886A3A0868112325000350DD215E5FCED40A24853182B6A5813</vt:lpwstr>
  </property>
  <property fmtid="{D5CDD505-2E9C-101B-9397-08002B2CF9AE}" pid="9" name="MSIP_Label_6bd9ddd1-4d20-43f6-abfa-fc3c07406f94_Enabled">
    <vt:lpwstr>true</vt:lpwstr>
  </property>
  <property fmtid="{D5CDD505-2E9C-101B-9397-08002B2CF9AE}" pid="10" name="MSIP_Label_6bd9ddd1-4d20-43f6-abfa-fc3c07406f94_SetDate">
    <vt:lpwstr>2022-09-06T08:49:35Z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3abb127f-74d3-4cd6-85e6-269db5b049a9</vt:lpwstr>
  </property>
  <property fmtid="{D5CDD505-2E9C-101B-9397-08002B2CF9AE}" pid="15" name="MSIP_Label_6bd9ddd1-4d20-43f6-abfa-fc3c07406f94_ContentBits">
    <vt:lpwstr>0</vt:lpwstr>
  </property>
</Properties>
</file>