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2F7514" w14:textId="654E9B04" w:rsidR="00AB3F1B" w:rsidRPr="00BF1FAB" w:rsidRDefault="000D4DA2" w:rsidP="000D4DA2">
      <w:pPr>
        <w:pStyle w:val="Pagedecouverture"/>
        <w:rPr>
          <w:noProof/>
        </w:rPr>
      </w:pPr>
      <w:r>
        <w:rPr>
          <w:noProof/>
        </w:rPr>
        <w:pict w14:anchorId="74D06A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C57B133B-EDB3-4109-BE12-4052AC047739" style="width:455.25pt;height:328.5pt">
            <v:imagedata r:id="rId8" o:title=""/>
          </v:shape>
        </w:pict>
      </w:r>
    </w:p>
    <w:p w14:paraId="6DAB3E3B" w14:textId="77777777" w:rsidR="00AB3F1B" w:rsidRPr="00BF1FAB" w:rsidRDefault="00AB3F1B" w:rsidP="00CD1B26">
      <w:pPr>
        <w:pStyle w:val="Pagedecouverture"/>
        <w:rPr>
          <w:noProof/>
        </w:rPr>
        <w:sectPr w:rsidR="00AB3F1B" w:rsidRPr="00BF1FAB" w:rsidSect="000D4DA2">
          <w:footerReference w:type="even" r:id="rId9"/>
          <w:footerReference w:type="default" r:id="rId10"/>
          <w:pgSz w:w="11907" w:h="16839"/>
          <w:pgMar w:top="1134" w:right="1417" w:bottom="1134" w:left="1417" w:header="709" w:footer="709" w:gutter="0"/>
          <w:pgNumType w:start="0"/>
          <w:cols w:space="720"/>
          <w:docGrid w:linePitch="360"/>
        </w:sectPr>
      </w:pPr>
    </w:p>
    <w:p w14:paraId="5D7F3F97" w14:textId="77777777" w:rsidR="00AB3F1B" w:rsidRPr="00BF1FAB" w:rsidRDefault="00AB3F1B" w:rsidP="00BB6B30">
      <w:pPr>
        <w:pStyle w:val="Exposdesmotifstitre"/>
        <w:rPr>
          <w:noProof/>
        </w:rPr>
      </w:pPr>
      <w:bookmarkStart w:id="0" w:name="_GoBack"/>
      <w:bookmarkEnd w:id="0"/>
      <w:r w:rsidRPr="00BF1FAB">
        <w:rPr>
          <w:noProof/>
        </w:rPr>
        <w:lastRenderedPageBreak/>
        <w:t>DÔVODOVÁ SPRÁVA</w:t>
      </w:r>
    </w:p>
    <w:p w14:paraId="75B75BE5" w14:textId="77777777" w:rsidR="00AB3F1B" w:rsidRPr="00BF1FAB" w:rsidRDefault="00AB3F1B" w:rsidP="00BB6B30">
      <w:pPr>
        <w:pStyle w:val="ManualHeading1"/>
        <w:rPr>
          <w:noProof/>
        </w:rPr>
      </w:pPr>
      <w:r w:rsidRPr="00BF1FAB">
        <w:rPr>
          <w:noProof/>
        </w:rPr>
        <w:t>1.</w:t>
      </w:r>
      <w:r w:rsidRPr="00BF1FAB">
        <w:rPr>
          <w:noProof/>
        </w:rPr>
        <w:tab/>
        <w:t>KONTEXT NÁVRHU</w:t>
      </w:r>
    </w:p>
    <w:p w14:paraId="164D4A71" w14:textId="268DF97A" w:rsidR="00AB3F1B" w:rsidRPr="00BF1FAB" w:rsidRDefault="00AB3F1B" w:rsidP="00044058">
      <w:pPr>
        <w:pStyle w:val="ManualHeading2"/>
        <w:rPr>
          <w:rFonts w:eastAsia="Arial Unicode MS"/>
          <w:noProof/>
        </w:rPr>
      </w:pPr>
      <w:r w:rsidRPr="00BF1FAB">
        <w:rPr>
          <w:noProof/>
        </w:rPr>
        <w:t>Dôvody</w:t>
      </w:r>
      <w:r w:rsidR="009B649A">
        <w:rPr>
          <w:noProof/>
        </w:rPr>
        <w:t xml:space="preserve"> a </w:t>
      </w:r>
      <w:r w:rsidRPr="00BF1FAB">
        <w:rPr>
          <w:noProof/>
        </w:rPr>
        <w:t>ciele návrhu</w:t>
      </w:r>
    </w:p>
    <w:p w14:paraId="2E2D9A68" w14:textId="0C892080" w:rsidR="008B56D0" w:rsidRPr="00BF1FAB" w:rsidRDefault="007E4557" w:rsidP="008B56D0">
      <w:pPr>
        <w:pBdr>
          <w:top w:val="nil"/>
          <w:left w:val="nil"/>
          <w:bottom w:val="nil"/>
          <w:right w:val="nil"/>
          <w:between w:val="nil"/>
          <w:bar w:val="nil"/>
        </w:pBdr>
        <w:spacing w:before="0" w:after="240"/>
        <w:rPr>
          <w:noProof/>
          <w:szCs w:val="24"/>
        </w:rPr>
      </w:pPr>
      <w:r w:rsidRPr="00BF1FAB">
        <w:rPr>
          <w:noProof/>
        </w:rPr>
        <w:t>Stály výbor pre právo ochranných známok, dizajnov</w:t>
      </w:r>
      <w:r w:rsidR="009B649A">
        <w:rPr>
          <w:noProof/>
        </w:rPr>
        <w:t xml:space="preserve"> a </w:t>
      </w:r>
      <w:r w:rsidRPr="00BF1FAB">
        <w:rPr>
          <w:noProof/>
        </w:rPr>
        <w:t>zemepisných označení (ďalej len „SCT“) slúži Svetovej organizácii duševného vlastníctva (ďalej len „WIPO“) ako fórum na diskusiu</w:t>
      </w:r>
      <w:r w:rsidR="009B649A">
        <w:rPr>
          <w:noProof/>
        </w:rPr>
        <w:t xml:space="preserve"> o </w:t>
      </w:r>
      <w:r w:rsidRPr="00BF1FAB">
        <w:rPr>
          <w:noProof/>
        </w:rPr>
        <w:t>rôznych záležitostiach, uľahčenie koordinácie</w:t>
      </w:r>
      <w:r w:rsidR="009B649A">
        <w:rPr>
          <w:noProof/>
        </w:rPr>
        <w:t xml:space="preserve"> a </w:t>
      </w:r>
      <w:r w:rsidRPr="00BF1FAB">
        <w:rPr>
          <w:noProof/>
        </w:rPr>
        <w:t>poskytovanie usmernení, ktoré sa týkajú postupného medzinárodného rozvoja práva ochranných známok, dizajnov</w:t>
      </w:r>
      <w:r w:rsidR="009B649A">
        <w:rPr>
          <w:noProof/>
        </w:rPr>
        <w:t xml:space="preserve"> a </w:t>
      </w:r>
      <w:r w:rsidRPr="00BF1FAB">
        <w:rPr>
          <w:noProof/>
        </w:rPr>
        <w:t>zemepisných označení, ako aj harmonizácie vnútroštátnych právnych predpisov</w:t>
      </w:r>
      <w:r w:rsidR="009B649A">
        <w:rPr>
          <w:noProof/>
        </w:rPr>
        <w:t xml:space="preserve"> a </w:t>
      </w:r>
      <w:r w:rsidRPr="00BF1FAB">
        <w:rPr>
          <w:noProof/>
        </w:rPr>
        <w:t>postupov.</w:t>
      </w:r>
    </w:p>
    <w:p w14:paraId="26895AF4" w14:textId="26F2946C" w:rsidR="008B56D0" w:rsidRPr="00BF1FAB" w:rsidRDefault="008B56D0" w:rsidP="008B56D0">
      <w:pPr>
        <w:pBdr>
          <w:top w:val="nil"/>
          <w:left w:val="nil"/>
          <w:bottom w:val="nil"/>
          <w:right w:val="nil"/>
          <w:between w:val="nil"/>
          <w:bar w:val="nil"/>
        </w:pBdr>
        <w:spacing w:before="0" w:after="240"/>
        <w:rPr>
          <w:noProof/>
          <w:szCs w:val="24"/>
        </w:rPr>
      </w:pPr>
      <w:r w:rsidRPr="00BF1FAB">
        <w:rPr>
          <w:noProof/>
        </w:rPr>
        <w:t>Prvé návrhy na medzinárodnú harmonizáciu</w:t>
      </w:r>
      <w:r w:rsidR="009B649A">
        <w:rPr>
          <w:noProof/>
        </w:rPr>
        <w:t xml:space="preserve"> a </w:t>
      </w:r>
      <w:r w:rsidRPr="00BF1FAB">
        <w:rPr>
          <w:noProof/>
        </w:rPr>
        <w:t>zjednodušenie postupov pri zápise dizajnov boli SCT predložené</w:t>
      </w:r>
      <w:r w:rsidR="009B649A">
        <w:rPr>
          <w:noProof/>
        </w:rPr>
        <w:t xml:space="preserve"> v </w:t>
      </w:r>
      <w:r w:rsidRPr="00BF1FAB">
        <w:rPr>
          <w:noProof/>
        </w:rPr>
        <w:t>roku 2005.</w:t>
      </w:r>
    </w:p>
    <w:p w14:paraId="7E730DF1" w14:textId="0DDE611A" w:rsidR="008B56D0" w:rsidRPr="00BF1FAB" w:rsidRDefault="008B56D0" w:rsidP="008B56D0">
      <w:pPr>
        <w:pBdr>
          <w:top w:val="nil"/>
          <w:left w:val="nil"/>
          <w:bottom w:val="nil"/>
          <w:right w:val="nil"/>
          <w:between w:val="nil"/>
          <w:bar w:val="nil"/>
        </w:pBdr>
        <w:spacing w:before="0" w:after="240"/>
        <w:rPr>
          <w:noProof/>
          <w:szCs w:val="24"/>
        </w:rPr>
      </w:pPr>
      <w:r w:rsidRPr="00BF1FAB">
        <w:rPr>
          <w:noProof/>
        </w:rPr>
        <w:t>Do roku 2009 sekretariát SCT mapoval možné oblasti konvergencie</w:t>
      </w:r>
      <w:r w:rsidR="009B649A">
        <w:rPr>
          <w:noProof/>
        </w:rPr>
        <w:t xml:space="preserve"> a v </w:t>
      </w:r>
      <w:r w:rsidRPr="00BF1FAB">
        <w:rPr>
          <w:noProof/>
        </w:rPr>
        <w:t>roku 2010 predložil výboru prvý návrh ustanovení</w:t>
      </w:r>
      <w:r w:rsidR="009B649A">
        <w:rPr>
          <w:noProof/>
        </w:rPr>
        <w:t xml:space="preserve"> o </w:t>
      </w:r>
      <w:r w:rsidRPr="00BF1FAB">
        <w:rPr>
          <w:noProof/>
        </w:rPr>
        <w:t>práve</w:t>
      </w:r>
      <w:r w:rsidR="009B649A">
        <w:rPr>
          <w:noProof/>
        </w:rPr>
        <w:t xml:space="preserve"> a </w:t>
      </w:r>
      <w:r w:rsidRPr="00BF1FAB">
        <w:rPr>
          <w:noProof/>
        </w:rPr>
        <w:t>praxi dizajnu.</w:t>
      </w:r>
    </w:p>
    <w:p w14:paraId="1EEAC572" w14:textId="1B0F6024" w:rsidR="008B56D0" w:rsidRPr="00BF1FAB" w:rsidRDefault="008B56D0" w:rsidP="008B56D0">
      <w:pPr>
        <w:pBdr>
          <w:top w:val="nil"/>
          <w:left w:val="nil"/>
          <w:bottom w:val="nil"/>
          <w:right w:val="nil"/>
          <w:between w:val="nil"/>
          <w:bar w:val="nil"/>
        </w:pBdr>
        <w:spacing w:before="0" w:after="240"/>
        <w:rPr>
          <w:noProof/>
          <w:szCs w:val="24"/>
        </w:rPr>
      </w:pPr>
      <w:r w:rsidRPr="00BF1FAB">
        <w:rPr>
          <w:noProof/>
        </w:rPr>
        <w:t>Európska únia (ďalej len „EÚ“ alebo „Únia“) dlhodobo dôrazne podporuje harmonizáciu</w:t>
      </w:r>
      <w:r w:rsidR="009B649A">
        <w:rPr>
          <w:noProof/>
        </w:rPr>
        <w:t xml:space="preserve"> v </w:t>
      </w:r>
      <w:r w:rsidRPr="00BF1FAB">
        <w:rPr>
          <w:noProof/>
        </w:rPr>
        <w:t>sektore dizajnu</w:t>
      </w:r>
      <w:r w:rsidR="009B649A">
        <w:rPr>
          <w:noProof/>
        </w:rPr>
        <w:t xml:space="preserve"> a </w:t>
      </w:r>
      <w:r w:rsidRPr="00BF1FAB">
        <w:rPr>
          <w:noProof/>
        </w:rPr>
        <w:t>vyzýva, aby bola zvolaná diplomatická konferencia</w:t>
      </w:r>
      <w:r w:rsidR="009B649A">
        <w:rPr>
          <w:noProof/>
        </w:rPr>
        <w:t xml:space="preserve"> s </w:t>
      </w:r>
      <w:r w:rsidRPr="00BF1FAB">
        <w:rPr>
          <w:noProof/>
        </w:rPr>
        <w:t>cieľom prijať zmluvu</w:t>
      </w:r>
      <w:r w:rsidR="009B649A">
        <w:rPr>
          <w:noProof/>
        </w:rPr>
        <w:t xml:space="preserve"> o </w:t>
      </w:r>
      <w:r w:rsidRPr="00BF1FAB">
        <w:rPr>
          <w:noProof/>
        </w:rPr>
        <w:t>práve dizajnu (ďalej len „DLT“ alebo „zmluva“), ktorá by mala potenciál byť prínosom pre všetky členské štáty WIPO,</w:t>
      </w:r>
      <w:r w:rsidR="009B649A">
        <w:rPr>
          <w:noProof/>
        </w:rPr>
        <w:t xml:space="preserve"> a </w:t>
      </w:r>
      <w:r w:rsidRPr="00BF1FAB">
        <w:rPr>
          <w:noProof/>
        </w:rPr>
        <w:t>to bez ohľadu na úroveň ich rozvoja.</w:t>
      </w:r>
    </w:p>
    <w:p w14:paraId="2FA579A9" w14:textId="5C284F5F" w:rsidR="008B56D0" w:rsidRPr="00BF1FAB" w:rsidRDefault="008B56D0" w:rsidP="008B56D0">
      <w:pPr>
        <w:pBdr>
          <w:top w:val="nil"/>
          <w:left w:val="nil"/>
          <w:bottom w:val="nil"/>
          <w:right w:val="nil"/>
          <w:between w:val="nil"/>
          <w:bar w:val="nil"/>
        </w:pBdr>
        <w:spacing w:before="0" w:after="240"/>
        <w:rPr>
          <w:noProof/>
          <w:szCs w:val="24"/>
        </w:rPr>
      </w:pPr>
      <w:r w:rsidRPr="00BF1FAB">
        <w:rPr>
          <w:noProof/>
        </w:rPr>
        <w:t>V roku 2022 sa valné zhromaždenie WIPO rozhodlo zvolať dve diplomatické konferencie, ktoré sa majú uskutočniť najneskôr</w:t>
      </w:r>
      <w:r w:rsidR="009B649A">
        <w:rPr>
          <w:noProof/>
        </w:rPr>
        <w:t xml:space="preserve"> v </w:t>
      </w:r>
      <w:r w:rsidRPr="00BF1FAB">
        <w:rPr>
          <w:noProof/>
        </w:rPr>
        <w:t>roku 2024. Jedna konferencia sa má týkať uzavretia medzinárodného právneho nástroja</w:t>
      </w:r>
      <w:r w:rsidR="009B649A">
        <w:rPr>
          <w:noProof/>
        </w:rPr>
        <w:t xml:space="preserve"> v </w:t>
      </w:r>
      <w:r w:rsidRPr="00BF1FAB">
        <w:rPr>
          <w:noProof/>
        </w:rPr>
        <w:t>oblasti duševného vlastníctva, genetických zdrojov</w:t>
      </w:r>
      <w:r w:rsidR="009B649A">
        <w:rPr>
          <w:noProof/>
        </w:rPr>
        <w:t xml:space="preserve"> a </w:t>
      </w:r>
      <w:r w:rsidRPr="00BF1FAB">
        <w:rPr>
          <w:noProof/>
        </w:rPr>
        <w:t>poznatkov pôvodného obyvateľstva súvisiacich</w:t>
      </w:r>
      <w:r w:rsidR="009B649A">
        <w:rPr>
          <w:noProof/>
        </w:rPr>
        <w:t xml:space="preserve"> s </w:t>
      </w:r>
      <w:r w:rsidRPr="00BF1FAB">
        <w:rPr>
          <w:noProof/>
        </w:rPr>
        <w:t>genetickými zdrojmi (nástroj GR)</w:t>
      </w:r>
      <w:r w:rsidR="009B649A">
        <w:rPr>
          <w:noProof/>
        </w:rPr>
        <w:t xml:space="preserve"> a </w:t>
      </w:r>
      <w:r w:rsidRPr="00BF1FAB">
        <w:rPr>
          <w:noProof/>
        </w:rPr>
        <w:t>druhá uzavretia</w:t>
      </w:r>
      <w:r w:rsidR="009B649A">
        <w:rPr>
          <w:noProof/>
        </w:rPr>
        <w:t xml:space="preserve"> a </w:t>
      </w:r>
      <w:r w:rsidRPr="00BF1FAB">
        <w:rPr>
          <w:noProof/>
        </w:rPr>
        <w:t>prijatia zmluvy</w:t>
      </w:r>
      <w:r w:rsidR="009B649A">
        <w:rPr>
          <w:noProof/>
        </w:rPr>
        <w:t xml:space="preserve"> o </w:t>
      </w:r>
      <w:r w:rsidRPr="00BF1FAB">
        <w:rPr>
          <w:noProof/>
        </w:rPr>
        <w:t>práve dizajnu.</w:t>
      </w:r>
    </w:p>
    <w:p w14:paraId="7A391AAA" w14:textId="0D081B80" w:rsidR="008B56D0" w:rsidRPr="00BF1FAB" w:rsidRDefault="008B56D0" w:rsidP="008B56D0">
      <w:pPr>
        <w:pBdr>
          <w:top w:val="nil"/>
          <w:left w:val="nil"/>
          <w:bottom w:val="nil"/>
          <w:right w:val="nil"/>
          <w:between w:val="nil"/>
          <w:bar w:val="nil"/>
        </w:pBdr>
        <w:spacing w:before="0" w:after="240"/>
        <w:rPr>
          <w:noProof/>
          <w:szCs w:val="24"/>
        </w:rPr>
      </w:pPr>
      <w:r w:rsidRPr="00BF1FAB">
        <w:rPr>
          <w:noProof/>
        </w:rPr>
        <w:t>Valné zhromaždenie WIPO sa rozhodlo zvolať</w:t>
      </w:r>
      <w:r w:rsidR="009B649A">
        <w:rPr>
          <w:noProof/>
        </w:rPr>
        <w:t xml:space="preserve"> v </w:t>
      </w:r>
      <w:r w:rsidRPr="00BF1FAB">
        <w:rPr>
          <w:noProof/>
        </w:rPr>
        <w:t>druhom polroku 2023 prípravný výbor</w:t>
      </w:r>
      <w:r w:rsidR="009B649A">
        <w:rPr>
          <w:noProof/>
        </w:rPr>
        <w:t xml:space="preserve"> s </w:t>
      </w:r>
      <w:r w:rsidRPr="00BF1FAB">
        <w:rPr>
          <w:noProof/>
        </w:rPr>
        <w:t>cieľom pripraviť sa na diplomatickú konferenciu</w:t>
      </w:r>
      <w:r w:rsidR="009B649A">
        <w:rPr>
          <w:noProof/>
        </w:rPr>
        <w:t xml:space="preserve"> a </w:t>
      </w:r>
      <w:r w:rsidRPr="00BF1FAB">
        <w:rPr>
          <w:noProof/>
        </w:rPr>
        <w:t>stanoviť modality, ktoré sú pre ňu potrebné. Prípravný výbor posúdil návrh rokovacieho poriadku, ktorý mal byť na diplomatickej konferencii predložený na schválenie, zoznam pozvaných osôb, ktoré sa mali na konferencii zúčastniť</w:t>
      </w:r>
      <w:r w:rsidR="009B649A">
        <w:rPr>
          <w:noProof/>
        </w:rPr>
        <w:t xml:space="preserve"> a </w:t>
      </w:r>
      <w:r w:rsidRPr="00BF1FAB">
        <w:rPr>
          <w:noProof/>
        </w:rPr>
        <w:t>návrhy pozvánok, ako aj ďalšie organizačné otázky týkajúce sa konferencie. Prípravný výbor taktiež schválil základný návrh správnych</w:t>
      </w:r>
      <w:r w:rsidR="009B649A">
        <w:rPr>
          <w:noProof/>
        </w:rPr>
        <w:t xml:space="preserve"> a </w:t>
      </w:r>
      <w:r w:rsidRPr="00BF1FAB">
        <w:rPr>
          <w:noProof/>
        </w:rPr>
        <w:t>záverečných ustanovení zmluvy</w:t>
      </w:r>
      <w:r w:rsidR="009B649A">
        <w:rPr>
          <w:noProof/>
        </w:rPr>
        <w:t xml:space="preserve"> o </w:t>
      </w:r>
      <w:r w:rsidRPr="00BF1FAB">
        <w:rPr>
          <w:noProof/>
        </w:rPr>
        <w:t>práve dizajnu.</w:t>
      </w:r>
    </w:p>
    <w:p w14:paraId="7BC0D687" w14:textId="77777777" w:rsidR="008B56D0" w:rsidRPr="00BF1FAB" w:rsidRDefault="008B56D0" w:rsidP="008B56D0">
      <w:pPr>
        <w:pBdr>
          <w:top w:val="nil"/>
          <w:left w:val="nil"/>
          <w:bottom w:val="nil"/>
          <w:right w:val="nil"/>
          <w:between w:val="nil"/>
          <w:bar w:val="nil"/>
        </w:pBdr>
        <w:spacing w:before="0" w:after="240"/>
        <w:rPr>
          <w:noProof/>
          <w:szCs w:val="24"/>
        </w:rPr>
      </w:pPr>
      <w:r w:rsidRPr="00BF1FAB">
        <w:rPr>
          <w:noProof/>
        </w:rPr>
        <w:t>Prípravný výbor sa rozhodol pozvať zástupcov EÚ na diplomatickú konferenciu ako osobitnú delegáciu.</w:t>
      </w:r>
    </w:p>
    <w:p w14:paraId="2FF2F31A" w14:textId="605CE649" w:rsidR="00AB3F1B" w:rsidRPr="00BF1FAB" w:rsidRDefault="008B56D0" w:rsidP="008B56D0">
      <w:pPr>
        <w:pBdr>
          <w:top w:val="nil"/>
          <w:left w:val="nil"/>
          <w:bottom w:val="nil"/>
          <w:right w:val="nil"/>
          <w:between w:val="nil"/>
          <w:bar w:val="nil"/>
        </w:pBdr>
        <w:spacing w:before="0" w:after="240"/>
        <w:rPr>
          <w:rFonts w:eastAsia="Arial Unicode MS"/>
          <w:noProof/>
        </w:rPr>
      </w:pPr>
      <w:r w:rsidRPr="00BF1FAB">
        <w:rPr>
          <w:noProof/>
        </w:rPr>
        <w:t>Valné zhromaždenie WIPO ďalej nariadilo SCT, aby zvolal mimoriadne zasadnutie</w:t>
      </w:r>
      <w:r w:rsidR="009B649A">
        <w:rPr>
          <w:noProof/>
        </w:rPr>
        <w:t xml:space="preserve"> v </w:t>
      </w:r>
      <w:r w:rsidRPr="00BF1FAB">
        <w:rPr>
          <w:noProof/>
        </w:rPr>
        <w:t>druhej polovici roka 2023, pred zasadnutím prípravného výboru, na ktorom by ďalej na dostatočnej úrovni vyriešil všetky existujúce nedostatky</w:t>
      </w:r>
      <w:r w:rsidR="009B649A">
        <w:rPr>
          <w:noProof/>
        </w:rPr>
        <w:t xml:space="preserve"> v </w:t>
      </w:r>
      <w:r w:rsidRPr="00BF1FAB">
        <w:rPr>
          <w:noProof/>
        </w:rPr>
        <w:t>návrhu zmluvy</w:t>
      </w:r>
      <w:r w:rsidR="009B649A">
        <w:rPr>
          <w:noProof/>
        </w:rPr>
        <w:t xml:space="preserve"> o </w:t>
      </w:r>
      <w:r w:rsidRPr="00BF1FAB">
        <w:rPr>
          <w:noProof/>
        </w:rPr>
        <w:t>práve dizajnu.</w:t>
      </w:r>
    </w:p>
    <w:p w14:paraId="1665023E" w14:textId="02C04E22" w:rsidR="00AB3F1B" w:rsidRPr="00BF1FAB" w:rsidRDefault="00AB3F1B" w:rsidP="00AB3F1B">
      <w:pPr>
        <w:pStyle w:val="ManualHeading1"/>
        <w:rPr>
          <w:bCs/>
          <w:noProof/>
          <w:szCs w:val="24"/>
        </w:rPr>
      </w:pPr>
      <w:r w:rsidRPr="00BF1FAB">
        <w:rPr>
          <w:noProof/>
        </w:rPr>
        <w:t>2.</w:t>
      </w:r>
      <w:r w:rsidRPr="00BF1FAB">
        <w:rPr>
          <w:noProof/>
        </w:rPr>
        <w:tab/>
        <w:t>VÝSLEDKY KONZULTÁCIÍ SO ZAINTERESOVANÝMI STRANAMI</w:t>
      </w:r>
      <w:r w:rsidR="009B649A">
        <w:rPr>
          <w:noProof/>
        </w:rPr>
        <w:t xml:space="preserve"> A </w:t>
      </w:r>
      <w:r w:rsidRPr="00BF1FAB">
        <w:rPr>
          <w:noProof/>
        </w:rPr>
        <w:t>POSÚDENÍ VPLYVU</w:t>
      </w:r>
    </w:p>
    <w:p w14:paraId="3C13B72D" w14:textId="77777777" w:rsidR="00AB3F1B" w:rsidRPr="00BF1FAB" w:rsidRDefault="00AB3F1B" w:rsidP="00AB3F1B">
      <w:pPr>
        <w:rPr>
          <w:noProof/>
        </w:rPr>
      </w:pPr>
      <w:r w:rsidRPr="00BF1FAB">
        <w:rPr>
          <w:noProof/>
        </w:rPr>
        <w:t>Neuvádzajú sa.</w:t>
      </w:r>
    </w:p>
    <w:p w14:paraId="5B670B18" w14:textId="77777777" w:rsidR="00AB3F1B" w:rsidRPr="00BF1FAB" w:rsidRDefault="00AB3F1B" w:rsidP="00AB3F1B">
      <w:pPr>
        <w:pStyle w:val="ManualHeading1"/>
        <w:rPr>
          <w:noProof/>
        </w:rPr>
      </w:pPr>
      <w:r w:rsidRPr="00BF1FAB">
        <w:rPr>
          <w:noProof/>
        </w:rPr>
        <w:lastRenderedPageBreak/>
        <w:t>3.</w:t>
      </w:r>
      <w:r w:rsidRPr="00BF1FAB">
        <w:rPr>
          <w:noProof/>
        </w:rPr>
        <w:tab/>
        <w:t>PRÁVNE PRVKY ODPORÚČANIA</w:t>
      </w:r>
    </w:p>
    <w:p w14:paraId="1B217814" w14:textId="54820732" w:rsidR="00AB3F1B" w:rsidRPr="00BF1FAB" w:rsidRDefault="00AB3F1B" w:rsidP="00A16F3E">
      <w:pPr>
        <w:pStyle w:val="ManualHeading2"/>
        <w:rPr>
          <w:noProof/>
        </w:rPr>
      </w:pPr>
      <w:r w:rsidRPr="00BF1FAB">
        <w:rPr>
          <w:noProof/>
        </w:rPr>
        <w:t>Základný návrh zmluvy</w:t>
      </w:r>
      <w:r w:rsidR="009B649A">
        <w:rPr>
          <w:noProof/>
        </w:rPr>
        <w:t xml:space="preserve"> o </w:t>
      </w:r>
      <w:r w:rsidRPr="00BF1FAB">
        <w:rPr>
          <w:noProof/>
        </w:rPr>
        <w:t>práve dizajnu</w:t>
      </w:r>
    </w:p>
    <w:p w14:paraId="6E08615E" w14:textId="10D1D1F5" w:rsidR="008B56D0" w:rsidRPr="00BF1FAB" w:rsidRDefault="008B56D0" w:rsidP="00232C4B">
      <w:pPr>
        <w:rPr>
          <w:noProof/>
        </w:rPr>
      </w:pPr>
      <w:r w:rsidRPr="00BF1FAB">
        <w:rPr>
          <w:noProof/>
        </w:rPr>
        <w:t>Cieľom zmluvy</w:t>
      </w:r>
      <w:r w:rsidR="009B649A">
        <w:rPr>
          <w:noProof/>
        </w:rPr>
        <w:t xml:space="preserve"> o </w:t>
      </w:r>
      <w:r w:rsidRPr="00BF1FAB">
        <w:rPr>
          <w:noProof/>
        </w:rPr>
        <w:t>práve dizajnu je harmonizovať určité aspekty postupov</w:t>
      </w:r>
      <w:r w:rsidR="009B649A">
        <w:rPr>
          <w:noProof/>
        </w:rPr>
        <w:t xml:space="preserve"> a </w:t>
      </w:r>
      <w:r w:rsidRPr="00BF1FAB">
        <w:rPr>
          <w:noProof/>
        </w:rPr>
        <w:t>formalít prihlášok dizajnov. Zmluva sa napríklad zaoberá rôznymi krokmi, ktoré sa týkajú podania prihlášky, uverejnenia prihlášok, obdobia odkladu, vyobrazenia dizajnu</w:t>
      </w:r>
      <w:r w:rsidR="009B649A">
        <w:rPr>
          <w:noProof/>
        </w:rPr>
        <w:t xml:space="preserve"> v </w:t>
      </w:r>
      <w:r w:rsidRPr="00BF1FAB">
        <w:rPr>
          <w:noProof/>
        </w:rPr>
        <w:t>prihláške, opisu, ako aj povinnosti uviesť licencie</w:t>
      </w:r>
      <w:r w:rsidR="009B649A">
        <w:rPr>
          <w:noProof/>
        </w:rPr>
        <w:t xml:space="preserve"> v </w:t>
      </w:r>
      <w:r w:rsidRPr="00BF1FAB">
        <w:rPr>
          <w:noProof/>
        </w:rPr>
        <w:t>registroch duševného vlastníctva. Netýka sa však záležitostí súvisiacich</w:t>
      </w:r>
      <w:r w:rsidR="009B649A">
        <w:rPr>
          <w:noProof/>
        </w:rPr>
        <w:t xml:space="preserve"> s </w:t>
      </w:r>
      <w:r w:rsidRPr="00BF1FAB">
        <w:rPr>
          <w:noProof/>
        </w:rPr>
        <w:t>hmotným právom (definícia dizajnu, podmienky platnosti alebo rozsah ochrany).</w:t>
      </w:r>
    </w:p>
    <w:p w14:paraId="528C45A3" w14:textId="1F844692" w:rsidR="008B56D0" w:rsidRPr="00BF1FAB" w:rsidRDefault="008B56D0" w:rsidP="00232C4B">
      <w:pPr>
        <w:rPr>
          <w:noProof/>
        </w:rPr>
      </w:pPr>
      <w:r w:rsidRPr="00BF1FAB">
        <w:rPr>
          <w:noProof/>
        </w:rPr>
        <w:t>Zmluva</w:t>
      </w:r>
      <w:r w:rsidR="009B649A">
        <w:rPr>
          <w:noProof/>
        </w:rPr>
        <w:t xml:space="preserve"> o </w:t>
      </w:r>
      <w:r w:rsidRPr="00BF1FAB">
        <w:rPr>
          <w:noProof/>
        </w:rPr>
        <w:t>práve dizajnu obsahuje predovšetkým procesné ustanovenia, ktoré sa týkajú vymedzenia pojmov (článok 1), všeobecných zásad (článok 1a), rozsahu pôsobnosti (článok 2), obsahu prihlášok dizajnov (článok 3), vyobrazenia (článok 4), pravidiel súvisiacich</w:t>
      </w:r>
      <w:r w:rsidR="009B649A">
        <w:rPr>
          <w:noProof/>
        </w:rPr>
        <w:t xml:space="preserve"> s </w:t>
      </w:r>
      <w:r w:rsidRPr="00BF1FAB">
        <w:rPr>
          <w:noProof/>
        </w:rPr>
        <w:t>dátumom podania prihlášky (článok 5), pravidiel odkladu na podanie prihlášky dizajnu</w:t>
      </w:r>
      <w:r w:rsidR="009B649A">
        <w:rPr>
          <w:noProof/>
        </w:rPr>
        <w:t xml:space="preserve"> v </w:t>
      </w:r>
      <w:r w:rsidRPr="00BF1FAB">
        <w:rPr>
          <w:noProof/>
        </w:rPr>
        <w:t>prípade skoršieho zverejnenia (článok 6), požiadavky podať prihlášku</w:t>
      </w:r>
      <w:r w:rsidR="009B649A">
        <w:rPr>
          <w:noProof/>
        </w:rPr>
        <w:t xml:space="preserve"> v </w:t>
      </w:r>
      <w:r w:rsidRPr="00BF1FAB">
        <w:rPr>
          <w:noProof/>
        </w:rPr>
        <w:t>mene pôvodcu (článok 7), zmien</w:t>
      </w:r>
      <w:r w:rsidR="009B649A">
        <w:rPr>
          <w:noProof/>
        </w:rPr>
        <w:t xml:space="preserve"> a </w:t>
      </w:r>
      <w:r w:rsidRPr="00BF1FAB">
        <w:rPr>
          <w:noProof/>
        </w:rPr>
        <w:t>rozdelení (článok 8), uverejnenia dizajnu (článok 9), oznámení (článok 10), obsahu žiadostí</w:t>
      </w:r>
      <w:r w:rsidR="009B649A">
        <w:rPr>
          <w:noProof/>
        </w:rPr>
        <w:t xml:space="preserve"> o </w:t>
      </w:r>
      <w:r w:rsidRPr="00BF1FAB">
        <w:rPr>
          <w:noProof/>
        </w:rPr>
        <w:t>obnovu (článok 11), opatrení na odloženie</w:t>
      </w:r>
      <w:r w:rsidR="009B649A">
        <w:rPr>
          <w:noProof/>
        </w:rPr>
        <w:t xml:space="preserve"> v </w:t>
      </w:r>
      <w:r w:rsidRPr="00BF1FAB">
        <w:rPr>
          <w:noProof/>
        </w:rPr>
        <w:t>súvislosti</w:t>
      </w:r>
      <w:r w:rsidR="009B649A">
        <w:rPr>
          <w:noProof/>
        </w:rPr>
        <w:t xml:space="preserve"> s </w:t>
      </w:r>
      <w:r w:rsidRPr="00BF1FAB">
        <w:rPr>
          <w:noProof/>
        </w:rPr>
        <w:t>lehotami (články 12 – 13), opravy alebo doplnenia vyhlásení</w:t>
      </w:r>
      <w:r w:rsidR="009B649A">
        <w:rPr>
          <w:noProof/>
        </w:rPr>
        <w:t xml:space="preserve"> o </w:t>
      </w:r>
      <w:r w:rsidRPr="00BF1FAB">
        <w:rPr>
          <w:noProof/>
        </w:rPr>
        <w:t>práve prednosti (článok 14), žiadosti</w:t>
      </w:r>
      <w:r w:rsidR="009B649A">
        <w:rPr>
          <w:noProof/>
        </w:rPr>
        <w:t xml:space="preserve"> o </w:t>
      </w:r>
      <w:r w:rsidRPr="00BF1FAB">
        <w:rPr>
          <w:noProof/>
        </w:rPr>
        <w:t>zápis licencie</w:t>
      </w:r>
      <w:r w:rsidR="009B649A">
        <w:rPr>
          <w:noProof/>
        </w:rPr>
        <w:t xml:space="preserve"> a </w:t>
      </w:r>
      <w:r w:rsidRPr="00BF1FAB">
        <w:rPr>
          <w:noProof/>
        </w:rPr>
        <w:t>vplyv nezapísania licencie (články 15 – 17), uvedenia nadobúdateľa licencie (článok 18), zaznamenania zmeny vlastníctva (článok 19), zmeny mien alebo adries (článok 20), opravy chýb (článok 21), technickej pomoci pre zmluvné strany (článok 22)</w:t>
      </w:r>
      <w:r w:rsidR="009B649A">
        <w:rPr>
          <w:noProof/>
        </w:rPr>
        <w:t xml:space="preserve"> a </w:t>
      </w:r>
      <w:r w:rsidRPr="00BF1FAB">
        <w:rPr>
          <w:noProof/>
        </w:rPr>
        <w:t>nariadení pripojených</w:t>
      </w:r>
      <w:r w:rsidR="009B649A">
        <w:rPr>
          <w:noProof/>
        </w:rPr>
        <w:t xml:space="preserve"> k </w:t>
      </w:r>
      <w:r w:rsidRPr="00BF1FAB">
        <w:rPr>
          <w:noProof/>
        </w:rPr>
        <w:t xml:space="preserve">zmluve (článok 23). </w:t>
      </w:r>
    </w:p>
    <w:p w14:paraId="6A586D08" w14:textId="57B54CA0" w:rsidR="008B56D0" w:rsidRPr="00BF1FAB" w:rsidRDefault="00A8253A" w:rsidP="00232C4B">
      <w:pPr>
        <w:rPr>
          <w:noProof/>
        </w:rPr>
      </w:pPr>
      <w:r w:rsidRPr="00BF1FAB">
        <w:rPr>
          <w:noProof/>
        </w:rPr>
        <w:t>Článok 3 zmluvy</w:t>
      </w:r>
      <w:r w:rsidR="009B649A">
        <w:rPr>
          <w:noProof/>
        </w:rPr>
        <w:t xml:space="preserve"> o </w:t>
      </w:r>
      <w:r w:rsidRPr="00BF1FAB">
        <w:rPr>
          <w:noProof/>
        </w:rPr>
        <w:t>práve dizajnu okrem iného umožňuje zmluvným stranám, aby od prihlasovateľov požadovali zverejnenie pôvodu alebo zdroja tradičných kultúrnych prejavov, poznatkov pôvodného obyvateľstva alebo biologických, resp. genetických zdrojov, ktoré boli použité</w:t>
      </w:r>
      <w:r w:rsidR="009B649A">
        <w:rPr>
          <w:noProof/>
        </w:rPr>
        <w:t xml:space="preserve"> v </w:t>
      </w:r>
      <w:r w:rsidRPr="00BF1FAB">
        <w:rPr>
          <w:noProof/>
        </w:rPr>
        <w:t>dizajne alebo sú do neho začlenené. Hoci sa táto požiadavka svojou povahou líši od požiadavky povinného zverejnenia navrhnutej</w:t>
      </w:r>
      <w:r w:rsidR="009B649A">
        <w:rPr>
          <w:noProof/>
        </w:rPr>
        <w:t xml:space="preserve"> v </w:t>
      </w:r>
      <w:r w:rsidRPr="00BF1FAB">
        <w:rPr>
          <w:noProof/>
        </w:rPr>
        <w:t xml:space="preserve">nástroji GR, ktorú by zmluvné strany boli povinné zaviesť do svojich vnútroštátnych právnych predpisov, </w:t>
      </w:r>
      <w:bookmarkStart w:id="1" w:name="_Hlk160113097"/>
      <w:r w:rsidRPr="00BF1FAB">
        <w:rPr>
          <w:noProof/>
        </w:rPr>
        <w:t>aj tak by mohla narušovať získavanie ochrany dizajnov</w:t>
      </w:r>
      <w:r w:rsidR="009B649A">
        <w:rPr>
          <w:noProof/>
        </w:rPr>
        <w:t xml:space="preserve"> v </w:t>
      </w:r>
      <w:r w:rsidRPr="00BF1FAB">
        <w:rPr>
          <w:noProof/>
        </w:rPr>
        <w:t>jurisdikciách, ktoré sa ju rozhodnú uplatňovať</w:t>
      </w:r>
      <w:bookmarkEnd w:id="1"/>
      <w:r w:rsidRPr="00BF1FAB">
        <w:rPr>
          <w:noProof/>
        </w:rPr>
        <w:t>.</w:t>
      </w:r>
    </w:p>
    <w:p w14:paraId="5D5BBE8C" w14:textId="492E9817" w:rsidR="008B56D0" w:rsidRPr="00BF1FAB" w:rsidRDefault="008B56D0" w:rsidP="00232C4B">
      <w:pPr>
        <w:rPr>
          <w:noProof/>
        </w:rPr>
      </w:pPr>
      <w:r w:rsidRPr="00BF1FAB">
        <w:rPr>
          <w:noProof/>
        </w:rPr>
        <w:t>Správne opatrenia</w:t>
      </w:r>
      <w:r w:rsidR="009B649A">
        <w:rPr>
          <w:noProof/>
        </w:rPr>
        <w:t xml:space="preserve"> a </w:t>
      </w:r>
      <w:r w:rsidRPr="00BF1FAB">
        <w:rPr>
          <w:noProof/>
        </w:rPr>
        <w:t>záverečné doložky obsahujú inštitucionálny rámec, ktorým sa zmluva</w:t>
      </w:r>
      <w:r w:rsidR="009B649A">
        <w:rPr>
          <w:noProof/>
        </w:rPr>
        <w:t xml:space="preserve"> o </w:t>
      </w:r>
      <w:r w:rsidRPr="00BF1FAB">
        <w:rPr>
          <w:noProof/>
        </w:rPr>
        <w:t>práve dizajnu bude riadiť. Tento rámec zahŕňa zhromaždenie,</w:t>
      </w:r>
      <w:r w:rsidR="009B649A">
        <w:rPr>
          <w:noProof/>
        </w:rPr>
        <w:t xml:space="preserve"> v </w:t>
      </w:r>
      <w:r w:rsidRPr="00BF1FAB">
        <w:rPr>
          <w:noProof/>
        </w:rPr>
        <w:t>ktorom budú zmluvné strany zastúpené</w:t>
      </w:r>
      <w:r w:rsidR="009B649A">
        <w:rPr>
          <w:noProof/>
        </w:rPr>
        <w:t xml:space="preserve"> a </w:t>
      </w:r>
      <w:r w:rsidRPr="00BF1FAB">
        <w:rPr>
          <w:noProof/>
        </w:rPr>
        <w:t>budú sa zaoberať všetkými záležitosťami týkajúcimi sa udržiavania</w:t>
      </w:r>
      <w:r w:rsidR="009B649A">
        <w:rPr>
          <w:noProof/>
        </w:rPr>
        <w:t xml:space="preserve"> a </w:t>
      </w:r>
      <w:r w:rsidRPr="00BF1FAB">
        <w:rPr>
          <w:noProof/>
        </w:rPr>
        <w:t>rozvoja zmluvy, ako aj iných úloh (článok 24),</w:t>
      </w:r>
      <w:r w:rsidR="009B649A">
        <w:rPr>
          <w:noProof/>
        </w:rPr>
        <w:t xml:space="preserve"> a </w:t>
      </w:r>
      <w:r w:rsidRPr="00BF1FAB">
        <w:rPr>
          <w:noProof/>
        </w:rPr>
        <w:t>Medzinárodný úrad Svetovej organizácie duševného vlastníctva, ktorý bude musieť plniť administratívne úlohy týkajúce sa zmluvy (článok 25).</w:t>
      </w:r>
    </w:p>
    <w:p w14:paraId="23A9D741" w14:textId="1D68F71C" w:rsidR="008B56D0" w:rsidRPr="00BF1FAB" w:rsidRDefault="008B56D0" w:rsidP="00232C4B">
      <w:pPr>
        <w:rPr>
          <w:noProof/>
        </w:rPr>
      </w:pPr>
      <w:r w:rsidRPr="00BF1FAB">
        <w:rPr>
          <w:noProof/>
        </w:rPr>
        <w:t>Stanovujú sa aj pravidlá, ktoré sa týkajú preskúmania zmluvy</w:t>
      </w:r>
      <w:r w:rsidR="009B649A">
        <w:rPr>
          <w:noProof/>
        </w:rPr>
        <w:t xml:space="preserve"> o </w:t>
      </w:r>
      <w:r w:rsidRPr="00BF1FAB">
        <w:rPr>
          <w:noProof/>
        </w:rPr>
        <w:t>práve dizajnu (článok 26), oprávnenosti stať sa zmluvnou stranou (článok 27), nadobudnutia účinnosti (článok 28), vypovedania (článok 30), jazykov, podpisu</w:t>
      </w:r>
      <w:r w:rsidR="009B649A">
        <w:rPr>
          <w:noProof/>
        </w:rPr>
        <w:t xml:space="preserve"> a </w:t>
      </w:r>
      <w:r w:rsidRPr="00BF1FAB">
        <w:rPr>
          <w:noProof/>
        </w:rPr>
        <w:t>depozitára (články 31 – 32).</w:t>
      </w:r>
    </w:p>
    <w:p w14:paraId="45B39CA6" w14:textId="3D6A2300" w:rsidR="00AB3F1B" w:rsidRPr="00BF1FAB" w:rsidRDefault="008B56D0" w:rsidP="00232C4B">
      <w:pPr>
        <w:rPr>
          <w:noProof/>
        </w:rPr>
      </w:pPr>
      <w:r w:rsidRPr="00BF1FAB">
        <w:rPr>
          <w:noProof/>
        </w:rPr>
        <w:t>Zmluva</w:t>
      </w:r>
      <w:r w:rsidR="009B649A">
        <w:rPr>
          <w:noProof/>
        </w:rPr>
        <w:t xml:space="preserve"> o </w:t>
      </w:r>
      <w:r w:rsidRPr="00BF1FAB">
        <w:rPr>
          <w:noProof/>
        </w:rPr>
        <w:t>práve dizajnu bude prínosom pre kreatívny priemysel</w:t>
      </w:r>
      <w:r w:rsidR="009B649A">
        <w:rPr>
          <w:noProof/>
        </w:rPr>
        <w:t xml:space="preserve"> a </w:t>
      </w:r>
      <w:r w:rsidRPr="00BF1FAB">
        <w:rPr>
          <w:noProof/>
        </w:rPr>
        <w:t>dizajnérov, najmä tým, že sa medzinárodný zápis dizajnov uľahčí</w:t>
      </w:r>
      <w:r w:rsidR="009B649A">
        <w:rPr>
          <w:noProof/>
        </w:rPr>
        <w:t xml:space="preserve"> a </w:t>
      </w:r>
      <w:r w:rsidRPr="00BF1FAB">
        <w:rPr>
          <w:noProof/>
        </w:rPr>
        <w:t>stane sa predvídateľnejším. Požiadavka na zverejnenie by sa však mohla považovať za nezlučiteľnú</w:t>
      </w:r>
      <w:r w:rsidR="009B649A">
        <w:rPr>
          <w:noProof/>
        </w:rPr>
        <w:t xml:space="preserve"> s </w:t>
      </w:r>
      <w:r w:rsidRPr="00BF1FAB">
        <w:rPr>
          <w:noProof/>
        </w:rPr>
        <w:t>procesnými pravidlami týkajúcimi sa postupov dizajnu.</w:t>
      </w:r>
    </w:p>
    <w:p w14:paraId="168D6373" w14:textId="77777777" w:rsidR="00AB3F1B" w:rsidRPr="00BF1FAB" w:rsidRDefault="008B56D0" w:rsidP="006F42AE">
      <w:pPr>
        <w:pStyle w:val="ManualHeading2"/>
        <w:rPr>
          <w:noProof/>
        </w:rPr>
      </w:pPr>
      <w:r w:rsidRPr="00BF1FAB">
        <w:rPr>
          <w:noProof/>
        </w:rPr>
        <w:t>Právomoc EÚ</w:t>
      </w:r>
    </w:p>
    <w:p w14:paraId="492CEFC5" w14:textId="60E0C4C8" w:rsidR="008B56D0" w:rsidRPr="00BF1FAB" w:rsidRDefault="008B56D0" w:rsidP="008B56D0">
      <w:pPr>
        <w:rPr>
          <w:noProof/>
          <w:szCs w:val="24"/>
        </w:rPr>
      </w:pPr>
      <w:r w:rsidRPr="00BF1FAB">
        <w:rPr>
          <w:noProof/>
        </w:rPr>
        <w:t>Pred začatím rokovaní</w:t>
      </w:r>
      <w:r w:rsidR="009B649A">
        <w:rPr>
          <w:noProof/>
        </w:rPr>
        <w:t xml:space="preserve"> o </w:t>
      </w:r>
      <w:r w:rsidRPr="00BF1FAB">
        <w:rPr>
          <w:noProof/>
        </w:rPr>
        <w:t>znení zmluvy</w:t>
      </w:r>
      <w:r w:rsidR="009B649A">
        <w:rPr>
          <w:noProof/>
        </w:rPr>
        <w:t xml:space="preserve"> o </w:t>
      </w:r>
      <w:r w:rsidRPr="00BF1FAB">
        <w:rPr>
          <w:noProof/>
        </w:rPr>
        <w:t>práve dizajnu na diplomatickej konferencii je potrebné vykonať predbežné posúdenie právomocí EÚ. Predbežné posúdenie nemá vplyv na konečné posúdenie právomocí EÚ, ktoré by sa malo vykonať po tom, ako sa rokujúce strany dohodnú na znení.</w:t>
      </w:r>
      <w:r w:rsidR="009B649A">
        <w:rPr>
          <w:noProof/>
        </w:rPr>
        <w:t xml:space="preserve"> V </w:t>
      </w:r>
      <w:r w:rsidRPr="00BF1FAB">
        <w:rPr>
          <w:noProof/>
        </w:rPr>
        <w:t>tomto ohľade je pri rozhodovaní</w:t>
      </w:r>
      <w:r w:rsidR="009B649A">
        <w:rPr>
          <w:noProof/>
        </w:rPr>
        <w:t xml:space="preserve"> o </w:t>
      </w:r>
      <w:r w:rsidRPr="00BF1FAB">
        <w:rPr>
          <w:noProof/>
        </w:rPr>
        <w:t>právomoci EÚ</w:t>
      </w:r>
      <w:r w:rsidR="009B649A">
        <w:rPr>
          <w:noProof/>
        </w:rPr>
        <w:t xml:space="preserve"> v </w:t>
      </w:r>
      <w:r w:rsidRPr="00BF1FAB">
        <w:rPr>
          <w:noProof/>
        </w:rPr>
        <w:t>súvislosti so zmluvou</w:t>
      </w:r>
      <w:r w:rsidR="009B649A">
        <w:rPr>
          <w:noProof/>
        </w:rPr>
        <w:t xml:space="preserve"> o </w:t>
      </w:r>
      <w:r w:rsidRPr="00BF1FAB">
        <w:rPr>
          <w:noProof/>
        </w:rPr>
        <w:t>práve dizajnu relevantný článok 3 ods. 1</w:t>
      </w:r>
      <w:r w:rsidR="009B649A">
        <w:rPr>
          <w:noProof/>
        </w:rPr>
        <w:t xml:space="preserve"> a </w:t>
      </w:r>
      <w:r w:rsidRPr="00BF1FAB">
        <w:rPr>
          <w:noProof/>
        </w:rPr>
        <w:t>článok 3 ods. 2 Zmluvy</w:t>
      </w:r>
      <w:r w:rsidR="009B649A">
        <w:rPr>
          <w:noProof/>
        </w:rPr>
        <w:t xml:space="preserve"> o </w:t>
      </w:r>
      <w:r w:rsidRPr="00BF1FAB">
        <w:rPr>
          <w:noProof/>
        </w:rPr>
        <w:t>fungovaní Európskej únie (ZFEÚ).</w:t>
      </w:r>
    </w:p>
    <w:p w14:paraId="5BF72CDC" w14:textId="05EA346C" w:rsidR="00AB3F1B" w:rsidRPr="00BF1FAB" w:rsidRDefault="008B56D0" w:rsidP="008B56D0">
      <w:pPr>
        <w:rPr>
          <w:noProof/>
          <w:szCs w:val="24"/>
        </w:rPr>
      </w:pPr>
      <w:r w:rsidRPr="00BF1FAB">
        <w:rPr>
          <w:noProof/>
        </w:rPr>
        <w:lastRenderedPageBreak/>
        <w:t>Podľa článku 3 ods. 1 ZFEÚ má EÚ výlučnú právomoc</w:t>
      </w:r>
      <w:r w:rsidR="009B649A">
        <w:rPr>
          <w:noProof/>
        </w:rPr>
        <w:t xml:space="preserve"> v </w:t>
      </w:r>
      <w:r w:rsidRPr="00BF1FAB">
        <w:rPr>
          <w:noProof/>
        </w:rPr>
        <w:t>záležitostiach, ktoré patria do rozsahu pôsobnosti spoločnej obchodnej politiky. Medzinárodné záväzky, ktoré sa týkajú duševného vlastníctva, môžu patriť do spoločnej obchodnej politiky, ak majú osobitnú súvislosť</w:t>
      </w:r>
      <w:r w:rsidR="009B649A">
        <w:rPr>
          <w:noProof/>
        </w:rPr>
        <w:t xml:space="preserve"> s </w:t>
      </w:r>
      <w:r w:rsidRPr="00BF1FAB">
        <w:rPr>
          <w:noProof/>
        </w:rPr>
        <w:t>medzinárodným obchodom, ktorá sa prejavuje tým, že: i) ich hlavným cieľom je podporiť, zjednodušiť alebo riadiť takýto obchod; ii) majú na ňu priamy</w:t>
      </w:r>
      <w:r w:rsidR="009B649A">
        <w:rPr>
          <w:noProof/>
        </w:rPr>
        <w:t xml:space="preserve"> a </w:t>
      </w:r>
      <w:r w:rsidRPr="00BF1FAB">
        <w:rPr>
          <w:noProof/>
        </w:rPr>
        <w:t>bezprostredný vplyv. Aby bolo možné posúdiť, či sú tieto podmienky splnené, je potrebné zvážiť účel</w:t>
      </w:r>
      <w:r w:rsidR="009B649A">
        <w:rPr>
          <w:noProof/>
        </w:rPr>
        <w:t xml:space="preserve"> a </w:t>
      </w:r>
      <w:r w:rsidRPr="00BF1FAB">
        <w:rPr>
          <w:noProof/>
        </w:rPr>
        <w:t>obsah medzinárodných záväzkov.</w:t>
      </w:r>
    </w:p>
    <w:p w14:paraId="3480DB06" w14:textId="14CE07DE" w:rsidR="00AB3F1B" w:rsidRPr="00BF1FAB" w:rsidRDefault="008B56D0" w:rsidP="006F42AE">
      <w:pPr>
        <w:rPr>
          <w:noProof/>
        </w:rPr>
      </w:pPr>
      <w:r w:rsidRPr="00BF1FAB">
        <w:rPr>
          <w:noProof/>
        </w:rPr>
        <w:t>Účelom zmluvy</w:t>
      </w:r>
      <w:r w:rsidR="009B649A">
        <w:rPr>
          <w:noProof/>
        </w:rPr>
        <w:t xml:space="preserve"> o </w:t>
      </w:r>
      <w:r w:rsidRPr="00BF1FAB">
        <w:rPr>
          <w:noProof/>
        </w:rPr>
        <w:t>práve dizajnu je harmonizovať postupy pri prihlasovaní dizajnov,</w:t>
      </w:r>
      <w:r w:rsidR="009B649A">
        <w:rPr>
          <w:noProof/>
        </w:rPr>
        <w:t xml:space="preserve"> a </w:t>
      </w:r>
      <w:r w:rsidRPr="00BF1FAB">
        <w:rPr>
          <w:noProof/>
        </w:rPr>
        <w:t>tým stanoviť spoločné pravidlá pre toto odvetvie.</w:t>
      </w:r>
      <w:r w:rsidR="009B649A">
        <w:rPr>
          <w:noProof/>
        </w:rPr>
        <w:t xml:space="preserve"> V </w:t>
      </w:r>
      <w:r w:rsidRPr="00BF1FAB">
        <w:rPr>
          <w:noProof/>
        </w:rPr>
        <w:t>návrhu znenia zmluvy</w:t>
      </w:r>
      <w:r w:rsidR="009B649A">
        <w:rPr>
          <w:noProof/>
        </w:rPr>
        <w:t xml:space="preserve"> o </w:t>
      </w:r>
      <w:r w:rsidRPr="00BF1FAB">
        <w:rPr>
          <w:noProof/>
        </w:rPr>
        <w:t>práve dizajnu však nie je osobitné ustanovenie,</w:t>
      </w:r>
      <w:r w:rsidR="009B649A">
        <w:rPr>
          <w:noProof/>
        </w:rPr>
        <w:t xml:space="preserve"> v </w:t>
      </w:r>
      <w:r w:rsidRPr="00BF1FAB">
        <w:rPr>
          <w:noProof/>
        </w:rPr>
        <w:t>ktorom by bol podrobne opísaný jej cieľ. To prispieva</w:t>
      </w:r>
      <w:r w:rsidR="009B649A">
        <w:rPr>
          <w:noProof/>
        </w:rPr>
        <w:t xml:space="preserve"> k </w:t>
      </w:r>
      <w:r w:rsidRPr="00BF1FAB">
        <w:rPr>
          <w:noProof/>
        </w:rPr>
        <w:t>právnej istote</w:t>
      </w:r>
      <w:r w:rsidR="009B649A">
        <w:rPr>
          <w:noProof/>
        </w:rPr>
        <w:t xml:space="preserve"> a </w:t>
      </w:r>
      <w:r w:rsidRPr="00BF1FAB">
        <w:rPr>
          <w:noProof/>
        </w:rPr>
        <w:t>konzistentnosti,</w:t>
      </w:r>
      <w:r w:rsidR="009B649A">
        <w:rPr>
          <w:noProof/>
        </w:rPr>
        <w:t xml:space="preserve"> a </w:t>
      </w:r>
      <w:r w:rsidRPr="00BF1FAB">
        <w:rPr>
          <w:noProof/>
        </w:rPr>
        <w:t>tak je prínosom pre systém dizajnu. Harmonizáciou formálnych požiadaviek</w:t>
      </w:r>
      <w:r w:rsidR="009B649A">
        <w:rPr>
          <w:noProof/>
        </w:rPr>
        <w:t xml:space="preserve"> a </w:t>
      </w:r>
      <w:r w:rsidRPr="00BF1FAB">
        <w:rPr>
          <w:noProof/>
        </w:rPr>
        <w:t>obdobia odkladu, na základe ktorých môžu prihlasovatelia získať ochranu dizajnov, sa prispieva</w:t>
      </w:r>
      <w:r w:rsidR="009B649A">
        <w:rPr>
          <w:noProof/>
        </w:rPr>
        <w:t xml:space="preserve"> k </w:t>
      </w:r>
      <w:r w:rsidRPr="00BF1FAB">
        <w:rPr>
          <w:noProof/>
        </w:rPr>
        <w:t>účasti hospodárskych subjektov, ktoré obchodujú po celom svete,</w:t>
      </w:r>
      <w:r w:rsidR="009B649A">
        <w:rPr>
          <w:noProof/>
        </w:rPr>
        <w:t xml:space="preserve"> a </w:t>
      </w:r>
      <w:r w:rsidRPr="00BF1FAB">
        <w:rPr>
          <w:noProof/>
        </w:rPr>
        <w:t>to za rovnakých podmienok. Na základe týchto skutočností možno predpokladať, že hlavným cieľom zmluvy</w:t>
      </w:r>
      <w:r w:rsidR="009B649A">
        <w:rPr>
          <w:noProof/>
        </w:rPr>
        <w:t xml:space="preserve"> o </w:t>
      </w:r>
      <w:r w:rsidRPr="00BF1FAB">
        <w:rPr>
          <w:noProof/>
        </w:rPr>
        <w:t>práve dizajnu je zvýšiť účinnosť, transparentnosť, konzistentnosť</w:t>
      </w:r>
      <w:r w:rsidR="009B649A">
        <w:rPr>
          <w:noProof/>
        </w:rPr>
        <w:t xml:space="preserve"> a </w:t>
      </w:r>
      <w:r w:rsidRPr="00BF1FAB">
        <w:rPr>
          <w:noProof/>
        </w:rPr>
        <w:t>právnu istotu systému dizajnu,</w:t>
      </w:r>
      <w:r w:rsidR="009B649A">
        <w:rPr>
          <w:noProof/>
        </w:rPr>
        <w:t xml:space="preserve"> a </w:t>
      </w:r>
      <w:r w:rsidRPr="00BF1FAB">
        <w:rPr>
          <w:noProof/>
        </w:rPr>
        <w:t>tým podporiť, zjednodušiť</w:t>
      </w:r>
      <w:r w:rsidR="009B649A">
        <w:rPr>
          <w:noProof/>
        </w:rPr>
        <w:t xml:space="preserve"> a </w:t>
      </w:r>
      <w:r w:rsidRPr="00BF1FAB">
        <w:rPr>
          <w:noProof/>
        </w:rPr>
        <w:t xml:space="preserve">riadiť medzinárodný obchod. </w:t>
      </w:r>
    </w:p>
    <w:p w14:paraId="4E5F4C9F" w14:textId="18257E08" w:rsidR="00AB3F1B" w:rsidRPr="00BF1FAB" w:rsidRDefault="008B56D0" w:rsidP="006F42AE">
      <w:pPr>
        <w:rPr>
          <w:rFonts w:eastAsia="Arial Unicode MS"/>
          <w:noProof/>
        </w:rPr>
      </w:pPr>
      <w:r w:rsidRPr="00BF1FAB">
        <w:rPr>
          <w:noProof/>
        </w:rPr>
        <w:t>Obsah zmluvy</w:t>
      </w:r>
      <w:r w:rsidR="009B649A">
        <w:rPr>
          <w:noProof/>
        </w:rPr>
        <w:t xml:space="preserve"> o </w:t>
      </w:r>
      <w:r w:rsidRPr="00BF1FAB">
        <w:rPr>
          <w:noProof/>
        </w:rPr>
        <w:t>práve dizajnu sa zameriava predovšetkým na formality, ktoré sú uplatniteľné pri prihláškach dizajnov</w:t>
      </w:r>
      <w:r w:rsidR="009B649A">
        <w:rPr>
          <w:noProof/>
        </w:rPr>
        <w:t xml:space="preserve"> a </w:t>
      </w:r>
      <w:bookmarkStart w:id="2" w:name="_Hlk160097920"/>
      <w:r w:rsidRPr="00BF1FAB">
        <w:rPr>
          <w:noProof/>
        </w:rPr>
        <w:t xml:space="preserve">okrem obdobia odkladu nezahŕňa hmotnoprávne ustanovenia (oprávnenosť dizajnov na ochranu, rozsah ochrany dizajnov atď.). </w:t>
      </w:r>
      <w:bookmarkEnd w:id="2"/>
      <w:r w:rsidRPr="00BF1FAB">
        <w:rPr>
          <w:noProof/>
        </w:rPr>
        <w:t>Bolo by možné domnievať sa, že harmonizácia formalít má vplyv na medzinárodný obchod. Napríklad Súdny dvor Európskej únie rozhodol vo veci C-389/15</w:t>
      </w:r>
      <w:r w:rsidR="007E4557" w:rsidRPr="00BF1FAB">
        <w:rPr>
          <w:rStyle w:val="FootnoteReference"/>
          <w:noProof/>
        </w:rPr>
        <w:footnoteReference w:id="1"/>
      </w:r>
      <w:r w:rsidRPr="00BF1FAB">
        <w:rPr>
          <w:noProof/>
        </w:rPr>
        <w:t>, že vytvorenie jednotného mechanizmu registrácie by viedlo</w:t>
      </w:r>
      <w:r w:rsidR="009B649A">
        <w:rPr>
          <w:noProof/>
        </w:rPr>
        <w:t xml:space="preserve"> k </w:t>
      </w:r>
      <w:r w:rsidRPr="00BF1FAB">
        <w:rPr>
          <w:noProof/>
        </w:rPr>
        <w:t>tomu, že by revidovaná Lisabonská dohoda</w:t>
      </w:r>
      <w:r w:rsidR="009B649A">
        <w:rPr>
          <w:noProof/>
        </w:rPr>
        <w:t xml:space="preserve"> o </w:t>
      </w:r>
      <w:r w:rsidRPr="00BF1FAB">
        <w:rPr>
          <w:noProof/>
        </w:rPr>
        <w:t>označeniach pôvodu</w:t>
      </w:r>
      <w:r w:rsidR="009B649A">
        <w:rPr>
          <w:noProof/>
        </w:rPr>
        <w:t xml:space="preserve"> a </w:t>
      </w:r>
      <w:r w:rsidRPr="00BF1FAB">
        <w:rPr>
          <w:noProof/>
        </w:rPr>
        <w:t>zemepisných označeniach mala priamy</w:t>
      </w:r>
      <w:r w:rsidR="009B649A">
        <w:rPr>
          <w:noProof/>
        </w:rPr>
        <w:t xml:space="preserve"> a </w:t>
      </w:r>
      <w:r w:rsidRPr="00BF1FAB">
        <w:rPr>
          <w:noProof/>
        </w:rPr>
        <w:t>okamžitý účinok na zmeny príslušných podmienok medzi EÚ</w:t>
      </w:r>
      <w:r w:rsidR="009B649A">
        <w:rPr>
          <w:noProof/>
        </w:rPr>
        <w:t xml:space="preserve"> a </w:t>
      </w:r>
      <w:r w:rsidRPr="00BF1FAB">
        <w:rPr>
          <w:noProof/>
        </w:rPr>
        <w:t>krajinami mimo EÚ (pozri bod 70). Okrem toho zmluva</w:t>
      </w:r>
      <w:r w:rsidR="009B649A">
        <w:rPr>
          <w:noProof/>
        </w:rPr>
        <w:t xml:space="preserve"> o </w:t>
      </w:r>
      <w:r w:rsidRPr="00BF1FAB">
        <w:rPr>
          <w:noProof/>
        </w:rPr>
        <w:t>práve dizajnu obsahuje hmotnoprávne ustanovenie (článok 6): harmonizácia obdobia odkladu (na 6 alebo 12 mesiacov). Dĺžka obdobia odkladu priamo vplýva na oprávnenosť ochrany dizajnov zverejnenej pred podaním prihlášky na ochranu dizajnov. Toto ustanovenie zmluvy</w:t>
      </w:r>
      <w:r w:rsidR="009B649A">
        <w:rPr>
          <w:noProof/>
        </w:rPr>
        <w:t xml:space="preserve"> o </w:t>
      </w:r>
      <w:r w:rsidRPr="00BF1FAB">
        <w:rPr>
          <w:noProof/>
        </w:rPr>
        <w:t>práve dizajnu by mohlo mať priamy</w:t>
      </w:r>
      <w:r w:rsidR="009B649A">
        <w:rPr>
          <w:noProof/>
        </w:rPr>
        <w:t xml:space="preserve"> a </w:t>
      </w:r>
      <w:r w:rsidRPr="00BF1FAB">
        <w:rPr>
          <w:noProof/>
        </w:rPr>
        <w:t>bezprostredný vplyv na spory týkajúce sa dizajnov, ktoré vznikajú</w:t>
      </w:r>
      <w:r w:rsidR="009B649A">
        <w:rPr>
          <w:noProof/>
        </w:rPr>
        <w:t xml:space="preserve"> v </w:t>
      </w:r>
      <w:r w:rsidRPr="00BF1FAB">
        <w:rPr>
          <w:noProof/>
        </w:rPr>
        <w:t>kontexte medzinárodného obchodu</w:t>
      </w:r>
      <w:r w:rsidR="009B649A">
        <w:rPr>
          <w:noProof/>
        </w:rPr>
        <w:t xml:space="preserve"> s </w:t>
      </w:r>
      <w:r w:rsidRPr="00BF1FAB">
        <w:rPr>
          <w:noProof/>
        </w:rPr>
        <w:t xml:space="preserve">výrobkami oprávnenými na ochranu dizajnov. </w:t>
      </w:r>
    </w:p>
    <w:p w14:paraId="390B48A1" w14:textId="7A20F629" w:rsidR="008B56D0" w:rsidRPr="00BF1FAB" w:rsidRDefault="008B56D0" w:rsidP="008B56D0">
      <w:pPr>
        <w:rPr>
          <w:noProof/>
          <w:szCs w:val="24"/>
        </w:rPr>
      </w:pPr>
      <w:r w:rsidRPr="00BF1FAB">
        <w:rPr>
          <w:noProof/>
        </w:rPr>
        <w:t>Podľa článku 3 ods. 2 ZFEÚ má EÚ výlučnú právomoc uzavrieť medzinárodnú dohodu, ak ňou môžu byť dotknuté spoločné pravidlá EÚ alebo pozmenený rozsah ich pôsobnosti,</w:t>
      </w:r>
      <w:r w:rsidR="009B649A">
        <w:rPr>
          <w:noProof/>
        </w:rPr>
        <w:t xml:space="preserve"> v </w:t>
      </w:r>
      <w:r w:rsidRPr="00BF1FAB">
        <w:rPr>
          <w:noProof/>
        </w:rPr>
        <w:t>prípade, že záväzky patria do oblasti, na ktorú sa tieto pravidlá už vo veľkej miere vzťahujú (bez toho, aby bola potrebná úplná zhoda oblastí).</w:t>
      </w:r>
      <w:r w:rsidR="009B649A">
        <w:rPr>
          <w:noProof/>
        </w:rPr>
        <w:t xml:space="preserve"> V </w:t>
      </w:r>
      <w:r w:rsidRPr="00BF1FAB">
        <w:rPr>
          <w:noProof/>
        </w:rPr>
        <w:t>analýze vypracovanej podľa článku 3 ods. 2 ZFEÚ treba vziať do úvahy: i) oblasti, na ktoré sa vzťahuje právo EÚ</w:t>
      </w:r>
      <w:r w:rsidR="009B649A">
        <w:rPr>
          <w:noProof/>
        </w:rPr>
        <w:t xml:space="preserve"> a </w:t>
      </w:r>
      <w:r w:rsidRPr="00BF1FAB">
        <w:rPr>
          <w:noProof/>
        </w:rPr>
        <w:t>ustanovenia návrhu medzinárodnej dohody; ii) ich predvídateľný budúci vývoj; iii) povahu</w:t>
      </w:r>
      <w:r w:rsidR="009B649A">
        <w:rPr>
          <w:noProof/>
        </w:rPr>
        <w:t xml:space="preserve"> a </w:t>
      </w:r>
      <w:r w:rsidRPr="00BF1FAB">
        <w:rPr>
          <w:noProof/>
        </w:rPr>
        <w:t>obsah týchto pravidiel</w:t>
      </w:r>
      <w:r w:rsidR="009B649A">
        <w:rPr>
          <w:noProof/>
        </w:rPr>
        <w:t xml:space="preserve"> a </w:t>
      </w:r>
      <w:r w:rsidRPr="00BF1FAB">
        <w:rPr>
          <w:noProof/>
        </w:rPr>
        <w:t>ustanovení</w:t>
      </w:r>
      <w:r w:rsidR="009B649A">
        <w:rPr>
          <w:noProof/>
        </w:rPr>
        <w:t xml:space="preserve"> s </w:t>
      </w:r>
      <w:r w:rsidRPr="00BF1FAB">
        <w:rPr>
          <w:noProof/>
        </w:rPr>
        <w:t>cieľom určiť, či medzinárodná dohoda môže oslabiť jednotné</w:t>
      </w:r>
      <w:r w:rsidR="009B649A">
        <w:rPr>
          <w:noProof/>
        </w:rPr>
        <w:t xml:space="preserve"> a </w:t>
      </w:r>
      <w:r w:rsidRPr="00BF1FAB">
        <w:rPr>
          <w:noProof/>
        </w:rPr>
        <w:t>konzistentné uplatňovanie pravidiel EÚ</w:t>
      </w:r>
      <w:r w:rsidR="009B649A">
        <w:rPr>
          <w:noProof/>
        </w:rPr>
        <w:t xml:space="preserve"> a </w:t>
      </w:r>
      <w:r w:rsidRPr="00BF1FAB">
        <w:rPr>
          <w:noProof/>
        </w:rPr>
        <w:t>riadne fungovanie systému, ktorý vytvárajú.</w:t>
      </w:r>
    </w:p>
    <w:p w14:paraId="00EE0C4D" w14:textId="440A1BE3" w:rsidR="00AB3F1B" w:rsidRPr="00BF1FAB" w:rsidRDefault="008B56D0" w:rsidP="008B56D0">
      <w:pPr>
        <w:rPr>
          <w:noProof/>
          <w:szCs w:val="24"/>
        </w:rPr>
      </w:pPr>
      <w:r w:rsidRPr="00BF1FAB">
        <w:rPr>
          <w:noProof/>
        </w:rPr>
        <w:t>Existujú dva právne predpisy EÚ (a dva legislatívne návrhy), ktoré sa týkajú dizajnov</w:t>
      </w:r>
      <w:r w:rsidR="009B649A">
        <w:rPr>
          <w:noProof/>
        </w:rPr>
        <w:t xml:space="preserve"> a </w:t>
      </w:r>
      <w:r w:rsidRPr="00BF1FAB">
        <w:rPr>
          <w:noProof/>
        </w:rPr>
        <w:t>ktorých relevantnosť by sa mala</w:t>
      </w:r>
      <w:r w:rsidR="009B649A">
        <w:rPr>
          <w:noProof/>
        </w:rPr>
        <w:t xml:space="preserve"> v </w:t>
      </w:r>
      <w:r w:rsidRPr="00BF1FAB">
        <w:rPr>
          <w:noProof/>
        </w:rPr>
        <w:t>kontexte zmluvy</w:t>
      </w:r>
      <w:r w:rsidR="009B649A">
        <w:rPr>
          <w:noProof/>
        </w:rPr>
        <w:t xml:space="preserve"> o </w:t>
      </w:r>
      <w:r w:rsidRPr="00BF1FAB">
        <w:rPr>
          <w:noProof/>
        </w:rPr>
        <w:t>práve dizajnu posúdiť.</w:t>
      </w:r>
    </w:p>
    <w:p w14:paraId="475AA836" w14:textId="2A670859" w:rsidR="00A16F3E" w:rsidRPr="00BF1FAB" w:rsidRDefault="00C33EC4" w:rsidP="00071B96">
      <w:pPr>
        <w:pStyle w:val="ManualHeading3"/>
        <w:tabs>
          <w:tab w:val="clear" w:pos="850"/>
          <w:tab w:val="left" w:pos="0"/>
        </w:tabs>
        <w:rPr>
          <w:noProof/>
        </w:rPr>
      </w:pPr>
      <w:bookmarkStart w:id="3" w:name="OLE_LINK3"/>
      <w:bookmarkStart w:id="4" w:name="OLE_LINK4"/>
      <w:r w:rsidRPr="00BF1FAB">
        <w:rPr>
          <w:noProof/>
        </w:rPr>
        <w:t>Smernica 98/71/ES</w:t>
      </w:r>
      <w:r w:rsidR="009B649A">
        <w:rPr>
          <w:noProof/>
        </w:rPr>
        <w:t xml:space="preserve"> o </w:t>
      </w:r>
      <w:r w:rsidRPr="00BF1FAB">
        <w:rPr>
          <w:noProof/>
        </w:rPr>
        <w:t>právnej ochrane dizajnov</w:t>
      </w:r>
    </w:p>
    <w:p w14:paraId="7BF3E8F8" w14:textId="27C6C137" w:rsidR="00C33EC4" w:rsidRPr="00BF1FAB" w:rsidRDefault="00232C4B" w:rsidP="00071B96">
      <w:pPr>
        <w:pStyle w:val="ManualHeading3"/>
        <w:tabs>
          <w:tab w:val="clear" w:pos="850"/>
          <w:tab w:val="left" w:pos="0"/>
        </w:tabs>
        <w:rPr>
          <w:noProof/>
        </w:rPr>
      </w:pPr>
      <w:r w:rsidRPr="00BF1FAB">
        <w:rPr>
          <w:noProof/>
        </w:rPr>
        <w:t>Návrh smernice</w:t>
      </w:r>
      <w:r w:rsidR="009B649A">
        <w:rPr>
          <w:noProof/>
        </w:rPr>
        <w:t xml:space="preserve"> o </w:t>
      </w:r>
      <w:r w:rsidRPr="00BF1FAB">
        <w:rPr>
          <w:noProof/>
        </w:rPr>
        <w:t>právnej ochrane dizajnov 2022/0392(COD)</w:t>
      </w:r>
    </w:p>
    <w:bookmarkEnd w:id="3"/>
    <w:bookmarkEnd w:id="4"/>
    <w:p w14:paraId="573D7717" w14:textId="556241E2" w:rsidR="00C33EC4" w:rsidRPr="00BF1FAB" w:rsidRDefault="00C33EC4" w:rsidP="00C33EC4">
      <w:pPr>
        <w:rPr>
          <w:noProof/>
          <w:szCs w:val="24"/>
        </w:rPr>
      </w:pPr>
      <w:r w:rsidRPr="00BF1FAB">
        <w:rPr>
          <w:noProof/>
        </w:rPr>
        <w:t>Zmluva</w:t>
      </w:r>
      <w:r w:rsidR="009B649A">
        <w:rPr>
          <w:noProof/>
        </w:rPr>
        <w:t xml:space="preserve"> o </w:t>
      </w:r>
      <w:r w:rsidRPr="00BF1FAB">
        <w:rPr>
          <w:noProof/>
        </w:rPr>
        <w:t>práve dizajnu sa vzťahuje na všetky dizajny, ktoré možno zapísať podľa práva zmluvnej strany (článok 2). Obsahuje ustanovenia, ktorými sa upravuje postup prihlasovania</w:t>
      </w:r>
      <w:r w:rsidR="009B649A">
        <w:rPr>
          <w:noProof/>
        </w:rPr>
        <w:t xml:space="preserve"> a </w:t>
      </w:r>
      <w:r w:rsidRPr="00BF1FAB">
        <w:rPr>
          <w:noProof/>
        </w:rPr>
        <w:t>zápisu dizajnov vrátane povolených požiadaviek, ktoré môžu byť</w:t>
      </w:r>
      <w:r w:rsidR="009B649A">
        <w:rPr>
          <w:noProof/>
        </w:rPr>
        <w:t xml:space="preserve"> v </w:t>
      </w:r>
      <w:r w:rsidRPr="00BF1FAB">
        <w:rPr>
          <w:noProof/>
        </w:rPr>
        <w:t xml:space="preserve">prihláškach zahrnuté (článok 3), pravidiel týkajúcich sa dátumov podania (článok 5), pravidiel týkajúcich sa </w:t>
      </w:r>
      <w:r w:rsidRPr="00BF1FAB">
        <w:rPr>
          <w:noProof/>
        </w:rPr>
        <w:lastRenderedPageBreak/>
        <w:t>obdobia odkladu (článok 6)</w:t>
      </w:r>
      <w:r w:rsidR="009B649A">
        <w:rPr>
          <w:noProof/>
        </w:rPr>
        <w:t xml:space="preserve"> a </w:t>
      </w:r>
      <w:r w:rsidRPr="00BF1FAB">
        <w:rPr>
          <w:noProof/>
        </w:rPr>
        <w:t>lehôt</w:t>
      </w:r>
      <w:r w:rsidR="009B649A">
        <w:rPr>
          <w:noProof/>
        </w:rPr>
        <w:t xml:space="preserve"> a </w:t>
      </w:r>
      <w:r w:rsidRPr="00BF1FAB">
        <w:rPr>
          <w:noProof/>
        </w:rPr>
        <w:t>opatrení na nápravu (článok 12). Taktiež obsahuje osobitné ustanovenia</w:t>
      </w:r>
      <w:r w:rsidR="009B649A">
        <w:rPr>
          <w:noProof/>
        </w:rPr>
        <w:t xml:space="preserve"> o </w:t>
      </w:r>
      <w:r w:rsidRPr="00BF1FAB">
        <w:rPr>
          <w:noProof/>
        </w:rPr>
        <w:t>obnovení práv (článok 13)</w:t>
      </w:r>
      <w:r w:rsidR="009B649A">
        <w:rPr>
          <w:noProof/>
        </w:rPr>
        <w:t xml:space="preserve"> a </w:t>
      </w:r>
      <w:r w:rsidRPr="00BF1FAB">
        <w:rPr>
          <w:noProof/>
        </w:rPr>
        <w:t>oprave chýb (článok 21). Niektoré</w:t>
      </w:r>
      <w:r w:rsidR="009B649A">
        <w:rPr>
          <w:noProof/>
        </w:rPr>
        <w:t xml:space="preserve"> z </w:t>
      </w:r>
      <w:r w:rsidRPr="00BF1FAB">
        <w:rPr>
          <w:noProof/>
        </w:rPr>
        <w:t>týchto ustanovení ponechávajú zmluvným stranám určitú mieru uváženia. Napríklad</w:t>
      </w:r>
      <w:r w:rsidR="009B649A">
        <w:rPr>
          <w:noProof/>
        </w:rPr>
        <w:t xml:space="preserve"> v </w:t>
      </w:r>
      <w:r w:rsidRPr="00BF1FAB">
        <w:rPr>
          <w:noProof/>
        </w:rPr>
        <w:t>článku 3 (o prihláškach) sa stanovuje, že „</w:t>
      </w:r>
      <w:r w:rsidRPr="00BF1FAB">
        <w:rPr>
          <w:i/>
          <w:noProof/>
        </w:rPr>
        <w:t>každá zmluvná strana môže požadovať, aby sa</w:t>
      </w:r>
      <w:r w:rsidR="009B649A">
        <w:rPr>
          <w:i/>
          <w:noProof/>
        </w:rPr>
        <w:t xml:space="preserve"> v </w:t>
      </w:r>
      <w:r w:rsidRPr="00BF1FAB">
        <w:rPr>
          <w:i/>
          <w:noProof/>
        </w:rPr>
        <w:t>prihláške nachádzali niektoré alebo všetky tieto údaje, resp. prvky...</w:t>
      </w:r>
      <w:r w:rsidRPr="00BF1FAB">
        <w:rPr>
          <w:noProof/>
        </w:rPr>
        <w:t>“. Táto diskrečná právomoc však nie je absolútna, keďže</w:t>
      </w:r>
      <w:r w:rsidR="009B649A">
        <w:rPr>
          <w:noProof/>
        </w:rPr>
        <w:t xml:space="preserve"> v </w:t>
      </w:r>
      <w:r w:rsidRPr="00BF1FAB">
        <w:rPr>
          <w:noProof/>
        </w:rPr>
        <w:t>článku 3 ods. 2 sa stanovuje, že „</w:t>
      </w:r>
      <w:r w:rsidRPr="00BF1FAB">
        <w:rPr>
          <w:i/>
          <w:noProof/>
        </w:rPr>
        <w:t>v súvislosti</w:t>
      </w:r>
      <w:r w:rsidR="009B649A">
        <w:rPr>
          <w:i/>
          <w:noProof/>
        </w:rPr>
        <w:t xml:space="preserve"> s </w:t>
      </w:r>
      <w:r w:rsidRPr="00BF1FAB">
        <w:rPr>
          <w:i/>
          <w:noProof/>
        </w:rPr>
        <w:t>prihláškou sa môže vyžadovať iný údaj, resp. prvok, ako ten, ktorý je uvedený</w:t>
      </w:r>
      <w:r w:rsidR="009B649A">
        <w:rPr>
          <w:i/>
          <w:noProof/>
        </w:rPr>
        <w:t xml:space="preserve"> v </w:t>
      </w:r>
      <w:r w:rsidRPr="00BF1FAB">
        <w:rPr>
          <w:i/>
          <w:noProof/>
        </w:rPr>
        <w:t>odseku 1</w:t>
      </w:r>
      <w:r w:rsidR="009B649A">
        <w:rPr>
          <w:i/>
          <w:noProof/>
        </w:rPr>
        <w:t xml:space="preserve"> a v </w:t>
      </w:r>
      <w:r w:rsidRPr="00BF1FAB">
        <w:rPr>
          <w:i/>
          <w:noProof/>
        </w:rPr>
        <w:t>článku 10</w:t>
      </w:r>
      <w:r w:rsidRPr="00BF1FAB">
        <w:rPr>
          <w:noProof/>
        </w:rPr>
        <w:t>“. Preto sa stanovuje vonkajšie obmedzenie voľnosti zmluvnej strany pri určovaní vlastných procesných požiadaviek. Niektoré ustanovenia zase zmluvným stranám umožňujú odchýliť sa od hmotnoprávnych povinností,</w:t>
      </w:r>
      <w:r w:rsidR="009B649A">
        <w:rPr>
          <w:noProof/>
        </w:rPr>
        <w:t xml:space="preserve"> a </w:t>
      </w:r>
      <w:r w:rsidRPr="00BF1FAB">
        <w:rPr>
          <w:noProof/>
        </w:rPr>
        <w:t>to</w:t>
      </w:r>
      <w:r w:rsidR="009B649A">
        <w:rPr>
          <w:noProof/>
        </w:rPr>
        <w:t xml:space="preserve"> v </w:t>
      </w:r>
      <w:r w:rsidRPr="00BF1FAB">
        <w:rPr>
          <w:noProof/>
        </w:rPr>
        <w:t>prípade, že by kladné vybavenie žiadosti nebolo povolené podľa vnútroštátneho práva (pozri napríklad článok 21</w:t>
      </w:r>
      <w:r w:rsidR="009B649A">
        <w:rPr>
          <w:noProof/>
        </w:rPr>
        <w:t xml:space="preserve"> o </w:t>
      </w:r>
      <w:r w:rsidRPr="00BF1FAB">
        <w:rPr>
          <w:noProof/>
        </w:rPr>
        <w:t xml:space="preserve">oprave chýb). </w:t>
      </w:r>
    </w:p>
    <w:p w14:paraId="6C0E9714" w14:textId="0BC5CAA0" w:rsidR="00232C4B" w:rsidRPr="00BF1FAB" w:rsidRDefault="00232C4B" w:rsidP="00232C4B">
      <w:pPr>
        <w:rPr>
          <w:noProof/>
          <w:szCs w:val="24"/>
        </w:rPr>
      </w:pPr>
      <w:r w:rsidRPr="00BF1FAB">
        <w:rPr>
          <w:noProof/>
        </w:rPr>
        <w:t>Smernicou 98/71/ES (ďalej len „smernica“) sa harmonizujú určité aspekty hmotnoprávnych predpisov členských štátov EÚ</w:t>
      </w:r>
      <w:r w:rsidR="009B649A">
        <w:rPr>
          <w:noProof/>
        </w:rPr>
        <w:t xml:space="preserve"> o </w:t>
      </w:r>
      <w:r w:rsidRPr="00BF1FAB">
        <w:rPr>
          <w:noProof/>
        </w:rPr>
        <w:t>dizajne.</w:t>
      </w:r>
      <w:r w:rsidR="009B649A">
        <w:rPr>
          <w:noProof/>
        </w:rPr>
        <w:t xml:space="preserve"> V </w:t>
      </w:r>
      <w:r w:rsidRPr="00BF1FAB">
        <w:rPr>
          <w:noProof/>
        </w:rPr>
        <w:t>článku 6 smernice sa stanovuje obdobie odkladu na získanie ochrany predtým zverejnených dizajnov – to je rovnaký predmet úpravy, aký je upravený článkom 6 zmluvy</w:t>
      </w:r>
      <w:r w:rsidR="009B649A">
        <w:rPr>
          <w:noProof/>
        </w:rPr>
        <w:t xml:space="preserve"> o </w:t>
      </w:r>
      <w:r w:rsidRPr="00BF1FAB">
        <w:rPr>
          <w:noProof/>
        </w:rPr>
        <w:t>práve dizajnu.</w:t>
      </w:r>
    </w:p>
    <w:p w14:paraId="06C6BF6C" w14:textId="4A481258" w:rsidR="00C33EC4" w:rsidRPr="00BF1FAB" w:rsidRDefault="00232C4B" w:rsidP="00E23954">
      <w:pPr>
        <w:rPr>
          <w:noProof/>
        </w:rPr>
      </w:pPr>
      <w:r w:rsidRPr="00BF1FAB">
        <w:rPr>
          <w:noProof/>
        </w:rPr>
        <w:t>V rámci analýzy právomoci uzavrieť zmluvu</w:t>
      </w:r>
      <w:r w:rsidR="009B649A">
        <w:rPr>
          <w:noProof/>
        </w:rPr>
        <w:t xml:space="preserve"> o </w:t>
      </w:r>
      <w:r w:rsidRPr="00BF1FAB">
        <w:rPr>
          <w:noProof/>
        </w:rPr>
        <w:t>práve dizajnu je potrebné zohľadniť aj predvídateľný budúci vývoj práva EÚ. Návrh smernice</w:t>
      </w:r>
      <w:r w:rsidR="009B649A">
        <w:rPr>
          <w:noProof/>
        </w:rPr>
        <w:t xml:space="preserve"> o </w:t>
      </w:r>
      <w:r w:rsidRPr="00BF1FAB">
        <w:rPr>
          <w:noProof/>
        </w:rPr>
        <w:t>právnej ochrane dizajnov 2022/0392(COD) (ďalej len „navrhovaná smernica“) bol prijatý Komisiou 28. novembra 2022</w:t>
      </w:r>
      <w:r w:rsidR="009B649A">
        <w:rPr>
          <w:noProof/>
        </w:rPr>
        <w:t xml:space="preserve"> a </w:t>
      </w:r>
      <w:r w:rsidRPr="00BF1FAB">
        <w:rPr>
          <w:noProof/>
        </w:rPr>
        <w:t>následne ho bude schvaľovať Európsky parlament</w:t>
      </w:r>
      <w:r w:rsidR="009B649A">
        <w:rPr>
          <w:noProof/>
        </w:rPr>
        <w:t xml:space="preserve"> a </w:t>
      </w:r>
      <w:r w:rsidRPr="00BF1FAB">
        <w:rPr>
          <w:noProof/>
        </w:rPr>
        <w:t>Rada</w:t>
      </w:r>
      <w:r w:rsidR="009B649A">
        <w:rPr>
          <w:noProof/>
        </w:rPr>
        <w:t xml:space="preserve"> v </w:t>
      </w:r>
      <w:r w:rsidRPr="00BF1FAB">
        <w:rPr>
          <w:noProof/>
        </w:rPr>
        <w:t>riadnom legislatívnom postupe do konca roka 2024.</w:t>
      </w:r>
    </w:p>
    <w:p w14:paraId="11AA4E1B" w14:textId="47052BD2" w:rsidR="005526CF" w:rsidRPr="00BF1FAB" w:rsidRDefault="005526CF" w:rsidP="00E23954">
      <w:pPr>
        <w:rPr>
          <w:noProof/>
        </w:rPr>
      </w:pPr>
      <w:r w:rsidRPr="00BF1FAB">
        <w:rPr>
          <w:noProof/>
        </w:rPr>
        <w:t>Cieľom navrhovanej smernice je harmonizovať právo dizajnov nielen</w:t>
      </w:r>
      <w:r w:rsidR="009B649A">
        <w:rPr>
          <w:noProof/>
        </w:rPr>
        <w:t xml:space="preserve"> z </w:t>
      </w:r>
      <w:r w:rsidRPr="00BF1FAB">
        <w:rPr>
          <w:noProof/>
        </w:rPr>
        <w:t>vecného hľadiska, ale aj</w:t>
      </w:r>
      <w:r w:rsidR="009B649A">
        <w:rPr>
          <w:noProof/>
        </w:rPr>
        <w:t xml:space="preserve"> z </w:t>
      </w:r>
      <w:r w:rsidRPr="00BF1FAB">
        <w:rPr>
          <w:noProof/>
        </w:rPr>
        <w:t>hľadiska určitých aspektov konania</w:t>
      </w:r>
      <w:r w:rsidR="009B649A">
        <w:rPr>
          <w:noProof/>
        </w:rPr>
        <w:t xml:space="preserve"> a </w:t>
      </w:r>
      <w:r w:rsidRPr="00BF1FAB">
        <w:rPr>
          <w:noProof/>
        </w:rPr>
        <w:t>zápisu. Návrh obsahuje nové ustanovenia</w:t>
      </w:r>
      <w:r w:rsidR="009B649A">
        <w:rPr>
          <w:noProof/>
        </w:rPr>
        <w:t xml:space="preserve"> o </w:t>
      </w:r>
      <w:r w:rsidRPr="00BF1FAB">
        <w:rPr>
          <w:noProof/>
        </w:rPr>
        <w:t>požiadavkách na prihlášku (článok 25), vyobrazení dizajnu (článok 26), dátume podania (článok 28)</w:t>
      </w:r>
      <w:r w:rsidR="009B649A">
        <w:rPr>
          <w:noProof/>
        </w:rPr>
        <w:t xml:space="preserve"> a </w:t>
      </w:r>
      <w:r w:rsidRPr="00BF1FAB">
        <w:rPr>
          <w:noProof/>
        </w:rPr>
        <w:t>odklade uverejnenia (článok 30), pričom všetky tieto otázky sú upravené aj</w:t>
      </w:r>
      <w:r w:rsidR="009B649A">
        <w:rPr>
          <w:noProof/>
        </w:rPr>
        <w:t xml:space="preserve"> v </w:t>
      </w:r>
      <w:r w:rsidRPr="00BF1FAB">
        <w:rPr>
          <w:noProof/>
        </w:rPr>
        <w:t>zmluve</w:t>
      </w:r>
      <w:r w:rsidR="009B649A">
        <w:rPr>
          <w:noProof/>
        </w:rPr>
        <w:t xml:space="preserve"> o </w:t>
      </w:r>
      <w:r w:rsidRPr="00BF1FAB">
        <w:rPr>
          <w:noProof/>
        </w:rPr>
        <w:t>práve dizajnu.</w:t>
      </w:r>
    </w:p>
    <w:p w14:paraId="4D831A4E" w14:textId="4A2BA157" w:rsidR="005526CF" w:rsidRPr="00BF1FAB" w:rsidRDefault="005526CF" w:rsidP="00E23954">
      <w:pPr>
        <w:rPr>
          <w:noProof/>
        </w:rPr>
      </w:pPr>
      <w:r w:rsidRPr="00BF1FAB">
        <w:rPr>
          <w:noProof/>
        </w:rPr>
        <w:t>V súvislosti</w:t>
      </w:r>
      <w:r w:rsidR="009B649A">
        <w:rPr>
          <w:noProof/>
        </w:rPr>
        <w:t xml:space="preserve"> s </w:t>
      </w:r>
      <w:r w:rsidRPr="00BF1FAB">
        <w:rPr>
          <w:noProof/>
        </w:rPr>
        <w:t>cieľmi navrhovanej smernice sa</w:t>
      </w:r>
      <w:r w:rsidR="009B649A">
        <w:rPr>
          <w:noProof/>
        </w:rPr>
        <w:t xml:space="preserve"> v </w:t>
      </w:r>
      <w:r w:rsidRPr="00BF1FAB">
        <w:rPr>
          <w:noProof/>
        </w:rPr>
        <w:t>jej odôvodnení 10 stanovuje, že je takisto „potrebné aproximovať procesné pravidlá</w:t>
      </w:r>
      <w:r w:rsidR="009B649A">
        <w:rPr>
          <w:noProof/>
        </w:rPr>
        <w:t xml:space="preserve"> s </w:t>
      </w:r>
      <w:r w:rsidRPr="00BF1FAB">
        <w:rPr>
          <w:noProof/>
        </w:rPr>
        <w:t>cieľom uľahčiť nadobúdanie, správu</w:t>
      </w:r>
      <w:r w:rsidR="009B649A">
        <w:rPr>
          <w:noProof/>
        </w:rPr>
        <w:t xml:space="preserve"> a </w:t>
      </w:r>
      <w:r w:rsidRPr="00BF1FAB">
        <w:rPr>
          <w:noProof/>
        </w:rPr>
        <w:t>ochranu práv</w:t>
      </w:r>
      <w:r w:rsidR="009B649A">
        <w:rPr>
          <w:noProof/>
        </w:rPr>
        <w:t xml:space="preserve"> k </w:t>
      </w:r>
      <w:r w:rsidRPr="00BF1FAB">
        <w:rPr>
          <w:noProof/>
        </w:rPr>
        <w:t>dizajnu</w:t>
      </w:r>
      <w:r w:rsidR="009B649A">
        <w:rPr>
          <w:noProof/>
        </w:rPr>
        <w:t xml:space="preserve"> v </w:t>
      </w:r>
      <w:r w:rsidRPr="00BF1FAB">
        <w:rPr>
          <w:noProof/>
        </w:rPr>
        <w:t>Únii. Určité hlavné procesné pravidlá</w:t>
      </w:r>
      <w:r w:rsidR="009B649A">
        <w:rPr>
          <w:noProof/>
        </w:rPr>
        <w:t xml:space="preserve"> v </w:t>
      </w:r>
      <w:r w:rsidRPr="00BF1FAB">
        <w:rPr>
          <w:noProof/>
        </w:rPr>
        <w:t>oblasti zápisu dizajnu</w:t>
      </w:r>
      <w:r w:rsidR="009B649A">
        <w:rPr>
          <w:noProof/>
        </w:rPr>
        <w:t xml:space="preserve"> v </w:t>
      </w:r>
      <w:r w:rsidRPr="00BF1FAB">
        <w:rPr>
          <w:noProof/>
        </w:rPr>
        <w:t>členských štátoch</w:t>
      </w:r>
      <w:r w:rsidR="009B649A">
        <w:rPr>
          <w:noProof/>
        </w:rPr>
        <w:t xml:space="preserve"> a v </w:t>
      </w:r>
      <w:r w:rsidRPr="00BF1FAB">
        <w:rPr>
          <w:noProof/>
        </w:rPr>
        <w:t>rámci systému dizajnu EÚ by sa preto mali zosúladiť. Pokiaľ ide</w:t>
      </w:r>
      <w:r w:rsidR="009B649A">
        <w:rPr>
          <w:noProof/>
        </w:rPr>
        <w:t xml:space="preserve"> o </w:t>
      </w:r>
      <w:r w:rsidRPr="00BF1FAB">
        <w:rPr>
          <w:noProof/>
        </w:rPr>
        <w:t>postupy podľa vnútroštátneho práva, stačí stanoviť všeobecné zásady</w:t>
      </w:r>
      <w:r w:rsidR="009B649A">
        <w:rPr>
          <w:noProof/>
        </w:rPr>
        <w:t xml:space="preserve"> a </w:t>
      </w:r>
      <w:r w:rsidRPr="00BF1FAB">
        <w:rPr>
          <w:noProof/>
        </w:rPr>
        <w:t>ponechať na členských štátoch, aby stanovili konkrétnejšie pravidlá.“</w:t>
      </w:r>
    </w:p>
    <w:p w14:paraId="3994FA87" w14:textId="6150929C" w:rsidR="009C6062" w:rsidRPr="00BF1FAB" w:rsidRDefault="009C6062" w:rsidP="00E23954">
      <w:pPr>
        <w:rPr>
          <w:noProof/>
        </w:rPr>
      </w:pPr>
      <w:r w:rsidRPr="00BF1FAB">
        <w:rPr>
          <w:noProof/>
        </w:rPr>
        <w:t>Pokiaľ ide</w:t>
      </w:r>
      <w:r w:rsidR="009B649A">
        <w:rPr>
          <w:noProof/>
        </w:rPr>
        <w:t xml:space="preserve"> o </w:t>
      </w:r>
      <w:r w:rsidRPr="00BF1FAB">
        <w:rPr>
          <w:noProof/>
        </w:rPr>
        <w:t>vzťah medzi vnútroštátnymi postupmi</w:t>
      </w:r>
      <w:r w:rsidR="009B649A">
        <w:rPr>
          <w:noProof/>
        </w:rPr>
        <w:t xml:space="preserve"> a </w:t>
      </w:r>
      <w:r w:rsidRPr="00BF1FAB">
        <w:rPr>
          <w:noProof/>
        </w:rPr>
        <w:t>právom EÚ,</w:t>
      </w:r>
      <w:r w:rsidR="009B649A">
        <w:rPr>
          <w:noProof/>
        </w:rPr>
        <w:t xml:space="preserve"> v </w:t>
      </w:r>
      <w:r w:rsidRPr="00BF1FAB">
        <w:rPr>
          <w:noProof/>
        </w:rPr>
        <w:t>odôvodnení 3 navrhovanej smernice sa jasne uvádza, že „</w:t>
      </w:r>
      <w:r w:rsidRPr="00BF1FAB">
        <w:rPr>
          <w:i/>
          <w:noProof/>
        </w:rPr>
        <w:t>spoločná</w:t>
      </w:r>
      <w:r w:rsidRPr="00BF1FAB">
        <w:rPr>
          <w:noProof/>
        </w:rPr>
        <w:t xml:space="preserve"> </w:t>
      </w:r>
      <w:r w:rsidRPr="00BF1FAB">
        <w:rPr>
          <w:i/>
          <w:noProof/>
        </w:rPr>
        <w:t>existencia</w:t>
      </w:r>
      <w:r w:rsidR="009B649A">
        <w:rPr>
          <w:noProof/>
        </w:rPr>
        <w:t xml:space="preserve"> a </w:t>
      </w:r>
      <w:r w:rsidRPr="00BF1FAB">
        <w:rPr>
          <w:i/>
          <w:noProof/>
        </w:rPr>
        <w:t>rovnováha systémov ochrany dizajnov na vnútroštátnej úrovni</w:t>
      </w:r>
      <w:r w:rsidR="009B649A">
        <w:rPr>
          <w:i/>
          <w:noProof/>
        </w:rPr>
        <w:t xml:space="preserve"> a </w:t>
      </w:r>
      <w:r w:rsidRPr="00BF1FAB">
        <w:rPr>
          <w:i/>
          <w:noProof/>
        </w:rPr>
        <w:t>na úrovni Únie predstavuje ťažisko prístupu Únie</w:t>
      </w:r>
      <w:r w:rsidR="009B649A">
        <w:rPr>
          <w:i/>
          <w:noProof/>
        </w:rPr>
        <w:t xml:space="preserve"> k </w:t>
      </w:r>
      <w:r w:rsidRPr="00BF1FAB">
        <w:rPr>
          <w:i/>
          <w:noProof/>
        </w:rPr>
        <w:t>ochrane duševného vlastníctva</w:t>
      </w:r>
      <w:r w:rsidRPr="00BF1FAB">
        <w:rPr>
          <w:noProof/>
        </w:rPr>
        <w:t>“.</w:t>
      </w:r>
      <w:r w:rsidR="009B649A">
        <w:rPr>
          <w:i/>
          <w:noProof/>
        </w:rPr>
        <w:t xml:space="preserve"> V </w:t>
      </w:r>
      <w:r w:rsidRPr="00BF1FAB">
        <w:rPr>
          <w:noProof/>
        </w:rPr>
        <w:t>odôvodnení 9 sa stanovuje, že „</w:t>
      </w:r>
      <w:r w:rsidRPr="00BF1FAB">
        <w:rPr>
          <w:i/>
          <w:iCs/>
          <w:noProof/>
        </w:rPr>
        <w:t>je potrebné rozšíriť aproximáciu právnych predpisov dosiahnutú smernicou 98/71/ES na ďalšie aspekty hmotného práva týkajúceho sa dizajnov, ktorými sa spravujú dizajny chránené zápisom podľa nariadenia (ES) č. 6/2002</w:t>
      </w:r>
      <w:r w:rsidRPr="00BF1FAB">
        <w:rPr>
          <w:noProof/>
        </w:rPr>
        <w:t>“.</w:t>
      </w:r>
    </w:p>
    <w:p w14:paraId="235BDEDE" w14:textId="745685C5" w:rsidR="009C6062" w:rsidRPr="00BF1FAB" w:rsidRDefault="009C6062" w:rsidP="005526CF">
      <w:pPr>
        <w:rPr>
          <w:noProof/>
          <w:szCs w:val="24"/>
        </w:rPr>
      </w:pPr>
      <w:r w:rsidRPr="00BF1FAB">
        <w:rPr>
          <w:noProof/>
        </w:rPr>
        <w:t>Čo sa týka spôsobu, akým sú ustanovenia formulované, je určitý rozdiel medzi rôznymi povinnosťami.</w:t>
      </w:r>
      <w:r w:rsidR="009B649A">
        <w:rPr>
          <w:noProof/>
        </w:rPr>
        <w:t xml:space="preserve"> V </w:t>
      </w:r>
      <w:r w:rsidRPr="00BF1FAB">
        <w:rPr>
          <w:noProof/>
        </w:rPr>
        <w:t>niektorých ohľadoch sa</w:t>
      </w:r>
      <w:r w:rsidR="009B649A">
        <w:rPr>
          <w:noProof/>
        </w:rPr>
        <w:t xml:space="preserve"> v </w:t>
      </w:r>
      <w:r w:rsidRPr="00BF1FAB">
        <w:rPr>
          <w:noProof/>
        </w:rPr>
        <w:t>navrhovanej smernici stanovujú povinné minimálne požiadavky, ale členským štátom je ponechaná možnosť prijať dodatočné opatrenia.</w:t>
      </w:r>
      <w:r w:rsidR="009B649A">
        <w:rPr>
          <w:noProof/>
        </w:rPr>
        <w:t xml:space="preserve"> V </w:t>
      </w:r>
      <w:r w:rsidRPr="00BF1FAB">
        <w:rPr>
          <w:noProof/>
        </w:rPr>
        <w:t>článku 25 sa napríklad stanovujú minimálne požiadavky na prihlášku. Ostatné ustanovenia sú iba nepovinné. Podľa článku 28 ods. 2 je napríklad možné (ale nie povinné), aby členské štáty spoplatnili priznanie dňa podania.</w:t>
      </w:r>
      <w:r w:rsidR="009B649A">
        <w:rPr>
          <w:noProof/>
        </w:rPr>
        <w:t xml:space="preserve"> V </w:t>
      </w:r>
      <w:r w:rsidRPr="00BF1FAB">
        <w:rPr>
          <w:noProof/>
        </w:rPr>
        <w:t>tretej kategórii ustanovení sa kombinuje pevné pravidlo</w:t>
      </w:r>
      <w:r w:rsidR="009B649A">
        <w:rPr>
          <w:noProof/>
        </w:rPr>
        <w:t xml:space="preserve"> s </w:t>
      </w:r>
      <w:r w:rsidRPr="00BF1FAB">
        <w:rPr>
          <w:noProof/>
        </w:rPr>
        <w:t>právom účtovať poplatky (pozri napríklad článok 25 ods. 2</w:t>
      </w:r>
      <w:r w:rsidR="009B649A">
        <w:rPr>
          <w:noProof/>
        </w:rPr>
        <w:t xml:space="preserve"> o </w:t>
      </w:r>
      <w:r w:rsidRPr="00BF1FAB">
        <w:rPr>
          <w:noProof/>
        </w:rPr>
        <w:t>podaní). Výslovne je</w:t>
      </w:r>
      <w:r w:rsidR="009B649A">
        <w:rPr>
          <w:noProof/>
        </w:rPr>
        <w:t xml:space="preserve"> v </w:t>
      </w:r>
      <w:r w:rsidRPr="00BF1FAB">
        <w:rPr>
          <w:noProof/>
        </w:rPr>
        <w:t xml:space="preserve">smernici pevne stanovených niekoľko lehôt. Členským štátom sa </w:t>
      </w:r>
      <w:r w:rsidRPr="00BF1FAB">
        <w:rPr>
          <w:noProof/>
        </w:rPr>
        <w:lastRenderedPageBreak/>
        <w:t>ponecháva väčší priestor na určenie vnútroštátneho konania na vyhlásenie výmazu, ale takéto postupy musia byť napriek tomu</w:t>
      </w:r>
      <w:r w:rsidR="009B649A">
        <w:rPr>
          <w:noProof/>
        </w:rPr>
        <w:t xml:space="preserve"> v </w:t>
      </w:r>
      <w:r w:rsidRPr="00BF1FAB">
        <w:rPr>
          <w:noProof/>
        </w:rPr>
        <w:t>súlade</w:t>
      </w:r>
      <w:r w:rsidR="009B649A">
        <w:rPr>
          <w:noProof/>
        </w:rPr>
        <w:t xml:space="preserve"> s </w:t>
      </w:r>
      <w:r w:rsidRPr="00BF1FAB">
        <w:rPr>
          <w:noProof/>
        </w:rPr>
        <w:t xml:space="preserve">určitými minimálnymi požiadavkami (článok 31). </w:t>
      </w:r>
    </w:p>
    <w:p w14:paraId="07A16C06" w14:textId="550B2731" w:rsidR="00AB3F1B" w:rsidRPr="00BF1FAB" w:rsidRDefault="00AB3F1B" w:rsidP="00071B96">
      <w:pPr>
        <w:pStyle w:val="ManualHeading3"/>
        <w:rPr>
          <w:noProof/>
        </w:rPr>
      </w:pPr>
      <w:r w:rsidRPr="00BF1FAB">
        <w:rPr>
          <w:noProof/>
        </w:rPr>
        <w:t>Nariadenie Rady (ES) č. 6/2002</w:t>
      </w:r>
      <w:r w:rsidR="009B649A">
        <w:rPr>
          <w:noProof/>
        </w:rPr>
        <w:t xml:space="preserve"> o </w:t>
      </w:r>
      <w:r w:rsidRPr="00BF1FAB">
        <w:rPr>
          <w:noProof/>
        </w:rPr>
        <w:t>dizajnoch spoločenstva</w:t>
      </w:r>
    </w:p>
    <w:p w14:paraId="56B9C851" w14:textId="113C5276" w:rsidR="00A16F3E" w:rsidRPr="00BF1FAB" w:rsidRDefault="00A16F3E" w:rsidP="00A16F3E">
      <w:pPr>
        <w:pStyle w:val="ManualHeading3"/>
        <w:rPr>
          <w:noProof/>
        </w:rPr>
      </w:pPr>
      <w:r w:rsidRPr="00BF1FAB">
        <w:rPr>
          <w:noProof/>
        </w:rPr>
        <w:t>Návrh nariadenia, ktorým sa mení</w:t>
      </w:r>
      <w:r w:rsidR="009B649A">
        <w:rPr>
          <w:noProof/>
        </w:rPr>
        <w:t xml:space="preserve"> a </w:t>
      </w:r>
      <w:r w:rsidRPr="00BF1FAB">
        <w:rPr>
          <w:noProof/>
        </w:rPr>
        <w:t>dopĺňa nariadenie Rady (ES) č. 6/2002</w:t>
      </w:r>
      <w:r w:rsidR="009B649A">
        <w:rPr>
          <w:noProof/>
        </w:rPr>
        <w:t xml:space="preserve"> o </w:t>
      </w:r>
      <w:r w:rsidRPr="00BF1FAB">
        <w:rPr>
          <w:noProof/>
        </w:rPr>
        <w:t>dizajnoch spoločenstva</w:t>
      </w:r>
      <w:r w:rsidR="009B649A">
        <w:rPr>
          <w:noProof/>
        </w:rPr>
        <w:t xml:space="preserve"> a </w:t>
      </w:r>
      <w:r w:rsidRPr="00BF1FAB">
        <w:rPr>
          <w:noProof/>
        </w:rPr>
        <w:t>ktorým sa zrušuje nariadenie Komisie (ES) č. 2246/2002</w:t>
      </w:r>
    </w:p>
    <w:p w14:paraId="3046B6B9" w14:textId="469190FE" w:rsidR="005A006C" w:rsidRPr="00BF1FAB" w:rsidRDefault="008B56D0" w:rsidP="008B56D0">
      <w:pPr>
        <w:rPr>
          <w:noProof/>
          <w:szCs w:val="24"/>
        </w:rPr>
      </w:pPr>
      <w:r w:rsidRPr="00BF1FAB">
        <w:rPr>
          <w:noProof/>
        </w:rPr>
        <w:t>Nariadením</w:t>
      </w:r>
      <w:r w:rsidR="009B649A">
        <w:rPr>
          <w:noProof/>
        </w:rPr>
        <w:t xml:space="preserve"> o </w:t>
      </w:r>
      <w:r w:rsidRPr="00BF1FAB">
        <w:rPr>
          <w:noProof/>
        </w:rPr>
        <w:t>dizajnoch spoločenstva sa stanovuje celoeurópsky systém</w:t>
      </w:r>
      <w:r w:rsidR="009B649A">
        <w:rPr>
          <w:noProof/>
        </w:rPr>
        <w:t xml:space="preserve"> s </w:t>
      </w:r>
      <w:r w:rsidRPr="00BF1FAB">
        <w:rPr>
          <w:noProof/>
        </w:rPr>
        <w:t>cieľom získať dizajn spoločenstva, na ktorý sa vzťahuje jednotná ochrana. Takisto sa</w:t>
      </w:r>
      <w:r w:rsidR="009B649A">
        <w:rPr>
          <w:noProof/>
        </w:rPr>
        <w:t xml:space="preserve"> v </w:t>
      </w:r>
      <w:r w:rsidRPr="00BF1FAB">
        <w:rPr>
          <w:noProof/>
        </w:rPr>
        <w:t>ňom stanovuje postup registrácie dizajnov spoločenstva na Úrade Európskej únie pre duševné vlastníctvo. Všetky ustanovenia zmluvy</w:t>
      </w:r>
      <w:r w:rsidR="009B649A">
        <w:rPr>
          <w:noProof/>
        </w:rPr>
        <w:t xml:space="preserve"> o </w:t>
      </w:r>
      <w:r w:rsidRPr="00BF1FAB">
        <w:rPr>
          <w:noProof/>
        </w:rPr>
        <w:t>práve dizajnu majú</w:t>
      </w:r>
      <w:r w:rsidR="009B649A">
        <w:rPr>
          <w:noProof/>
        </w:rPr>
        <w:t xml:space="preserve"> v </w:t>
      </w:r>
      <w:r w:rsidRPr="00BF1FAB">
        <w:rPr>
          <w:noProof/>
        </w:rPr>
        <w:t>tomto nariadení svoje protistrany. To znamená, že záväzky, ktoré prijme EÚ pri uzatváraní zmluvy</w:t>
      </w:r>
      <w:r w:rsidR="009B649A">
        <w:rPr>
          <w:noProof/>
        </w:rPr>
        <w:t xml:space="preserve"> o </w:t>
      </w:r>
      <w:r w:rsidRPr="00BF1FAB">
        <w:rPr>
          <w:noProof/>
        </w:rPr>
        <w:t>práve dizajnu, patria do oblasti, na ktorú sa už vzťahujú právne predpisy EÚ.</w:t>
      </w:r>
    </w:p>
    <w:p w14:paraId="23DCB53E" w14:textId="64E6CB83" w:rsidR="00A16F3E" w:rsidRPr="00BF1FAB" w:rsidRDefault="00A16F3E" w:rsidP="008B56D0">
      <w:pPr>
        <w:rPr>
          <w:noProof/>
          <w:szCs w:val="24"/>
        </w:rPr>
      </w:pPr>
      <w:r w:rsidRPr="00BF1FAB">
        <w:rPr>
          <w:noProof/>
        </w:rPr>
        <w:t>Pokiaľ ide</w:t>
      </w:r>
      <w:r w:rsidR="009B649A">
        <w:rPr>
          <w:noProof/>
        </w:rPr>
        <w:t xml:space="preserve"> o </w:t>
      </w:r>
      <w:r w:rsidRPr="00BF1FAB">
        <w:rPr>
          <w:noProof/>
        </w:rPr>
        <w:t>predvídateľný budúci vývoj práva EÚ, Komisia 28. novembra 2022 prijala návrh nariadenia, ktorým sa mení nariadenie Rady (ES) č. 6/2002</w:t>
      </w:r>
      <w:r w:rsidR="009B649A">
        <w:rPr>
          <w:noProof/>
        </w:rPr>
        <w:t xml:space="preserve"> o </w:t>
      </w:r>
      <w:r w:rsidRPr="00BF1FAB">
        <w:rPr>
          <w:noProof/>
        </w:rPr>
        <w:t>dizajnoch spoločenstva</w:t>
      </w:r>
      <w:r w:rsidR="009B649A">
        <w:rPr>
          <w:noProof/>
        </w:rPr>
        <w:t xml:space="preserve"> a </w:t>
      </w:r>
      <w:r w:rsidRPr="00BF1FAB">
        <w:rPr>
          <w:noProof/>
        </w:rPr>
        <w:t>ktorým sa zrušuje nariadenie Komisie (ES) č. 2246/2002 (ďalej len „návrh nariadenia“),</w:t>
      </w:r>
      <w:r w:rsidR="009B649A">
        <w:rPr>
          <w:noProof/>
        </w:rPr>
        <w:t xml:space="preserve"> a v </w:t>
      </w:r>
      <w:r w:rsidRPr="00BF1FAB">
        <w:rPr>
          <w:noProof/>
        </w:rPr>
        <w:t>súčasnosti je tento návrh predmetom schvaľovania Európskym parlamentom</w:t>
      </w:r>
      <w:r w:rsidR="009B649A">
        <w:rPr>
          <w:noProof/>
        </w:rPr>
        <w:t xml:space="preserve"> a </w:t>
      </w:r>
      <w:r w:rsidRPr="00BF1FAB">
        <w:rPr>
          <w:noProof/>
        </w:rPr>
        <w:t>Radou</w:t>
      </w:r>
      <w:r w:rsidR="009B649A">
        <w:rPr>
          <w:noProof/>
        </w:rPr>
        <w:t xml:space="preserve"> v </w:t>
      </w:r>
      <w:r w:rsidRPr="00BF1FAB">
        <w:rPr>
          <w:noProof/>
        </w:rPr>
        <w:t>rámci riadneho legislatívneho postupu do konca roka 2024.</w:t>
      </w:r>
    </w:p>
    <w:p w14:paraId="6521E3C9" w14:textId="0663FB8D" w:rsidR="008D4D7F" w:rsidRPr="00BF1FAB" w:rsidRDefault="008D4D7F" w:rsidP="008B56D0">
      <w:pPr>
        <w:rPr>
          <w:noProof/>
          <w:szCs w:val="24"/>
        </w:rPr>
      </w:pPr>
      <w:r w:rsidRPr="00BF1FAB">
        <w:rPr>
          <w:noProof/>
        </w:rPr>
        <w:t>Cieľom navrhovaného nariadenia je modernizovať</w:t>
      </w:r>
      <w:r w:rsidR="009B649A">
        <w:rPr>
          <w:noProof/>
        </w:rPr>
        <w:t xml:space="preserve"> a </w:t>
      </w:r>
      <w:r w:rsidRPr="00BF1FAB">
        <w:rPr>
          <w:noProof/>
        </w:rPr>
        <w:t>zlepšiť existujúce ustanovenia, ako aj prístupnosť, efektívnosť</w:t>
      </w:r>
      <w:r w:rsidR="009B649A">
        <w:rPr>
          <w:noProof/>
        </w:rPr>
        <w:t xml:space="preserve"> a </w:t>
      </w:r>
      <w:r w:rsidRPr="00BF1FAB">
        <w:rPr>
          <w:noProof/>
        </w:rPr>
        <w:t>cenovú dostupnosť ochrany dizajnov EÚ. Ustanovenia zmluvy</w:t>
      </w:r>
      <w:r w:rsidR="009B649A">
        <w:rPr>
          <w:noProof/>
        </w:rPr>
        <w:t xml:space="preserve"> o </w:t>
      </w:r>
      <w:r w:rsidRPr="00BF1FAB">
        <w:rPr>
          <w:noProof/>
        </w:rPr>
        <w:t>práve dizajnu majú protistrany aj</w:t>
      </w:r>
      <w:r w:rsidR="009B649A">
        <w:rPr>
          <w:noProof/>
        </w:rPr>
        <w:t xml:space="preserve"> v </w:t>
      </w:r>
      <w:r w:rsidRPr="00BF1FAB">
        <w:rPr>
          <w:noProof/>
        </w:rPr>
        <w:t>navrhovanom nariadení.</w:t>
      </w:r>
    </w:p>
    <w:p w14:paraId="602C952C" w14:textId="77777777" w:rsidR="00C33EC4" w:rsidRPr="00BF1FAB" w:rsidRDefault="00E23954" w:rsidP="00E23954">
      <w:pPr>
        <w:pStyle w:val="ManualHeading3"/>
        <w:rPr>
          <w:noProof/>
          <w:szCs w:val="24"/>
        </w:rPr>
      </w:pPr>
      <w:r w:rsidRPr="00BF1FAB">
        <w:rPr>
          <w:noProof/>
        </w:rPr>
        <w:t>Posúdenie</w:t>
      </w:r>
    </w:p>
    <w:p w14:paraId="29639C31" w14:textId="321E7313" w:rsidR="00E23954" w:rsidRPr="00BF1FAB" w:rsidRDefault="00E23954" w:rsidP="00D1124D">
      <w:pPr>
        <w:rPr>
          <w:noProof/>
        </w:rPr>
      </w:pPr>
      <w:r w:rsidRPr="00BF1FAB">
        <w:rPr>
          <w:noProof/>
        </w:rPr>
        <w:t>Záležitosti, ktoré patria do rozsahu pôsobnosti zmluvy</w:t>
      </w:r>
      <w:r w:rsidR="009B649A">
        <w:rPr>
          <w:noProof/>
        </w:rPr>
        <w:t xml:space="preserve"> o </w:t>
      </w:r>
      <w:r w:rsidRPr="00BF1FAB">
        <w:rPr>
          <w:noProof/>
        </w:rPr>
        <w:t xml:space="preserve">práve dizajnu, by sa mali považovať za záležitosti, ktoré patria do výlučnej právomoci Únie. </w:t>
      </w:r>
    </w:p>
    <w:p w14:paraId="6D6BCA28" w14:textId="5C590B86" w:rsidR="00D1124D" w:rsidRPr="00BF1FAB" w:rsidRDefault="008D4D7F" w:rsidP="00D1124D">
      <w:pPr>
        <w:rPr>
          <w:noProof/>
        </w:rPr>
      </w:pPr>
      <w:r w:rsidRPr="00BF1FAB">
        <w:rPr>
          <w:noProof/>
        </w:rPr>
        <w:t>Po prvé, ako dokazuje vecná pôsobnosť nariadenia</w:t>
      </w:r>
      <w:r w:rsidR="009B649A">
        <w:rPr>
          <w:noProof/>
        </w:rPr>
        <w:t xml:space="preserve"> o </w:t>
      </w:r>
      <w:r w:rsidRPr="00BF1FAB">
        <w:rPr>
          <w:noProof/>
        </w:rPr>
        <w:t>dizajnoch spoločenstva</w:t>
      </w:r>
      <w:r w:rsidR="009B649A">
        <w:rPr>
          <w:noProof/>
        </w:rPr>
        <w:t xml:space="preserve"> a </w:t>
      </w:r>
      <w:r w:rsidRPr="00BF1FAB">
        <w:rPr>
          <w:noProof/>
        </w:rPr>
        <w:t>harmonizácia obdobia odkladu</w:t>
      </w:r>
      <w:r w:rsidR="009B649A">
        <w:rPr>
          <w:noProof/>
        </w:rPr>
        <w:t xml:space="preserve"> s </w:t>
      </w:r>
      <w:r w:rsidRPr="00BF1FAB">
        <w:rPr>
          <w:noProof/>
        </w:rPr>
        <w:t>cieľom získať ochranu pre predtým zverejnené dizajny</w:t>
      </w:r>
      <w:r w:rsidR="009B649A">
        <w:rPr>
          <w:noProof/>
        </w:rPr>
        <w:t xml:space="preserve"> v </w:t>
      </w:r>
      <w:r w:rsidRPr="00BF1FAB">
        <w:rPr>
          <w:noProof/>
        </w:rPr>
        <w:t xml:space="preserve">článku 6 smernice, </w:t>
      </w:r>
      <w:bookmarkStart w:id="5" w:name="_Hlk160111549"/>
      <w:r w:rsidRPr="00BF1FAB">
        <w:rPr>
          <w:noProof/>
        </w:rPr>
        <w:t>záležitosti upravené zmluvou</w:t>
      </w:r>
      <w:r w:rsidR="009B649A">
        <w:rPr>
          <w:noProof/>
        </w:rPr>
        <w:t xml:space="preserve"> o </w:t>
      </w:r>
      <w:r w:rsidRPr="00BF1FAB">
        <w:rPr>
          <w:noProof/>
        </w:rPr>
        <w:t>práve dizajnu patria do oblasti, ktorá je už upravená právom Únie</w:t>
      </w:r>
      <w:bookmarkEnd w:id="5"/>
      <w:r w:rsidRPr="00BF1FAB">
        <w:rPr>
          <w:noProof/>
        </w:rPr>
        <w:t>.</w:t>
      </w:r>
    </w:p>
    <w:p w14:paraId="5B374FE0" w14:textId="3B2F841D" w:rsidR="00D1124D" w:rsidRPr="00BF1FAB" w:rsidRDefault="00D1124D" w:rsidP="00D1124D">
      <w:pPr>
        <w:rPr>
          <w:noProof/>
        </w:rPr>
      </w:pPr>
      <w:r w:rsidRPr="00BF1FAB">
        <w:rPr>
          <w:noProof/>
        </w:rPr>
        <w:t>Po druhé,</w:t>
      </w:r>
      <w:r w:rsidR="009B649A">
        <w:rPr>
          <w:noProof/>
        </w:rPr>
        <w:t xml:space="preserve"> z </w:t>
      </w:r>
      <w:r w:rsidRPr="00BF1FAB">
        <w:rPr>
          <w:noProof/>
        </w:rPr>
        <w:t>navrhovaného nariadenia</w:t>
      </w:r>
      <w:r w:rsidR="009B649A">
        <w:rPr>
          <w:noProof/>
        </w:rPr>
        <w:t xml:space="preserve"> a </w:t>
      </w:r>
      <w:r w:rsidRPr="00BF1FAB">
        <w:rPr>
          <w:noProof/>
        </w:rPr>
        <w:t>navrhovanej smernice vyplýva, že predvídateľným budúcim vývojom práva Únie je dotknutá tá istá oblasť.</w:t>
      </w:r>
      <w:r w:rsidR="009B649A">
        <w:rPr>
          <w:noProof/>
        </w:rPr>
        <w:t xml:space="preserve"> V </w:t>
      </w:r>
      <w:r w:rsidRPr="00BF1FAB">
        <w:rPr>
          <w:noProof/>
        </w:rPr>
        <w:t>navrhovanej smernici sa odráža jasná voľba zákonodarného orgánu Únie regulovať</w:t>
      </w:r>
      <w:r w:rsidR="009B649A">
        <w:rPr>
          <w:noProof/>
        </w:rPr>
        <w:t xml:space="preserve"> a </w:t>
      </w:r>
      <w:r w:rsidRPr="00BF1FAB">
        <w:rPr>
          <w:noProof/>
        </w:rPr>
        <w:t>harmonizovať procesné požiadavky</w:t>
      </w:r>
      <w:r w:rsidR="009B649A">
        <w:rPr>
          <w:noProof/>
        </w:rPr>
        <w:t xml:space="preserve"> v </w:t>
      </w:r>
      <w:r w:rsidRPr="00BF1FAB">
        <w:rPr>
          <w:noProof/>
        </w:rPr>
        <w:t>oblasti dizajnov, ktoré boli</w:t>
      </w:r>
      <w:r w:rsidR="009B649A">
        <w:rPr>
          <w:noProof/>
        </w:rPr>
        <w:t xml:space="preserve"> v </w:t>
      </w:r>
      <w:r w:rsidRPr="00BF1FAB">
        <w:rPr>
          <w:noProof/>
        </w:rPr>
        <w:t xml:space="preserve">smernici 98/71/ES ponechané na rozhodnutie členských štátov. Takáto ďalšia zásadná harmonizácia, ktorá sa navrhovanou smernicou sleduje, ponechá členským štátom, pokiaľ ide procesné záležitosti, len určitú diskrečnú právomoc. </w:t>
      </w:r>
    </w:p>
    <w:p w14:paraId="74001B37" w14:textId="5A68EB85" w:rsidR="00AB3F1B" w:rsidRPr="00BF1FAB" w:rsidRDefault="008B56D0" w:rsidP="00D1124D">
      <w:pPr>
        <w:rPr>
          <w:noProof/>
        </w:rPr>
      </w:pPr>
      <w:r w:rsidRPr="00BF1FAB">
        <w:rPr>
          <w:noProof/>
        </w:rPr>
        <w:t>Na základe uvedených ustanovení je preto potrebné konštatovať, že uzavretie zmluvy</w:t>
      </w:r>
      <w:r w:rsidR="009B649A">
        <w:rPr>
          <w:noProof/>
        </w:rPr>
        <w:t xml:space="preserve"> o </w:t>
      </w:r>
      <w:r w:rsidRPr="00BF1FAB">
        <w:rPr>
          <w:noProof/>
        </w:rPr>
        <w:t>práve dizajnu patrí do výlučnej právomoci EÚ na základe článku 3 ods. 1</w:t>
      </w:r>
      <w:r w:rsidR="009B649A">
        <w:rPr>
          <w:noProof/>
        </w:rPr>
        <w:t xml:space="preserve"> a </w:t>
      </w:r>
      <w:r w:rsidRPr="00BF1FAB">
        <w:rPr>
          <w:noProof/>
        </w:rPr>
        <w:t>článku 3 ods. 2 ZFEÚ.</w:t>
      </w:r>
    </w:p>
    <w:p w14:paraId="4320FAD3" w14:textId="77777777" w:rsidR="00AB3F1B" w:rsidRPr="00BF1FAB" w:rsidRDefault="00AB3F1B" w:rsidP="00750C38">
      <w:pPr>
        <w:rPr>
          <w:noProof/>
        </w:rPr>
        <w:sectPr w:rsidR="00AB3F1B" w:rsidRPr="00BF1FAB" w:rsidSect="000D4DA2">
          <w:headerReference w:type="even" r:id="rId11"/>
          <w:footerReference w:type="even" r:id="rId12"/>
          <w:footerReference w:type="default" r:id="rId13"/>
          <w:headerReference w:type="first" r:id="rId14"/>
          <w:footerReference w:type="first" r:id="rId15"/>
          <w:pgSz w:w="11907" w:h="16839"/>
          <w:pgMar w:top="1134" w:right="1417" w:bottom="1134" w:left="1417" w:header="709" w:footer="709" w:gutter="0"/>
          <w:cols w:space="708"/>
          <w:docGrid w:linePitch="360"/>
        </w:sectPr>
      </w:pPr>
    </w:p>
    <w:p w14:paraId="63435594" w14:textId="3CE5DEBA" w:rsidR="00AB3F1B" w:rsidRPr="00BF1FAB" w:rsidRDefault="009B649A" w:rsidP="009B649A">
      <w:pPr>
        <w:pStyle w:val="Statut"/>
        <w:rPr>
          <w:noProof/>
        </w:rPr>
      </w:pPr>
      <w:r w:rsidRPr="009B649A">
        <w:rPr>
          <w:noProof/>
        </w:rPr>
        <w:lastRenderedPageBreak/>
        <w:t>Odporúčanie</w:t>
      </w:r>
    </w:p>
    <w:p w14:paraId="2937024F" w14:textId="2A4681C2" w:rsidR="00AB3F1B" w:rsidRPr="00BF1FAB" w:rsidRDefault="009B649A" w:rsidP="009B649A">
      <w:pPr>
        <w:pStyle w:val="Typedudocument"/>
        <w:rPr>
          <w:noProof/>
        </w:rPr>
      </w:pPr>
      <w:r w:rsidRPr="009B649A">
        <w:rPr>
          <w:noProof/>
        </w:rPr>
        <w:t>ROZHODNUTIE RADY</w:t>
      </w:r>
    </w:p>
    <w:p w14:paraId="3E60479F" w14:textId="304D1617" w:rsidR="00AB3F1B" w:rsidRPr="00BF1FAB" w:rsidRDefault="009B649A" w:rsidP="009B649A">
      <w:pPr>
        <w:pStyle w:val="Titreobjet"/>
        <w:rPr>
          <w:noProof/>
        </w:rPr>
      </w:pPr>
      <w:r w:rsidRPr="009B649A">
        <w:rPr>
          <w:noProof/>
        </w:rPr>
        <w:t>o poverení začať rokovania o zmluve o práve dizajnu</w:t>
      </w:r>
    </w:p>
    <w:p w14:paraId="0EA87E13" w14:textId="77777777" w:rsidR="00AB3F1B" w:rsidRPr="00BF1FAB" w:rsidRDefault="00AB3F1B" w:rsidP="00750C38">
      <w:pPr>
        <w:pStyle w:val="Institutionquiagit"/>
        <w:rPr>
          <w:noProof/>
        </w:rPr>
      </w:pPr>
      <w:r w:rsidRPr="00BF1FAB">
        <w:rPr>
          <w:noProof/>
        </w:rPr>
        <w:t>RADA EURÓPSKEJ ÚNIE,</w:t>
      </w:r>
    </w:p>
    <w:p w14:paraId="70F9542C" w14:textId="3E8A374F" w:rsidR="00E57173" w:rsidRPr="00BF1FAB" w:rsidRDefault="00E57173" w:rsidP="00E57173">
      <w:pPr>
        <w:rPr>
          <w:noProof/>
          <w:szCs w:val="24"/>
        </w:rPr>
      </w:pPr>
      <w:r w:rsidRPr="00BF1FAB">
        <w:rPr>
          <w:noProof/>
        </w:rPr>
        <w:t>so zreteľom na Zmluvu</w:t>
      </w:r>
      <w:r w:rsidR="009B649A">
        <w:rPr>
          <w:noProof/>
        </w:rPr>
        <w:t xml:space="preserve"> o </w:t>
      </w:r>
      <w:r w:rsidRPr="00BF1FAB">
        <w:rPr>
          <w:noProof/>
        </w:rPr>
        <w:t>fungovaní Európskej únie,</w:t>
      </w:r>
      <w:r w:rsidR="009B649A">
        <w:rPr>
          <w:noProof/>
        </w:rPr>
        <w:t xml:space="preserve"> a </w:t>
      </w:r>
      <w:r w:rsidRPr="00BF1FAB">
        <w:rPr>
          <w:noProof/>
        </w:rPr>
        <w:t>najmä na jej článok 218 ods. 3</w:t>
      </w:r>
      <w:r w:rsidR="009B649A">
        <w:rPr>
          <w:noProof/>
        </w:rPr>
        <w:t xml:space="preserve"> a </w:t>
      </w:r>
      <w:r w:rsidRPr="00BF1FAB">
        <w:rPr>
          <w:noProof/>
        </w:rPr>
        <w:t>4,</w:t>
      </w:r>
    </w:p>
    <w:p w14:paraId="281F21CF" w14:textId="77777777" w:rsidR="00E57173" w:rsidRPr="00BF1FAB" w:rsidRDefault="00E57173" w:rsidP="00E57173">
      <w:pPr>
        <w:rPr>
          <w:noProof/>
          <w:szCs w:val="24"/>
        </w:rPr>
      </w:pPr>
      <w:r w:rsidRPr="00BF1FAB">
        <w:rPr>
          <w:noProof/>
        </w:rPr>
        <w:t>so zreteľom na odporúčanie Európskej komisie,</w:t>
      </w:r>
    </w:p>
    <w:p w14:paraId="4D60C58F" w14:textId="77777777" w:rsidR="00E57173" w:rsidRPr="00BF1FAB" w:rsidRDefault="00E57173" w:rsidP="00E57173">
      <w:pPr>
        <w:rPr>
          <w:noProof/>
          <w:szCs w:val="24"/>
        </w:rPr>
      </w:pPr>
      <w:r w:rsidRPr="00BF1FAB">
        <w:rPr>
          <w:noProof/>
        </w:rPr>
        <w:t>keďže:</w:t>
      </w:r>
    </w:p>
    <w:p w14:paraId="1487E41B" w14:textId="07E6D0A7" w:rsidR="00E57173" w:rsidRPr="00BF1FAB" w:rsidRDefault="008B56D0" w:rsidP="00346817">
      <w:pPr>
        <w:pStyle w:val="ManualConsidrant"/>
        <w:rPr>
          <w:noProof/>
        </w:rPr>
      </w:pPr>
      <w:r>
        <w:rPr>
          <w:noProof/>
        </w:rPr>
        <w:t>(1)</w:t>
      </w:r>
      <w:r>
        <w:rPr>
          <w:noProof/>
        </w:rPr>
        <w:tab/>
      </w:r>
      <w:r w:rsidRPr="00BF1FAB">
        <w:rPr>
          <w:noProof/>
        </w:rPr>
        <w:t>Od roku 2005 sa pod záštitou Svetovej organizácie duševného vlastníctva (WIPO) na medzinárodnej úrovni vynakladá úsilie na dosiahnutie súladu určitých procesných aspektov, ktoré sa týkajú prihlášok dizajnov.</w:t>
      </w:r>
    </w:p>
    <w:p w14:paraId="3C469B87" w14:textId="5BE2709D" w:rsidR="00E57173" w:rsidRPr="00BF1FAB" w:rsidRDefault="008B56D0" w:rsidP="00E40821">
      <w:pPr>
        <w:pStyle w:val="ManualConsidrant"/>
        <w:rPr>
          <w:noProof/>
        </w:rPr>
      </w:pPr>
      <w:r>
        <w:rPr>
          <w:noProof/>
        </w:rPr>
        <w:t>(2)</w:t>
      </w:r>
      <w:r>
        <w:rPr>
          <w:noProof/>
        </w:rPr>
        <w:tab/>
      </w:r>
      <w:r w:rsidRPr="00BF1FAB">
        <w:rPr>
          <w:noProof/>
        </w:rPr>
        <w:t>Výsledkom tohto úsilia bolo, že Valné zhromaždenie WIPO</w:t>
      </w:r>
      <w:r w:rsidR="009B649A">
        <w:rPr>
          <w:noProof/>
        </w:rPr>
        <w:t xml:space="preserve"> v </w:t>
      </w:r>
      <w:r w:rsidRPr="00BF1FAB">
        <w:rPr>
          <w:noProof/>
        </w:rPr>
        <w:t>roku 2022 zvolalo diplomatickú konferenciu, ktorá sa má uskutočniť do roku 2024</w:t>
      </w:r>
      <w:r w:rsidR="009B649A">
        <w:rPr>
          <w:noProof/>
        </w:rPr>
        <w:t xml:space="preserve"> a </w:t>
      </w:r>
      <w:r w:rsidRPr="00BF1FAB">
        <w:rPr>
          <w:noProof/>
        </w:rPr>
        <w:t>jej cieľom je uzavrieť</w:t>
      </w:r>
      <w:r w:rsidR="009B649A">
        <w:rPr>
          <w:noProof/>
        </w:rPr>
        <w:t xml:space="preserve"> a </w:t>
      </w:r>
      <w:r w:rsidRPr="00BF1FAB">
        <w:rPr>
          <w:noProof/>
        </w:rPr>
        <w:t>prijať zmluvu</w:t>
      </w:r>
      <w:r w:rsidR="009B649A">
        <w:rPr>
          <w:noProof/>
        </w:rPr>
        <w:t xml:space="preserve"> o </w:t>
      </w:r>
      <w:r w:rsidRPr="00BF1FAB">
        <w:rPr>
          <w:noProof/>
        </w:rPr>
        <w:t>práve dizajnu.</w:t>
      </w:r>
    </w:p>
    <w:p w14:paraId="7BC95AF6" w14:textId="6013F394" w:rsidR="00E57173" w:rsidRPr="00BF1FAB" w:rsidRDefault="00E57173" w:rsidP="00E40821">
      <w:pPr>
        <w:pStyle w:val="ManualConsidrant"/>
        <w:rPr>
          <w:noProof/>
        </w:rPr>
      </w:pPr>
      <w:r>
        <w:rPr>
          <w:noProof/>
        </w:rPr>
        <w:t>(3)</w:t>
      </w:r>
      <w:r>
        <w:rPr>
          <w:noProof/>
        </w:rPr>
        <w:tab/>
      </w:r>
      <w:r w:rsidRPr="00BF1FAB">
        <w:rPr>
          <w:noProof/>
        </w:rPr>
        <w:t>Diplomatická konferencia, na ktorej sa má rokovať</w:t>
      </w:r>
      <w:r w:rsidR="009B649A">
        <w:rPr>
          <w:noProof/>
        </w:rPr>
        <w:t xml:space="preserve"> o </w:t>
      </w:r>
      <w:r w:rsidRPr="00BF1FAB">
        <w:rPr>
          <w:noProof/>
        </w:rPr>
        <w:t>budúcich ustanoveniach zmluvy</w:t>
      </w:r>
      <w:r w:rsidR="009B649A">
        <w:rPr>
          <w:noProof/>
        </w:rPr>
        <w:t xml:space="preserve"> o </w:t>
      </w:r>
      <w:r w:rsidRPr="00BF1FAB">
        <w:rPr>
          <w:noProof/>
        </w:rPr>
        <w:t>práve dizajnu, je naplánovaná na 11. – 22. novembra 2024.</w:t>
      </w:r>
    </w:p>
    <w:p w14:paraId="76B39629" w14:textId="4F9A55EF" w:rsidR="00E57173" w:rsidRPr="00BF1FAB" w:rsidRDefault="00E57173" w:rsidP="00E40821">
      <w:pPr>
        <w:pStyle w:val="ManualConsidrant"/>
        <w:rPr>
          <w:noProof/>
        </w:rPr>
      </w:pPr>
      <w:r>
        <w:rPr>
          <w:noProof/>
        </w:rPr>
        <w:t>(4)</w:t>
      </w:r>
      <w:r>
        <w:rPr>
          <w:noProof/>
        </w:rPr>
        <w:tab/>
      </w:r>
      <w:r w:rsidRPr="00BF1FAB">
        <w:rPr>
          <w:noProof/>
        </w:rPr>
        <w:t>Cieľom zmluvy</w:t>
      </w:r>
      <w:r w:rsidR="009B649A">
        <w:rPr>
          <w:noProof/>
        </w:rPr>
        <w:t xml:space="preserve"> o </w:t>
      </w:r>
      <w:r w:rsidRPr="00BF1FAB">
        <w:rPr>
          <w:noProof/>
        </w:rPr>
        <w:t>práve dizajnu je zosúladiť určité postupy</w:t>
      </w:r>
      <w:r w:rsidR="009B649A">
        <w:rPr>
          <w:noProof/>
        </w:rPr>
        <w:t xml:space="preserve"> a </w:t>
      </w:r>
      <w:r w:rsidRPr="00BF1FAB">
        <w:rPr>
          <w:noProof/>
        </w:rPr>
        <w:t>formality dizajnov</w:t>
      </w:r>
      <w:r w:rsidR="009B649A">
        <w:rPr>
          <w:noProof/>
        </w:rPr>
        <w:t xml:space="preserve"> v </w:t>
      </w:r>
      <w:r w:rsidRPr="00BF1FAB">
        <w:rPr>
          <w:noProof/>
        </w:rPr>
        <w:t>prospech kreatívneho priemyslu</w:t>
      </w:r>
      <w:r w:rsidR="009B649A">
        <w:rPr>
          <w:noProof/>
        </w:rPr>
        <w:t xml:space="preserve"> a </w:t>
      </w:r>
      <w:r w:rsidRPr="00BF1FAB">
        <w:rPr>
          <w:noProof/>
        </w:rPr>
        <w:t>dizajnérov,</w:t>
      </w:r>
      <w:r w:rsidR="009B649A">
        <w:rPr>
          <w:noProof/>
        </w:rPr>
        <w:t xml:space="preserve"> a </w:t>
      </w:r>
      <w:r w:rsidRPr="00BF1FAB">
        <w:rPr>
          <w:noProof/>
        </w:rPr>
        <w:t>to tak, že sa medzinárodný zápis dizajnov uľahčí</w:t>
      </w:r>
      <w:r w:rsidR="009B649A">
        <w:rPr>
          <w:noProof/>
        </w:rPr>
        <w:t xml:space="preserve"> a </w:t>
      </w:r>
      <w:r w:rsidRPr="00BF1FAB">
        <w:rPr>
          <w:noProof/>
        </w:rPr>
        <w:t>stane sa predvídateľnejším.</w:t>
      </w:r>
    </w:p>
    <w:p w14:paraId="62949A67" w14:textId="634B74BC" w:rsidR="00AB3F1B" w:rsidRPr="00BF1FAB" w:rsidRDefault="008B56D0" w:rsidP="00E40821">
      <w:pPr>
        <w:pStyle w:val="ManualConsidrant"/>
        <w:rPr>
          <w:noProof/>
        </w:rPr>
      </w:pPr>
      <w:r>
        <w:rPr>
          <w:noProof/>
        </w:rPr>
        <w:t>(5)</w:t>
      </w:r>
      <w:r>
        <w:rPr>
          <w:noProof/>
        </w:rPr>
        <w:tab/>
      </w:r>
      <w:r w:rsidRPr="00BF1FAB">
        <w:rPr>
          <w:noProof/>
        </w:rPr>
        <w:t>Únia by sa mala zúčastniť na rokovaniach</w:t>
      </w:r>
      <w:r w:rsidR="009B649A">
        <w:rPr>
          <w:noProof/>
        </w:rPr>
        <w:t xml:space="preserve"> o </w:t>
      </w:r>
      <w:r w:rsidRPr="00BF1FAB">
        <w:rPr>
          <w:noProof/>
        </w:rPr>
        <w:t>zmluve</w:t>
      </w:r>
      <w:r w:rsidR="009B649A">
        <w:rPr>
          <w:noProof/>
        </w:rPr>
        <w:t xml:space="preserve"> o </w:t>
      </w:r>
      <w:r w:rsidRPr="00BF1FAB">
        <w:rPr>
          <w:noProof/>
        </w:rPr>
        <w:t>práve dizajnu,</w:t>
      </w:r>
    </w:p>
    <w:p w14:paraId="79F456D4" w14:textId="77777777" w:rsidR="00AB3F1B" w:rsidRPr="00BF1FAB" w:rsidRDefault="00AB3F1B" w:rsidP="00750C38">
      <w:pPr>
        <w:pStyle w:val="Formuledadoption"/>
        <w:rPr>
          <w:noProof/>
        </w:rPr>
      </w:pPr>
      <w:r w:rsidRPr="00BF1FAB">
        <w:rPr>
          <w:noProof/>
        </w:rPr>
        <w:t xml:space="preserve">PRIJALA TOTO ROZHODNUTIE: </w:t>
      </w:r>
    </w:p>
    <w:p w14:paraId="2DB3F50F" w14:textId="77777777" w:rsidR="00AB3F1B" w:rsidRPr="00BF1FAB" w:rsidRDefault="00AB3F1B" w:rsidP="00750C38">
      <w:pPr>
        <w:pStyle w:val="Titrearticle"/>
        <w:rPr>
          <w:noProof/>
        </w:rPr>
      </w:pPr>
      <w:r w:rsidRPr="00BF1FAB">
        <w:rPr>
          <w:noProof/>
        </w:rPr>
        <w:t>Článok 1</w:t>
      </w:r>
    </w:p>
    <w:p w14:paraId="6BCD059B" w14:textId="4E347053" w:rsidR="00AB3F1B" w:rsidRPr="00BF1FAB" w:rsidRDefault="008B56D0" w:rsidP="00213050">
      <w:pPr>
        <w:rPr>
          <w:noProof/>
          <w:szCs w:val="24"/>
        </w:rPr>
      </w:pPr>
      <w:bookmarkStart w:id="6" w:name="_CopyToNewDocument_"/>
      <w:bookmarkEnd w:id="6"/>
      <w:r w:rsidRPr="00BF1FAB">
        <w:rPr>
          <w:noProof/>
        </w:rPr>
        <w:t>Komisia sa týmto poveruje,</w:t>
      </w:r>
      <w:r w:rsidR="009B649A">
        <w:rPr>
          <w:noProof/>
        </w:rPr>
        <w:t xml:space="preserve"> v </w:t>
      </w:r>
      <w:r w:rsidRPr="00BF1FAB">
        <w:rPr>
          <w:noProof/>
        </w:rPr>
        <w:t>mene Únie poveruje, aby začala rokovania</w:t>
      </w:r>
      <w:r w:rsidR="009B649A">
        <w:rPr>
          <w:noProof/>
        </w:rPr>
        <w:t xml:space="preserve"> v </w:t>
      </w:r>
      <w:r w:rsidRPr="00BF1FAB">
        <w:rPr>
          <w:noProof/>
        </w:rPr>
        <w:t>mene Únie</w:t>
      </w:r>
      <w:r w:rsidR="009B649A">
        <w:rPr>
          <w:noProof/>
        </w:rPr>
        <w:t xml:space="preserve"> o </w:t>
      </w:r>
      <w:r w:rsidRPr="00BF1FAB">
        <w:rPr>
          <w:noProof/>
        </w:rPr>
        <w:t>zmluve</w:t>
      </w:r>
      <w:r w:rsidR="009B649A">
        <w:rPr>
          <w:noProof/>
        </w:rPr>
        <w:t xml:space="preserve"> o </w:t>
      </w:r>
      <w:r w:rsidRPr="00BF1FAB">
        <w:rPr>
          <w:noProof/>
        </w:rPr>
        <w:t>práve dizajnu</w:t>
      </w:r>
      <w:r w:rsidR="009B649A">
        <w:rPr>
          <w:noProof/>
        </w:rPr>
        <w:t xml:space="preserve"> v </w:t>
      </w:r>
      <w:r w:rsidRPr="00BF1FAB">
        <w:rPr>
          <w:noProof/>
        </w:rPr>
        <w:t>rámci Svetovej organizácie duševného vlastníctva,</w:t>
      </w:r>
      <w:r w:rsidR="009B649A">
        <w:rPr>
          <w:noProof/>
        </w:rPr>
        <w:t xml:space="preserve"> a </w:t>
      </w:r>
      <w:r w:rsidRPr="00BF1FAB">
        <w:rPr>
          <w:noProof/>
        </w:rPr>
        <w:t>aby sa radila</w:t>
      </w:r>
      <w:r w:rsidR="009B649A">
        <w:rPr>
          <w:noProof/>
        </w:rPr>
        <w:t xml:space="preserve"> s </w:t>
      </w:r>
      <w:r w:rsidRPr="00BF1FAB">
        <w:rPr>
          <w:noProof/>
        </w:rPr>
        <w:t>pracovnou skupinou pre duševné vlastníctvo (osobitným výborom).</w:t>
      </w:r>
    </w:p>
    <w:p w14:paraId="335CFE40" w14:textId="77777777" w:rsidR="00E57173" w:rsidRPr="00BF1FAB" w:rsidRDefault="00E57173" w:rsidP="00E57173">
      <w:pPr>
        <w:pStyle w:val="Titrearticle"/>
        <w:rPr>
          <w:noProof/>
        </w:rPr>
      </w:pPr>
      <w:r w:rsidRPr="00BF1FAB">
        <w:rPr>
          <w:noProof/>
        </w:rPr>
        <w:t>Článok 2</w:t>
      </w:r>
    </w:p>
    <w:p w14:paraId="1192A94E" w14:textId="1F2BB049" w:rsidR="00E57173" w:rsidRPr="00BF1FAB" w:rsidRDefault="00E57173" w:rsidP="00E57173">
      <w:pPr>
        <w:rPr>
          <w:noProof/>
          <w:szCs w:val="24"/>
        </w:rPr>
      </w:pPr>
      <w:r w:rsidRPr="00BF1FAB">
        <w:rPr>
          <w:noProof/>
        </w:rPr>
        <w:t>Smernice na rokovania sú uvedené</w:t>
      </w:r>
      <w:r w:rsidR="009B649A">
        <w:rPr>
          <w:noProof/>
        </w:rPr>
        <w:t xml:space="preserve"> v </w:t>
      </w:r>
      <w:r w:rsidRPr="00BF1FAB">
        <w:rPr>
          <w:noProof/>
        </w:rPr>
        <w:t>prílohe</w:t>
      </w:r>
      <w:r w:rsidR="009B649A">
        <w:rPr>
          <w:noProof/>
        </w:rPr>
        <w:t xml:space="preserve"> k </w:t>
      </w:r>
      <w:r w:rsidRPr="00BF1FAB">
        <w:rPr>
          <w:noProof/>
        </w:rPr>
        <w:t>tomuto rozhodnutiu.</w:t>
      </w:r>
    </w:p>
    <w:p w14:paraId="4275D6D3" w14:textId="77777777" w:rsidR="00E57173" w:rsidRPr="00BF1FAB" w:rsidRDefault="00E57173" w:rsidP="00E41DE9">
      <w:pPr>
        <w:pStyle w:val="Titrearticle"/>
        <w:rPr>
          <w:noProof/>
        </w:rPr>
      </w:pPr>
      <w:r w:rsidRPr="00BF1FAB">
        <w:rPr>
          <w:noProof/>
        </w:rPr>
        <w:t>Článok 3</w:t>
      </w:r>
    </w:p>
    <w:p w14:paraId="3DBF2D0D" w14:textId="77777777" w:rsidR="00E57173" w:rsidRPr="00BF1FAB" w:rsidRDefault="00E57173" w:rsidP="00E57173">
      <w:pPr>
        <w:rPr>
          <w:noProof/>
          <w:szCs w:val="24"/>
        </w:rPr>
      </w:pPr>
      <w:r w:rsidRPr="00BF1FAB">
        <w:rPr>
          <w:noProof/>
        </w:rPr>
        <w:t>Toto rozhodnutie je určené Komisii.</w:t>
      </w:r>
    </w:p>
    <w:p w14:paraId="6A3021BD" w14:textId="45AEDDB6" w:rsidR="00AB3F1B" w:rsidRPr="00BF1FAB" w:rsidRDefault="009B649A" w:rsidP="00E41DE9">
      <w:pPr>
        <w:pStyle w:val="Fait"/>
        <w:rPr>
          <w:noProof/>
        </w:rPr>
      </w:pPr>
      <w:r>
        <w:rPr>
          <w:noProof/>
        </w:rPr>
        <w:t>V Bruseli</w:t>
      </w:r>
    </w:p>
    <w:p w14:paraId="538B3D94" w14:textId="6A828152" w:rsidR="00AB3F1B" w:rsidRPr="00BF1FAB" w:rsidRDefault="00AB3F1B" w:rsidP="00E41DE9">
      <w:pPr>
        <w:pStyle w:val="Institutionquisigne"/>
        <w:rPr>
          <w:noProof/>
        </w:rPr>
      </w:pPr>
      <w:r w:rsidRPr="00BF1FAB">
        <w:rPr>
          <w:noProof/>
        </w:rPr>
        <w:t>Za Radu</w:t>
      </w:r>
    </w:p>
    <w:p w14:paraId="025DFB68" w14:textId="2BA81E01" w:rsidR="005C0C10" w:rsidRPr="00BF1FAB" w:rsidRDefault="005C0C10" w:rsidP="00E41DE9">
      <w:pPr>
        <w:pStyle w:val="Personnequisigne"/>
        <w:keepNext/>
        <w:rPr>
          <w:noProof/>
        </w:rPr>
      </w:pPr>
      <w:r w:rsidRPr="00BF1FAB">
        <w:rPr>
          <w:noProof/>
        </w:rPr>
        <w:t>Charles Michel</w:t>
      </w:r>
    </w:p>
    <w:p w14:paraId="1FC64284" w14:textId="31DCE585" w:rsidR="00AB3F1B" w:rsidRPr="00BF1FAB" w:rsidRDefault="00AB3F1B" w:rsidP="00AB3F1B">
      <w:pPr>
        <w:pStyle w:val="Personnequisigne"/>
        <w:rPr>
          <w:noProof/>
        </w:rPr>
      </w:pPr>
      <w:r w:rsidRPr="00BF1FAB">
        <w:rPr>
          <w:noProof/>
        </w:rPr>
        <w:t>predseda</w:t>
      </w:r>
    </w:p>
    <w:sectPr w:rsidR="00AB3F1B" w:rsidRPr="00BF1FAB" w:rsidSect="000D4DA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0CE88" w14:textId="77777777" w:rsidR="00052BC2" w:rsidRDefault="00052BC2" w:rsidP="00AB3F1B">
      <w:pPr>
        <w:spacing w:before="0" w:after="0"/>
      </w:pPr>
      <w:r>
        <w:separator/>
      </w:r>
    </w:p>
  </w:endnote>
  <w:endnote w:type="continuationSeparator" w:id="0">
    <w:p w14:paraId="159F1790" w14:textId="77777777" w:rsidR="00052BC2" w:rsidRDefault="00052BC2" w:rsidP="00AB3F1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9C18D" w14:textId="453A24BF" w:rsidR="000D4DA2" w:rsidRPr="000D4DA2" w:rsidRDefault="000D4DA2" w:rsidP="000D4DA2">
    <w:pPr>
      <w:pStyle w:val="Footer"/>
      <w:rPr>
        <w:rFonts w:ascii="Arial" w:hAnsi="Arial" w:cs="Arial"/>
        <w:b/>
        <w:sz w:val="48"/>
      </w:rPr>
    </w:pPr>
    <w:r w:rsidRPr="000D4DA2">
      <w:rPr>
        <w:rFonts w:ascii="Arial" w:hAnsi="Arial" w:cs="Arial"/>
        <w:b/>
        <w:sz w:val="48"/>
      </w:rPr>
      <w:t>SK</w:t>
    </w:r>
    <w:r w:rsidRPr="000D4DA2">
      <w:rPr>
        <w:rFonts w:ascii="Arial" w:hAnsi="Arial" w:cs="Arial"/>
        <w:b/>
        <w:sz w:val="48"/>
      </w:rPr>
      <w:tab/>
    </w:r>
    <w:r w:rsidRPr="000D4DA2">
      <w:rPr>
        <w:rFonts w:ascii="Arial" w:hAnsi="Arial" w:cs="Arial"/>
        <w:b/>
        <w:sz w:val="48"/>
      </w:rPr>
      <w:tab/>
    </w:r>
    <w:r w:rsidRPr="000D4DA2">
      <w:tab/>
    </w:r>
    <w:r w:rsidRPr="000D4DA2">
      <w:rPr>
        <w:rFonts w:ascii="Arial" w:hAnsi="Arial" w:cs="Arial"/>
        <w:b/>
        <w:sz w:val="48"/>
      </w:rPr>
      <w:t>SK</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2D46B" w14:textId="4004EE5A" w:rsidR="000D4DA2" w:rsidRPr="000D4DA2" w:rsidRDefault="000D4DA2" w:rsidP="000D4DA2">
    <w:pPr>
      <w:pStyle w:val="Footer"/>
      <w:rPr>
        <w:rFonts w:ascii="Arial" w:hAnsi="Arial" w:cs="Arial"/>
        <w:b/>
        <w:sz w:val="48"/>
      </w:rPr>
    </w:pPr>
    <w:r w:rsidRPr="000D4DA2">
      <w:rPr>
        <w:rFonts w:ascii="Arial" w:hAnsi="Arial" w:cs="Arial"/>
        <w:b/>
        <w:sz w:val="48"/>
      </w:rPr>
      <w:t>SK</w:t>
    </w:r>
    <w:r w:rsidRPr="000D4DA2">
      <w:rPr>
        <w:rFonts w:ascii="Arial" w:hAnsi="Arial" w:cs="Arial"/>
        <w:b/>
        <w:sz w:val="48"/>
      </w:rPr>
      <w:tab/>
    </w:r>
    <w:r w:rsidRPr="000D4DA2">
      <w:rPr>
        <w:rFonts w:ascii="Arial" w:hAnsi="Arial" w:cs="Arial"/>
        <w:b/>
        <w:sz w:val="48"/>
      </w:rPr>
      <w:tab/>
    </w:r>
    <w:r w:rsidRPr="000D4DA2">
      <w:tab/>
    </w:r>
    <w:r w:rsidRPr="000D4DA2">
      <w:rPr>
        <w:rFonts w:ascii="Arial" w:hAnsi="Arial" w:cs="Arial"/>
        <w:b/>
        <w:sz w:val="48"/>
      </w:rPr>
      <w:t>SK</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02838" w14:textId="77777777" w:rsidR="000D4DA2" w:rsidRDefault="000D4DA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0312F" w14:textId="079E95E9" w:rsidR="000D4DA2" w:rsidRPr="000D4DA2" w:rsidRDefault="000D4DA2" w:rsidP="000D4DA2">
    <w:pPr>
      <w:pStyle w:val="Footer"/>
      <w:rPr>
        <w:rFonts w:ascii="Arial" w:hAnsi="Arial" w:cs="Arial"/>
        <w:b/>
        <w:sz w:val="48"/>
      </w:rPr>
    </w:pPr>
    <w:r w:rsidRPr="000D4DA2">
      <w:rPr>
        <w:rFonts w:ascii="Arial" w:hAnsi="Arial" w:cs="Arial"/>
        <w:b/>
        <w:sz w:val="48"/>
      </w:rPr>
      <w:t>SK</w:t>
    </w:r>
    <w:r w:rsidRPr="000D4DA2">
      <w:rPr>
        <w:rFonts w:ascii="Arial" w:hAnsi="Arial" w:cs="Arial"/>
        <w:b/>
        <w:sz w:val="48"/>
      </w:rPr>
      <w:tab/>
    </w:r>
    <w:r>
      <w:fldChar w:fldCharType="begin"/>
    </w:r>
    <w:r>
      <w:instrText xml:space="preserve"> PAGE  \* MERGEFORMAT </w:instrText>
    </w:r>
    <w:r>
      <w:fldChar w:fldCharType="separate"/>
    </w:r>
    <w:r w:rsidR="00E41DE9">
      <w:rPr>
        <w:noProof/>
      </w:rPr>
      <w:t>6</w:t>
    </w:r>
    <w:r>
      <w:fldChar w:fldCharType="end"/>
    </w:r>
    <w:r>
      <w:tab/>
    </w:r>
    <w:r w:rsidRPr="000D4DA2">
      <w:tab/>
    </w:r>
    <w:r w:rsidRPr="000D4DA2">
      <w:rPr>
        <w:rFonts w:ascii="Arial" w:hAnsi="Arial" w:cs="Arial"/>
        <w:b/>
        <w:sz w:val="48"/>
      </w:rPr>
      <w:t>SK</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B9887" w14:textId="77777777" w:rsidR="000D4DA2" w:rsidRDefault="000D4DA2" w:rsidP="000D4D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4EDDC5" w14:textId="77777777" w:rsidR="00052BC2" w:rsidRDefault="00052BC2" w:rsidP="00AB3F1B">
      <w:pPr>
        <w:spacing w:before="0" w:after="0"/>
      </w:pPr>
      <w:r>
        <w:separator/>
      </w:r>
    </w:p>
  </w:footnote>
  <w:footnote w:type="continuationSeparator" w:id="0">
    <w:p w14:paraId="3A4AD3FB" w14:textId="77777777" w:rsidR="00052BC2" w:rsidRDefault="00052BC2" w:rsidP="00AB3F1B">
      <w:pPr>
        <w:spacing w:before="0" w:after="0"/>
      </w:pPr>
      <w:r>
        <w:continuationSeparator/>
      </w:r>
    </w:p>
  </w:footnote>
  <w:footnote w:id="1">
    <w:p w14:paraId="1996A8A5" w14:textId="3587CF01" w:rsidR="007E4557" w:rsidRPr="00BF1FAB" w:rsidRDefault="007E4557">
      <w:pPr>
        <w:pStyle w:val="FootnoteText"/>
        <w:rPr>
          <w:lang w:val="fr-BE"/>
        </w:rPr>
      </w:pPr>
      <w:r>
        <w:rPr>
          <w:rStyle w:val="FootnoteReference"/>
        </w:rPr>
        <w:footnoteRef/>
      </w:r>
      <w:r w:rsidRPr="00BF1FAB">
        <w:rPr>
          <w:lang w:val="fr-BE"/>
        </w:rPr>
        <w:tab/>
        <w:t>Rozsudok z 25. októbra 2017, C</w:t>
      </w:r>
      <w:r w:rsidRPr="00BF1FAB">
        <w:rPr>
          <w:lang w:val="fr-BE"/>
        </w:rPr>
        <w:noBreakHyphen/>
        <w:t>389/15, EU:C:2017:798.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7186A" w14:textId="77777777" w:rsidR="000D4DA2" w:rsidRDefault="000D4D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DDA4B" w14:textId="77777777" w:rsidR="000D4DA2" w:rsidRDefault="000D4D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E43EB98A"/>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EC586B06"/>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A3C404B8"/>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D03E6DB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1"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2"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4"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5"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7"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9"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19"/>
    <w:lvlOverride w:ilvl="0">
      <w:startOverride w:val="1"/>
    </w:lvlOverride>
  </w:num>
  <w:num w:numId="6">
    <w:abstractNumId w:val="8"/>
  </w:num>
  <w:num w:numId="7">
    <w:abstractNumId w:val="16"/>
  </w:num>
  <w:num w:numId="8">
    <w:abstractNumId w:val="9"/>
  </w:num>
  <w:num w:numId="9">
    <w:abstractNumId w:val="18"/>
  </w:num>
  <w:num w:numId="10">
    <w:abstractNumId w:val="7"/>
  </w:num>
  <w:num w:numId="11">
    <w:abstractNumId w:val="10"/>
  </w:num>
  <w:num w:numId="12">
    <w:abstractNumId w:val="11"/>
  </w:num>
  <w:num w:numId="13">
    <w:abstractNumId w:val="5"/>
  </w:num>
  <w:num w:numId="14">
    <w:abstractNumId w:val="17"/>
  </w:num>
  <w:num w:numId="15">
    <w:abstractNumId w:val="4"/>
  </w:num>
  <w:num w:numId="16">
    <w:abstractNumId w:val="12"/>
  </w:num>
  <w:num w:numId="17">
    <w:abstractNumId w:val="14"/>
  </w:num>
  <w:num w:numId="18">
    <w:abstractNumId w:val="15"/>
  </w:num>
  <w:num w:numId="19">
    <w:abstractNumId w:val="6"/>
  </w:num>
  <w:num w:numId="20">
    <w:abstractNumId w:val="13"/>
  </w:num>
  <w:num w:numId="21">
    <w:abstractNumId w:val="19"/>
  </w:num>
  <w:num w:numId="22">
    <w:abstractNumId w:val="16"/>
  </w:num>
  <w:num w:numId="23">
    <w:abstractNumId w:val="9"/>
  </w:num>
  <w:num w:numId="24">
    <w:abstractNumId w:val="18"/>
  </w:num>
  <w:num w:numId="25">
    <w:abstractNumId w:val="7"/>
  </w:num>
  <w:num w:numId="26">
    <w:abstractNumId w:val="10"/>
  </w:num>
  <w:num w:numId="27">
    <w:abstractNumId w:val="11"/>
  </w:num>
  <w:num w:numId="28">
    <w:abstractNumId w:val="5"/>
  </w:num>
  <w:num w:numId="29">
    <w:abstractNumId w:val="17"/>
  </w:num>
  <w:num w:numId="30">
    <w:abstractNumId w:val="4"/>
  </w:num>
  <w:num w:numId="31">
    <w:abstractNumId w:val="12"/>
  </w:num>
  <w:num w:numId="32">
    <w:abstractNumId w:val="14"/>
  </w:num>
  <w:num w:numId="33">
    <w:abstractNumId w:val="15"/>
  </w:num>
  <w:num w:numId="34">
    <w:abstractNumId w:val="6"/>
  </w:num>
  <w:num w:numId="35">
    <w:abstractNumId w:val="13"/>
  </w:num>
  <w:num w:numId="36">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4-05-30 09:26:06"/>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C57B133B-EDB3-4109-BE12-4052AC047739"/>
    <w:docVar w:name="LW_COVERPAGE_TYPE" w:val="1"/>
    <w:docVar w:name="LW_CROSSREFERENCE" w:val="&lt;UNUSED&gt;"/>
    <w:docVar w:name="LW_DocType" w:val="COM"/>
    <w:docVar w:name="LW_EMISSION" w:val="6. 6. 2024"/>
    <w:docVar w:name="LW_EMISSION_ISODATE" w:val="2024-06-06"/>
    <w:docVar w:name="LW_EMISSION_LOCATION" w:val="BRX"/>
    <w:docVar w:name="LW_EMISSION_PREFIX" w:val="V Bruseli"/>
    <w:docVar w:name="LW_EMISSION_SUFFIX" w:val=" "/>
    <w:docVar w:name="LW_ID_DOCMODEL" w:val="SG-001"/>
    <w:docVar w:name="LW_ID_DOCSIGNATURE" w:val="SG-001"/>
    <w:docVar w:name="LW_ID_DOCSTRUCTURE" w:val="COM/PL/ORG/NOEEA"/>
    <w:docVar w:name="LW_ID_DOCTYPE" w:val="SG-001"/>
    <w:docVar w:name="LW_ID_STATUT" w:val="SG-001"/>
    <w:docVar w:name="LW_INSERT_EXP.MOTIFS.NEW" w:val="1"/>
    <w:docVar w:name="LW_LANGUE" w:val="SK"/>
    <w:docVar w:name="LW_LEVEL_OF_SENSITIVITY" w:val="Standard treatment"/>
    <w:docVar w:name="LW_NOM.INST" w:val="EURÓPSKA KOMISIA"/>
    <w:docVar w:name="LW_NOM.INST_JOINTDOC" w:val="&lt;EMPTY&gt;"/>
    <w:docVar w:name="LW_PART_NBR" w:val="1"/>
    <w:docVar w:name="LW_PART_NBR_TOTAL" w:val="1"/>
    <w:docVar w:name="LW_REF.II.NEW.CP" w:val="&lt;UNUSED&gt;"/>
    <w:docVar w:name="LW_REF.II.NEW.CP_NUMBER" w:val="&lt;UNUSED&gt;"/>
    <w:docVar w:name="LW_REF.II.NEW.CP_YEAR" w:val="2024"/>
    <w:docVar w:name="LW_REF.INST.NEW" w:val="COM"/>
    <w:docVar w:name="LW_REF.INST.NEW_ADOPTED" w:val="final"/>
    <w:docVar w:name="LW_REF.INST.NEW_TEXT" w:val="(2024) 232"/>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Odporú\u269?anie"/>
    <w:docVar w:name="LW_SUPERTITRE" w:val="&lt;UNUSED&gt;"/>
    <w:docVar w:name="LW_TITRE.OBJ.CP" w:val="o poverení za\u269?a\u357? rokovania o zmluve o práve dizajnu"/>
    <w:docVar w:name="LW_TYPE.DOC.CP" w:val="ROZHODNUTIE RADY"/>
    <w:docVar w:name="LwApiVersions" w:val="LW4CoDe 1.24.5.0; LW 9.0, Build 20240221"/>
  </w:docVars>
  <w:rsids>
    <w:rsidRoot w:val="00AB3F1B"/>
    <w:rsid w:val="000106A2"/>
    <w:rsid w:val="00052BC2"/>
    <w:rsid w:val="00060018"/>
    <w:rsid w:val="00071B96"/>
    <w:rsid w:val="00080A32"/>
    <w:rsid w:val="00085E31"/>
    <w:rsid w:val="00090E10"/>
    <w:rsid w:val="000A27BE"/>
    <w:rsid w:val="000D4DA2"/>
    <w:rsid w:val="001060BC"/>
    <w:rsid w:val="001065F5"/>
    <w:rsid w:val="00117A14"/>
    <w:rsid w:val="00120155"/>
    <w:rsid w:val="001238EF"/>
    <w:rsid w:val="00156142"/>
    <w:rsid w:val="00197613"/>
    <w:rsid w:val="001A0F98"/>
    <w:rsid w:val="001B0A8D"/>
    <w:rsid w:val="001D3936"/>
    <w:rsid w:val="001F5BC2"/>
    <w:rsid w:val="00232C4B"/>
    <w:rsid w:val="00233DC7"/>
    <w:rsid w:val="00247779"/>
    <w:rsid w:val="0026284D"/>
    <w:rsid w:val="00285BEE"/>
    <w:rsid w:val="0029533F"/>
    <w:rsid w:val="002A0388"/>
    <w:rsid w:val="002B30AF"/>
    <w:rsid w:val="002C1BAD"/>
    <w:rsid w:val="002D0A04"/>
    <w:rsid w:val="0033344A"/>
    <w:rsid w:val="00346817"/>
    <w:rsid w:val="00375B79"/>
    <w:rsid w:val="003857D2"/>
    <w:rsid w:val="00387B16"/>
    <w:rsid w:val="003C05D8"/>
    <w:rsid w:val="003C6C9B"/>
    <w:rsid w:val="003E4226"/>
    <w:rsid w:val="003F4C93"/>
    <w:rsid w:val="00401DC0"/>
    <w:rsid w:val="00413710"/>
    <w:rsid w:val="0042648E"/>
    <w:rsid w:val="00433016"/>
    <w:rsid w:val="004560CB"/>
    <w:rsid w:val="00483FEE"/>
    <w:rsid w:val="004936D2"/>
    <w:rsid w:val="004B082C"/>
    <w:rsid w:val="005037F1"/>
    <w:rsid w:val="005155F3"/>
    <w:rsid w:val="005346E1"/>
    <w:rsid w:val="005526CF"/>
    <w:rsid w:val="00572894"/>
    <w:rsid w:val="00573CAD"/>
    <w:rsid w:val="00582D6D"/>
    <w:rsid w:val="00583286"/>
    <w:rsid w:val="00584D4E"/>
    <w:rsid w:val="005A006C"/>
    <w:rsid w:val="005A3F86"/>
    <w:rsid w:val="005B1EB6"/>
    <w:rsid w:val="005B7FC4"/>
    <w:rsid w:val="005C0C10"/>
    <w:rsid w:val="005E0D51"/>
    <w:rsid w:val="005F4891"/>
    <w:rsid w:val="006175F3"/>
    <w:rsid w:val="006713C3"/>
    <w:rsid w:val="006753D9"/>
    <w:rsid w:val="006A0D0A"/>
    <w:rsid w:val="006B391C"/>
    <w:rsid w:val="006B6938"/>
    <w:rsid w:val="006E6BBA"/>
    <w:rsid w:val="006F42AE"/>
    <w:rsid w:val="0071168B"/>
    <w:rsid w:val="0071230D"/>
    <w:rsid w:val="00763206"/>
    <w:rsid w:val="00773331"/>
    <w:rsid w:val="00784733"/>
    <w:rsid w:val="007932EF"/>
    <w:rsid w:val="00795AF7"/>
    <w:rsid w:val="007B654D"/>
    <w:rsid w:val="007C6656"/>
    <w:rsid w:val="007D1D4A"/>
    <w:rsid w:val="007E05B0"/>
    <w:rsid w:val="007E2777"/>
    <w:rsid w:val="007E4557"/>
    <w:rsid w:val="007F5F88"/>
    <w:rsid w:val="00802D24"/>
    <w:rsid w:val="00824A9F"/>
    <w:rsid w:val="008546C8"/>
    <w:rsid w:val="00874D22"/>
    <w:rsid w:val="008820F4"/>
    <w:rsid w:val="00897EFC"/>
    <w:rsid w:val="008A2914"/>
    <w:rsid w:val="008A413E"/>
    <w:rsid w:val="008B56D0"/>
    <w:rsid w:val="008C53A6"/>
    <w:rsid w:val="008D4BC9"/>
    <w:rsid w:val="008D4D7F"/>
    <w:rsid w:val="008D5BBA"/>
    <w:rsid w:val="008E4D8E"/>
    <w:rsid w:val="008E7B67"/>
    <w:rsid w:val="008F3620"/>
    <w:rsid w:val="00901BA9"/>
    <w:rsid w:val="009611C0"/>
    <w:rsid w:val="009A2CBA"/>
    <w:rsid w:val="009A5523"/>
    <w:rsid w:val="009B649A"/>
    <w:rsid w:val="009C6062"/>
    <w:rsid w:val="009F386A"/>
    <w:rsid w:val="00A16F3E"/>
    <w:rsid w:val="00A34BB7"/>
    <w:rsid w:val="00A37363"/>
    <w:rsid w:val="00A8253A"/>
    <w:rsid w:val="00A83A53"/>
    <w:rsid w:val="00A83FD2"/>
    <w:rsid w:val="00AB26BE"/>
    <w:rsid w:val="00AB3F1B"/>
    <w:rsid w:val="00AF2B09"/>
    <w:rsid w:val="00B435DA"/>
    <w:rsid w:val="00BB0D14"/>
    <w:rsid w:val="00BB54EB"/>
    <w:rsid w:val="00BC2A7C"/>
    <w:rsid w:val="00BF1FAB"/>
    <w:rsid w:val="00BF7436"/>
    <w:rsid w:val="00C10A82"/>
    <w:rsid w:val="00C12301"/>
    <w:rsid w:val="00C22085"/>
    <w:rsid w:val="00C2741D"/>
    <w:rsid w:val="00C33EC4"/>
    <w:rsid w:val="00C46E58"/>
    <w:rsid w:val="00C60416"/>
    <w:rsid w:val="00C71AE0"/>
    <w:rsid w:val="00CA064E"/>
    <w:rsid w:val="00CC5B32"/>
    <w:rsid w:val="00CC67F2"/>
    <w:rsid w:val="00CD1B26"/>
    <w:rsid w:val="00CD7FB7"/>
    <w:rsid w:val="00CE06BD"/>
    <w:rsid w:val="00CE4033"/>
    <w:rsid w:val="00CF0B46"/>
    <w:rsid w:val="00CF27C8"/>
    <w:rsid w:val="00D100C1"/>
    <w:rsid w:val="00D1124D"/>
    <w:rsid w:val="00D20381"/>
    <w:rsid w:val="00D43818"/>
    <w:rsid w:val="00D71B6B"/>
    <w:rsid w:val="00DA1C43"/>
    <w:rsid w:val="00E03528"/>
    <w:rsid w:val="00E23954"/>
    <w:rsid w:val="00E26ED6"/>
    <w:rsid w:val="00E40821"/>
    <w:rsid w:val="00E41DE9"/>
    <w:rsid w:val="00E57173"/>
    <w:rsid w:val="00E640DA"/>
    <w:rsid w:val="00E6667A"/>
    <w:rsid w:val="00E936CB"/>
    <w:rsid w:val="00EA58C7"/>
    <w:rsid w:val="00EB41F9"/>
    <w:rsid w:val="00ED56CD"/>
    <w:rsid w:val="00EE199F"/>
    <w:rsid w:val="00EE279A"/>
    <w:rsid w:val="00EE3BF7"/>
    <w:rsid w:val="00F1742A"/>
    <w:rsid w:val="00F42A84"/>
    <w:rsid w:val="00F7225E"/>
    <w:rsid w:val="00F771FD"/>
    <w:rsid w:val="00F923E9"/>
    <w:rsid w:val="00FB0B43"/>
    <w:rsid w:val="00FC262D"/>
    <w:rsid w:val="00FC38F8"/>
    <w:rsid w:val="00FD19D1"/>
    <w:rsid w:val="00FE2C31"/>
    <w:rsid w:val="00FF0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C23B6EC"/>
  <w15:docId w15:val="{64364FA8-364D-4318-849F-FCD1B35D8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sk-SK"/>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29"/>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29"/>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29"/>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F1B"/>
    <w:pPr>
      <w:spacing w:before="0" w:after="160" w:line="259" w:lineRule="auto"/>
      <w:ind w:left="720"/>
      <w:contextualSpacing/>
      <w:jc w:val="left"/>
    </w:pPr>
    <w:rPr>
      <w:rFonts w:asciiTheme="minorHAnsi" w:hAnsiTheme="minorHAnsi" w:cstheme="minorBidi"/>
      <w:sz w:val="22"/>
    </w:rPr>
  </w:style>
  <w:style w:type="paragraph" w:styleId="ListBullet">
    <w:name w:val="List Bullet"/>
    <w:basedOn w:val="Normal"/>
    <w:uiPriority w:val="99"/>
    <w:semiHidden/>
    <w:unhideWhenUsed/>
    <w:rsid w:val="00802D24"/>
    <w:pPr>
      <w:numPr>
        <w:numId w:val="1"/>
      </w:numPr>
      <w:contextualSpacing/>
    </w:pPr>
  </w:style>
  <w:style w:type="paragraph" w:styleId="ListBullet2">
    <w:name w:val="List Bullet 2"/>
    <w:basedOn w:val="Normal"/>
    <w:uiPriority w:val="99"/>
    <w:semiHidden/>
    <w:unhideWhenUsed/>
    <w:rsid w:val="00802D24"/>
    <w:pPr>
      <w:numPr>
        <w:numId w:val="2"/>
      </w:numPr>
      <w:contextualSpacing/>
    </w:pPr>
  </w:style>
  <w:style w:type="paragraph" w:styleId="ListBullet3">
    <w:name w:val="List Bullet 3"/>
    <w:basedOn w:val="Normal"/>
    <w:uiPriority w:val="99"/>
    <w:semiHidden/>
    <w:unhideWhenUsed/>
    <w:rsid w:val="00802D24"/>
    <w:pPr>
      <w:numPr>
        <w:numId w:val="3"/>
      </w:numPr>
      <w:contextualSpacing/>
    </w:pPr>
  </w:style>
  <w:style w:type="paragraph" w:styleId="ListBullet4">
    <w:name w:val="List Bullet 4"/>
    <w:basedOn w:val="Normal"/>
    <w:uiPriority w:val="99"/>
    <w:semiHidden/>
    <w:unhideWhenUsed/>
    <w:rsid w:val="00802D24"/>
    <w:pPr>
      <w:numPr>
        <w:numId w:val="4"/>
      </w:numPr>
      <w:contextualSpacing/>
    </w:pPr>
  </w:style>
  <w:style w:type="character" w:styleId="CommentReference">
    <w:name w:val="annotation reference"/>
    <w:basedOn w:val="DefaultParagraphFont"/>
    <w:uiPriority w:val="99"/>
    <w:semiHidden/>
    <w:unhideWhenUsed/>
    <w:rsid w:val="00A83FD2"/>
    <w:rPr>
      <w:sz w:val="16"/>
      <w:szCs w:val="16"/>
    </w:rPr>
  </w:style>
  <w:style w:type="paragraph" w:styleId="CommentText">
    <w:name w:val="annotation text"/>
    <w:basedOn w:val="Normal"/>
    <w:link w:val="CommentTextChar"/>
    <w:uiPriority w:val="99"/>
    <w:semiHidden/>
    <w:unhideWhenUsed/>
    <w:rsid w:val="00A83FD2"/>
    <w:rPr>
      <w:sz w:val="20"/>
      <w:szCs w:val="20"/>
    </w:rPr>
  </w:style>
  <w:style w:type="character" w:customStyle="1" w:styleId="CommentTextChar">
    <w:name w:val="Comment Text Char"/>
    <w:basedOn w:val="DefaultParagraphFont"/>
    <w:link w:val="CommentText"/>
    <w:uiPriority w:val="99"/>
    <w:semiHidden/>
    <w:rsid w:val="00A83FD2"/>
    <w:rPr>
      <w:rFonts w:ascii="Times New Roman" w:hAnsi="Times New Roman" w:cs="Times New Roman"/>
      <w:sz w:val="20"/>
      <w:szCs w:val="20"/>
      <w:lang w:val="sk-SK"/>
    </w:rPr>
  </w:style>
  <w:style w:type="paragraph" w:styleId="CommentSubject">
    <w:name w:val="annotation subject"/>
    <w:basedOn w:val="CommentText"/>
    <w:next w:val="CommentText"/>
    <w:link w:val="CommentSubjectChar"/>
    <w:uiPriority w:val="99"/>
    <w:semiHidden/>
    <w:unhideWhenUsed/>
    <w:rsid w:val="00A83FD2"/>
    <w:rPr>
      <w:b/>
      <w:bCs/>
    </w:rPr>
  </w:style>
  <w:style w:type="character" w:customStyle="1" w:styleId="CommentSubjectChar">
    <w:name w:val="Comment Subject Char"/>
    <w:basedOn w:val="CommentTextChar"/>
    <w:link w:val="CommentSubject"/>
    <w:uiPriority w:val="99"/>
    <w:semiHidden/>
    <w:rsid w:val="00A83FD2"/>
    <w:rPr>
      <w:rFonts w:ascii="Times New Roman" w:hAnsi="Times New Roman" w:cs="Times New Roman"/>
      <w:b/>
      <w:bCs/>
      <w:sz w:val="20"/>
      <w:szCs w:val="20"/>
      <w:lang w:val="sk-SK"/>
    </w:rPr>
  </w:style>
  <w:style w:type="character" w:styleId="Hyperlink">
    <w:name w:val="Hyperlink"/>
    <w:basedOn w:val="DefaultParagraphFont"/>
    <w:uiPriority w:val="99"/>
    <w:unhideWhenUsed/>
    <w:rsid w:val="00A83FD2"/>
    <w:rPr>
      <w:color w:val="0000FF" w:themeColor="hyperlink"/>
      <w:u w:val="single"/>
    </w:rPr>
  </w:style>
  <w:style w:type="character" w:customStyle="1" w:styleId="UnresolvedMention">
    <w:name w:val="Unresolved Mention"/>
    <w:basedOn w:val="DefaultParagraphFont"/>
    <w:uiPriority w:val="99"/>
    <w:semiHidden/>
    <w:unhideWhenUsed/>
    <w:rsid w:val="00A83FD2"/>
    <w:rPr>
      <w:color w:val="605E5C"/>
      <w:shd w:val="clear" w:color="auto" w:fill="E1DFDD"/>
    </w:rPr>
  </w:style>
  <w:style w:type="paragraph" w:customStyle="1" w:styleId="LegalNumPar">
    <w:name w:val="LegalNumPar"/>
    <w:basedOn w:val="Normal"/>
    <w:rsid w:val="008B56D0"/>
    <w:pPr>
      <w:numPr>
        <w:numId w:val="6"/>
      </w:numPr>
      <w:spacing w:line="360" w:lineRule="auto"/>
    </w:pPr>
  </w:style>
  <w:style w:type="paragraph" w:customStyle="1" w:styleId="LegalNumPar2">
    <w:name w:val="LegalNumPar2"/>
    <w:basedOn w:val="Normal"/>
    <w:rsid w:val="008B56D0"/>
    <w:pPr>
      <w:numPr>
        <w:ilvl w:val="1"/>
        <w:numId w:val="6"/>
      </w:numPr>
      <w:spacing w:line="360" w:lineRule="auto"/>
    </w:pPr>
  </w:style>
  <w:style w:type="paragraph" w:customStyle="1" w:styleId="LegalNumPar3">
    <w:name w:val="LegalNumPar3"/>
    <w:basedOn w:val="Normal"/>
    <w:rsid w:val="008B56D0"/>
    <w:pPr>
      <w:numPr>
        <w:ilvl w:val="2"/>
        <w:numId w:val="6"/>
      </w:numPr>
      <w:spacing w:line="360" w:lineRule="auto"/>
    </w:pPr>
  </w:style>
  <w:style w:type="paragraph" w:customStyle="1" w:styleId="Default">
    <w:name w:val="Default"/>
    <w:rsid w:val="00E2395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erChar">
    <w:name w:val="Header Char"/>
    <w:basedOn w:val="DefaultParagraphFont"/>
    <w:link w:val="Header"/>
    <w:uiPriority w:val="99"/>
    <w:rsid w:val="000D4DA2"/>
    <w:rPr>
      <w:rFonts w:ascii="Times New Roman" w:hAnsi="Times New Roman" w:cs="Times New Roman"/>
      <w:sz w:val="24"/>
      <w:lang w:val="sk-SK"/>
    </w:rPr>
  </w:style>
  <w:style w:type="character" w:customStyle="1" w:styleId="FooterChar">
    <w:name w:val="Footer Char"/>
    <w:basedOn w:val="DefaultParagraphFont"/>
    <w:link w:val="Footer"/>
    <w:uiPriority w:val="99"/>
    <w:rsid w:val="000D4DA2"/>
    <w:rPr>
      <w:rFonts w:ascii="Times New Roman" w:hAnsi="Times New Roman" w:cs="Times New Roman"/>
      <w:sz w:val="24"/>
      <w:lang w:val="sk-SK"/>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0D4DA2"/>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0D4DA2"/>
    <w:pPr>
      <w:spacing w:before="0"/>
      <w:jc w:val="right"/>
    </w:pPr>
    <w:rPr>
      <w:sz w:val="28"/>
    </w:rPr>
  </w:style>
  <w:style w:type="paragraph" w:customStyle="1" w:styleId="FooterSensitivity">
    <w:name w:val="Footer Sensitivity"/>
    <w:basedOn w:val="Normal"/>
    <w:rsid w:val="000D4DA2"/>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2"/>
      </w:numPr>
    </w:pPr>
  </w:style>
  <w:style w:type="paragraph" w:customStyle="1" w:styleId="Tiret1">
    <w:name w:val="Tiret 1"/>
    <w:basedOn w:val="Point1"/>
    <w:pPr>
      <w:numPr>
        <w:numId w:val="23"/>
      </w:numPr>
    </w:pPr>
  </w:style>
  <w:style w:type="paragraph" w:customStyle="1" w:styleId="Tiret2">
    <w:name w:val="Tiret 2"/>
    <w:basedOn w:val="Point2"/>
    <w:pPr>
      <w:numPr>
        <w:numId w:val="24"/>
      </w:numPr>
    </w:pPr>
  </w:style>
  <w:style w:type="paragraph" w:customStyle="1" w:styleId="Tiret3">
    <w:name w:val="Tiret 3"/>
    <w:basedOn w:val="Point3"/>
    <w:pPr>
      <w:numPr>
        <w:numId w:val="25"/>
      </w:numPr>
    </w:pPr>
  </w:style>
  <w:style w:type="paragraph" w:customStyle="1" w:styleId="Tiret4">
    <w:name w:val="Tiret 4"/>
    <w:basedOn w:val="Point4"/>
    <w:pPr>
      <w:numPr>
        <w:numId w:val="26"/>
      </w:numPr>
    </w:pPr>
  </w:style>
  <w:style w:type="paragraph" w:customStyle="1" w:styleId="Tiret5">
    <w:name w:val="Tiret 5"/>
    <w:basedOn w:val="Point5"/>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NumPar5">
    <w:name w:val="NumPar 5"/>
    <w:basedOn w:val="Normal"/>
    <w:next w:val="Text2"/>
    <w:pPr>
      <w:numPr>
        <w:ilvl w:val="4"/>
        <w:numId w:val="28"/>
      </w:numPr>
    </w:pPr>
  </w:style>
  <w:style w:type="paragraph" w:customStyle="1" w:styleId="NumPar6">
    <w:name w:val="NumPar 6"/>
    <w:basedOn w:val="Normal"/>
    <w:next w:val="Text2"/>
    <w:pPr>
      <w:numPr>
        <w:ilvl w:val="5"/>
        <w:numId w:val="28"/>
      </w:numPr>
    </w:pPr>
  </w:style>
  <w:style w:type="paragraph" w:customStyle="1" w:styleId="NumPar7">
    <w:name w:val="NumPar 7"/>
    <w:basedOn w:val="Normal"/>
    <w:next w:val="Text2"/>
    <w:pPr>
      <w:numPr>
        <w:ilvl w:val="6"/>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0D4DA2"/>
    <w:pPr>
      <w:tabs>
        <w:tab w:val="center" w:pos="4535"/>
        <w:tab w:val="right" w:pos="9071"/>
      </w:tabs>
      <w:spacing w:before="0"/>
    </w:pPr>
  </w:style>
  <w:style w:type="paragraph" w:customStyle="1" w:styleId="HeaderLandscape">
    <w:name w:val="HeaderLandscape"/>
    <w:basedOn w:val="Normal"/>
    <w:rsid w:val="000D4DA2"/>
    <w:pPr>
      <w:tabs>
        <w:tab w:val="center" w:pos="7285"/>
        <w:tab w:val="right" w:pos="14003"/>
      </w:tabs>
      <w:spacing w:before="0"/>
    </w:pPr>
  </w:style>
  <w:style w:type="paragraph" w:styleId="Footer">
    <w:name w:val="footer"/>
    <w:basedOn w:val="Normal"/>
    <w:link w:val="FooterChar"/>
    <w:uiPriority w:val="99"/>
    <w:unhideWhenUsed/>
    <w:rsid w:val="000D4DA2"/>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0D4DA2"/>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59186">
      <w:bodyDiv w:val="1"/>
      <w:marLeft w:val="0"/>
      <w:marRight w:val="0"/>
      <w:marTop w:val="0"/>
      <w:marBottom w:val="0"/>
      <w:divBdr>
        <w:top w:val="none" w:sz="0" w:space="0" w:color="auto"/>
        <w:left w:val="none" w:sz="0" w:space="0" w:color="auto"/>
        <w:bottom w:val="none" w:sz="0" w:space="0" w:color="auto"/>
        <w:right w:val="none" w:sz="0" w:space="0" w:color="auto"/>
      </w:divBdr>
    </w:div>
    <w:div w:id="527645351">
      <w:bodyDiv w:val="1"/>
      <w:marLeft w:val="0"/>
      <w:marRight w:val="0"/>
      <w:marTop w:val="0"/>
      <w:marBottom w:val="0"/>
      <w:divBdr>
        <w:top w:val="none" w:sz="0" w:space="0" w:color="auto"/>
        <w:left w:val="none" w:sz="0" w:space="0" w:color="auto"/>
        <w:bottom w:val="none" w:sz="0" w:space="0" w:color="auto"/>
        <w:right w:val="none" w:sz="0" w:space="0" w:color="auto"/>
      </w:divBdr>
    </w:div>
    <w:div w:id="1209027686">
      <w:bodyDiv w:val="1"/>
      <w:marLeft w:val="0"/>
      <w:marRight w:val="0"/>
      <w:marTop w:val="0"/>
      <w:marBottom w:val="0"/>
      <w:divBdr>
        <w:top w:val="none" w:sz="0" w:space="0" w:color="auto"/>
        <w:left w:val="none" w:sz="0" w:space="0" w:color="auto"/>
        <w:bottom w:val="none" w:sz="0" w:space="0" w:color="auto"/>
        <w:right w:val="none" w:sz="0" w:space="0" w:color="auto"/>
      </w:divBdr>
    </w:div>
    <w:div w:id="1251742355">
      <w:bodyDiv w:val="1"/>
      <w:marLeft w:val="0"/>
      <w:marRight w:val="0"/>
      <w:marTop w:val="0"/>
      <w:marBottom w:val="0"/>
      <w:divBdr>
        <w:top w:val="none" w:sz="0" w:space="0" w:color="auto"/>
        <w:left w:val="none" w:sz="0" w:space="0" w:color="auto"/>
        <w:bottom w:val="none" w:sz="0" w:space="0" w:color="auto"/>
        <w:right w:val="none" w:sz="0" w:space="0" w:color="auto"/>
      </w:divBdr>
    </w:div>
    <w:div w:id="1842620280">
      <w:bodyDiv w:val="1"/>
      <w:marLeft w:val="0"/>
      <w:marRight w:val="0"/>
      <w:marTop w:val="0"/>
      <w:marBottom w:val="0"/>
      <w:divBdr>
        <w:top w:val="none" w:sz="0" w:space="0" w:color="auto"/>
        <w:left w:val="none" w:sz="0" w:space="0" w:color="auto"/>
        <w:bottom w:val="none" w:sz="0" w:space="0" w:color="auto"/>
        <w:right w:val="none" w:sz="0" w:space="0" w:color="auto"/>
      </w:divBdr>
    </w:div>
    <w:div w:id="195940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9C524-7416-4C33-BB48-440AAA01C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62</TotalTime>
  <Pages>7</Pages>
  <Words>2645</Words>
  <Characters>15077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33</cp:revision>
  <dcterms:created xsi:type="dcterms:W3CDTF">2024-03-20T10:25:00Z</dcterms:created>
  <dcterms:modified xsi:type="dcterms:W3CDTF">2024-05-30T07:26:00Z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MSIP_Label_6bd9ddd1-4d20-43f6-abfa-fc3c07406f94_Enabled">
    <vt:lpwstr>true</vt:lpwstr>
  </property>
  <property fmtid="{D5CDD505-2E9C-101B-9397-08002B2CF9AE}" pid="6" name="MSIP_Label_6bd9ddd1-4d20-43f6-abfa-fc3c07406f94_SetDate">
    <vt:lpwstr>2023-11-28T08:14:18Z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8fa190d4-9fa8-45e6-af42-a2220cc3a07a</vt:lpwstr>
  </property>
  <property fmtid="{D5CDD505-2E9C-101B-9397-08002B2CF9AE}" pid="11" name="MSIP_Label_6bd9ddd1-4d20-43f6-abfa-fc3c07406f94_ContentBits">
    <vt:lpwstr>0</vt:lpwstr>
  </property>
  <property fmtid="{D5CDD505-2E9C-101B-9397-08002B2CF9AE}" pid="12" name="Created using">
    <vt:lpwstr>LW 9.0, Build 20230317</vt:lpwstr>
  </property>
  <property fmtid="{D5CDD505-2E9C-101B-9397-08002B2CF9AE}" pid="13" name="Part">
    <vt:lpwstr>1</vt:lpwstr>
  </property>
  <property fmtid="{D5CDD505-2E9C-101B-9397-08002B2CF9AE}" pid="14" name="Total parts">
    <vt:lpwstr>1</vt:lpwstr>
  </property>
  <property fmtid="{D5CDD505-2E9C-101B-9397-08002B2CF9AE}" pid="15" name="Level of sensitivity">
    <vt:lpwstr>Standard treatment</vt:lpwstr>
  </property>
  <property fmtid="{D5CDD505-2E9C-101B-9397-08002B2CF9AE}" pid="16" name="LWTemplateID">
    <vt:lpwstr>SG-001</vt:lpwstr>
  </property>
  <property fmtid="{D5CDD505-2E9C-101B-9397-08002B2CF9AE}" pid="17" name="DQCStatus">
    <vt:lpwstr>Green (DQC version 03)</vt:lpwstr>
  </property>
</Properties>
</file>