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F7514" w14:textId="053A0A84" w:rsidR="00AB3F1B" w:rsidRPr="00321E11" w:rsidRDefault="001B759E" w:rsidP="001B759E">
      <w:pPr>
        <w:pStyle w:val="Pagedecouverture"/>
        <w:rPr>
          <w:noProof/>
        </w:rPr>
      </w:pPr>
      <w:r>
        <w:rPr>
          <w:noProof/>
        </w:rPr>
        <w:pict w14:anchorId="235B2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3FCDEA0-EE44-47E9-A8C5-DADC8F6AF817" style="width:455.25pt;height:328.5pt">
            <v:imagedata r:id="rId8" o:title=""/>
          </v:shape>
        </w:pict>
      </w:r>
    </w:p>
    <w:p w14:paraId="6DAB3E3B" w14:textId="77777777" w:rsidR="00AB3F1B" w:rsidRPr="00321E11" w:rsidRDefault="00AB3F1B" w:rsidP="00CD1B26">
      <w:pPr>
        <w:pStyle w:val="Pagedecouverture"/>
        <w:rPr>
          <w:noProof/>
        </w:rPr>
        <w:sectPr w:rsidR="00AB3F1B" w:rsidRPr="00321E11" w:rsidSect="001B759E">
          <w:footerReference w:type="even" r:id="rId9"/>
          <w:footerReference w:type="default" r:id="rId10"/>
          <w:pgSz w:w="11907" w:h="16839"/>
          <w:pgMar w:top="1134" w:right="1417" w:bottom="1134" w:left="1417" w:header="709" w:footer="709" w:gutter="0"/>
          <w:pgNumType w:start="0"/>
          <w:cols w:space="720"/>
          <w:docGrid w:linePitch="360"/>
        </w:sectPr>
      </w:pPr>
    </w:p>
    <w:p w14:paraId="5D7F3F97" w14:textId="77777777" w:rsidR="00AB3F1B" w:rsidRPr="00321E11" w:rsidRDefault="00AB3F1B" w:rsidP="00BB6B30">
      <w:pPr>
        <w:pStyle w:val="Exposdesmotifstitre"/>
        <w:rPr>
          <w:noProof/>
        </w:rPr>
      </w:pPr>
      <w:bookmarkStart w:id="0" w:name="_GoBack"/>
      <w:bookmarkEnd w:id="0"/>
      <w:r w:rsidRPr="00321E11">
        <w:rPr>
          <w:noProof/>
        </w:rPr>
        <w:lastRenderedPageBreak/>
        <w:t>BEGRUNDELSE</w:t>
      </w:r>
    </w:p>
    <w:p w14:paraId="75B75BE5" w14:textId="77777777" w:rsidR="00AB3F1B" w:rsidRPr="00321E11" w:rsidRDefault="00AB3F1B" w:rsidP="00BB6B30">
      <w:pPr>
        <w:pStyle w:val="ManualHeading1"/>
        <w:rPr>
          <w:noProof/>
        </w:rPr>
      </w:pPr>
      <w:r w:rsidRPr="00321E11">
        <w:rPr>
          <w:noProof/>
        </w:rPr>
        <w:t>1.</w:t>
      </w:r>
      <w:r w:rsidRPr="00321E11">
        <w:rPr>
          <w:noProof/>
        </w:rPr>
        <w:tab/>
        <w:t>BAGGRUND FOR FORSLAGET</w:t>
      </w:r>
    </w:p>
    <w:p w14:paraId="164D4A71" w14:textId="77777777" w:rsidR="00AB3F1B" w:rsidRPr="00321E11" w:rsidRDefault="00AB3F1B" w:rsidP="00044058">
      <w:pPr>
        <w:pStyle w:val="ManualHeading2"/>
        <w:rPr>
          <w:rFonts w:eastAsia="Arial Unicode MS"/>
          <w:noProof/>
        </w:rPr>
      </w:pPr>
      <w:r w:rsidRPr="00321E11">
        <w:rPr>
          <w:noProof/>
        </w:rPr>
        <w:t>Forslagets begrundelse og formål</w:t>
      </w:r>
    </w:p>
    <w:p w14:paraId="2E2D9A68" w14:textId="77777777" w:rsidR="008B56D0" w:rsidRPr="00321E11" w:rsidRDefault="007E4557" w:rsidP="008B56D0">
      <w:pPr>
        <w:pBdr>
          <w:top w:val="nil"/>
          <w:left w:val="nil"/>
          <w:bottom w:val="nil"/>
          <w:right w:val="nil"/>
          <w:between w:val="nil"/>
          <w:bar w:val="nil"/>
        </w:pBdr>
        <w:spacing w:before="0" w:after="240"/>
        <w:rPr>
          <w:noProof/>
          <w:szCs w:val="24"/>
        </w:rPr>
      </w:pPr>
      <w:r w:rsidRPr="00321E11">
        <w:rPr>
          <w:noProof/>
        </w:rPr>
        <w:t>Det Stående Udvalg for Lovgivning vedrørende Varemærker, Industrielt Design og Geografiske Betegnelser (det stående udvalg) fungerer som forum for Verdensorganisationen for Intellektuel Ejendomsret (WIPO) med henblik på at drøfte spørgsmål, fremme koordinering og udstikke retningslinjer for den gradvise internationale udvikling af lovgivningen om varemærker, industrielle design og geografiske betegnelser, herunder harmoniseringen af nationale love og procedurer.</w:t>
      </w:r>
    </w:p>
    <w:p w14:paraId="26895AF4" w14:textId="77777777" w:rsidR="008B56D0" w:rsidRPr="00321E11" w:rsidRDefault="008B56D0" w:rsidP="008B56D0">
      <w:pPr>
        <w:pBdr>
          <w:top w:val="nil"/>
          <w:left w:val="nil"/>
          <w:bottom w:val="nil"/>
          <w:right w:val="nil"/>
          <w:between w:val="nil"/>
          <w:bar w:val="nil"/>
        </w:pBdr>
        <w:spacing w:before="0" w:after="240"/>
        <w:rPr>
          <w:noProof/>
          <w:szCs w:val="24"/>
        </w:rPr>
      </w:pPr>
      <w:r w:rsidRPr="00321E11">
        <w:rPr>
          <w:noProof/>
        </w:rPr>
        <w:t>De første forslag til international harmonisering og forenkling af procedurerne for registrering af design blev forelagt det stående udvalg i 2005.</w:t>
      </w:r>
    </w:p>
    <w:p w14:paraId="7E730DF1" w14:textId="77777777" w:rsidR="008B56D0" w:rsidRPr="00321E11" w:rsidRDefault="008B56D0" w:rsidP="008B56D0">
      <w:pPr>
        <w:pBdr>
          <w:top w:val="nil"/>
          <w:left w:val="nil"/>
          <w:bottom w:val="nil"/>
          <w:right w:val="nil"/>
          <w:between w:val="nil"/>
          <w:bar w:val="nil"/>
        </w:pBdr>
        <w:spacing w:before="0" w:after="240"/>
        <w:rPr>
          <w:noProof/>
          <w:szCs w:val="24"/>
        </w:rPr>
      </w:pPr>
      <w:r w:rsidRPr="00321E11">
        <w:rPr>
          <w:noProof/>
        </w:rPr>
        <w:t>Efter at have kortlagt de mulige områder for konvergens frem til 2009 fremlagde sekretariatet for det stående udvalg det første udkast til bestemmelser om lovgivning og praksis vedrørende industrielle design for udvalget i 2010.</w:t>
      </w:r>
    </w:p>
    <w:p w14:paraId="1EEAC572" w14:textId="77777777" w:rsidR="008B56D0" w:rsidRPr="00321E11" w:rsidRDefault="008B56D0" w:rsidP="008B56D0">
      <w:pPr>
        <w:pBdr>
          <w:top w:val="nil"/>
          <w:left w:val="nil"/>
          <w:bottom w:val="nil"/>
          <w:right w:val="nil"/>
          <w:between w:val="nil"/>
          <w:bar w:val="nil"/>
        </w:pBdr>
        <w:spacing w:before="0" w:after="240"/>
        <w:rPr>
          <w:noProof/>
          <w:szCs w:val="24"/>
        </w:rPr>
      </w:pPr>
      <w:r w:rsidRPr="00321E11">
        <w:rPr>
          <w:noProof/>
        </w:rPr>
        <w:t>Historisk set har Den Europæiske Union (EU eller Unionen) haft et stærkt ønske om at harmonisere designsektoren og har opfordret til at indkalde til en diplomatisk konference for at vedtage en designlovstraktat (DLT eller traktaten), som alle WIPO's medlemsstater vil kunne drage fordel af, uanset deres udviklingsniveau.</w:t>
      </w:r>
    </w:p>
    <w:p w14:paraId="2FA579A9" w14:textId="77777777" w:rsidR="008B56D0" w:rsidRPr="00321E11" w:rsidRDefault="008B56D0" w:rsidP="008B56D0">
      <w:pPr>
        <w:pBdr>
          <w:top w:val="nil"/>
          <w:left w:val="nil"/>
          <w:bottom w:val="nil"/>
          <w:right w:val="nil"/>
          <w:between w:val="nil"/>
          <w:bar w:val="nil"/>
        </w:pBdr>
        <w:spacing w:before="0" w:after="240"/>
        <w:rPr>
          <w:noProof/>
          <w:szCs w:val="24"/>
        </w:rPr>
      </w:pPr>
      <w:r w:rsidRPr="00321E11">
        <w:rPr>
          <w:noProof/>
        </w:rPr>
        <w:t>I 2022 besluttede WIPO's generalforsamling at indkalde til to diplomatiske konferencer, som skulle afholdes senest i 2024. Den ene konference med det formål at vedtage et internationalt retligt instrument vedrørende intellektuel ejendomsret, genetiske ressourcer og traditionel viden i tilknytning til genetiske ressourcer (GR-instrumentet) og den anden med det formål at indgå og vedtage en designlovstraktat.</w:t>
      </w:r>
    </w:p>
    <w:p w14:paraId="7A391AAA" w14:textId="77777777" w:rsidR="008B56D0" w:rsidRPr="00321E11" w:rsidRDefault="008B56D0" w:rsidP="008B56D0">
      <w:pPr>
        <w:pBdr>
          <w:top w:val="nil"/>
          <w:left w:val="nil"/>
          <w:bottom w:val="nil"/>
          <w:right w:val="nil"/>
          <w:between w:val="nil"/>
          <w:bar w:val="nil"/>
        </w:pBdr>
        <w:spacing w:before="0" w:after="240"/>
        <w:rPr>
          <w:noProof/>
          <w:szCs w:val="24"/>
        </w:rPr>
      </w:pPr>
      <w:r w:rsidRPr="00321E11">
        <w:rPr>
          <w:noProof/>
        </w:rPr>
        <w:t>Med henblik på at forberede den diplomatiske konference og fastlægge de nødvendige retningslinjer for denne konference besluttede WIPO's generalforsamling at indkalde et forberedende udvalg i anden halvdel af 2023. Det forberedende udvalg behandlede udkastet til forretningsorden, der skulle forelægges til vedtagelse på den diplomatiske konference, listen over indbudte konferencedeltagere og udkastene til indbydelser samt andre organisatoriske spørgsmål vedrørende konferencen. Det forberedende udvalg godkendte også det grundlæggende forslag til designlovstraktatens administrative og afsluttende bestemmelser.</w:t>
      </w:r>
    </w:p>
    <w:p w14:paraId="7BC0D687" w14:textId="77777777" w:rsidR="008B56D0" w:rsidRPr="00321E11" w:rsidRDefault="008B56D0" w:rsidP="008B56D0">
      <w:pPr>
        <w:pBdr>
          <w:top w:val="nil"/>
          <w:left w:val="nil"/>
          <w:bottom w:val="nil"/>
          <w:right w:val="nil"/>
          <w:between w:val="nil"/>
          <w:bar w:val="nil"/>
        </w:pBdr>
        <w:spacing w:before="0" w:after="240"/>
        <w:rPr>
          <w:noProof/>
          <w:szCs w:val="24"/>
        </w:rPr>
      </w:pPr>
      <w:r w:rsidRPr="00321E11">
        <w:rPr>
          <w:noProof/>
        </w:rPr>
        <w:t>Det forberedende udvalg besluttede at indbyde EU til den diplomatiske konference som en særlig delegation.</w:t>
      </w:r>
    </w:p>
    <w:p w14:paraId="2FF2F31A" w14:textId="77777777" w:rsidR="00AB3F1B" w:rsidRPr="00321E11" w:rsidRDefault="008B56D0" w:rsidP="008B56D0">
      <w:pPr>
        <w:pBdr>
          <w:top w:val="nil"/>
          <w:left w:val="nil"/>
          <w:bottom w:val="nil"/>
          <w:right w:val="nil"/>
          <w:between w:val="nil"/>
          <w:bar w:val="nil"/>
        </w:pBdr>
        <w:spacing w:before="0" w:after="240"/>
        <w:rPr>
          <w:rFonts w:eastAsia="Arial Unicode MS"/>
          <w:noProof/>
        </w:rPr>
      </w:pPr>
      <w:r w:rsidRPr="00321E11">
        <w:rPr>
          <w:noProof/>
        </w:rPr>
        <w:t>WIPO's generalforsamling pålagde endvidere det stående udvalg at afholde et ekstraordinært møde i anden halvdel af 2023, forud for det forberedende udvalg, for i tilstrækkelig grad yderligere at afhjælpe eventuelle mangler ved udkastet til designlovstraktat.</w:t>
      </w:r>
    </w:p>
    <w:p w14:paraId="1665023E" w14:textId="77777777" w:rsidR="00AB3F1B" w:rsidRPr="00321E11" w:rsidRDefault="00AB3F1B" w:rsidP="00AB3F1B">
      <w:pPr>
        <w:pStyle w:val="ManualHeading1"/>
        <w:rPr>
          <w:bCs/>
          <w:noProof/>
          <w:szCs w:val="24"/>
        </w:rPr>
      </w:pPr>
      <w:r w:rsidRPr="00321E11">
        <w:rPr>
          <w:noProof/>
        </w:rPr>
        <w:t>2.</w:t>
      </w:r>
      <w:r w:rsidRPr="00321E11">
        <w:rPr>
          <w:noProof/>
        </w:rPr>
        <w:tab/>
        <w:t>RESULTATER AF HØRINGER AF INTERESSEREDE PARTER OG KONSEKVENSANALYSER</w:t>
      </w:r>
    </w:p>
    <w:p w14:paraId="3C13B72D" w14:textId="77777777" w:rsidR="00AB3F1B" w:rsidRPr="00321E11" w:rsidRDefault="00AB3F1B" w:rsidP="00AB3F1B">
      <w:pPr>
        <w:rPr>
          <w:noProof/>
        </w:rPr>
      </w:pPr>
      <w:r w:rsidRPr="00321E11">
        <w:rPr>
          <w:noProof/>
        </w:rPr>
        <w:t>Ikke relevant.</w:t>
      </w:r>
    </w:p>
    <w:p w14:paraId="5B670B18" w14:textId="77777777" w:rsidR="00AB3F1B" w:rsidRPr="00321E11" w:rsidRDefault="00AB3F1B" w:rsidP="00AB3F1B">
      <w:pPr>
        <w:pStyle w:val="ManualHeading1"/>
        <w:rPr>
          <w:noProof/>
        </w:rPr>
      </w:pPr>
      <w:r w:rsidRPr="00321E11">
        <w:rPr>
          <w:noProof/>
        </w:rPr>
        <w:lastRenderedPageBreak/>
        <w:t>3.</w:t>
      </w:r>
      <w:r w:rsidRPr="00321E11">
        <w:rPr>
          <w:noProof/>
        </w:rPr>
        <w:tab/>
        <w:t>JURIDISKE ASPEKTER AF HENSTILLINGEN</w:t>
      </w:r>
    </w:p>
    <w:p w14:paraId="1B217814" w14:textId="77777777" w:rsidR="00AB3F1B" w:rsidRPr="00321E11" w:rsidRDefault="00AB3F1B" w:rsidP="00A16F3E">
      <w:pPr>
        <w:pStyle w:val="ManualHeading2"/>
        <w:rPr>
          <w:noProof/>
        </w:rPr>
      </w:pPr>
      <w:r w:rsidRPr="00321E11">
        <w:rPr>
          <w:noProof/>
        </w:rPr>
        <w:t>Det grundlæggende forslag vedrørende designlovstraktaten</w:t>
      </w:r>
    </w:p>
    <w:p w14:paraId="6E08615E" w14:textId="77777777" w:rsidR="008B56D0" w:rsidRPr="00321E11" w:rsidRDefault="008B56D0" w:rsidP="00232C4B">
      <w:pPr>
        <w:rPr>
          <w:noProof/>
        </w:rPr>
      </w:pPr>
      <w:r w:rsidRPr="00321E11">
        <w:rPr>
          <w:noProof/>
        </w:rPr>
        <w:t>Formålet med designlovstraktaten er at harmonisere visse proceduremæssige aspekter og formaliteter i forbindelse med ansøgninger om industrielt design. Den omhandler eksempelvis de forskellige trin i indgivelsen af en ansøgning, offentliggørelsen af ansøgninger, skånefristen, afbildningen af designet i ansøgningen, beskrivelsen og forpligtelsen til at registrere licenser i registrene over intellektuelle ejendomsrettigheder. Den vedrører imidlertid ikke spørgsmål vedrørende materiel ret (definitionen af et design, betingelserne for gyldighed eller beskyttelsens omfang).</w:t>
      </w:r>
    </w:p>
    <w:p w14:paraId="528C45A3" w14:textId="77777777" w:rsidR="008B56D0" w:rsidRPr="00321E11" w:rsidRDefault="008B56D0" w:rsidP="00232C4B">
      <w:pPr>
        <w:rPr>
          <w:noProof/>
        </w:rPr>
      </w:pPr>
      <w:r w:rsidRPr="00321E11">
        <w:rPr>
          <w:noProof/>
        </w:rPr>
        <w:t xml:space="preserve">Designlovstraktaten indeholder hovedsageligt proceduremæssige bestemmelser vedrørende definitioner (artikel 1), generelle principper (artikel 1a), anvendelsesområde (artikel 2), indholdet af designansøgninger (artikel 3), afbildning (artikel 4), regler om fastsættelse af en ansøgningsdato (artikel 5), regler om skånefrist for indgivelse af en designansøgning i tilfælde af tidligere offentliggørelse (artikel 6), krav om indgivelse af ansøgningen i ophavsmandens navn (artikel 7), ændringer og opdelinger (artikel 8), bekendtgørelse af designet (artikel 9), meddelelser (artikel 10), indholdet af anmodninger om fornyelse (artikel 11), lempelsesforanstaltninger i forhold til tidsfrister (artikel 12-13), rettelse eller tilføjelse af begæringer om prioritet (artikel 14), anmodninger om registrering af en licens og virkninger af manglende registrering af en licens (artikel 15-17), angivelse af licenstager (artikel 18), registrering af ændringer i ejendomsretten (artikel 19), ændring af navn eller adresse (artikel 20), berigtigelse af fejl (artikel 21), teknisk bistand til de kontraherende parter (artikel 22) og de forordninger, der er knyttet som bilag til traktaten (artikel 23). </w:t>
      </w:r>
    </w:p>
    <w:p w14:paraId="6A586D08" w14:textId="77777777" w:rsidR="008B56D0" w:rsidRPr="00321E11" w:rsidRDefault="00A8253A" w:rsidP="00232C4B">
      <w:pPr>
        <w:rPr>
          <w:noProof/>
        </w:rPr>
      </w:pPr>
      <w:r w:rsidRPr="00321E11">
        <w:rPr>
          <w:noProof/>
        </w:rPr>
        <w:t xml:space="preserve">Derudover vil artikel 3 i designlovstraktaten give de kontraherende parter mulighed for at kræve, at ansøgerne oplyser oprindelsen af eller kilden til traditionelle kulturelle udtryksformer, traditionel viden eller biologiske/genetiske ressourcer, der anvendes eller indgår i det industrielle design. Selv om denne bestemmelse har en anden karakter end det obligatoriske offentliggørelseskrav, der foreslås i GR-instrumentet, og som de kontraherende parter vil være forpligtet til at indføre i deres nationale lovgivning, kan den </w:t>
      </w:r>
      <w:bookmarkStart w:id="1" w:name="_Hlk160113097"/>
      <w:r w:rsidRPr="00321E11">
        <w:rPr>
          <w:noProof/>
        </w:rPr>
        <w:t>stadig have forstyrrende virkninger for opnåelsen af designbeskyttelse i de jurisdiktioner, der vælger at gennemføre den</w:t>
      </w:r>
      <w:bookmarkEnd w:id="1"/>
      <w:r w:rsidRPr="00321E11">
        <w:rPr>
          <w:noProof/>
        </w:rPr>
        <w:t>.</w:t>
      </w:r>
    </w:p>
    <w:p w14:paraId="5D5BBE8C" w14:textId="77777777" w:rsidR="008B56D0" w:rsidRPr="00321E11" w:rsidRDefault="008B56D0" w:rsidP="00232C4B">
      <w:pPr>
        <w:rPr>
          <w:noProof/>
        </w:rPr>
      </w:pPr>
      <w:r w:rsidRPr="00321E11">
        <w:rPr>
          <w:noProof/>
        </w:rPr>
        <w:t>De administrative og afsluttende bestemmelser indeholder den institutionelle ramme, der skal gælde for designlovstraktaten. Dette omfatter forsamlingen, hvor de kontraherende parter vil være repræsenteret for bl.a. at behandle alle spørgsmål vedrørende opretholdelse og videreudvikling af traktaten (artikel 24), og WIPO's Internationale Bureau, som skal varetage de administrative opgaver vedrørende traktaten (artikel 25).</w:t>
      </w:r>
    </w:p>
    <w:p w14:paraId="23A9D741" w14:textId="77777777" w:rsidR="008B56D0" w:rsidRPr="00321E11" w:rsidRDefault="008B56D0" w:rsidP="00232C4B">
      <w:pPr>
        <w:rPr>
          <w:noProof/>
        </w:rPr>
      </w:pPr>
      <w:r w:rsidRPr="00321E11">
        <w:rPr>
          <w:noProof/>
        </w:rPr>
        <w:t>Der er også fastsat regler om revision af designlovstraktaten (artikel 26), betingelser for at blive part (artikel 27), ikrafttræden (artikel 28), opsigelse (artikel 30), sprog, undertegnelse og depositar (31-32).</w:t>
      </w:r>
    </w:p>
    <w:p w14:paraId="45B39CA6" w14:textId="77777777" w:rsidR="00AB3F1B" w:rsidRPr="00321E11" w:rsidRDefault="008B56D0" w:rsidP="00232C4B">
      <w:pPr>
        <w:rPr>
          <w:noProof/>
        </w:rPr>
      </w:pPr>
      <w:r w:rsidRPr="00321E11">
        <w:rPr>
          <w:noProof/>
        </w:rPr>
        <w:t>Designlovstraktaten vil gavne kreative industrier og industrielle designere, navnlig ved at gøre den internationale registrering af design lettere og mere forudsigelig. Kravet om offentliggørelse kan imidlertid anses for ikke at være i overensstemmelse med procedurereglerne for industrielt design.</w:t>
      </w:r>
    </w:p>
    <w:p w14:paraId="168D6373" w14:textId="77777777" w:rsidR="00AB3F1B" w:rsidRPr="00321E11" w:rsidRDefault="008B56D0" w:rsidP="006F42AE">
      <w:pPr>
        <w:pStyle w:val="ManualHeading2"/>
        <w:rPr>
          <w:noProof/>
        </w:rPr>
      </w:pPr>
      <w:r w:rsidRPr="00321E11">
        <w:rPr>
          <w:noProof/>
        </w:rPr>
        <w:t>EU's kompetence</w:t>
      </w:r>
    </w:p>
    <w:p w14:paraId="492CEFC5" w14:textId="77777777" w:rsidR="008B56D0" w:rsidRPr="00321E11" w:rsidRDefault="008B56D0" w:rsidP="008B56D0">
      <w:pPr>
        <w:rPr>
          <w:noProof/>
          <w:szCs w:val="24"/>
        </w:rPr>
      </w:pPr>
      <w:r w:rsidRPr="00321E11">
        <w:rPr>
          <w:noProof/>
        </w:rPr>
        <w:t xml:space="preserve">Der skal foretages en foreløbig vurdering af EU's kompetence, inden forhandlingerne om teksten til designlovstraktaten indledes på den diplomatiske konference. Den foreløbige vurdering påvirker ikke den endelige vurdering af EU's kompetence, som bør foretages, når forhandlingsparterne er nået til enighed om teksten. I denne forbindelse er artikel 3, stk. 1 og </w:t>
      </w:r>
      <w:r w:rsidRPr="00321E11">
        <w:rPr>
          <w:noProof/>
        </w:rPr>
        <w:lastRenderedPageBreak/>
        <w:t>2, i traktaten om Den Europæiske Unions funktionsmåde (TEUF) relevante, når der træffes afgørelse om EU's kompetence med hensyn til designlovstraktaten.</w:t>
      </w:r>
    </w:p>
    <w:p w14:paraId="5BF72CDC" w14:textId="77777777" w:rsidR="00AB3F1B" w:rsidRPr="00321E11" w:rsidRDefault="008B56D0" w:rsidP="008B56D0">
      <w:pPr>
        <w:rPr>
          <w:noProof/>
          <w:szCs w:val="24"/>
        </w:rPr>
      </w:pPr>
      <w:r w:rsidRPr="00321E11">
        <w:rPr>
          <w:noProof/>
        </w:rPr>
        <w:t>I henhold til artikel 3, stk. 1, i TEUF har EU enekompetence for så vidt angår spørgsmål, der falder inden for den fælles handelspolitiks område. Internationale forpligtelser vedrørende intellektuel ejendomsret kan være omfattet af den fælles handelspolitik, hvis de har en særlig forbindelse til international handel, idet de: i) hovedsageligt har til formål at fremme, lette eller regulere denne handel og ii) har direkte og umiddelbare virkninger for den. For at vurdere, om disse betingelser er opfyldt, er det nødvendigt at tage højde for formålet med og indholdet af de internationale forpligtelser.</w:t>
      </w:r>
    </w:p>
    <w:p w14:paraId="3480DB06" w14:textId="77777777" w:rsidR="00AB3F1B" w:rsidRPr="00321E11" w:rsidRDefault="008B56D0" w:rsidP="006F42AE">
      <w:pPr>
        <w:rPr>
          <w:noProof/>
        </w:rPr>
      </w:pPr>
      <w:r w:rsidRPr="00321E11">
        <w:rPr>
          <w:noProof/>
        </w:rPr>
        <w:t xml:space="preserve">Formålet med designlovstraktaten er at harmonisere procedurerne for ansøgning om industrielt design og dermed fastsætte fælles regler for sektoren. Der er imidlertid ingen specifik bestemmelse i udkastet til designlovstraktat, der præciserer dens formål. Den bidrager til retssikkerhed og sammenhæng og gavner derfor systemet for industrielt design. En harmonisering af de formelle krav og skånefristen, som ligger til grund for, at ansøgere kan opnå designbeskyttelse, bidrager til, at de økonomiske aktører, der handler i hele verden, kan deltage på lige vilkår. Ud fra disse elementer kan det antages, at hovedformålet med designlovstraktaten er at forbedre effektiviteten, gennemsigtigheden, sammenhængen og retssikkerheden i systemet for industrielt design og dermed fremme, lette og regulere den internationale handel. </w:t>
      </w:r>
    </w:p>
    <w:p w14:paraId="4E5F4C9F" w14:textId="16924FEA" w:rsidR="00AB3F1B" w:rsidRPr="00321E11" w:rsidRDefault="008B56D0" w:rsidP="006F42AE">
      <w:pPr>
        <w:rPr>
          <w:rFonts w:eastAsia="Arial Unicode MS"/>
          <w:noProof/>
        </w:rPr>
      </w:pPr>
      <w:r w:rsidRPr="00321E11">
        <w:rPr>
          <w:noProof/>
        </w:rPr>
        <w:t xml:space="preserve">Designlovstraktaten omhandler primært de formaliteter, der gælder for designansøgninger, </w:t>
      </w:r>
      <w:bookmarkStart w:id="2" w:name="_Hlk160097920"/>
      <w:r w:rsidRPr="00321E11">
        <w:rPr>
          <w:noProof/>
        </w:rPr>
        <w:t xml:space="preserve">og indeholder ikke materielle bestemmelser (designs berettigelse til beskyttelse, omfanget af designbeskyttelsen osv.), bortset fra skånefristen. </w:t>
      </w:r>
      <w:bookmarkEnd w:id="2"/>
      <w:r w:rsidRPr="00321E11">
        <w:rPr>
          <w:noProof/>
        </w:rPr>
        <w:t>En harmonisering af formaliteterne kan anses for at påvirke den internationale handel. I sag C-389/15</w:t>
      </w:r>
      <w:r w:rsidR="007E4557" w:rsidRPr="00321E11">
        <w:rPr>
          <w:rStyle w:val="FootnoteReference"/>
          <w:noProof/>
        </w:rPr>
        <w:footnoteReference w:id="1"/>
      </w:r>
      <w:r w:rsidRPr="00321E11">
        <w:rPr>
          <w:noProof/>
        </w:rPr>
        <w:t xml:space="preserve"> fastslog Den Europæiske Unions Domstol eksempelvis, at etableringen af en enkelt registreringsmekanisme ville føre til, at den reviderede Lissabonaftale om oprindelsesbetegnelser og geografiske betegnelser ville have den direkte og umiddelbare virkning, at den ændrer de relevante betingelser mellem EU og ikke-EU-lande (jf. præmis 70). Derudover indeholder designlovstraktaten en materiel bestemmelse (artikel 6): harmoniseringen af skånefristen (til enten 6 eller 12 måneder). Længden af skånefristen har direkte indvirkning på berettigelsen til beskyttelse af et design, der er blevet offentliggjort inden indgivelsen af en ansøgning om designbeskyttelse. Denne bestemmelse i designlovstraktaten kan have direkte og umiddelbare virkninger for tvister om design, der opstår i forbindelse med international handel med varer, der kan være omfattet af designbeskyttelse. </w:t>
      </w:r>
    </w:p>
    <w:p w14:paraId="390B48A1" w14:textId="77777777" w:rsidR="008B56D0" w:rsidRPr="00321E11" w:rsidRDefault="008B56D0" w:rsidP="008B56D0">
      <w:pPr>
        <w:rPr>
          <w:noProof/>
          <w:szCs w:val="24"/>
        </w:rPr>
      </w:pPr>
      <w:r w:rsidRPr="00321E11">
        <w:rPr>
          <w:noProof/>
        </w:rPr>
        <w:t>I henhold til artikel 3, stk. 2, i TEUF har EU enekompetence til at indgå en international aftale, for så vidt den kan berøre fælles EU-regler eller ændre deres rækkevidde, når forpligtelserne vedrører et område, der allerede i vid udstrækning er omfattet af sådanne regler (uden at områderne nødvendigvis er helt sammenfaldende). Ved en analyse, der udføres i henhold til artikel 3, stk. 2, i TEUF, skal der tages hensyn til: i) de områder, der er omfattet af EU-retten, og bestemmelserne i udkastet til international aftale, ii) deres forventede fremtidige udvikling og iii) arten og indholdet af disse regler og bestemmelser med henblik på at afgøre, om den internationale aftale kan være til skade for en ensartet og sammenhængende anvendelse af EU-reglerne og en tilfredsstillende funktion af den ordning, der oprettes ved disse regler.</w:t>
      </w:r>
    </w:p>
    <w:p w14:paraId="00EE0C4D" w14:textId="77777777" w:rsidR="00AB3F1B" w:rsidRPr="00321E11" w:rsidRDefault="008B56D0" w:rsidP="008B56D0">
      <w:pPr>
        <w:rPr>
          <w:noProof/>
          <w:szCs w:val="24"/>
        </w:rPr>
      </w:pPr>
      <w:r w:rsidRPr="00321E11">
        <w:rPr>
          <w:noProof/>
        </w:rPr>
        <w:t>Der er to EU-retsakter (og to lovgivningsforslag) om design, hvis relevans bør vurderes inden for rammerne af designlovstraktaten.</w:t>
      </w:r>
    </w:p>
    <w:p w14:paraId="475AA836" w14:textId="77777777" w:rsidR="00A16F3E" w:rsidRPr="00321E11" w:rsidRDefault="00C33EC4" w:rsidP="00071B96">
      <w:pPr>
        <w:pStyle w:val="ManualHeading3"/>
        <w:tabs>
          <w:tab w:val="clear" w:pos="850"/>
          <w:tab w:val="left" w:pos="0"/>
        </w:tabs>
        <w:rPr>
          <w:noProof/>
        </w:rPr>
      </w:pPr>
      <w:bookmarkStart w:id="3" w:name="OLE_LINK3"/>
      <w:bookmarkStart w:id="4" w:name="OLE_LINK4"/>
      <w:r w:rsidRPr="00321E11">
        <w:rPr>
          <w:noProof/>
        </w:rPr>
        <w:lastRenderedPageBreak/>
        <w:t>Direktiv 98/71/EF om retlig beskyttelse af mønstre</w:t>
      </w:r>
    </w:p>
    <w:p w14:paraId="7BF3E8F8" w14:textId="77777777" w:rsidR="00C33EC4" w:rsidRPr="00321E11" w:rsidRDefault="00232C4B" w:rsidP="00071B96">
      <w:pPr>
        <w:pStyle w:val="ManualHeading3"/>
        <w:tabs>
          <w:tab w:val="clear" w:pos="850"/>
          <w:tab w:val="left" w:pos="0"/>
        </w:tabs>
        <w:rPr>
          <w:noProof/>
        </w:rPr>
      </w:pPr>
      <w:r w:rsidRPr="00321E11">
        <w:rPr>
          <w:noProof/>
        </w:rPr>
        <w:t>Forslag til direktiv om retlig beskyttelse af mønstre 2022/0392 (COD)</w:t>
      </w:r>
    </w:p>
    <w:bookmarkEnd w:id="3"/>
    <w:bookmarkEnd w:id="4"/>
    <w:p w14:paraId="573D7717" w14:textId="78DF4066" w:rsidR="00C33EC4" w:rsidRPr="00321E11" w:rsidRDefault="00C33EC4" w:rsidP="00C33EC4">
      <w:pPr>
        <w:rPr>
          <w:noProof/>
          <w:szCs w:val="24"/>
        </w:rPr>
      </w:pPr>
      <w:r w:rsidRPr="00321E11">
        <w:rPr>
          <w:noProof/>
        </w:rPr>
        <w:t xml:space="preserve">Designlovstraktaten finder anvendelse på alle industrielle design, der kan registreres i henhold til en kontraherende parts lovgivning (artikel 2). Den omfatter bestemmelser vedrørende proceduren for ansøgning om og registrering af design, herunder de tilladte krav, der kan indgå i ansøgninger (artikel 3), regler om ansøgningsdatoer (artikel 5), regler om skånefrist (artikel 6), tidsfrister og lempelsesforanstaltninger (artikel 12). Den omfatter også specifikke bestemmelser om genindførelse af rettigheder (artikel 13) og berigtigelse af fejl (artikel 21). Nogle af disse bestemmelser overlader en vis skønsmargen til de kontraherende parter. Eksempelvis fastsættes det i artikel 3 (om ansøgninger), at </w:t>
      </w:r>
      <w:r w:rsidRPr="00321E11">
        <w:rPr>
          <w:i/>
          <w:noProof/>
        </w:rPr>
        <w:t>"[e]n kontraherende part kan kræve, at en ansøgning indeholder nogle af eller alle de følgende angivelser eller elementer..."</w:t>
      </w:r>
      <w:r w:rsidRPr="00321E11">
        <w:rPr>
          <w:noProof/>
        </w:rPr>
        <w:t xml:space="preserve">. Denne skønsbeføjelse er imidlertid ikke uindskrænket, da det i artikel 3, stk. 2, hedder, at </w:t>
      </w:r>
      <w:r w:rsidRPr="00321E11">
        <w:rPr>
          <w:i/>
          <w:noProof/>
        </w:rPr>
        <w:t>"[i]ngen andre angivelser eller elementer end dem, der henvises til i stk. 1 og artikel 10, kan kræves i forbindelse med ansøgningen".</w:t>
      </w:r>
      <w:r w:rsidRPr="00321E11">
        <w:rPr>
          <w:noProof/>
        </w:rPr>
        <w:t xml:space="preserve"> Der fastsættes således en ydre grænse for omfanget af den kontraherende parts frihed til at fastsætte sine egne proceduremæssige krav. Omvendt giver visse bestemmelser de kontraherende parter mulighed for at fravige materielle forpligtelser, såfremt anmodningen ikke ville kunne imødekommes i henhold til national ret (jf. eksempelvis artikel 21 om berigtigelse af fejl). </w:t>
      </w:r>
    </w:p>
    <w:p w14:paraId="6C0E9714" w14:textId="77777777" w:rsidR="00232C4B" w:rsidRPr="00321E11" w:rsidRDefault="00232C4B" w:rsidP="00232C4B">
      <w:pPr>
        <w:rPr>
          <w:noProof/>
          <w:szCs w:val="24"/>
        </w:rPr>
      </w:pPr>
      <w:r w:rsidRPr="00321E11">
        <w:rPr>
          <w:noProof/>
        </w:rPr>
        <w:t>Direktiv 98/71/EF ("direktivet") harmoniserer visse aspekter af EU-medlemsstaternes materielle designlovgivning. I direktivets artikel 6 fastsættes en skånefrist for at opnå beskyttelse af tidligere offentliggjorte design, hvilket også er genstand for regulering i designlovstraktatens artikel 6.</w:t>
      </w:r>
    </w:p>
    <w:p w14:paraId="06C6BF6C" w14:textId="77777777" w:rsidR="00C33EC4" w:rsidRPr="00321E11" w:rsidRDefault="00232C4B" w:rsidP="00E23954">
      <w:pPr>
        <w:rPr>
          <w:noProof/>
        </w:rPr>
      </w:pPr>
      <w:r w:rsidRPr="00321E11">
        <w:rPr>
          <w:noProof/>
        </w:rPr>
        <w:t>Der skal også tages hensyn til EU-rettens forventede fremtidige udvikling ved analysen af kompetencespørgsmålet med henblik på indgåelse af designlovstraktaten. Forslaget til direktiv om retlig beskyttelse af mønstre 2022/0392 (COD) ("det foreslåede direktiv") blev vedtaget af Kommissionen den 28. november 2022 og forventes nu at blive vedtaget af Europa-Parlamentet og Rådet efter den almindelige lovgivningsprocedure i slutningen af 2024.</w:t>
      </w:r>
    </w:p>
    <w:p w14:paraId="11AA4E1B" w14:textId="77777777" w:rsidR="005526CF" w:rsidRPr="00321E11" w:rsidRDefault="005526CF" w:rsidP="00E23954">
      <w:pPr>
        <w:rPr>
          <w:noProof/>
        </w:rPr>
      </w:pPr>
      <w:r w:rsidRPr="00321E11">
        <w:rPr>
          <w:noProof/>
        </w:rPr>
        <w:t>Det foreslåede direktiv har til formål at harmonisere designlovgivningen, ikke blot ud fra et materielt synspunkt, men også for så vidt angår visse aspekter af proceduren og registreringen. Det omfatter nye bestemmelser om ansøgningskrav (artikel 25), afbildning af designet (artikel 26), ansøgningsdatoen (artikel 28) og udsættelse af bekendtgørelsen (artikel 30), dvs. spørgsmål, der også alle er reguleret i designlovstraktaten.</w:t>
      </w:r>
    </w:p>
    <w:p w14:paraId="4D831A4E" w14:textId="77777777" w:rsidR="005526CF" w:rsidRPr="00321E11" w:rsidRDefault="005526CF" w:rsidP="00E23954">
      <w:pPr>
        <w:rPr>
          <w:noProof/>
        </w:rPr>
      </w:pPr>
      <w:r w:rsidRPr="00321E11">
        <w:rPr>
          <w:noProof/>
        </w:rPr>
        <w:t>For så vidt angår formålet fastsættes det i det foreslåede direktivs betragtning 10, at det er "nødvendigt at opnå tilnærmelse mellem procedurereglerne for at lette erhvervelse, forvaltning og beskyttelse af designrettigheder i Unionen. Derfor bør visse centrale procedureregler på området for designregistrering i medlemsstaterne og i EU-designsystemet ensrettes. Hvad angår procedurer i henhold til national lovgivning, er det tilstrækkeligt at fastlægge de generelle principper, hvormed det overlades til medlemsstaterne at fastsætte nærmere regler."</w:t>
      </w:r>
    </w:p>
    <w:p w14:paraId="3994FA87" w14:textId="2C550528" w:rsidR="009C6062" w:rsidRPr="00321E11" w:rsidRDefault="009C6062" w:rsidP="00E23954">
      <w:pPr>
        <w:rPr>
          <w:noProof/>
        </w:rPr>
      </w:pPr>
      <w:r w:rsidRPr="00321E11">
        <w:rPr>
          <w:noProof/>
        </w:rPr>
        <w:t xml:space="preserve">Med hensyn til forholdet mellem nationale procedurer og EU-retten erkendes det udtrykkeligt i det foreslåede direktivs betragtning 3, at </w:t>
      </w:r>
      <w:r w:rsidRPr="00321E11">
        <w:rPr>
          <w:i/>
          <w:noProof/>
        </w:rPr>
        <w:t>"sameksistens og afbalancering af designbeskyttelsessystemer på nationalt plan og EU-plan er</w:t>
      </w:r>
      <w:r w:rsidRPr="00321E11">
        <w:rPr>
          <w:noProof/>
        </w:rPr>
        <w:t xml:space="preserve"> </w:t>
      </w:r>
      <w:r w:rsidRPr="00321E11">
        <w:rPr>
          <w:i/>
          <w:noProof/>
        </w:rPr>
        <w:t xml:space="preserve">en hjørnesten i Unionens tilgang til beskyttelsen af den intellektuelle ejendomsret." </w:t>
      </w:r>
      <w:r w:rsidRPr="00321E11">
        <w:rPr>
          <w:noProof/>
        </w:rPr>
        <w:t xml:space="preserve">Det anføres i betragtning 9, at </w:t>
      </w:r>
      <w:r w:rsidRPr="00321E11">
        <w:rPr>
          <w:i/>
          <w:iCs/>
          <w:noProof/>
        </w:rPr>
        <w:t>"det er nødvendigt at udvide den tilnærmelse af lovgivning, der er opnået ved direktiv 98/71/EF, til at omfatte andre aspekter af den materielle designlovgivning, der regulerer design, som er beskyttet ved registrering i henhold til forordning (EF) nr. 6/2002."</w:t>
      </w:r>
    </w:p>
    <w:p w14:paraId="235BDEDE" w14:textId="77777777" w:rsidR="009C6062" w:rsidRPr="00321E11" w:rsidRDefault="009C6062" w:rsidP="005526CF">
      <w:pPr>
        <w:rPr>
          <w:noProof/>
          <w:szCs w:val="24"/>
        </w:rPr>
      </w:pPr>
      <w:r w:rsidRPr="00321E11">
        <w:rPr>
          <w:noProof/>
        </w:rPr>
        <w:lastRenderedPageBreak/>
        <w:t xml:space="preserve">Med hensyn til den måde, hvorpå bestemmelserne er formuleret, er der en vis forskel mellem de forskellige forpligtelser. I nogle henseender fastsættes der i det foreslåede direktiv obligatoriske minimumskrav, mens det står medlemsstaterne frit at vedtage yderligere foranstaltninger. I artikel 25 fastsættes der f.eks. minimumskrav til ansøgningen. Andre bestemmelser er helt frivillige. I henhold til artikel 28, stk. 2, har medlemsstaterne eksempelvis mulighed for at opkræve et gebyr for fastsættelsen af en ansøgningsdato (men det gøres ikke obligatorisk). En tredje kategori af bestemmelser kombinerer en fast regel med retten til at opkræve gebyrer (jf. f.eks. artikel 25, stk. 2, vedrørende ansøgning). Der er udtrykkeligt fastsat flere tidsfrister i direktivet. Medlemsstaterne har en større margen til at fastsætte nationale ugyldighedsprocedurer, men sådanne procedurer skal ikke desto mindre opfylde visse minimumskrav (artikel 31). </w:t>
      </w:r>
    </w:p>
    <w:p w14:paraId="07A16C06" w14:textId="77777777" w:rsidR="00AB3F1B" w:rsidRPr="00321E11" w:rsidRDefault="00AB3F1B" w:rsidP="00071B96">
      <w:pPr>
        <w:pStyle w:val="ManualHeading3"/>
        <w:rPr>
          <w:noProof/>
        </w:rPr>
      </w:pPr>
      <w:r w:rsidRPr="00321E11">
        <w:rPr>
          <w:noProof/>
        </w:rPr>
        <w:t>Rådets forordning (EF) nr. 6/2002 om EF-design</w:t>
      </w:r>
    </w:p>
    <w:p w14:paraId="56B9C851" w14:textId="77777777" w:rsidR="00A16F3E" w:rsidRPr="00321E11" w:rsidRDefault="00A16F3E" w:rsidP="00A16F3E">
      <w:pPr>
        <w:pStyle w:val="ManualHeading3"/>
        <w:rPr>
          <w:noProof/>
        </w:rPr>
      </w:pPr>
      <w:r w:rsidRPr="00321E11">
        <w:rPr>
          <w:noProof/>
        </w:rPr>
        <w:t>Forslag til forordning om ændring af Rådets forordning (EF) nr. 6/2002 om EF-design og om ophævelse af Kommissionens forordning (EF) nr. 2246/2002</w:t>
      </w:r>
    </w:p>
    <w:p w14:paraId="3046B6B9" w14:textId="77777777" w:rsidR="005A006C" w:rsidRPr="00321E11" w:rsidRDefault="008B56D0" w:rsidP="008B56D0">
      <w:pPr>
        <w:rPr>
          <w:noProof/>
          <w:szCs w:val="24"/>
        </w:rPr>
      </w:pPr>
      <w:r w:rsidRPr="00321E11">
        <w:rPr>
          <w:noProof/>
        </w:rPr>
        <w:t>Med forordningen om EF-design indføres et EU-dækkende system med henblik på at opnå et EF-design, der er omfattet af ensartet beskyttelse. Heri fastsættes også proceduren for registrering af EF-design ved Den Europæiske Unions Kontor for Intellektuel Ejendomsret. Alle bestemmelserne i designlovstraktaten har modsvarende bestemmelser i denne forordning. Det betyder, at de forpligtelser, som EU påtager sig ved indgåelsen af designlovstraktaten, falder ind under et område, der allerede er omfattet af EU-retten.</w:t>
      </w:r>
    </w:p>
    <w:p w14:paraId="23DCB53E" w14:textId="77777777" w:rsidR="00A16F3E" w:rsidRPr="00321E11" w:rsidRDefault="00A16F3E" w:rsidP="008B56D0">
      <w:pPr>
        <w:rPr>
          <w:noProof/>
          <w:szCs w:val="24"/>
        </w:rPr>
      </w:pPr>
      <w:r w:rsidRPr="00321E11">
        <w:rPr>
          <w:noProof/>
        </w:rPr>
        <w:t>Under hensyntagen til EU-rettens forventede fremtidige udvikling blev forslaget til forordning om ændring af Rådets forordning (EF) nr. 6/2002 om EF-design og om ophævelse af Kommissionens forordning (EF) nr. 2246/2002 (den "foreslåede forordning") vedtaget af Kommissionen den 28. november 2022 og forventes nu at blive vedtaget af Europa-Parlamentet og Rådet efter den almindelige lovgivningsprocedure i slutningen af 2024.</w:t>
      </w:r>
    </w:p>
    <w:p w14:paraId="6521E3C9" w14:textId="77777777" w:rsidR="008D4D7F" w:rsidRPr="00321E11" w:rsidRDefault="008D4D7F" w:rsidP="008B56D0">
      <w:pPr>
        <w:rPr>
          <w:noProof/>
          <w:szCs w:val="24"/>
        </w:rPr>
      </w:pPr>
      <w:r w:rsidRPr="00321E11">
        <w:rPr>
          <w:noProof/>
        </w:rPr>
        <w:t>Den foreslåede forordning har til formål at modernisere og forbedre de eksisterende bestemmelser og forbedre tilgængeligheden, effektiviteten og prisoverkommeligheden af EU's designbeskyttelse. Bestemmelserne i designlovstraktaten har også modsvarende bestemmelser i den foreslåede forordning.</w:t>
      </w:r>
    </w:p>
    <w:p w14:paraId="602C952C" w14:textId="77777777" w:rsidR="00C33EC4" w:rsidRPr="00321E11" w:rsidRDefault="00E23954" w:rsidP="00E23954">
      <w:pPr>
        <w:pStyle w:val="ManualHeading3"/>
        <w:rPr>
          <w:noProof/>
          <w:szCs w:val="24"/>
        </w:rPr>
      </w:pPr>
      <w:r w:rsidRPr="00321E11">
        <w:rPr>
          <w:noProof/>
        </w:rPr>
        <w:t>Vurdering</w:t>
      </w:r>
    </w:p>
    <w:p w14:paraId="29639C31" w14:textId="77777777" w:rsidR="00E23954" w:rsidRPr="00321E11" w:rsidRDefault="00E23954" w:rsidP="00D1124D">
      <w:pPr>
        <w:rPr>
          <w:noProof/>
        </w:rPr>
      </w:pPr>
      <w:r w:rsidRPr="00321E11">
        <w:rPr>
          <w:noProof/>
        </w:rPr>
        <w:t xml:space="preserve">De spørgsmål, der falder ind under designlovstraktatens anvendelsesområde, bør betragtes som henhørende under Unionens enekompetence. </w:t>
      </w:r>
    </w:p>
    <w:p w14:paraId="6D6BCA28" w14:textId="77777777" w:rsidR="00D1124D" w:rsidRPr="00321E11" w:rsidRDefault="008D4D7F" w:rsidP="00D1124D">
      <w:pPr>
        <w:rPr>
          <w:noProof/>
        </w:rPr>
      </w:pPr>
      <w:r w:rsidRPr="00321E11">
        <w:rPr>
          <w:noProof/>
        </w:rPr>
        <w:t xml:space="preserve">For det første falder de spørgsmål, der er reguleret ved designlovstraktaten, ind under et område, der allerede er reguleret af EU-retten, hvilket illustreres af det materielle anvendelsesområde for forordningen om EF-design </w:t>
      </w:r>
      <w:bookmarkStart w:id="5" w:name="_Hlk160111549"/>
      <w:r w:rsidRPr="00321E11">
        <w:rPr>
          <w:noProof/>
        </w:rPr>
        <w:t>og harmoniseringen af skånefristen for opnåelse af beskyttelse af tidligere offentliggjorte design i direktivets artikel 6</w:t>
      </w:r>
      <w:bookmarkEnd w:id="5"/>
      <w:r w:rsidRPr="00321E11">
        <w:rPr>
          <w:noProof/>
        </w:rPr>
        <w:t>.</w:t>
      </w:r>
    </w:p>
    <w:p w14:paraId="5B374FE0" w14:textId="77777777" w:rsidR="00D1124D" w:rsidRPr="00321E11" w:rsidRDefault="00D1124D" w:rsidP="00D1124D">
      <w:pPr>
        <w:rPr>
          <w:noProof/>
        </w:rPr>
      </w:pPr>
      <w:r w:rsidRPr="00321E11">
        <w:rPr>
          <w:noProof/>
        </w:rPr>
        <w:t xml:space="preserve">For det andet påvirkes det samme område af EU-rettens forventede fremtidige udvikling, som det fremgår af den foreslåede forordning og det foreslåede direktiv. Det foreslåede direktiv afspejler således et udtrykkeligt valg fra EU-lovgivers side om at regulere og harmonisere de proceduremæssige krav på designområdet, som var overladt til medlemsstaternes skøn i direktiv 98/71/EF. Denne omfattende yderligere harmonisering, som tilstræbes med det foreslåede direktiv, vil kun give medlemsstaterne et vist "residualskøn" for så vidt angår proceduremæssige spørgsmål. </w:t>
      </w:r>
    </w:p>
    <w:p w14:paraId="74001B37" w14:textId="77777777" w:rsidR="00AB3F1B" w:rsidRPr="00321E11" w:rsidRDefault="008B56D0" w:rsidP="00D1124D">
      <w:pPr>
        <w:rPr>
          <w:noProof/>
        </w:rPr>
      </w:pPr>
      <w:r w:rsidRPr="00321E11">
        <w:rPr>
          <w:noProof/>
        </w:rPr>
        <w:t>På grundlag af ovenstående bestemmelser må det derfor antages, at indgåelsen af designlovstraktaten henhører under EU's enekompetence på grundlag af artikel 3, stk. 1 og 2, i TEUF.</w:t>
      </w:r>
    </w:p>
    <w:p w14:paraId="4320FAD3" w14:textId="77777777" w:rsidR="00AB3F1B" w:rsidRPr="00321E11" w:rsidRDefault="00AB3F1B" w:rsidP="00750C38">
      <w:pPr>
        <w:rPr>
          <w:noProof/>
        </w:rPr>
        <w:sectPr w:rsidR="00AB3F1B" w:rsidRPr="00321E11" w:rsidSect="001B759E">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08"/>
          <w:docGrid w:linePitch="360"/>
        </w:sectPr>
      </w:pPr>
    </w:p>
    <w:p w14:paraId="63435594" w14:textId="4CD94802" w:rsidR="00AB3F1B" w:rsidRPr="00321E11" w:rsidRDefault="00321E11" w:rsidP="00321E11">
      <w:pPr>
        <w:pStyle w:val="Statut"/>
        <w:rPr>
          <w:noProof/>
        </w:rPr>
      </w:pPr>
      <w:r w:rsidRPr="00321E11">
        <w:rPr>
          <w:noProof/>
        </w:rPr>
        <w:lastRenderedPageBreak/>
        <w:t>Henstilling med henblik på</w:t>
      </w:r>
    </w:p>
    <w:p w14:paraId="2937024F" w14:textId="5B93DF3E" w:rsidR="00AB3F1B" w:rsidRPr="00321E11" w:rsidRDefault="00321E11" w:rsidP="00321E11">
      <w:pPr>
        <w:pStyle w:val="Typedudocument"/>
        <w:rPr>
          <w:noProof/>
        </w:rPr>
      </w:pPr>
      <w:r w:rsidRPr="00321E11">
        <w:rPr>
          <w:noProof/>
        </w:rPr>
        <w:t>RÅDETS AFGØRELSE</w:t>
      </w:r>
    </w:p>
    <w:p w14:paraId="3E60479F" w14:textId="3196914D" w:rsidR="00AB3F1B" w:rsidRPr="00321E11" w:rsidRDefault="00321E11" w:rsidP="00321E11">
      <w:pPr>
        <w:pStyle w:val="Titreobjet"/>
        <w:rPr>
          <w:noProof/>
        </w:rPr>
      </w:pPr>
      <w:r w:rsidRPr="00321E11">
        <w:rPr>
          <w:noProof/>
        </w:rPr>
        <w:t>om bemyndigelse til at indlede forhandlinger om designlovstraktaten</w:t>
      </w:r>
    </w:p>
    <w:p w14:paraId="0EA87E13" w14:textId="77777777" w:rsidR="00AB3F1B" w:rsidRPr="00321E11" w:rsidRDefault="00AB3F1B" w:rsidP="00750C38">
      <w:pPr>
        <w:pStyle w:val="Institutionquiagit"/>
        <w:rPr>
          <w:noProof/>
        </w:rPr>
      </w:pPr>
      <w:r w:rsidRPr="00321E11">
        <w:rPr>
          <w:noProof/>
        </w:rPr>
        <w:t>RÅDET FOR DEN EUROPÆISKE UNION HAR —</w:t>
      </w:r>
    </w:p>
    <w:p w14:paraId="70F9542C" w14:textId="77777777" w:rsidR="00E57173" w:rsidRPr="00321E11" w:rsidRDefault="00E57173" w:rsidP="00E57173">
      <w:pPr>
        <w:rPr>
          <w:noProof/>
          <w:szCs w:val="24"/>
        </w:rPr>
      </w:pPr>
      <w:r w:rsidRPr="00321E11">
        <w:rPr>
          <w:noProof/>
        </w:rPr>
        <w:t>under henvisning til traktaten om Den Europæiske Unions funktionsmåde, særlig artikel 218, stk. 3 og 4,</w:t>
      </w:r>
    </w:p>
    <w:p w14:paraId="281F21CF" w14:textId="77777777" w:rsidR="00E57173" w:rsidRPr="00321E11" w:rsidRDefault="00E57173" w:rsidP="00E57173">
      <w:pPr>
        <w:rPr>
          <w:noProof/>
          <w:szCs w:val="24"/>
        </w:rPr>
      </w:pPr>
      <w:r w:rsidRPr="00321E11">
        <w:rPr>
          <w:noProof/>
        </w:rPr>
        <w:t>under henvisning til henstilling fra Europa-Kommissionen, og</w:t>
      </w:r>
    </w:p>
    <w:p w14:paraId="4D60C58F" w14:textId="77777777" w:rsidR="00E57173" w:rsidRPr="00321E11" w:rsidRDefault="00E57173" w:rsidP="00E57173">
      <w:pPr>
        <w:rPr>
          <w:noProof/>
          <w:szCs w:val="24"/>
        </w:rPr>
      </w:pPr>
      <w:r w:rsidRPr="00321E11">
        <w:rPr>
          <w:noProof/>
        </w:rPr>
        <w:t>ud fra følgende betragtninger:</w:t>
      </w:r>
    </w:p>
    <w:p w14:paraId="1487E41B" w14:textId="07E6D0A7" w:rsidR="00E57173" w:rsidRPr="00321E11" w:rsidRDefault="008B56D0" w:rsidP="00346817">
      <w:pPr>
        <w:pStyle w:val="ManualConsidrant"/>
        <w:rPr>
          <w:noProof/>
        </w:rPr>
      </w:pPr>
      <w:r>
        <w:rPr>
          <w:noProof/>
        </w:rPr>
        <w:t>(1)</w:t>
      </w:r>
      <w:r>
        <w:rPr>
          <w:noProof/>
        </w:rPr>
        <w:tab/>
      </w:r>
      <w:r w:rsidRPr="00321E11">
        <w:rPr>
          <w:noProof/>
        </w:rPr>
        <w:t>Bestræbelserne for en harmonisering på internationalt niveau af visse proceduremæssige aspekter vedrørende ansøgninger om industrielt design har pågået siden 2005 inden for rammerne af Verdensorganisationen for Intellektuel Ejendomsret (WIPO).</w:t>
      </w:r>
    </w:p>
    <w:p w14:paraId="3C469B87" w14:textId="5C350A3C" w:rsidR="00E57173" w:rsidRPr="00321E11" w:rsidRDefault="008B56D0" w:rsidP="00E40821">
      <w:pPr>
        <w:pStyle w:val="ManualConsidrant"/>
        <w:rPr>
          <w:noProof/>
        </w:rPr>
      </w:pPr>
      <w:r>
        <w:rPr>
          <w:noProof/>
        </w:rPr>
        <w:t>(2)</w:t>
      </w:r>
      <w:r>
        <w:rPr>
          <w:noProof/>
        </w:rPr>
        <w:tab/>
      </w:r>
      <w:r w:rsidRPr="00321E11">
        <w:rPr>
          <w:noProof/>
        </w:rPr>
        <w:t>Som et resultat af disse bestræbelser indkaldte WIPO's generalforsamling i 2022 til en diplomatisk konference, som skulle finde sted senest i 2024, med henblik på at indgå og vedtage en designlovstraktat.</w:t>
      </w:r>
    </w:p>
    <w:p w14:paraId="7BC95AF6" w14:textId="3552A4E3" w:rsidR="00E57173" w:rsidRPr="00321E11" w:rsidRDefault="00E57173" w:rsidP="00E40821">
      <w:pPr>
        <w:pStyle w:val="ManualConsidrant"/>
        <w:rPr>
          <w:noProof/>
        </w:rPr>
      </w:pPr>
      <w:r>
        <w:rPr>
          <w:noProof/>
        </w:rPr>
        <w:t>(3)</w:t>
      </w:r>
      <w:r>
        <w:rPr>
          <w:noProof/>
        </w:rPr>
        <w:tab/>
      </w:r>
      <w:r w:rsidRPr="00321E11">
        <w:rPr>
          <w:noProof/>
        </w:rPr>
        <w:t>Den diplomatiske konference med henblik på at forhandle om de fremtidige bestemmelser i designlovstraktaten er planlagt til at finde sted mellem den 11. og den 22. november 2024.</w:t>
      </w:r>
    </w:p>
    <w:p w14:paraId="76B39629" w14:textId="0EAC9C5C" w:rsidR="00E57173" w:rsidRPr="00321E11" w:rsidRDefault="00E57173" w:rsidP="00E40821">
      <w:pPr>
        <w:pStyle w:val="ManualConsidrant"/>
        <w:rPr>
          <w:noProof/>
        </w:rPr>
      </w:pPr>
      <w:r>
        <w:rPr>
          <w:noProof/>
        </w:rPr>
        <w:t>(4)</w:t>
      </w:r>
      <w:r>
        <w:rPr>
          <w:noProof/>
        </w:rPr>
        <w:tab/>
      </w:r>
      <w:r w:rsidRPr="00321E11">
        <w:rPr>
          <w:noProof/>
        </w:rPr>
        <w:t>Formålet med designlovstraktaten er at harmonisere visse procedurer og formaliteter i forbindelse med ansøgninger om industrielt design til gavn for kreative industrier og industrielle designere ved at gøre den internationale registrering af design lettere og mere forudsigelig.</w:t>
      </w:r>
    </w:p>
    <w:p w14:paraId="62949A67" w14:textId="3CF119D2" w:rsidR="00AB3F1B" w:rsidRPr="00321E11" w:rsidRDefault="008B56D0" w:rsidP="00E40821">
      <w:pPr>
        <w:pStyle w:val="ManualConsidrant"/>
        <w:rPr>
          <w:noProof/>
        </w:rPr>
      </w:pPr>
      <w:r>
        <w:rPr>
          <w:noProof/>
        </w:rPr>
        <w:t>(5)</w:t>
      </w:r>
      <w:r>
        <w:rPr>
          <w:noProof/>
        </w:rPr>
        <w:tab/>
      </w:r>
      <w:r w:rsidRPr="00321E11">
        <w:rPr>
          <w:noProof/>
        </w:rPr>
        <w:t>Unionen bør deltage i forhandlingerne om designlovstraktaten —</w:t>
      </w:r>
    </w:p>
    <w:p w14:paraId="79F456D4" w14:textId="77777777" w:rsidR="00AB3F1B" w:rsidRPr="00321E11" w:rsidRDefault="00AB3F1B" w:rsidP="00750C38">
      <w:pPr>
        <w:pStyle w:val="Formuledadoption"/>
        <w:rPr>
          <w:noProof/>
        </w:rPr>
      </w:pPr>
      <w:r w:rsidRPr="00321E11">
        <w:rPr>
          <w:noProof/>
        </w:rPr>
        <w:t xml:space="preserve">VEDTAGET DENNE AFGØRELSE: </w:t>
      </w:r>
    </w:p>
    <w:p w14:paraId="2DB3F50F" w14:textId="77777777" w:rsidR="00AB3F1B" w:rsidRPr="00321E11" w:rsidRDefault="00AB3F1B" w:rsidP="00750C38">
      <w:pPr>
        <w:pStyle w:val="Titrearticle"/>
        <w:rPr>
          <w:noProof/>
        </w:rPr>
      </w:pPr>
      <w:r w:rsidRPr="00321E11">
        <w:rPr>
          <w:noProof/>
        </w:rPr>
        <w:t>Artikel 1</w:t>
      </w:r>
    </w:p>
    <w:p w14:paraId="6BCD059B" w14:textId="77777777" w:rsidR="00AB3F1B" w:rsidRPr="00321E11" w:rsidRDefault="008B56D0" w:rsidP="00213050">
      <w:pPr>
        <w:rPr>
          <w:noProof/>
          <w:szCs w:val="24"/>
        </w:rPr>
      </w:pPr>
      <w:bookmarkStart w:id="6" w:name="_CopyToNewDocument_"/>
      <w:bookmarkEnd w:id="6"/>
      <w:r w:rsidRPr="00321E11">
        <w:rPr>
          <w:noProof/>
        </w:rPr>
        <w:t>Kommissionen bemyndiges herved til på Unionens vegne at indlede forhandlinger om designlovstraktaten inden for rammerne af Verdensorganisationen for Intellektuel Ejendomsret, i samråd med Gruppen vedrørende Intellektuel Ejendomsret (det særlige udvalg).</w:t>
      </w:r>
    </w:p>
    <w:p w14:paraId="335CFE40" w14:textId="77777777" w:rsidR="00E57173" w:rsidRPr="00321E11" w:rsidRDefault="00E57173" w:rsidP="00E57173">
      <w:pPr>
        <w:pStyle w:val="Titrearticle"/>
        <w:rPr>
          <w:noProof/>
        </w:rPr>
      </w:pPr>
      <w:r w:rsidRPr="00321E11">
        <w:rPr>
          <w:noProof/>
        </w:rPr>
        <w:t>Artikel 2</w:t>
      </w:r>
    </w:p>
    <w:p w14:paraId="1192A94E" w14:textId="77777777" w:rsidR="00E57173" w:rsidRPr="00321E11" w:rsidRDefault="00E57173" w:rsidP="00E57173">
      <w:pPr>
        <w:rPr>
          <w:noProof/>
          <w:szCs w:val="24"/>
        </w:rPr>
      </w:pPr>
      <w:r w:rsidRPr="00321E11">
        <w:rPr>
          <w:noProof/>
        </w:rPr>
        <w:t>Forhandlingsdirektiverne findes i bilaget til denne afgørelse.</w:t>
      </w:r>
    </w:p>
    <w:p w14:paraId="4275D6D3" w14:textId="77777777" w:rsidR="00E57173" w:rsidRPr="00321E11" w:rsidRDefault="00E57173" w:rsidP="00194C43">
      <w:pPr>
        <w:pStyle w:val="Titrearticle"/>
        <w:rPr>
          <w:noProof/>
        </w:rPr>
      </w:pPr>
      <w:r w:rsidRPr="00321E11">
        <w:rPr>
          <w:noProof/>
        </w:rPr>
        <w:lastRenderedPageBreak/>
        <w:t>Artikel 3</w:t>
      </w:r>
    </w:p>
    <w:p w14:paraId="3DBF2D0D" w14:textId="77777777" w:rsidR="00E57173" w:rsidRPr="00321E11" w:rsidRDefault="00E57173" w:rsidP="00194C43">
      <w:pPr>
        <w:keepNext/>
        <w:keepLines/>
        <w:rPr>
          <w:noProof/>
          <w:szCs w:val="24"/>
        </w:rPr>
      </w:pPr>
      <w:r w:rsidRPr="00321E11">
        <w:rPr>
          <w:noProof/>
        </w:rPr>
        <w:t>Denne afgørelse er rettet til Kommissionen.</w:t>
      </w:r>
    </w:p>
    <w:p w14:paraId="6A3021BD" w14:textId="2CF9B262" w:rsidR="00AB3F1B" w:rsidRPr="00321E11" w:rsidRDefault="00321E11" w:rsidP="00194C43">
      <w:pPr>
        <w:pStyle w:val="Fait"/>
        <w:rPr>
          <w:noProof/>
        </w:rPr>
      </w:pPr>
      <w:r>
        <w:rPr>
          <w:noProof/>
        </w:rPr>
        <w:t>Udfærdiget i Bruxelles, den .</w:t>
      </w:r>
    </w:p>
    <w:p w14:paraId="538B3D94" w14:textId="6A828152" w:rsidR="00AB3F1B" w:rsidRPr="00321E11" w:rsidRDefault="00AB3F1B" w:rsidP="00194C43">
      <w:pPr>
        <w:pStyle w:val="Institutionquisigne"/>
        <w:rPr>
          <w:noProof/>
        </w:rPr>
      </w:pPr>
      <w:r w:rsidRPr="00321E11">
        <w:rPr>
          <w:noProof/>
        </w:rPr>
        <w:t>På Rådets vegne</w:t>
      </w:r>
    </w:p>
    <w:p w14:paraId="025DFB68" w14:textId="2BA81E01" w:rsidR="005C0C10" w:rsidRPr="00321E11" w:rsidRDefault="005C0C10" w:rsidP="00194C43">
      <w:pPr>
        <w:pStyle w:val="Personnequisigne"/>
        <w:keepNext/>
        <w:rPr>
          <w:noProof/>
        </w:rPr>
      </w:pPr>
      <w:r w:rsidRPr="00321E11">
        <w:rPr>
          <w:noProof/>
        </w:rPr>
        <w:t>Charles Michel</w:t>
      </w:r>
    </w:p>
    <w:p w14:paraId="1FC64284" w14:textId="31DCE585" w:rsidR="00AB3F1B" w:rsidRPr="00321E11" w:rsidRDefault="00AB3F1B" w:rsidP="00AB3F1B">
      <w:pPr>
        <w:pStyle w:val="Personnequisigne"/>
        <w:rPr>
          <w:noProof/>
        </w:rPr>
      </w:pPr>
      <w:r w:rsidRPr="00321E11">
        <w:rPr>
          <w:noProof/>
        </w:rPr>
        <w:t>Formand</w:t>
      </w:r>
    </w:p>
    <w:sectPr w:rsidR="00AB3F1B" w:rsidRPr="00321E11" w:rsidSect="001B759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0CE88" w14:textId="77777777" w:rsidR="00052BC2" w:rsidRDefault="00052BC2" w:rsidP="00AB3F1B">
      <w:pPr>
        <w:spacing w:before="0" w:after="0"/>
      </w:pPr>
      <w:r>
        <w:separator/>
      </w:r>
    </w:p>
  </w:endnote>
  <w:endnote w:type="continuationSeparator" w:id="0">
    <w:p w14:paraId="159F1790" w14:textId="77777777" w:rsidR="00052BC2" w:rsidRDefault="00052BC2" w:rsidP="00AB3F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F2D4" w14:textId="39B77C7B" w:rsidR="001B759E" w:rsidRPr="001B759E" w:rsidRDefault="001B759E" w:rsidP="001B759E">
    <w:pPr>
      <w:pStyle w:val="Footer"/>
      <w:rPr>
        <w:rFonts w:ascii="Arial" w:hAnsi="Arial" w:cs="Arial"/>
        <w:b/>
        <w:sz w:val="48"/>
      </w:rPr>
    </w:pPr>
    <w:r w:rsidRPr="001B759E">
      <w:rPr>
        <w:rFonts w:ascii="Arial" w:hAnsi="Arial" w:cs="Arial"/>
        <w:b/>
        <w:sz w:val="48"/>
      </w:rPr>
      <w:t>DA</w:t>
    </w:r>
    <w:r w:rsidRPr="001B759E">
      <w:rPr>
        <w:rFonts w:ascii="Arial" w:hAnsi="Arial" w:cs="Arial"/>
        <w:b/>
        <w:sz w:val="48"/>
      </w:rPr>
      <w:tab/>
    </w:r>
    <w:r w:rsidRPr="001B759E">
      <w:rPr>
        <w:rFonts w:ascii="Arial" w:hAnsi="Arial" w:cs="Arial"/>
        <w:b/>
        <w:sz w:val="48"/>
      </w:rPr>
      <w:tab/>
    </w:r>
    <w:r w:rsidRPr="001B759E">
      <w:tab/>
    </w:r>
    <w:r w:rsidRPr="001B759E">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ED034" w14:textId="680626EC" w:rsidR="001B759E" w:rsidRPr="001B759E" w:rsidRDefault="001B759E" w:rsidP="001B759E">
    <w:pPr>
      <w:pStyle w:val="Footer"/>
      <w:rPr>
        <w:rFonts w:ascii="Arial" w:hAnsi="Arial" w:cs="Arial"/>
        <w:b/>
        <w:sz w:val="48"/>
      </w:rPr>
    </w:pPr>
    <w:r w:rsidRPr="001B759E">
      <w:rPr>
        <w:rFonts w:ascii="Arial" w:hAnsi="Arial" w:cs="Arial"/>
        <w:b/>
        <w:sz w:val="48"/>
      </w:rPr>
      <w:t>DA</w:t>
    </w:r>
    <w:r w:rsidRPr="001B759E">
      <w:rPr>
        <w:rFonts w:ascii="Arial" w:hAnsi="Arial" w:cs="Arial"/>
        <w:b/>
        <w:sz w:val="48"/>
      </w:rPr>
      <w:tab/>
    </w:r>
    <w:r w:rsidRPr="001B759E">
      <w:rPr>
        <w:rFonts w:ascii="Arial" w:hAnsi="Arial" w:cs="Arial"/>
        <w:b/>
        <w:sz w:val="48"/>
      </w:rPr>
      <w:tab/>
    </w:r>
    <w:r w:rsidRPr="001B759E">
      <w:tab/>
    </w:r>
    <w:r w:rsidRPr="001B759E">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8DF2" w14:textId="77777777" w:rsidR="001B759E" w:rsidRDefault="001B75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7C31" w14:textId="77669BCE" w:rsidR="001B759E" w:rsidRPr="001B759E" w:rsidRDefault="001B759E" w:rsidP="001B759E">
    <w:pPr>
      <w:pStyle w:val="Footer"/>
      <w:rPr>
        <w:rFonts w:ascii="Arial" w:hAnsi="Arial" w:cs="Arial"/>
        <w:b/>
        <w:sz w:val="48"/>
      </w:rPr>
    </w:pPr>
    <w:r w:rsidRPr="001B759E">
      <w:rPr>
        <w:rFonts w:ascii="Arial" w:hAnsi="Arial" w:cs="Arial"/>
        <w:b/>
        <w:sz w:val="48"/>
      </w:rPr>
      <w:t>DA</w:t>
    </w:r>
    <w:r w:rsidRPr="001B759E">
      <w:rPr>
        <w:rFonts w:ascii="Arial" w:hAnsi="Arial" w:cs="Arial"/>
        <w:b/>
        <w:sz w:val="48"/>
      </w:rPr>
      <w:tab/>
    </w:r>
    <w:r>
      <w:fldChar w:fldCharType="begin"/>
    </w:r>
    <w:r>
      <w:instrText xml:space="preserve"> PAGE  \* MERGEFORMAT </w:instrText>
    </w:r>
    <w:r>
      <w:fldChar w:fldCharType="separate"/>
    </w:r>
    <w:r w:rsidR="00194C43">
      <w:rPr>
        <w:noProof/>
      </w:rPr>
      <w:t>7</w:t>
    </w:r>
    <w:r>
      <w:fldChar w:fldCharType="end"/>
    </w:r>
    <w:r>
      <w:tab/>
    </w:r>
    <w:r w:rsidRPr="001B759E">
      <w:tab/>
    </w:r>
    <w:r w:rsidRPr="001B759E">
      <w:rPr>
        <w:rFonts w:ascii="Arial" w:hAnsi="Arial" w:cs="Arial"/>
        <w:b/>
        <w:sz w:val="48"/>
      </w:rPr>
      <w:t>DA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05A0" w14:textId="77777777" w:rsidR="001B759E" w:rsidRDefault="001B759E" w:rsidP="001B7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DDC5" w14:textId="77777777" w:rsidR="00052BC2" w:rsidRDefault="00052BC2" w:rsidP="00AB3F1B">
      <w:pPr>
        <w:spacing w:before="0" w:after="0"/>
      </w:pPr>
      <w:r>
        <w:separator/>
      </w:r>
    </w:p>
  </w:footnote>
  <w:footnote w:type="continuationSeparator" w:id="0">
    <w:p w14:paraId="3A4AD3FB" w14:textId="77777777" w:rsidR="00052BC2" w:rsidRDefault="00052BC2" w:rsidP="00AB3F1B">
      <w:pPr>
        <w:spacing w:before="0" w:after="0"/>
      </w:pPr>
      <w:r>
        <w:continuationSeparator/>
      </w:r>
    </w:p>
  </w:footnote>
  <w:footnote w:id="1">
    <w:p w14:paraId="1996A8A5" w14:textId="3587CF01" w:rsidR="007E4557" w:rsidRPr="00321E11" w:rsidRDefault="007E4557">
      <w:pPr>
        <w:pStyle w:val="FootnoteText"/>
      </w:pPr>
      <w:r>
        <w:rPr>
          <w:rStyle w:val="FootnoteReference"/>
        </w:rPr>
        <w:footnoteRef/>
      </w:r>
      <w:r w:rsidRPr="00321E11">
        <w:tab/>
        <w:t xml:space="preserve">Dom af 25. oktober 2017, </w:t>
      </w:r>
      <w:r w:rsidRPr="00321E11">
        <w:rPr>
          <w:color w:val="000000"/>
        </w:rPr>
        <w:t>C</w:t>
      </w:r>
      <w:r w:rsidRPr="00321E11">
        <w:rPr>
          <w:color w:val="000000"/>
        </w:rPr>
        <w:noBreakHyphen/>
        <w:t>389/15, EU:C:2017:798</w:t>
      </w:r>
      <w:r w:rsidRPr="00321E1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4CED6" w14:textId="77777777" w:rsidR="001B759E" w:rsidRDefault="001B7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CAA7" w14:textId="77777777" w:rsidR="001B759E" w:rsidRDefault="001B7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43EB98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C586B0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3C404B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03E6D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9"/>
    <w:lvlOverride w:ilvl="0">
      <w:startOverride w:val="1"/>
    </w:lvlOverride>
  </w:num>
  <w:num w:numId="6">
    <w:abstractNumId w:val="8"/>
  </w:num>
  <w:num w:numId="7">
    <w:abstractNumId w:val="16"/>
  </w:num>
  <w:num w:numId="8">
    <w:abstractNumId w:val="9"/>
  </w:num>
  <w:num w:numId="9">
    <w:abstractNumId w:val="18"/>
  </w:num>
  <w:num w:numId="10">
    <w:abstractNumId w:val="7"/>
  </w:num>
  <w:num w:numId="11">
    <w:abstractNumId w:val="10"/>
  </w:num>
  <w:num w:numId="12">
    <w:abstractNumId w:val="11"/>
  </w:num>
  <w:num w:numId="13">
    <w:abstractNumId w:val="5"/>
  </w:num>
  <w:num w:numId="14">
    <w:abstractNumId w:val="17"/>
  </w:num>
  <w:num w:numId="15">
    <w:abstractNumId w:val="4"/>
  </w:num>
  <w:num w:numId="16">
    <w:abstractNumId w:val="12"/>
  </w:num>
  <w:num w:numId="17">
    <w:abstractNumId w:val="14"/>
  </w:num>
  <w:num w:numId="18">
    <w:abstractNumId w:val="15"/>
  </w:num>
  <w:num w:numId="19">
    <w:abstractNumId w:val="6"/>
  </w:num>
  <w:num w:numId="20">
    <w:abstractNumId w:val="13"/>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5-30 09:26:5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3FCDEA0-EE44-47E9-A8C5-DADC8F6AF817"/>
    <w:docVar w:name="LW_COVERPAGE_TYPE" w:val="1"/>
    <w:docVar w:name="LW_CROSSREFERENCE" w:val="&lt;UNUSED&gt;"/>
    <w:docVar w:name="LW_DocType" w:val="COM"/>
    <w:docVar w:name="LW_EMISSION" w:val="6.6.2024"/>
    <w:docVar w:name="LW_EMISSION_ISODATE" w:val="2024-06-06"/>
    <w:docVar w:name="LW_EMISSION_LOCATION" w:val="BRX"/>
    <w:docVar w:name="LW_EMISSION_PREFIX" w:val="Bruxelles, den "/>
    <w:docVar w:name="LW_EMISSION_SUFFIX" w:val=" "/>
    <w:docVar w:name="LW_ID_DOCMODEL" w:val="SG-001"/>
    <w:docVar w:name="LW_ID_DOCSIGNATURE" w:val="SG-001"/>
    <w:docVar w:name="LW_ID_DOCSTRUCTURE" w:val="COM/PL/ORG/NOEEA"/>
    <w:docVar w:name="LW_ID_DOCTYPE" w:val="SG-001"/>
    <w:docVar w:name="LW_ID_STATUT" w:val="SG-001"/>
    <w:docVar w:name="LW_INSERT_EXP.MOTIFS.NEW" w:val="1"/>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23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Henstilling med henblik på"/>
    <w:docVar w:name="LW_SUPERTITRE" w:val="&lt;UNUSED&gt;"/>
    <w:docVar w:name="LW_TITRE.OBJ.CP" w:val="om bemyndigelse til at indlede forhandlinger om designlovstraktaten"/>
    <w:docVar w:name="LW_TYPE.DOC.CP" w:val="RÅDETS AFGØRELSE"/>
    <w:docVar w:name="LwApiVersions" w:val="LW4CoDe 1.24.5.0; LW 9.0, Build 20240221"/>
  </w:docVars>
  <w:rsids>
    <w:rsidRoot w:val="00AB3F1B"/>
    <w:rsid w:val="000106A2"/>
    <w:rsid w:val="00052BC2"/>
    <w:rsid w:val="00060018"/>
    <w:rsid w:val="00071B96"/>
    <w:rsid w:val="00080A32"/>
    <w:rsid w:val="00085E31"/>
    <w:rsid w:val="00090E10"/>
    <w:rsid w:val="000A27BE"/>
    <w:rsid w:val="001060BC"/>
    <w:rsid w:val="001065F5"/>
    <w:rsid w:val="00117A14"/>
    <w:rsid w:val="00120155"/>
    <w:rsid w:val="001238EF"/>
    <w:rsid w:val="00156142"/>
    <w:rsid w:val="00194C43"/>
    <w:rsid w:val="00197613"/>
    <w:rsid w:val="001B0A8D"/>
    <w:rsid w:val="001B759E"/>
    <w:rsid w:val="001D3936"/>
    <w:rsid w:val="001F5BC2"/>
    <w:rsid w:val="00232C4B"/>
    <w:rsid w:val="00233DC7"/>
    <w:rsid w:val="00247779"/>
    <w:rsid w:val="0026284D"/>
    <w:rsid w:val="00263974"/>
    <w:rsid w:val="002650BB"/>
    <w:rsid w:val="00285BEE"/>
    <w:rsid w:val="0029533F"/>
    <w:rsid w:val="002A0388"/>
    <w:rsid w:val="002B30AF"/>
    <w:rsid w:val="002C1BAD"/>
    <w:rsid w:val="002D0A04"/>
    <w:rsid w:val="002F1233"/>
    <w:rsid w:val="00321E11"/>
    <w:rsid w:val="0033344A"/>
    <w:rsid w:val="00346817"/>
    <w:rsid w:val="00375B79"/>
    <w:rsid w:val="003857D2"/>
    <w:rsid w:val="00387B16"/>
    <w:rsid w:val="003C05D8"/>
    <w:rsid w:val="003C6C9B"/>
    <w:rsid w:val="003E4226"/>
    <w:rsid w:val="003F4C93"/>
    <w:rsid w:val="00401DC0"/>
    <w:rsid w:val="00413710"/>
    <w:rsid w:val="0042648E"/>
    <w:rsid w:val="00433016"/>
    <w:rsid w:val="00483FEE"/>
    <w:rsid w:val="00491EA7"/>
    <w:rsid w:val="004936D2"/>
    <w:rsid w:val="004B082C"/>
    <w:rsid w:val="005037F1"/>
    <w:rsid w:val="005155F3"/>
    <w:rsid w:val="005346E1"/>
    <w:rsid w:val="005526CF"/>
    <w:rsid w:val="00572894"/>
    <w:rsid w:val="00573CAD"/>
    <w:rsid w:val="00582D6D"/>
    <w:rsid w:val="00583286"/>
    <w:rsid w:val="00584D4E"/>
    <w:rsid w:val="005A006C"/>
    <w:rsid w:val="005A3F86"/>
    <w:rsid w:val="005B1EB6"/>
    <w:rsid w:val="005B7FC4"/>
    <w:rsid w:val="005C0C10"/>
    <w:rsid w:val="005E0D51"/>
    <w:rsid w:val="005F4891"/>
    <w:rsid w:val="006175F3"/>
    <w:rsid w:val="006713C3"/>
    <w:rsid w:val="006753D9"/>
    <w:rsid w:val="006A0D0A"/>
    <w:rsid w:val="006B391C"/>
    <w:rsid w:val="006B6938"/>
    <w:rsid w:val="006E6BBA"/>
    <w:rsid w:val="006F42AE"/>
    <w:rsid w:val="0071168B"/>
    <w:rsid w:val="0071230D"/>
    <w:rsid w:val="00763206"/>
    <w:rsid w:val="00773331"/>
    <w:rsid w:val="00784733"/>
    <w:rsid w:val="007932EF"/>
    <w:rsid w:val="00795AF7"/>
    <w:rsid w:val="007B654D"/>
    <w:rsid w:val="007C6656"/>
    <w:rsid w:val="007D1D4A"/>
    <w:rsid w:val="007E05B0"/>
    <w:rsid w:val="007E2777"/>
    <w:rsid w:val="007E4557"/>
    <w:rsid w:val="007F5F88"/>
    <w:rsid w:val="00802D24"/>
    <w:rsid w:val="00824A9F"/>
    <w:rsid w:val="008546C8"/>
    <w:rsid w:val="00874D22"/>
    <w:rsid w:val="008820F4"/>
    <w:rsid w:val="00897EFC"/>
    <w:rsid w:val="008A2914"/>
    <w:rsid w:val="008A413E"/>
    <w:rsid w:val="008B56D0"/>
    <w:rsid w:val="008C409D"/>
    <w:rsid w:val="008C53A6"/>
    <w:rsid w:val="008D4BC9"/>
    <w:rsid w:val="008D4D7F"/>
    <w:rsid w:val="008D5BBA"/>
    <w:rsid w:val="008E4D8E"/>
    <w:rsid w:val="008E7B67"/>
    <w:rsid w:val="008F3620"/>
    <w:rsid w:val="00901BA9"/>
    <w:rsid w:val="009611C0"/>
    <w:rsid w:val="0098379A"/>
    <w:rsid w:val="009A2CBA"/>
    <w:rsid w:val="009A5523"/>
    <w:rsid w:val="009C6062"/>
    <w:rsid w:val="009F386A"/>
    <w:rsid w:val="00A16F3E"/>
    <w:rsid w:val="00A34BB7"/>
    <w:rsid w:val="00A37363"/>
    <w:rsid w:val="00A8253A"/>
    <w:rsid w:val="00A83A53"/>
    <w:rsid w:val="00A83FD2"/>
    <w:rsid w:val="00AB26BE"/>
    <w:rsid w:val="00AB3F1B"/>
    <w:rsid w:val="00AD50F4"/>
    <w:rsid w:val="00AF2B09"/>
    <w:rsid w:val="00B435DA"/>
    <w:rsid w:val="00BB54EB"/>
    <w:rsid w:val="00BC2A7C"/>
    <w:rsid w:val="00BF7436"/>
    <w:rsid w:val="00C10A82"/>
    <w:rsid w:val="00C12301"/>
    <w:rsid w:val="00C22085"/>
    <w:rsid w:val="00C2741D"/>
    <w:rsid w:val="00C33EC4"/>
    <w:rsid w:val="00C60416"/>
    <w:rsid w:val="00C71AE0"/>
    <w:rsid w:val="00C83AB5"/>
    <w:rsid w:val="00CA064E"/>
    <w:rsid w:val="00CC5B32"/>
    <w:rsid w:val="00CC67F2"/>
    <w:rsid w:val="00CD1B26"/>
    <w:rsid w:val="00CD7FB7"/>
    <w:rsid w:val="00CE06BD"/>
    <w:rsid w:val="00CE4033"/>
    <w:rsid w:val="00CF0B46"/>
    <w:rsid w:val="00CF27C8"/>
    <w:rsid w:val="00D100C1"/>
    <w:rsid w:val="00D1124D"/>
    <w:rsid w:val="00D20381"/>
    <w:rsid w:val="00D43818"/>
    <w:rsid w:val="00D71B6B"/>
    <w:rsid w:val="00DA1C43"/>
    <w:rsid w:val="00E03528"/>
    <w:rsid w:val="00E23954"/>
    <w:rsid w:val="00E26ED6"/>
    <w:rsid w:val="00E40821"/>
    <w:rsid w:val="00E456E9"/>
    <w:rsid w:val="00E57173"/>
    <w:rsid w:val="00E640DA"/>
    <w:rsid w:val="00E6667A"/>
    <w:rsid w:val="00E936CB"/>
    <w:rsid w:val="00EA58C7"/>
    <w:rsid w:val="00EB41F9"/>
    <w:rsid w:val="00ED56CD"/>
    <w:rsid w:val="00EE199F"/>
    <w:rsid w:val="00EE279A"/>
    <w:rsid w:val="00EE3BF7"/>
    <w:rsid w:val="00F1742A"/>
    <w:rsid w:val="00F42A84"/>
    <w:rsid w:val="00F53ECD"/>
    <w:rsid w:val="00F7225E"/>
    <w:rsid w:val="00F771FD"/>
    <w:rsid w:val="00F923E9"/>
    <w:rsid w:val="00FB0B43"/>
    <w:rsid w:val="00FC262D"/>
    <w:rsid w:val="00FC38F8"/>
    <w:rsid w:val="00FD19D1"/>
    <w:rsid w:val="00FE2C31"/>
    <w:rsid w:val="00FF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23B6EC"/>
  <w15:docId w15:val="{64364FA8-364D-4318-849F-FCD1B35D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1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F1B"/>
    <w:pPr>
      <w:spacing w:before="0" w:after="160" w:line="259"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rsid w:val="00802D24"/>
    <w:pPr>
      <w:numPr>
        <w:numId w:val="1"/>
      </w:numPr>
      <w:contextualSpacing/>
    </w:pPr>
  </w:style>
  <w:style w:type="paragraph" w:styleId="ListBullet2">
    <w:name w:val="List Bullet 2"/>
    <w:basedOn w:val="Normal"/>
    <w:uiPriority w:val="99"/>
    <w:semiHidden/>
    <w:unhideWhenUsed/>
    <w:rsid w:val="00802D24"/>
    <w:pPr>
      <w:numPr>
        <w:numId w:val="2"/>
      </w:numPr>
      <w:contextualSpacing/>
    </w:pPr>
  </w:style>
  <w:style w:type="paragraph" w:styleId="ListBullet3">
    <w:name w:val="List Bullet 3"/>
    <w:basedOn w:val="Normal"/>
    <w:uiPriority w:val="99"/>
    <w:semiHidden/>
    <w:unhideWhenUsed/>
    <w:rsid w:val="00802D24"/>
    <w:pPr>
      <w:numPr>
        <w:numId w:val="3"/>
      </w:numPr>
      <w:contextualSpacing/>
    </w:pPr>
  </w:style>
  <w:style w:type="paragraph" w:styleId="ListBullet4">
    <w:name w:val="List Bullet 4"/>
    <w:basedOn w:val="Normal"/>
    <w:uiPriority w:val="99"/>
    <w:semiHidden/>
    <w:unhideWhenUsed/>
    <w:rsid w:val="00802D24"/>
    <w:pPr>
      <w:numPr>
        <w:numId w:val="4"/>
      </w:numPr>
      <w:contextualSpacing/>
    </w:pPr>
  </w:style>
  <w:style w:type="character" w:styleId="CommentReference">
    <w:name w:val="annotation reference"/>
    <w:basedOn w:val="DefaultParagraphFont"/>
    <w:uiPriority w:val="99"/>
    <w:semiHidden/>
    <w:unhideWhenUsed/>
    <w:rsid w:val="00A83FD2"/>
    <w:rPr>
      <w:sz w:val="16"/>
      <w:szCs w:val="16"/>
    </w:rPr>
  </w:style>
  <w:style w:type="paragraph" w:styleId="CommentText">
    <w:name w:val="annotation text"/>
    <w:basedOn w:val="Normal"/>
    <w:link w:val="CommentTextChar"/>
    <w:uiPriority w:val="99"/>
    <w:semiHidden/>
    <w:unhideWhenUsed/>
    <w:rsid w:val="00A83FD2"/>
    <w:rPr>
      <w:sz w:val="20"/>
      <w:szCs w:val="20"/>
    </w:rPr>
  </w:style>
  <w:style w:type="character" w:customStyle="1" w:styleId="CommentTextChar">
    <w:name w:val="Comment Text Char"/>
    <w:basedOn w:val="DefaultParagraphFont"/>
    <w:link w:val="CommentText"/>
    <w:uiPriority w:val="99"/>
    <w:semiHidden/>
    <w:rsid w:val="00A83FD2"/>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A83FD2"/>
    <w:rPr>
      <w:b/>
      <w:bCs/>
    </w:rPr>
  </w:style>
  <w:style w:type="character" w:customStyle="1" w:styleId="CommentSubjectChar">
    <w:name w:val="Comment Subject Char"/>
    <w:basedOn w:val="CommentTextChar"/>
    <w:link w:val="CommentSubject"/>
    <w:uiPriority w:val="99"/>
    <w:semiHidden/>
    <w:rsid w:val="00A83FD2"/>
    <w:rPr>
      <w:rFonts w:ascii="Times New Roman" w:hAnsi="Times New Roman" w:cs="Times New Roman"/>
      <w:b/>
      <w:bCs/>
      <w:sz w:val="20"/>
      <w:szCs w:val="20"/>
      <w:lang w:val="da-DK"/>
    </w:rPr>
  </w:style>
  <w:style w:type="character" w:styleId="Hyperlink">
    <w:name w:val="Hyperlink"/>
    <w:basedOn w:val="DefaultParagraphFont"/>
    <w:uiPriority w:val="99"/>
    <w:unhideWhenUsed/>
    <w:rsid w:val="00A83FD2"/>
    <w:rPr>
      <w:color w:val="0000FF" w:themeColor="hyperlink"/>
      <w:u w:val="single"/>
    </w:rPr>
  </w:style>
  <w:style w:type="character" w:customStyle="1" w:styleId="UnresolvedMention">
    <w:name w:val="Unresolved Mention"/>
    <w:basedOn w:val="DefaultParagraphFont"/>
    <w:uiPriority w:val="99"/>
    <w:semiHidden/>
    <w:unhideWhenUsed/>
    <w:rsid w:val="00A83FD2"/>
    <w:rPr>
      <w:color w:val="605E5C"/>
      <w:shd w:val="clear" w:color="auto" w:fill="E1DFDD"/>
    </w:rPr>
  </w:style>
  <w:style w:type="paragraph" w:customStyle="1" w:styleId="LegalNumPar">
    <w:name w:val="LegalNumPar"/>
    <w:basedOn w:val="Normal"/>
    <w:rsid w:val="008B56D0"/>
    <w:pPr>
      <w:numPr>
        <w:numId w:val="6"/>
      </w:numPr>
      <w:spacing w:line="360" w:lineRule="auto"/>
    </w:pPr>
  </w:style>
  <w:style w:type="paragraph" w:customStyle="1" w:styleId="LegalNumPar2">
    <w:name w:val="LegalNumPar2"/>
    <w:basedOn w:val="Normal"/>
    <w:rsid w:val="008B56D0"/>
    <w:pPr>
      <w:numPr>
        <w:ilvl w:val="1"/>
        <w:numId w:val="6"/>
      </w:numPr>
      <w:spacing w:line="360" w:lineRule="auto"/>
    </w:pPr>
  </w:style>
  <w:style w:type="paragraph" w:customStyle="1" w:styleId="LegalNumPar3">
    <w:name w:val="LegalNumPar3"/>
    <w:basedOn w:val="Normal"/>
    <w:rsid w:val="008B56D0"/>
    <w:pPr>
      <w:numPr>
        <w:ilvl w:val="2"/>
        <w:numId w:val="6"/>
      </w:numPr>
      <w:spacing w:line="360" w:lineRule="auto"/>
    </w:pPr>
  </w:style>
  <w:style w:type="paragraph" w:customStyle="1" w:styleId="Default">
    <w:name w:val="Default"/>
    <w:rsid w:val="00E239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rsid w:val="001B759E"/>
    <w:rPr>
      <w:rFonts w:ascii="Times New Roman" w:hAnsi="Times New Roman" w:cs="Times New Roman"/>
      <w:sz w:val="24"/>
      <w:lang w:val="da-DK"/>
    </w:rPr>
  </w:style>
  <w:style w:type="character" w:customStyle="1" w:styleId="FooterChar">
    <w:name w:val="Footer Char"/>
    <w:basedOn w:val="DefaultParagraphFont"/>
    <w:link w:val="Footer"/>
    <w:uiPriority w:val="99"/>
    <w:rsid w:val="001B759E"/>
    <w:rPr>
      <w:rFonts w:ascii="Times New Roman" w:hAnsi="Times New Roman" w:cs="Times New Roman"/>
      <w:sz w:val="24"/>
      <w:lang w:val="da-D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a-DK"/>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a-DK"/>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a-DK"/>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a-DK"/>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a-DK"/>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a-DK"/>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a-DK"/>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B759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B759E"/>
    <w:pPr>
      <w:spacing w:before="0"/>
      <w:jc w:val="right"/>
    </w:pPr>
    <w:rPr>
      <w:sz w:val="28"/>
    </w:rPr>
  </w:style>
  <w:style w:type="paragraph" w:customStyle="1" w:styleId="FooterSensitivity">
    <w:name w:val="Footer Sensitivity"/>
    <w:basedOn w:val="Normal"/>
    <w:rsid w:val="001B759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3"/>
      </w:numPr>
    </w:pPr>
  </w:style>
  <w:style w:type="paragraph" w:customStyle="1" w:styleId="NumPar2">
    <w:name w:val="NumPar 2"/>
    <w:basedOn w:val="Normal"/>
    <w:next w:val="Text1"/>
    <w:pPr>
      <w:numPr>
        <w:ilvl w:val="1"/>
        <w:numId w:val="13"/>
      </w:numPr>
    </w:pPr>
  </w:style>
  <w:style w:type="paragraph" w:customStyle="1" w:styleId="NumPar3">
    <w:name w:val="NumPar 3"/>
    <w:basedOn w:val="Normal"/>
    <w:next w:val="Text1"/>
    <w:pPr>
      <w:numPr>
        <w:ilvl w:val="2"/>
        <w:numId w:val="13"/>
      </w:numPr>
    </w:pPr>
  </w:style>
  <w:style w:type="paragraph" w:customStyle="1" w:styleId="NumPar4">
    <w:name w:val="NumPar 4"/>
    <w:basedOn w:val="Normal"/>
    <w:next w:val="Text1"/>
    <w:pPr>
      <w:numPr>
        <w:ilvl w:val="3"/>
        <w:numId w:val="13"/>
      </w:numPr>
    </w:pPr>
  </w:style>
  <w:style w:type="paragraph" w:customStyle="1" w:styleId="NumPar5">
    <w:name w:val="NumPar 5"/>
    <w:basedOn w:val="Normal"/>
    <w:next w:val="Text2"/>
    <w:pPr>
      <w:numPr>
        <w:ilvl w:val="4"/>
        <w:numId w:val="13"/>
      </w:numPr>
    </w:pPr>
  </w:style>
  <w:style w:type="paragraph" w:customStyle="1" w:styleId="NumPar6">
    <w:name w:val="NumPar 6"/>
    <w:basedOn w:val="Normal"/>
    <w:next w:val="Text2"/>
    <w:pPr>
      <w:numPr>
        <w:ilvl w:val="5"/>
        <w:numId w:val="13"/>
      </w:numPr>
    </w:pPr>
  </w:style>
  <w:style w:type="paragraph" w:customStyle="1" w:styleId="NumPar7">
    <w:name w:val="NumPar 7"/>
    <w:basedOn w:val="Normal"/>
    <w:next w:val="Text2"/>
    <w:pPr>
      <w:numPr>
        <w:ilvl w:val="6"/>
        <w:numId w:val="1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5"/>
      </w:numPr>
    </w:pPr>
  </w:style>
  <w:style w:type="paragraph" w:customStyle="1" w:styleId="Point1number">
    <w:name w:val="Point 1 (number)"/>
    <w:basedOn w:val="Normal"/>
    <w:pPr>
      <w:numPr>
        <w:ilvl w:val="2"/>
        <w:numId w:val="15"/>
      </w:numPr>
    </w:pPr>
  </w:style>
  <w:style w:type="paragraph" w:customStyle="1" w:styleId="Point2number">
    <w:name w:val="Point 2 (number)"/>
    <w:basedOn w:val="Normal"/>
    <w:pPr>
      <w:numPr>
        <w:ilvl w:val="4"/>
        <w:numId w:val="15"/>
      </w:numPr>
    </w:pPr>
  </w:style>
  <w:style w:type="paragraph" w:customStyle="1" w:styleId="Point3number">
    <w:name w:val="Point 3 (number)"/>
    <w:basedOn w:val="Normal"/>
    <w:pPr>
      <w:numPr>
        <w:ilvl w:val="6"/>
        <w:numId w:val="15"/>
      </w:numPr>
    </w:pPr>
  </w:style>
  <w:style w:type="paragraph" w:customStyle="1" w:styleId="Point0letter">
    <w:name w:val="Point 0 (letter)"/>
    <w:basedOn w:val="Normal"/>
    <w:pPr>
      <w:numPr>
        <w:ilvl w:val="1"/>
        <w:numId w:val="15"/>
      </w:numPr>
    </w:pPr>
  </w:style>
  <w:style w:type="paragraph" w:customStyle="1" w:styleId="Point1letter">
    <w:name w:val="Point 1 (letter)"/>
    <w:basedOn w:val="Normal"/>
    <w:pPr>
      <w:numPr>
        <w:ilvl w:val="3"/>
        <w:numId w:val="15"/>
      </w:numPr>
    </w:pPr>
  </w:style>
  <w:style w:type="paragraph" w:customStyle="1" w:styleId="Point2letter">
    <w:name w:val="Point 2 (letter)"/>
    <w:basedOn w:val="Normal"/>
    <w:pPr>
      <w:numPr>
        <w:ilvl w:val="5"/>
        <w:numId w:val="15"/>
      </w:numPr>
    </w:pPr>
  </w:style>
  <w:style w:type="paragraph" w:customStyle="1" w:styleId="Point3letter">
    <w:name w:val="Point 3 (letter)"/>
    <w:basedOn w:val="Normal"/>
    <w:pPr>
      <w:numPr>
        <w:ilvl w:val="7"/>
        <w:numId w:val="15"/>
      </w:numPr>
    </w:pPr>
  </w:style>
  <w:style w:type="paragraph" w:customStyle="1" w:styleId="Point4letter">
    <w:name w:val="Point 4 (letter)"/>
    <w:basedOn w:val="Normal"/>
    <w:pPr>
      <w:numPr>
        <w:ilvl w:val="8"/>
        <w:numId w:val="15"/>
      </w:numPr>
    </w:pPr>
  </w:style>
  <w:style w:type="paragraph" w:customStyle="1" w:styleId="Bullet0">
    <w:name w:val="Bullet 0"/>
    <w:basedOn w:val="Normal"/>
    <w:pPr>
      <w:numPr>
        <w:numId w:val="16"/>
      </w:numPr>
    </w:pPr>
  </w:style>
  <w:style w:type="paragraph" w:customStyle="1" w:styleId="Bullet1">
    <w:name w:val="Bullet 1"/>
    <w:basedOn w:val="Normal"/>
    <w:pPr>
      <w:numPr>
        <w:numId w:val="17"/>
      </w:numPr>
    </w:pPr>
  </w:style>
  <w:style w:type="paragraph" w:customStyle="1" w:styleId="Bullet2">
    <w:name w:val="Bullet 2"/>
    <w:basedOn w:val="Normal"/>
    <w:pPr>
      <w:numPr>
        <w:numId w:val="18"/>
      </w:numPr>
    </w:pPr>
  </w:style>
  <w:style w:type="paragraph" w:customStyle="1" w:styleId="Bullet3">
    <w:name w:val="Bullet 3"/>
    <w:basedOn w:val="Normal"/>
    <w:pPr>
      <w:numPr>
        <w:numId w:val="19"/>
      </w:numPr>
    </w:pPr>
  </w:style>
  <w:style w:type="paragraph" w:customStyle="1" w:styleId="Bullet4">
    <w:name w:val="Bullet 4"/>
    <w:basedOn w:val="Normal"/>
    <w:pPr>
      <w:numPr>
        <w:numId w:val="2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1B759E"/>
    <w:pPr>
      <w:tabs>
        <w:tab w:val="center" w:pos="4535"/>
        <w:tab w:val="right" w:pos="9071"/>
      </w:tabs>
      <w:spacing w:before="0"/>
    </w:pPr>
  </w:style>
  <w:style w:type="paragraph" w:customStyle="1" w:styleId="HeaderLandscape">
    <w:name w:val="HeaderLandscape"/>
    <w:basedOn w:val="Normal"/>
    <w:rsid w:val="001B759E"/>
    <w:pPr>
      <w:tabs>
        <w:tab w:val="center" w:pos="7285"/>
        <w:tab w:val="right" w:pos="14003"/>
      </w:tabs>
      <w:spacing w:before="0"/>
    </w:pPr>
  </w:style>
  <w:style w:type="paragraph" w:styleId="Footer">
    <w:name w:val="footer"/>
    <w:basedOn w:val="Normal"/>
    <w:link w:val="FooterChar"/>
    <w:uiPriority w:val="99"/>
    <w:unhideWhenUsed/>
    <w:rsid w:val="001B759E"/>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1B759E"/>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9186">
      <w:bodyDiv w:val="1"/>
      <w:marLeft w:val="0"/>
      <w:marRight w:val="0"/>
      <w:marTop w:val="0"/>
      <w:marBottom w:val="0"/>
      <w:divBdr>
        <w:top w:val="none" w:sz="0" w:space="0" w:color="auto"/>
        <w:left w:val="none" w:sz="0" w:space="0" w:color="auto"/>
        <w:bottom w:val="none" w:sz="0" w:space="0" w:color="auto"/>
        <w:right w:val="none" w:sz="0" w:space="0" w:color="auto"/>
      </w:divBdr>
    </w:div>
    <w:div w:id="527645351">
      <w:bodyDiv w:val="1"/>
      <w:marLeft w:val="0"/>
      <w:marRight w:val="0"/>
      <w:marTop w:val="0"/>
      <w:marBottom w:val="0"/>
      <w:divBdr>
        <w:top w:val="none" w:sz="0" w:space="0" w:color="auto"/>
        <w:left w:val="none" w:sz="0" w:space="0" w:color="auto"/>
        <w:bottom w:val="none" w:sz="0" w:space="0" w:color="auto"/>
        <w:right w:val="none" w:sz="0" w:space="0" w:color="auto"/>
      </w:divBdr>
    </w:div>
    <w:div w:id="1209027686">
      <w:bodyDiv w:val="1"/>
      <w:marLeft w:val="0"/>
      <w:marRight w:val="0"/>
      <w:marTop w:val="0"/>
      <w:marBottom w:val="0"/>
      <w:divBdr>
        <w:top w:val="none" w:sz="0" w:space="0" w:color="auto"/>
        <w:left w:val="none" w:sz="0" w:space="0" w:color="auto"/>
        <w:bottom w:val="none" w:sz="0" w:space="0" w:color="auto"/>
        <w:right w:val="none" w:sz="0" w:space="0" w:color="auto"/>
      </w:divBdr>
    </w:div>
    <w:div w:id="1251742355">
      <w:bodyDiv w:val="1"/>
      <w:marLeft w:val="0"/>
      <w:marRight w:val="0"/>
      <w:marTop w:val="0"/>
      <w:marBottom w:val="0"/>
      <w:divBdr>
        <w:top w:val="none" w:sz="0" w:space="0" w:color="auto"/>
        <w:left w:val="none" w:sz="0" w:space="0" w:color="auto"/>
        <w:bottom w:val="none" w:sz="0" w:space="0" w:color="auto"/>
        <w:right w:val="none" w:sz="0" w:space="0" w:color="auto"/>
      </w:divBdr>
    </w:div>
    <w:div w:id="1842620280">
      <w:bodyDiv w:val="1"/>
      <w:marLeft w:val="0"/>
      <w:marRight w:val="0"/>
      <w:marTop w:val="0"/>
      <w:marBottom w:val="0"/>
      <w:divBdr>
        <w:top w:val="none" w:sz="0" w:space="0" w:color="auto"/>
        <w:left w:val="none" w:sz="0" w:space="0" w:color="auto"/>
        <w:bottom w:val="none" w:sz="0" w:space="0" w:color="auto"/>
        <w:right w:val="none" w:sz="0" w:space="0" w:color="auto"/>
      </w:divBdr>
    </w:div>
    <w:div w:id="19594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D204A-E476-454A-BE60-F433CC77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75</TotalTime>
  <Pages>8</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2024-03-20T10:25:00Z</dcterms:created>
  <dcterms:modified xsi:type="dcterms:W3CDTF">2024-05-30T07:26:00Z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2023-11-28T08:14:18Z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8fa190d4-9fa8-45e6-af42-a2220cc3a07a</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SG-001</vt:lpwstr>
  </property>
  <property fmtid="{D5CDD505-2E9C-101B-9397-08002B2CF9AE}" pid="17" name="DQCStatus">
    <vt:lpwstr>Green (DQC version 03)</vt:lpwstr>
  </property>
</Properties>
</file>