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B1FEC" w14:textId="6E907F69" w:rsidR="00115749" w:rsidRDefault="00A2365E" w:rsidP="00A2365E">
      <w:pPr>
        <w:pStyle w:val="Pagedecouverture"/>
        <w:rPr>
          <w:noProof/>
          <w:lang w:val="en-IE"/>
        </w:rPr>
      </w:pPr>
      <w:bookmarkStart w:id="0" w:name="LW_BM_COVERPAGE"/>
      <w:r>
        <w:rPr>
          <w:noProof/>
          <w:lang w:val="en-IE"/>
        </w:rPr>
        <w:pict w14:anchorId="6A0BA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F608936-FE8F-4B02-9A94-B3C0AC5B2524" style="width:455.25pt;height:336.75pt">
            <v:imagedata r:id="rId11" o:title=""/>
          </v:shape>
        </w:pict>
      </w:r>
    </w:p>
    <w:bookmarkEnd w:id="0"/>
    <w:p w14:paraId="58856026" w14:textId="6D890D3A" w:rsidR="00EC5B96" w:rsidRPr="00EC5B96" w:rsidRDefault="00EC5B96" w:rsidP="00EC5B96">
      <w:pPr>
        <w:pStyle w:val="Pagedecouverture"/>
        <w:rPr>
          <w:noProof/>
          <w:lang w:val="en-IE"/>
        </w:rPr>
        <w:sectPr w:rsidR="00EC5B96" w:rsidRPr="00EC5B96" w:rsidSect="00A2365E">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134" w:right="1417" w:bottom="1134" w:left="1417" w:header="709" w:footer="709" w:gutter="0"/>
          <w:pgNumType w:start="0"/>
          <w:cols w:space="720"/>
          <w:docGrid w:linePitch="326"/>
        </w:sectPr>
      </w:pPr>
    </w:p>
    <w:p w14:paraId="16694F0E" w14:textId="77777777" w:rsidR="002140BE" w:rsidRPr="00C12801" w:rsidRDefault="002140BE" w:rsidP="002140BE">
      <w:pPr>
        <w:spacing w:after="120"/>
        <w:rPr>
          <w:b/>
          <w:bCs/>
          <w:caps/>
          <w:noProof/>
        </w:rPr>
      </w:pPr>
      <w:bookmarkStart w:id="1" w:name="_GoBack"/>
      <w:bookmarkEnd w:id="1"/>
      <w:r w:rsidRPr="00C12801">
        <w:rPr>
          <w:b/>
          <w:bCs/>
          <w:caps/>
          <w:noProof/>
        </w:rPr>
        <w:lastRenderedPageBreak/>
        <w:t>Introduction</w:t>
      </w:r>
    </w:p>
    <w:p w14:paraId="610A9A4F" w14:textId="23D98FF0" w:rsidR="002140BE" w:rsidRDefault="002140BE" w:rsidP="002140BE">
      <w:pPr>
        <w:spacing w:after="120"/>
        <w:rPr>
          <w:noProof/>
        </w:rPr>
      </w:pPr>
      <w:r w:rsidRPr="00C12801">
        <w:rPr>
          <w:noProof/>
          <w:szCs w:val="24"/>
        </w:rPr>
        <w:t xml:space="preserve">The reform of the </w:t>
      </w:r>
      <w:r w:rsidR="00F37BDE">
        <w:rPr>
          <w:noProof/>
          <w:szCs w:val="24"/>
        </w:rPr>
        <w:t>m</w:t>
      </w:r>
      <w:r w:rsidRPr="00C12801">
        <w:rPr>
          <w:noProof/>
          <w:szCs w:val="24"/>
        </w:rPr>
        <w:t>igration</w:t>
      </w:r>
      <w:r>
        <w:rPr>
          <w:noProof/>
          <w:szCs w:val="24"/>
        </w:rPr>
        <w:t xml:space="preserve"> and</w:t>
      </w:r>
      <w:r w:rsidRPr="00C12801">
        <w:rPr>
          <w:noProof/>
          <w:szCs w:val="24"/>
        </w:rPr>
        <w:t xml:space="preserve"> </w:t>
      </w:r>
      <w:r w:rsidR="00F37BDE">
        <w:rPr>
          <w:noProof/>
          <w:szCs w:val="24"/>
        </w:rPr>
        <w:t>a</w:t>
      </w:r>
      <w:r w:rsidRPr="00C12801">
        <w:rPr>
          <w:noProof/>
          <w:szCs w:val="24"/>
        </w:rPr>
        <w:t xml:space="preserve">sylum policy </w:t>
      </w:r>
      <w:r>
        <w:rPr>
          <w:noProof/>
          <w:szCs w:val="24"/>
        </w:rPr>
        <w:t>envisaged</w:t>
      </w:r>
      <w:r w:rsidRPr="00C12801">
        <w:rPr>
          <w:noProof/>
          <w:szCs w:val="24"/>
        </w:rPr>
        <w:t xml:space="preserve"> in the Pact on Migration and Asylum</w:t>
      </w:r>
      <w:r w:rsidR="00C70B55">
        <w:rPr>
          <w:rStyle w:val="FootnoteReference"/>
          <w:noProof/>
          <w:szCs w:val="24"/>
        </w:rPr>
        <w:footnoteReference w:id="2"/>
      </w:r>
      <w:r w:rsidRPr="00C12801">
        <w:rPr>
          <w:noProof/>
          <w:szCs w:val="24"/>
        </w:rPr>
        <w:t xml:space="preserve"> represents a historic breakthrough. It </w:t>
      </w:r>
      <w:r w:rsidR="00F37BDE">
        <w:rPr>
          <w:noProof/>
          <w:szCs w:val="24"/>
        </w:rPr>
        <w:t>provides</w:t>
      </w:r>
      <w:r w:rsidR="00F37BDE" w:rsidRPr="00C12801">
        <w:rPr>
          <w:noProof/>
          <w:szCs w:val="24"/>
        </w:rPr>
        <w:t xml:space="preserve"> </w:t>
      </w:r>
      <w:r w:rsidRPr="00C12801">
        <w:rPr>
          <w:noProof/>
          <w:szCs w:val="24"/>
        </w:rPr>
        <w:t xml:space="preserve">the </w:t>
      </w:r>
      <w:r>
        <w:rPr>
          <w:noProof/>
          <w:szCs w:val="24"/>
        </w:rPr>
        <w:t>EU</w:t>
      </w:r>
      <w:r w:rsidRPr="00C12801">
        <w:rPr>
          <w:noProof/>
          <w:szCs w:val="24"/>
        </w:rPr>
        <w:t xml:space="preserve"> </w:t>
      </w:r>
      <w:r w:rsidR="00F37BDE">
        <w:rPr>
          <w:noProof/>
          <w:szCs w:val="24"/>
        </w:rPr>
        <w:t xml:space="preserve">with </w:t>
      </w:r>
      <w:r w:rsidRPr="00C12801">
        <w:rPr>
          <w:noProof/>
          <w:szCs w:val="24"/>
        </w:rPr>
        <w:t xml:space="preserve">the legal framework and tools </w:t>
      </w:r>
      <w:r w:rsidRPr="00C12801">
        <w:rPr>
          <w:noProof/>
        </w:rPr>
        <w:t xml:space="preserve">to further enhance the effective management of </w:t>
      </w:r>
      <w:r w:rsidRPr="00C12801">
        <w:rPr>
          <w:noProof/>
          <w:szCs w:val="24"/>
        </w:rPr>
        <w:t>its external border</w:t>
      </w:r>
      <w:r>
        <w:rPr>
          <w:noProof/>
          <w:szCs w:val="24"/>
        </w:rPr>
        <w:t>s</w:t>
      </w:r>
      <w:r w:rsidRPr="00C12801">
        <w:rPr>
          <w:noProof/>
          <w:szCs w:val="24"/>
        </w:rPr>
        <w:t xml:space="preserve">, to set up fast and efficient procedures for asylum and return, </w:t>
      </w:r>
      <w:r w:rsidR="00F37BDE">
        <w:rPr>
          <w:noProof/>
          <w:szCs w:val="24"/>
        </w:rPr>
        <w:t xml:space="preserve">while </w:t>
      </w:r>
      <w:r>
        <w:rPr>
          <w:noProof/>
          <w:szCs w:val="24"/>
        </w:rPr>
        <w:t>ensuring</w:t>
      </w:r>
      <w:r w:rsidRPr="00C12801">
        <w:rPr>
          <w:noProof/>
          <w:szCs w:val="24"/>
        </w:rPr>
        <w:t xml:space="preserve"> strong safeguards. </w:t>
      </w:r>
      <w:r>
        <w:rPr>
          <w:noProof/>
          <w:szCs w:val="24"/>
        </w:rPr>
        <w:t xml:space="preserve">It </w:t>
      </w:r>
      <w:r w:rsidRPr="00C12801">
        <w:rPr>
          <w:noProof/>
          <w:szCs w:val="24"/>
        </w:rPr>
        <w:t>puts in place a fair and effective system of solidarity and responsibility to collectively manage migration</w:t>
      </w:r>
      <w:r>
        <w:rPr>
          <w:noProof/>
          <w:szCs w:val="24"/>
        </w:rPr>
        <w:t>,</w:t>
      </w:r>
      <w:r w:rsidRPr="00C12801">
        <w:rPr>
          <w:noProof/>
        </w:rPr>
        <w:t xml:space="preserve"> where </w:t>
      </w:r>
      <w:r>
        <w:rPr>
          <w:noProof/>
        </w:rPr>
        <w:t>no Member State</w:t>
      </w:r>
      <w:r w:rsidRPr="00C12801">
        <w:rPr>
          <w:noProof/>
        </w:rPr>
        <w:t xml:space="preserve"> is left alone under pressure.</w:t>
      </w:r>
    </w:p>
    <w:p w14:paraId="6ECEBAD0" w14:textId="5DEDE46D" w:rsidR="002140BE" w:rsidRPr="00C12801" w:rsidRDefault="002140BE" w:rsidP="002140BE">
      <w:pPr>
        <w:spacing w:after="120"/>
        <w:rPr>
          <w:noProof/>
        </w:rPr>
      </w:pPr>
      <w:r w:rsidRPr="00C12801">
        <w:rPr>
          <w:noProof/>
          <w:szCs w:val="24"/>
        </w:rPr>
        <w:t>Th</w:t>
      </w:r>
      <w:r>
        <w:rPr>
          <w:noProof/>
          <w:szCs w:val="24"/>
        </w:rPr>
        <w:t>e</w:t>
      </w:r>
      <w:r w:rsidRPr="00C12801">
        <w:rPr>
          <w:noProof/>
          <w:szCs w:val="24"/>
        </w:rPr>
        <w:t xml:space="preserve"> successful </w:t>
      </w:r>
      <w:r>
        <w:rPr>
          <w:noProof/>
          <w:szCs w:val="24"/>
        </w:rPr>
        <w:t>adoption of th</w:t>
      </w:r>
      <w:r w:rsidR="00014943">
        <w:rPr>
          <w:noProof/>
          <w:szCs w:val="24"/>
        </w:rPr>
        <w:t>is</w:t>
      </w:r>
      <w:r>
        <w:rPr>
          <w:noProof/>
          <w:szCs w:val="24"/>
        </w:rPr>
        <w:t xml:space="preserve"> </w:t>
      </w:r>
      <w:r w:rsidRPr="00C12801">
        <w:rPr>
          <w:noProof/>
          <w:szCs w:val="24"/>
        </w:rPr>
        <w:t xml:space="preserve">reform </w:t>
      </w:r>
      <w:r>
        <w:rPr>
          <w:noProof/>
          <w:szCs w:val="24"/>
        </w:rPr>
        <w:t xml:space="preserve">also </w:t>
      </w:r>
      <w:r w:rsidRPr="00C12801">
        <w:rPr>
          <w:noProof/>
          <w:szCs w:val="24"/>
        </w:rPr>
        <w:t xml:space="preserve">reflects </w:t>
      </w:r>
      <w:r>
        <w:rPr>
          <w:noProof/>
          <w:szCs w:val="24"/>
        </w:rPr>
        <w:t>the</w:t>
      </w:r>
      <w:r w:rsidRPr="00C12801">
        <w:rPr>
          <w:noProof/>
          <w:szCs w:val="24"/>
        </w:rPr>
        <w:t xml:space="preserve"> collective commitment</w:t>
      </w:r>
      <w:r>
        <w:rPr>
          <w:noProof/>
          <w:szCs w:val="24"/>
        </w:rPr>
        <w:t xml:space="preserve"> of the EU and its Member States</w:t>
      </w:r>
      <w:r w:rsidRPr="00C12801">
        <w:rPr>
          <w:noProof/>
          <w:szCs w:val="24"/>
        </w:rPr>
        <w:t xml:space="preserve"> to </w:t>
      </w:r>
      <w:r>
        <w:rPr>
          <w:noProof/>
          <w:szCs w:val="24"/>
        </w:rPr>
        <w:t>find solutions to common challenges, with reinforced mutual trust</w:t>
      </w:r>
      <w:r w:rsidRPr="00C12801">
        <w:rPr>
          <w:noProof/>
          <w:szCs w:val="24"/>
        </w:rPr>
        <w:t>.</w:t>
      </w:r>
      <w:r w:rsidRPr="00C81FC8">
        <w:rPr>
          <w:noProof/>
        </w:rPr>
        <w:t xml:space="preserve"> </w:t>
      </w:r>
      <w:r>
        <w:rPr>
          <w:noProof/>
        </w:rPr>
        <w:t xml:space="preserve">It is </w:t>
      </w:r>
      <w:r w:rsidRPr="00C12801">
        <w:rPr>
          <w:noProof/>
        </w:rPr>
        <w:t>a new chapter in implementing the two-track approach of pursuing sustainable structural reform alongside targeted operational response</w:t>
      </w:r>
      <w:r>
        <w:rPr>
          <w:noProof/>
        </w:rPr>
        <w:t xml:space="preserve"> including </w:t>
      </w:r>
      <w:r w:rsidR="00EA4AD6">
        <w:rPr>
          <w:noProof/>
        </w:rPr>
        <w:t>through comprehensive partnerships with partner countries</w:t>
      </w:r>
      <w:r w:rsidR="00F37BDE">
        <w:rPr>
          <w:noProof/>
        </w:rPr>
        <w:t>. It</w:t>
      </w:r>
      <w:r w:rsidRPr="00C12801">
        <w:rPr>
          <w:noProof/>
        </w:rPr>
        <w:t xml:space="preserve"> has allowed </w:t>
      </w:r>
      <w:r>
        <w:rPr>
          <w:noProof/>
        </w:rPr>
        <w:t xml:space="preserve">the EU </w:t>
      </w:r>
      <w:r w:rsidRPr="00C12801">
        <w:rPr>
          <w:noProof/>
        </w:rPr>
        <w:t>to turn the page on past fractures and consolidate a common approach to migration and border management over the past four years</w:t>
      </w:r>
      <w:r w:rsidRPr="00C12801">
        <w:rPr>
          <w:rStyle w:val="FootnoteReference"/>
          <w:noProof/>
        </w:rPr>
        <w:footnoteReference w:id="3"/>
      </w:r>
      <w:r>
        <w:rPr>
          <w:noProof/>
        </w:rPr>
        <w:t>.</w:t>
      </w:r>
    </w:p>
    <w:p w14:paraId="0BE1AFE8" w14:textId="2D131A10" w:rsidR="002140BE" w:rsidRPr="008F7A7A" w:rsidRDefault="002140BE" w:rsidP="002140BE">
      <w:pPr>
        <w:spacing w:after="120"/>
        <w:rPr>
          <w:noProof/>
        </w:rPr>
      </w:pPr>
      <w:r>
        <w:rPr>
          <w:noProof/>
          <w:szCs w:val="24"/>
        </w:rPr>
        <w:t>We</w:t>
      </w:r>
      <w:r w:rsidRPr="00C12801">
        <w:rPr>
          <w:noProof/>
          <w:szCs w:val="24"/>
        </w:rPr>
        <w:t xml:space="preserve"> must </w:t>
      </w:r>
      <w:r>
        <w:rPr>
          <w:noProof/>
          <w:szCs w:val="24"/>
        </w:rPr>
        <w:t xml:space="preserve">now </w:t>
      </w:r>
      <w:r w:rsidRPr="00C12801">
        <w:rPr>
          <w:noProof/>
          <w:szCs w:val="24"/>
        </w:rPr>
        <w:t xml:space="preserve">seize this positive momentum </w:t>
      </w:r>
      <w:r>
        <w:rPr>
          <w:noProof/>
          <w:szCs w:val="24"/>
        </w:rPr>
        <w:t xml:space="preserve">to </w:t>
      </w:r>
      <w:r w:rsidRPr="00C12801">
        <w:rPr>
          <w:noProof/>
          <w:szCs w:val="24"/>
        </w:rPr>
        <w:t>translat</w:t>
      </w:r>
      <w:r>
        <w:rPr>
          <w:noProof/>
          <w:szCs w:val="24"/>
        </w:rPr>
        <w:t xml:space="preserve">e </w:t>
      </w:r>
      <w:r w:rsidRPr="00C12801">
        <w:rPr>
          <w:noProof/>
          <w:szCs w:val="24"/>
        </w:rPr>
        <w:t>the Pact from leg</w:t>
      </w:r>
      <w:r>
        <w:rPr>
          <w:noProof/>
          <w:szCs w:val="24"/>
        </w:rPr>
        <w:t xml:space="preserve">islative acts </w:t>
      </w:r>
      <w:r w:rsidRPr="00C12801">
        <w:rPr>
          <w:noProof/>
          <w:szCs w:val="24"/>
        </w:rPr>
        <w:t xml:space="preserve">into </w:t>
      </w:r>
      <w:r>
        <w:rPr>
          <w:noProof/>
          <w:szCs w:val="24"/>
        </w:rPr>
        <w:t>an</w:t>
      </w:r>
      <w:r w:rsidRPr="00C12801">
        <w:rPr>
          <w:noProof/>
          <w:szCs w:val="24"/>
        </w:rPr>
        <w:t xml:space="preserve"> </w:t>
      </w:r>
      <w:r>
        <w:rPr>
          <w:noProof/>
          <w:szCs w:val="24"/>
        </w:rPr>
        <w:t xml:space="preserve">operational </w:t>
      </w:r>
      <w:r w:rsidRPr="00C12801">
        <w:rPr>
          <w:noProof/>
          <w:szCs w:val="24"/>
        </w:rPr>
        <w:t xml:space="preserve">reality. </w:t>
      </w:r>
      <w:r>
        <w:rPr>
          <w:noProof/>
          <w:szCs w:val="24"/>
        </w:rPr>
        <w:t>Two years from</w:t>
      </w:r>
      <w:r>
        <w:rPr>
          <w:noProof/>
        </w:rPr>
        <w:t xml:space="preserve"> their</w:t>
      </w:r>
      <w:r w:rsidRPr="00C12801">
        <w:rPr>
          <w:noProof/>
        </w:rPr>
        <w:t xml:space="preserve"> entry into force </w:t>
      </w:r>
      <w:r w:rsidRPr="00C12801">
        <w:rPr>
          <w:noProof/>
          <w:szCs w:val="24"/>
        </w:rPr>
        <w:t>on 1</w:t>
      </w:r>
      <w:r>
        <w:rPr>
          <w:noProof/>
          <w:szCs w:val="24"/>
        </w:rPr>
        <w:t>1</w:t>
      </w:r>
      <w:r w:rsidRPr="00C12801">
        <w:rPr>
          <w:noProof/>
          <w:szCs w:val="24"/>
        </w:rPr>
        <w:t xml:space="preserve"> June 2024</w:t>
      </w:r>
      <w:r>
        <w:rPr>
          <w:noProof/>
          <w:szCs w:val="24"/>
        </w:rPr>
        <w:t>,</w:t>
      </w:r>
      <w:r w:rsidRPr="00C12801">
        <w:rPr>
          <w:noProof/>
        </w:rPr>
        <w:t xml:space="preserve"> </w:t>
      </w:r>
      <w:r>
        <w:rPr>
          <w:noProof/>
        </w:rPr>
        <w:t xml:space="preserve">the </w:t>
      </w:r>
      <w:r w:rsidR="0011249D">
        <w:rPr>
          <w:noProof/>
        </w:rPr>
        <w:t xml:space="preserve">legal instruments </w:t>
      </w:r>
      <w:r w:rsidRPr="00C12801">
        <w:rPr>
          <w:noProof/>
        </w:rPr>
        <w:t xml:space="preserve">that constitute the Pact on Migration and Asylum </w:t>
      </w:r>
      <w:r>
        <w:rPr>
          <w:noProof/>
        </w:rPr>
        <w:t xml:space="preserve">will become applicable </w:t>
      </w:r>
      <w:r w:rsidR="00F1624C">
        <w:rPr>
          <w:noProof/>
          <w:szCs w:val="24"/>
        </w:rPr>
        <w:t>as of</w:t>
      </w:r>
      <w:r w:rsidR="00F1624C" w:rsidRPr="00C12801">
        <w:rPr>
          <w:noProof/>
          <w:szCs w:val="24"/>
        </w:rPr>
        <w:t xml:space="preserve"> </w:t>
      </w:r>
      <w:r w:rsidR="00F42FFD">
        <w:rPr>
          <w:noProof/>
          <w:szCs w:val="24"/>
        </w:rPr>
        <w:t>mid-</w:t>
      </w:r>
      <w:r w:rsidRPr="00C12801">
        <w:rPr>
          <w:noProof/>
          <w:szCs w:val="24"/>
        </w:rPr>
        <w:t>2026</w:t>
      </w:r>
      <w:r>
        <w:rPr>
          <w:rStyle w:val="FootnoteReference"/>
          <w:noProof/>
          <w:szCs w:val="24"/>
        </w:rPr>
        <w:footnoteReference w:id="4"/>
      </w:r>
      <w:r>
        <w:rPr>
          <w:noProof/>
          <w:szCs w:val="24"/>
        </w:rPr>
        <w:t>.</w:t>
      </w:r>
      <w:r>
        <w:rPr>
          <w:noProof/>
        </w:rPr>
        <w:t xml:space="preserve"> </w:t>
      </w:r>
      <w:r>
        <w:rPr>
          <w:noProof/>
          <w:szCs w:val="24"/>
        </w:rPr>
        <w:t>This Common Implementation Plan will support the</w:t>
      </w:r>
      <w:r w:rsidRPr="00C12801">
        <w:rPr>
          <w:noProof/>
          <w:szCs w:val="24"/>
        </w:rPr>
        <w:t xml:space="preserve"> Union and its Member States to </w:t>
      </w:r>
      <w:r>
        <w:rPr>
          <w:noProof/>
          <w:szCs w:val="24"/>
        </w:rPr>
        <w:t xml:space="preserve">effectively </w:t>
      </w:r>
      <w:r w:rsidRPr="00C12801">
        <w:rPr>
          <w:noProof/>
          <w:szCs w:val="24"/>
        </w:rPr>
        <w:t xml:space="preserve">prepare for </w:t>
      </w:r>
      <w:r>
        <w:rPr>
          <w:noProof/>
          <w:szCs w:val="24"/>
        </w:rPr>
        <w:t>their</w:t>
      </w:r>
      <w:r w:rsidRPr="00C12801">
        <w:rPr>
          <w:noProof/>
          <w:szCs w:val="24"/>
        </w:rPr>
        <w:t xml:space="preserve"> implementation. </w:t>
      </w:r>
      <w:r>
        <w:rPr>
          <w:noProof/>
          <w:szCs w:val="24"/>
        </w:rPr>
        <w:t>It will ensure that the</w:t>
      </w:r>
      <w:r w:rsidRPr="00C12801">
        <w:rPr>
          <w:noProof/>
          <w:szCs w:val="24"/>
        </w:rPr>
        <w:t xml:space="preserve"> </w:t>
      </w:r>
      <w:r>
        <w:rPr>
          <w:noProof/>
          <w:szCs w:val="24"/>
        </w:rPr>
        <w:t xml:space="preserve">two-year </w:t>
      </w:r>
      <w:r w:rsidRPr="00C12801">
        <w:rPr>
          <w:noProof/>
          <w:szCs w:val="24"/>
        </w:rPr>
        <w:t xml:space="preserve">transition period </w:t>
      </w:r>
      <w:r>
        <w:rPr>
          <w:noProof/>
          <w:szCs w:val="24"/>
        </w:rPr>
        <w:t>is</w:t>
      </w:r>
      <w:r w:rsidRPr="00C12801">
        <w:rPr>
          <w:noProof/>
          <w:szCs w:val="24"/>
        </w:rPr>
        <w:t xml:space="preserve"> used </w:t>
      </w:r>
      <w:r>
        <w:rPr>
          <w:noProof/>
          <w:szCs w:val="24"/>
        </w:rPr>
        <w:t xml:space="preserve">in an effective manner, ensuring that the necessary </w:t>
      </w:r>
      <w:r w:rsidRPr="008F7A7A">
        <w:rPr>
          <w:noProof/>
          <w:szCs w:val="24"/>
        </w:rPr>
        <w:t>administrative, operational, and legal steps are taken by all relevant stakeholders.</w:t>
      </w:r>
    </w:p>
    <w:p w14:paraId="6C2611F3" w14:textId="62A1CF71" w:rsidR="002140BE" w:rsidRPr="00C12801" w:rsidRDefault="0074081B" w:rsidP="002140BE">
      <w:pPr>
        <w:spacing w:after="120"/>
        <w:rPr>
          <w:noProof/>
          <w:szCs w:val="24"/>
        </w:rPr>
      </w:pPr>
      <w:r w:rsidRPr="008F7A7A">
        <w:rPr>
          <w:noProof/>
          <w:szCs w:val="24"/>
        </w:rPr>
        <w:t>T</w:t>
      </w:r>
      <w:r w:rsidR="00E5198B" w:rsidRPr="008F7A7A">
        <w:rPr>
          <w:noProof/>
          <w:szCs w:val="24"/>
        </w:rPr>
        <w:t xml:space="preserve">he Commission </w:t>
      </w:r>
      <w:r w:rsidRPr="008F7A7A">
        <w:rPr>
          <w:noProof/>
          <w:szCs w:val="24"/>
        </w:rPr>
        <w:t xml:space="preserve">is required, under </w:t>
      </w:r>
      <w:r w:rsidR="00A4457E" w:rsidRPr="008F7A7A">
        <w:rPr>
          <w:noProof/>
          <w:szCs w:val="24"/>
        </w:rPr>
        <w:t>t</w:t>
      </w:r>
      <w:r w:rsidRPr="008F7A7A">
        <w:rPr>
          <w:noProof/>
          <w:szCs w:val="24"/>
        </w:rPr>
        <w:t xml:space="preserve">he Asylum and Migration Management Regulation and Asylum Procedure Regulation, </w:t>
      </w:r>
      <w:r w:rsidR="00E5198B" w:rsidRPr="008F7A7A">
        <w:rPr>
          <w:noProof/>
          <w:szCs w:val="24"/>
        </w:rPr>
        <w:t>to</w:t>
      </w:r>
      <w:r w:rsidR="00E5198B">
        <w:rPr>
          <w:noProof/>
          <w:szCs w:val="24"/>
        </w:rPr>
        <w:t xml:space="preserve"> present a Common </w:t>
      </w:r>
      <w:r w:rsidR="00FE2280">
        <w:rPr>
          <w:noProof/>
          <w:szCs w:val="24"/>
        </w:rPr>
        <w:t>Implementation Plan</w:t>
      </w:r>
      <w:r w:rsidR="00FE2280" w:rsidRPr="00316309">
        <w:rPr>
          <w:rStyle w:val="FootnoteReference"/>
          <w:noProof/>
          <w:szCs w:val="24"/>
        </w:rPr>
        <w:footnoteReference w:id="5"/>
      </w:r>
      <w:r w:rsidR="00FE2280">
        <w:rPr>
          <w:noProof/>
          <w:szCs w:val="24"/>
        </w:rPr>
        <w:t xml:space="preserve">. </w:t>
      </w:r>
      <w:r w:rsidR="002140BE" w:rsidRPr="00316309">
        <w:rPr>
          <w:noProof/>
          <w:szCs w:val="24"/>
        </w:rPr>
        <w:t xml:space="preserve">In view of the importance of the implementation as well as its complex nature, the Commission has decided to advance </w:t>
      </w:r>
      <w:r w:rsidR="00165C83">
        <w:rPr>
          <w:noProof/>
          <w:szCs w:val="24"/>
        </w:rPr>
        <w:t>its</w:t>
      </w:r>
      <w:r w:rsidR="002140BE" w:rsidRPr="00316309">
        <w:rPr>
          <w:noProof/>
          <w:szCs w:val="24"/>
        </w:rPr>
        <w:t xml:space="preserve"> adoption from September to June 2024 so that Member States have the maximum time to prepare their National Implementation Plans due by 12 December 2024.</w:t>
      </w:r>
    </w:p>
    <w:p w14:paraId="0B8B79BD" w14:textId="123B6746" w:rsidR="002140BE" w:rsidRDefault="002140BE" w:rsidP="002140BE">
      <w:pPr>
        <w:spacing w:after="120"/>
        <w:rPr>
          <w:noProof/>
          <w:szCs w:val="24"/>
        </w:rPr>
      </w:pPr>
      <w:r>
        <w:rPr>
          <w:i/>
          <w:iCs/>
          <w:noProof/>
        </w:rPr>
        <w:t>O</w:t>
      </w:r>
      <w:r w:rsidRPr="006214F4">
        <w:rPr>
          <w:i/>
          <w:iCs/>
          <w:noProof/>
        </w:rPr>
        <w:t>bjective and purpose of the Common Implementation Plan</w:t>
      </w:r>
    </w:p>
    <w:p w14:paraId="00C9EEDA" w14:textId="30C4D1C6" w:rsidR="002140BE" w:rsidRDefault="002140BE" w:rsidP="002140BE">
      <w:pPr>
        <w:spacing w:after="120"/>
        <w:rPr>
          <w:noProof/>
          <w:szCs w:val="24"/>
        </w:rPr>
      </w:pPr>
      <w:r>
        <w:rPr>
          <w:noProof/>
          <w:szCs w:val="24"/>
        </w:rPr>
        <w:t>The</w:t>
      </w:r>
      <w:r w:rsidRPr="00C12801">
        <w:rPr>
          <w:noProof/>
          <w:szCs w:val="24"/>
        </w:rPr>
        <w:t xml:space="preserve"> Common Implementation Plan takes a pragmatic approach and focus</w:t>
      </w:r>
      <w:r>
        <w:rPr>
          <w:noProof/>
          <w:szCs w:val="24"/>
        </w:rPr>
        <w:t>es</w:t>
      </w:r>
      <w:r w:rsidRPr="00C12801">
        <w:rPr>
          <w:noProof/>
          <w:szCs w:val="24"/>
        </w:rPr>
        <w:t xml:space="preserve"> on the fundamental</w:t>
      </w:r>
      <w:r>
        <w:rPr>
          <w:noProof/>
          <w:szCs w:val="24"/>
        </w:rPr>
        <w:t xml:space="preserve"> aspects</w:t>
      </w:r>
      <w:r w:rsidRPr="00C12801">
        <w:rPr>
          <w:noProof/>
          <w:szCs w:val="24"/>
        </w:rPr>
        <w:t xml:space="preserve"> </w:t>
      </w:r>
      <w:r w:rsidR="00F1624C">
        <w:rPr>
          <w:noProof/>
          <w:szCs w:val="24"/>
        </w:rPr>
        <w:t xml:space="preserve">that </w:t>
      </w:r>
      <w:r w:rsidR="00F1624C" w:rsidRPr="00C12801">
        <w:rPr>
          <w:noProof/>
          <w:szCs w:val="24"/>
        </w:rPr>
        <w:t xml:space="preserve">Member States need to consider when developing their National Implementation Plans </w:t>
      </w:r>
      <w:r w:rsidR="00F1624C">
        <w:rPr>
          <w:noProof/>
          <w:szCs w:val="24"/>
        </w:rPr>
        <w:t xml:space="preserve">and </w:t>
      </w:r>
      <w:r w:rsidRPr="00C12801">
        <w:rPr>
          <w:noProof/>
          <w:szCs w:val="24"/>
        </w:rPr>
        <w:t xml:space="preserve">that need to be in place at Union and national levels to ensure the </w:t>
      </w:r>
      <w:r>
        <w:rPr>
          <w:noProof/>
          <w:szCs w:val="24"/>
        </w:rPr>
        <w:t xml:space="preserve">Pact on Migration and Asylum </w:t>
      </w:r>
      <w:r w:rsidRPr="00C12801">
        <w:rPr>
          <w:noProof/>
          <w:szCs w:val="24"/>
        </w:rPr>
        <w:t xml:space="preserve">becomes operational by </w:t>
      </w:r>
      <w:r w:rsidR="00F42FFD">
        <w:rPr>
          <w:noProof/>
          <w:szCs w:val="24"/>
        </w:rPr>
        <w:t>mid-</w:t>
      </w:r>
      <w:r w:rsidRPr="00C12801">
        <w:rPr>
          <w:noProof/>
          <w:szCs w:val="24"/>
        </w:rPr>
        <w:t>2026.</w:t>
      </w:r>
      <w:r>
        <w:rPr>
          <w:noProof/>
          <w:szCs w:val="24"/>
        </w:rPr>
        <w:t xml:space="preserve"> It </w:t>
      </w:r>
      <w:r w:rsidRPr="00C12801">
        <w:rPr>
          <w:noProof/>
          <w:szCs w:val="24"/>
        </w:rPr>
        <w:t>provides the framework for a joint work programme for the next two years</w:t>
      </w:r>
      <w:r>
        <w:rPr>
          <w:noProof/>
          <w:szCs w:val="24"/>
        </w:rPr>
        <w:t xml:space="preserve">, </w:t>
      </w:r>
      <w:r w:rsidRPr="00C12801">
        <w:rPr>
          <w:noProof/>
          <w:szCs w:val="24"/>
        </w:rPr>
        <w:t xml:space="preserve">including the legal and operational deliverables, the structures for discussion, and </w:t>
      </w:r>
      <w:r>
        <w:rPr>
          <w:noProof/>
          <w:szCs w:val="24"/>
        </w:rPr>
        <w:t>relevant</w:t>
      </w:r>
      <w:r w:rsidRPr="00C12801">
        <w:rPr>
          <w:noProof/>
          <w:szCs w:val="24"/>
        </w:rPr>
        <w:t xml:space="preserve"> operational and financial support.</w:t>
      </w:r>
    </w:p>
    <w:p w14:paraId="5DDCD498" w14:textId="749FFFA2" w:rsidR="002140BE" w:rsidRPr="00C12801" w:rsidRDefault="002140BE" w:rsidP="002140BE">
      <w:pPr>
        <w:spacing w:after="120"/>
        <w:rPr>
          <w:noProof/>
          <w:szCs w:val="24"/>
        </w:rPr>
      </w:pPr>
      <w:r w:rsidRPr="00C12801">
        <w:rPr>
          <w:noProof/>
          <w:szCs w:val="24"/>
        </w:rPr>
        <w:t xml:space="preserve">The rationale of the Common </w:t>
      </w:r>
      <w:r>
        <w:rPr>
          <w:noProof/>
          <w:szCs w:val="24"/>
        </w:rPr>
        <w:t>I</w:t>
      </w:r>
      <w:r w:rsidRPr="00C12801">
        <w:rPr>
          <w:noProof/>
          <w:szCs w:val="24"/>
        </w:rPr>
        <w:t xml:space="preserve">mplementation </w:t>
      </w:r>
      <w:r>
        <w:rPr>
          <w:noProof/>
          <w:szCs w:val="24"/>
        </w:rPr>
        <w:t>P</w:t>
      </w:r>
      <w:r w:rsidRPr="00C12801">
        <w:rPr>
          <w:noProof/>
          <w:szCs w:val="24"/>
        </w:rPr>
        <w:t xml:space="preserve">lan is that it is </w:t>
      </w:r>
      <w:r w:rsidRPr="00C12801">
        <w:rPr>
          <w:b/>
          <w:bCs/>
          <w:noProof/>
          <w:szCs w:val="24"/>
        </w:rPr>
        <w:t>common</w:t>
      </w:r>
      <w:r>
        <w:rPr>
          <w:b/>
          <w:bCs/>
          <w:noProof/>
          <w:szCs w:val="24"/>
        </w:rPr>
        <w:t xml:space="preserve">: </w:t>
      </w:r>
      <w:r>
        <w:rPr>
          <w:noProof/>
          <w:szCs w:val="24"/>
        </w:rPr>
        <w:t>c</w:t>
      </w:r>
      <w:r w:rsidRPr="00CF321F">
        <w:rPr>
          <w:noProof/>
          <w:szCs w:val="24"/>
        </w:rPr>
        <w:t>ommon</w:t>
      </w:r>
      <w:r w:rsidRPr="001F4335">
        <w:rPr>
          <w:noProof/>
          <w:szCs w:val="24"/>
        </w:rPr>
        <w:t xml:space="preserve"> </w:t>
      </w:r>
      <w:r w:rsidRPr="00C12801">
        <w:rPr>
          <w:noProof/>
          <w:szCs w:val="24"/>
        </w:rPr>
        <w:t xml:space="preserve">to all Member States, </w:t>
      </w:r>
      <w:r>
        <w:rPr>
          <w:noProof/>
          <w:szCs w:val="24"/>
        </w:rPr>
        <w:t xml:space="preserve">common </w:t>
      </w:r>
      <w:r w:rsidRPr="00C12801">
        <w:rPr>
          <w:noProof/>
          <w:szCs w:val="24"/>
        </w:rPr>
        <w:t xml:space="preserve">to all </w:t>
      </w:r>
      <w:r>
        <w:rPr>
          <w:noProof/>
          <w:szCs w:val="24"/>
        </w:rPr>
        <w:t>legislative instruments</w:t>
      </w:r>
      <w:r w:rsidRPr="00C12801">
        <w:rPr>
          <w:noProof/>
          <w:szCs w:val="24"/>
        </w:rPr>
        <w:t xml:space="preserve"> of the Pact on Migration and Asylum</w:t>
      </w:r>
      <w:r>
        <w:rPr>
          <w:noProof/>
          <w:szCs w:val="24"/>
        </w:rPr>
        <w:t xml:space="preserve"> that need to be implemented</w:t>
      </w:r>
      <w:r w:rsidRPr="00C12801">
        <w:rPr>
          <w:noProof/>
          <w:szCs w:val="24"/>
        </w:rPr>
        <w:t xml:space="preserve"> and </w:t>
      </w:r>
      <w:r>
        <w:rPr>
          <w:noProof/>
          <w:szCs w:val="24"/>
        </w:rPr>
        <w:t>it seeks to achieve the</w:t>
      </w:r>
      <w:r w:rsidRPr="00C12801">
        <w:rPr>
          <w:noProof/>
          <w:szCs w:val="24"/>
        </w:rPr>
        <w:t xml:space="preserve"> common objective</w:t>
      </w:r>
      <w:r>
        <w:rPr>
          <w:noProof/>
          <w:szCs w:val="24"/>
        </w:rPr>
        <w:t xml:space="preserve"> of</w:t>
      </w:r>
      <w:r w:rsidRPr="00C12801">
        <w:rPr>
          <w:noProof/>
          <w:szCs w:val="24"/>
        </w:rPr>
        <w:t xml:space="preserve"> a well-prepared system </w:t>
      </w:r>
      <w:r>
        <w:rPr>
          <w:noProof/>
          <w:szCs w:val="24"/>
        </w:rPr>
        <w:t xml:space="preserve">in place </w:t>
      </w:r>
      <w:r w:rsidRPr="00C12801">
        <w:rPr>
          <w:noProof/>
          <w:szCs w:val="24"/>
        </w:rPr>
        <w:t>by the end of the transition period</w:t>
      </w:r>
      <w:r>
        <w:rPr>
          <w:noProof/>
          <w:szCs w:val="24"/>
        </w:rPr>
        <w:t>.</w:t>
      </w:r>
    </w:p>
    <w:p w14:paraId="7BD4BC49" w14:textId="7F8A7A4F" w:rsidR="002140BE" w:rsidRDefault="002140BE" w:rsidP="002140BE">
      <w:pPr>
        <w:spacing w:after="120"/>
        <w:rPr>
          <w:noProof/>
          <w:szCs w:val="24"/>
        </w:rPr>
      </w:pPr>
      <w:r w:rsidRPr="00C12801">
        <w:rPr>
          <w:noProof/>
          <w:szCs w:val="24"/>
        </w:rPr>
        <w:t xml:space="preserve">Firstly, the Common </w:t>
      </w:r>
      <w:r>
        <w:rPr>
          <w:noProof/>
          <w:szCs w:val="24"/>
        </w:rPr>
        <w:t>I</w:t>
      </w:r>
      <w:r w:rsidRPr="00C12801">
        <w:rPr>
          <w:noProof/>
          <w:szCs w:val="24"/>
        </w:rPr>
        <w:t xml:space="preserve">mplementation </w:t>
      </w:r>
      <w:r>
        <w:rPr>
          <w:noProof/>
          <w:szCs w:val="24"/>
        </w:rPr>
        <w:t>P</w:t>
      </w:r>
      <w:r w:rsidRPr="00C12801">
        <w:rPr>
          <w:noProof/>
          <w:szCs w:val="24"/>
        </w:rPr>
        <w:t xml:space="preserve">lan is </w:t>
      </w:r>
      <w:r w:rsidRPr="00C12801">
        <w:rPr>
          <w:b/>
          <w:bCs/>
          <w:noProof/>
          <w:szCs w:val="24"/>
        </w:rPr>
        <w:t xml:space="preserve">common </w:t>
      </w:r>
      <w:r>
        <w:rPr>
          <w:b/>
          <w:bCs/>
          <w:noProof/>
          <w:szCs w:val="24"/>
        </w:rPr>
        <w:t xml:space="preserve">because it brings together </w:t>
      </w:r>
      <w:r w:rsidRPr="00C12801">
        <w:rPr>
          <w:b/>
          <w:bCs/>
          <w:noProof/>
          <w:szCs w:val="24"/>
        </w:rPr>
        <w:t>all Member States</w:t>
      </w:r>
      <w:r w:rsidRPr="00BE3287">
        <w:rPr>
          <w:noProof/>
          <w:szCs w:val="24"/>
        </w:rPr>
        <w:t>,</w:t>
      </w:r>
      <w:r>
        <w:rPr>
          <w:b/>
          <w:bCs/>
          <w:noProof/>
          <w:szCs w:val="24"/>
        </w:rPr>
        <w:t xml:space="preserve"> </w:t>
      </w:r>
      <w:r>
        <w:rPr>
          <w:noProof/>
          <w:szCs w:val="24"/>
        </w:rPr>
        <w:t>in recognition of the fact that in a Union of 27 Member States, migration is a common</w:t>
      </w:r>
      <w:r w:rsidR="00F1624C">
        <w:rPr>
          <w:noProof/>
          <w:szCs w:val="24"/>
        </w:rPr>
        <w:t xml:space="preserve"> European</w:t>
      </w:r>
      <w:r>
        <w:rPr>
          <w:noProof/>
          <w:szCs w:val="24"/>
        </w:rPr>
        <w:t xml:space="preserve"> challenge that requires a common </w:t>
      </w:r>
      <w:r w:rsidR="00F1624C">
        <w:rPr>
          <w:noProof/>
          <w:szCs w:val="24"/>
        </w:rPr>
        <w:t>European solution</w:t>
      </w:r>
      <w:r>
        <w:rPr>
          <w:noProof/>
          <w:szCs w:val="24"/>
        </w:rPr>
        <w:t>.</w:t>
      </w:r>
      <w:r w:rsidRPr="00C12801">
        <w:rPr>
          <w:noProof/>
          <w:szCs w:val="24"/>
        </w:rPr>
        <w:t xml:space="preserve"> </w:t>
      </w:r>
      <w:r>
        <w:rPr>
          <w:noProof/>
          <w:szCs w:val="24"/>
        </w:rPr>
        <w:t>The success of the system will inevitably rely on the readiness of all Member States – with the actions of one having implications for all</w:t>
      </w:r>
      <w:r w:rsidRPr="00C12801">
        <w:rPr>
          <w:noProof/>
          <w:szCs w:val="24"/>
        </w:rPr>
        <w:t>.</w:t>
      </w:r>
      <w:r>
        <w:rPr>
          <w:noProof/>
          <w:szCs w:val="24"/>
        </w:rPr>
        <w:t xml:space="preserve"> </w:t>
      </w:r>
      <w:r w:rsidRPr="00C12801">
        <w:rPr>
          <w:noProof/>
          <w:szCs w:val="24"/>
        </w:rPr>
        <w:t>The purpose of the Common Implementation Plan is to make the Pact implementation manageable for everyone, and to manage it together</w:t>
      </w:r>
      <w:r>
        <w:rPr>
          <w:noProof/>
          <w:szCs w:val="24"/>
        </w:rPr>
        <w:t>.</w:t>
      </w:r>
    </w:p>
    <w:p w14:paraId="2B48257F" w14:textId="53F9EE1F" w:rsidR="002140BE" w:rsidRPr="00C12801" w:rsidRDefault="002140BE" w:rsidP="002140BE">
      <w:pPr>
        <w:spacing w:after="120"/>
        <w:rPr>
          <w:noProof/>
          <w:szCs w:val="24"/>
        </w:rPr>
      </w:pPr>
      <w:r>
        <w:rPr>
          <w:noProof/>
          <w:szCs w:val="24"/>
        </w:rPr>
        <w:t xml:space="preserve">The </w:t>
      </w:r>
      <w:r w:rsidRPr="00C73F4C">
        <w:rPr>
          <w:noProof/>
          <w:szCs w:val="24"/>
        </w:rPr>
        <w:t>Plan</w:t>
      </w:r>
      <w:r>
        <w:rPr>
          <w:noProof/>
          <w:szCs w:val="24"/>
        </w:rPr>
        <w:t xml:space="preserve"> is the result of a close collaboration </w:t>
      </w:r>
      <w:r w:rsidRPr="00C12801">
        <w:rPr>
          <w:noProof/>
          <w:szCs w:val="24"/>
        </w:rPr>
        <w:t>with Member States</w:t>
      </w:r>
      <w:r>
        <w:rPr>
          <w:noProof/>
          <w:szCs w:val="24"/>
        </w:rPr>
        <w:t xml:space="preserve">, </w:t>
      </w:r>
      <w:r w:rsidRPr="00C12801">
        <w:rPr>
          <w:noProof/>
          <w:szCs w:val="24"/>
        </w:rPr>
        <w:t xml:space="preserve">and the relevant EU agencies, notably </w:t>
      </w:r>
      <w:r>
        <w:rPr>
          <w:noProof/>
          <w:szCs w:val="24"/>
        </w:rPr>
        <w:t xml:space="preserve">through </w:t>
      </w:r>
      <w:r w:rsidRPr="00C12801">
        <w:rPr>
          <w:noProof/>
          <w:szCs w:val="24"/>
        </w:rPr>
        <w:t xml:space="preserve">the </w:t>
      </w:r>
      <w:r w:rsidRPr="004A1FE2">
        <w:rPr>
          <w:b/>
          <w:bCs/>
          <w:noProof/>
          <w:szCs w:val="24"/>
        </w:rPr>
        <w:t>Ministerial Conference on the Operationalisation of the Pact</w:t>
      </w:r>
      <w:r w:rsidRPr="00C12801">
        <w:rPr>
          <w:noProof/>
          <w:szCs w:val="24"/>
        </w:rPr>
        <w:t xml:space="preserve"> organised by the Belgi</w:t>
      </w:r>
      <w:r>
        <w:rPr>
          <w:noProof/>
          <w:szCs w:val="24"/>
        </w:rPr>
        <w:t>an</w:t>
      </w:r>
      <w:r w:rsidRPr="00C12801">
        <w:rPr>
          <w:noProof/>
          <w:szCs w:val="24"/>
        </w:rPr>
        <w:t xml:space="preserve"> Presidency on 29-30 April </w:t>
      </w:r>
      <w:r w:rsidR="00AA62BC">
        <w:rPr>
          <w:noProof/>
          <w:szCs w:val="24"/>
        </w:rPr>
        <w:t xml:space="preserve">2024 </w:t>
      </w:r>
      <w:r w:rsidRPr="00C12801">
        <w:rPr>
          <w:noProof/>
          <w:szCs w:val="24"/>
        </w:rPr>
        <w:t xml:space="preserve">in Ghent as well as various meetings of the </w:t>
      </w:r>
      <w:r>
        <w:rPr>
          <w:noProof/>
          <w:szCs w:val="24"/>
        </w:rPr>
        <w:t xml:space="preserve">Council’s </w:t>
      </w:r>
      <w:r w:rsidRPr="00C12801">
        <w:rPr>
          <w:noProof/>
          <w:szCs w:val="24"/>
        </w:rPr>
        <w:t xml:space="preserve">Strategic Committee for Immigration, Frontiers and Asylum (SCIFA). The Commission also held consultations with civil society, </w:t>
      </w:r>
      <w:r w:rsidRPr="00C12801">
        <w:rPr>
          <w:noProof/>
          <w:color w:val="000000" w:themeColor="text1"/>
          <w:szCs w:val="24"/>
        </w:rPr>
        <w:t xml:space="preserve">including the Commission Expert Group on the views of migrants in the field of migration, asylum, and integration, </w:t>
      </w:r>
      <w:r w:rsidRPr="00C12801">
        <w:rPr>
          <w:noProof/>
          <w:szCs w:val="24"/>
        </w:rPr>
        <w:t>as well as</w:t>
      </w:r>
      <w:r>
        <w:rPr>
          <w:noProof/>
          <w:szCs w:val="24"/>
        </w:rPr>
        <w:t xml:space="preserve"> with</w:t>
      </w:r>
      <w:r w:rsidRPr="00C12801">
        <w:rPr>
          <w:noProof/>
          <w:szCs w:val="24"/>
        </w:rPr>
        <w:t xml:space="preserve"> UNHCR.</w:t>
      </w:r>
    </w:p>
    <w:p w14:paraId="09D33F0C" w14:textId="391EE509" w:rsidR="002140BE" w:rsidRPr="00C12801" w:rsidRDefault="002140BE" w:rsidP="002140BE">
      <w:pPr>
        <w:spacing w:after="120"/>
        <w:rPr>
          <w:noProof/>
          <w:szCs w:val="24"/>
        </w:rPr>
      </w:pPr>
      <w:r w:rsidRPr="00C12801">
        <w:rPr>
          <w:noProof/>
          <w:szCs w:val="24"/>
        </w:rPr>
        <w:t xml:space="preserve">Secondly, the Common </w:t>
      </w:r>
      <w:r>
        <w:rPr>
          <w:noProof/>
          <w:szCs w:val="24"/>
        </w:rPr>
        <w:t>I</w:t>
      </w:r>
      <w:r w:rsidRPr="00C12801">
        <w:rPr>
          <w:noProof/>
          <w:szCs w:val="24"/>
        </w:rPr>
        <w:t xml:space="preserve">mplementation </w:t>
      </w:r>
      <w:r>
        <w:rPr>
          <w:noProof/>
          <w:szCs w:val="24"/>
        </w:rPr>
        <w:t>P</w:t>
      </w:r>
      <w:r w:rsidRPr="00C12801">
        <w:rPr>
          <w:noProof/>
          <w:szCs w:val="24"/>
        </w:rPr>
        <w:t xml:space="preserve">lan is </w:t>
      </w:r>
      <w:r w:rsidRPr="00C12801">
        <w:rPr>
          <w:b/>
          <w:bCs/>
          <w:noProof/>
          <w:szCs w:val="24"/>
        </w:rPr>
        <w:t xml:space="preserve">common </w:t>
      </w:r>
      <w:r>
        <w:rPr>
          <w:b/>
          <w:bCs/>
          <w:noProof/>
          <w:szCs w:val="24"/>
        </w:rPr>
        <w:t xml:space="preserve">because it encompasses </w:t>
      </w:r>
      <w:r w:rsidRPr="00C12801">
        <w:rPr>
          <w:b/>
          <w:bCs/>
          <w:noProof/>
          <w:szCs w:val="24"/>
        </w:rPr>
        <w:t xml:space="preserve">all legislative instruments </w:t>
      </w:r>
      <w:r>
        <w:rPr>
          <w:b/>
          <w:bCs/>
          <w:noProof/>
          <w:szCs w:val="24"/>
        </w:rPr>
        <w:t>forming</w:t>
      </w:r>
      <w:r w:rsidRPr="00C12801">
        <w:rPr>
          <w:b/>
          <w:bCs/>
          <w:noProof/>
          <w:szCs w:val="24"/>
        </w:rPr>
        <w:t xml:space="preserve"> the Pact on Migration and Asylum</w:t>
      </w:r>
      <w:r>
        <w:rPr>
          <w:noProof/>
          <w:szCs w:val="24"/>
        </w:rPr>
        <w:t>, which</w:t>
      </w:r>
      <w:r w:rsidRPr="00C12801">
        <w:rPr>
          <w:noProof/>
          <w:szCs w:val="24"/>
        </w:rPr>
        <w:t xml:space="preserve"> are interrelated and cannot work</w:t>
      </w:r>
      <w:r>
        <w:rPr>
          <w:noProof/>
          <w:szCs w:val="24"/>
        </w:rPr>
        <w:t xml:space="preserve"> effectively separately</w:t>
      </w:r>
      <w:r w:rsidRPr="00C12801">
        <w:rPr>
          <w:noProof/>
          <w:szCs w:val="24"/>
        </w:rPr>
        <w:t xml:space="preserve">. </w:t>
      </w:r>
      <w:r>
        <w:rPr>
          <w:noProof/>
          <w:szCs w:val="24"/>
        </w:rPr>
        <w:t>T</w:t>
      </w:r>
      <w:r w:rsidRPr="00C12801">
        <w:rPr>
          <w:noProof/>
          <w:szCs w:val="24"/>
        </w:rPr>
        <w:t>ogether</w:t>
      </w:r>
      <w:r>
        <w:rPr>
          <w:noProof/>
          <w:szCs w:val="24"/>
        </w:rPr>
        <w:t xml:space="preserve"> the Pact </w:t>
      </w:r>
      <w:r w:rsidR="00F1624C">
        <w:rPr>
          <w:noProof/>
          <w:szCs w:val="24"/>
        </w:rPr>
        <w:t>instruments</w:t>
      </w:r>
      <w:r w:rsidR="00F1624C" w:rsidRPr="00C12801">
        <w:rPr>
          <w:noProof/>
          <w:szCs w:val="24"/>
        </w:rPr>
        <w:t xml:space="preserve"> </w:t>
      </w:r>
      <w:r w:rsidRPr="00C12801">
        <w:rPr>
          <w:noProof/>
          <w:szCs w:val="24"/>
        </w:rPr>
        <w:t xml:space="preserve">form an integrated system, reflecting the comprehensive and balanced European approach to migration, ensuring both solidarity and responsibility, </w:t>
      </w:r>
      <w:r>
        <w:rPr>
          <w:noProof/>
          <w:szCs w:val="24"/>
        </w:rPr>
        <w:t xml:space="preserve">the protection of </w:t>
      </w:r>
      <w:r w:rsidRPr="00C12801">
        <w:rPr>
          <w:noProof/>
          <w:szCs w:val="24"/>
        </w:rPr>
        <w:t xml:space="preserve">rights, and </w:t>
      </w:r>
      <w:r>
        <w:rPr>
          <w:noProof/>
          <w:szCs w:val="24"/>
        </w:rPr>
        <w:t xml:space="preserve">the compliance with </w:t>
      </w:r>
      <w:r w:rsidRPr="00C12801">
        <w:rPr>
          <w:noProof/>
          <w:szCs w:val="24"/>
        </w:rPr>
        <w:t>obligations.</w:t>
      </w:r>
      <w:r>
        <w:rPr>
          <w:noProof/>
          <w:szCs w:val="24"/>
        </w:rPr>
        <w:t xml:space="preserve"> This comprehensive approach</w:t>
      </w:r>
      <w:r w:rsidR="0032714E">
        <w:rPr>
          <w:noProof/>
          <w:szCs w:val="24"/>
        </w:rPr>
        <w:t xml:space="preserve"> is </w:t>
      </w:r>
      <w:r>
        <w:rPr>
          <w:noProof/>
          <w:szCs w:val="24"/>
        </w:rPr>
        <w:t>embedded in the</w:t>
      </w:r>
      <w:r w:rsidRPr="00C12801">
        <w:rPr>
          <w:noProof/>
          <w:szCs w:val="24"/>
        </w:rPr>
        <w:t xml:space="preserve"> Asylum and Migration Management Regulation</w:t>
      </w:r>
      <w:r>
        <w:rPr>
          <w:rStyle w:val="FootnoteReference"/>
          <w:noProof/>
          <w:szCs w:val="24"/>
        </w:rPr>
        <w:footnoteReference w:id="6"/>
      </w:r>
      <w:r w:rsidR="00F50EC8">
        <w:rPr>
          <w:noProof/>
          <w:szCs w:val="24"/>
        </w:rPr>
        <w:t>.</w:t>
      </w:r>
      <w:r w:rsidR="00FF3FAD">
        <w:rPr>
          <w:noProof/>
          <w:szCs w:val="24"/>
        </w:rPr>
        <w:t xml:space="preserve"> As a result</w:t>
      </w:r>
      <w:r w:rsidR="00B9774D">
        <w:rPr>
          <w:noProof/>
          <w:szCs w:val="24"/>
        </w:rPr>
        <w:t>,</w:t>
      </w:r>
      <w:r w:rsidR="00FF3FAD">
        <w:rPr>
          <w:noProof/>
          <w:szCs w:val="24"/>
        </w:rPr>
        <w:t xml:space="preserve"> the Commission should reflect the key elements of this comprehensive approach in the Common Implementation Plan.</w:t>
      </w:r>
    </w:p>
    <w:p w14:paraId="082674E6" w14:textId="40E023CE" w:rsidR="002140BE" w:rsidRPr="00C12801" w:rsidRDefault="002140BE" w:rsidP="002140BE">
      <w:pPr>
        <w:spacing w:after="120"/>
        <w:rPr>
          <w:noProof/>
        </w:rPr>
      </w:pPr>
      <w:r w:rsidRPr="00C12801">
        <w:rPr>
          <w:noProof/>
          <w:szCs w:val="24"/>
        </w:rPr>
        <w:t xml:space="preserve">Thirdly, the Common </w:t>
      </w:r>
      <w:r>
        <w:rPr>
          <w:noProof/>
          <w:szCs w:val="24"/>
        </w:rPr>
        <w:t>I</w:t>
      </w:r>
      <w:r w:rsidRPr="00C12801">
        <w:rPr>
          <w:noProof/>
          <w:szCs w:val="24"/>
        </w:rPr>
        <w:t xml:space="preserve">mplementation </w:t>
      </w:r>
      <w:r>
        <w:rPr>
          <w:noProof/>
          <w:szCs w:val="24"/>
        </w:rPr>
        <w:t>P</w:t>
      </w:r>
      <w:r w:rsidRPr="00C12801">
        <w:rPr>
          <w:noProof/>
          <w:szCs w:val="24"/>
        </w:rPr>
        <w:t xml:space="preserve">lan pursues the </w:t>
      </w:r>
      <w:r w:rsidRPr="00C12801">
        <w:rPr>
          <w:b/>
          <w:bCs/>
          <w:noProof/>
          <w:szCs w:val="24"/>
        </w:rPr>
        <w:t xml:space="preserve">common objective </w:t>
      </w:r>
      <w:r>
        <w:rPr>
          <w:b/>
          <w:bCs/>
          <w:noProof/>
          <w:szCs w:val="24"/>
        </w:rPr>
        <w:t xml:space="preserve">of having </w:t>
      </w:r>
      <w:r w:rsidRPr="00C12801">
        <w:rPr>
          <w:b/>
          <w:bCs/>
          <w:noProof/>
          <w:szCs w:val="24"/>
        </w:rPr>
        <w:t>a well-prepared system</w:t>
      </w:r>
      <w:r>
        <w:rPr>
          <w:b/>
          <w:bCs/>
          <w:noProof/>
          <w:szCs w:val="24"/>
        </w:rPr>
        <w:t xml:space="preserve"> in place</w:t>
      </w:r>
      <w:r w:rsidRPr="00C12801">
        <w:rPr>
          <w:b/>
          <w:bCs/>
          <w:noProof/>
          <w:szCs w:val="24"/>
        </w:rPr>
        <w:t xml:space="preserve"> by the end of the transition period</w:t>
      </w:r>
      <w:r w:rsidRPr="00C12801">
        <w:rPr>
          <w:noProof/>
          <w:szCs w:val="24"/>
        </w:rPr>
        <w:t xml:space="preserve">, which is essential to build the mutual trust required for the new balanced approach to work. </w:t>
      </w:r>
      <w:r w:rsidRPr="008F7A7A">
        <w:rPr>
          <w:b/>
          <w:bCs/>
          <w:noProof/>
          <w:szCs w:val="24"/>
        </w:rPr>
        <w:t>Well-preparedness</w:t>
      </w:r>
      <w:r w:rsidRPr="00C12801">
        <w:rPr>
          <w:noProof/>
          <w:szCs w:val="24"/>
        </w:rPr>
        <w:t xml:space="preserve"> is the critical concept underpinning the key obligations</w:t>
      </w:r>
      <w:r>
        <w:rPr>
          <w:noProof/>
          <w:szCs w:val="24"/>
        </w:rPr>
        <w:t xml:space="preserve"> </w:t>
      </w:r>
      <w:r w:rsidRPr="00C12801">
        <w:rPr>
          <w:noProof/>
          <w:szCs w:val="24"/>
        </w:rPr>
        <w:t xml:space="preserve">under the Pact, as it is the baseline for Member States to be considered under </w:t>
      </w:r>
      <w:r>
        <w:rPr>
          <w:noProof/>
          <w:szCs w:val="24"/>
        </w:rPr>
        <w:t xml:space="preserve">migratory </w:t>
      </w:r>
      <w:r w:rsidRPr="00C12801">
        <w:rPr>
          <w:noProof/>
          <w:szCs w:val="24"/>
        </w:rPr>
        <w:t xml:space="preserve">pressure or facing a significant migratory situation or facing a crisis. It is the concept that enables Member States to benefit from solidarity or deductions from solidarity obligations. It is the concept that ensures </w:t>
      </w:r>
      <w:r>
        <w:rPr>
          <w:noProof/>
          <w:szCs w:val="24"/>
        </w:rPr>
        <w:t xml:space="preserve">that </w:t>
      </w:r>
      <w:r w:rsidRPr="00C12801">
        <w:rPr>
          <w:noProof/>
          <w:szCs w:val="24"/>
        </w:rPr>
        <w:t>the Pact works as a coherent whole.</w:t>
      </w:r>
    </w:p>
    <w:p w14:paraId="465F3E3F" w14:textId="77777777" w:rsidR="002140BE" w:rsidRPr="00C12801" w:rsidRDefault="002140BE" w:rsidP="002140BE">
      <w:pPr>
        <w:spacing w:after="120"/>
        <w:rPr>
          <w:noProof/>
        </w:rPr>
      </w:pPr>
      <w:r w:rsidRPr="00C12801">
        <w:rPr>
          <w:noProof/>
          <w:szCs w:val="24"/>
        </w:rPr>
        <w:t xml:space="preserve">But common does not mean ‘the same’ for all. The Common Implementation Plan provides the </w:t>
      </w:r>
      <w:r w:rsidRPr="00C12801">
        <w:rPr>
          <w:b/>
          <w:bCs/>
          <w:noProof/>
          <w:szCs w:val="24"/>
        </w:rPr>
        <w:t>flexibility</w:t>
      </w:r>
      <w:r w:rsidRPr="00C12801">
        <w:rPr>
          <w:noProof/>
          <w:szCs w:val="24"/>
        </w:rPr>
        <w:t xml:space="preserve"> Member States need to adapt obligations</w:t>
      </w:r>
      <w:r>
        <w:rPr>
          <w:noProof/>
          <w:szCs w:val="24"/>
        </w:rPr>
        <w:t xml:space="preserve"> under the Pact</w:t>
      </w:r>
      <w:r w:rsidRPr="00C12801">
        <w:rPr>
          <w:noProof/>
          <w:szCs w:val="24"/>
        </w:rPr>
        <w:t xml:space="preserve"> to their national systems. Every Member State has different challenges to </w:t>
      </w:r>
      <w:r w:rsidRPr="00C73F4C">
        <w:rPr>
          <w:noProof/>
          <w:szCs w:val="24"/>
        </w:rPr>
        <w:t>tackle</w:t>
      </w:r>
      <w:r>
        <w:rPr>
          <w:noProof/>
          <w:szCs w:val="24"/>
        </w:rPr>
        <w:t xml:space="preserve"> and</w:t>
      </w:r>
      <w:r w:rsidRPr="00C12801">
        <w:rPr>
          <w:noProof/>
          <w:szCs w:val="24"/>
        </w:rPr>
        <w:t xml:space="preserve"> </w:t>
      </w:r>
      <w:r>
        <w:rPr>
          <w:noProof/>
          <w:szCs w:val="24"/>
        </w:rPr>
        <w:t>is</w:t>
      </w:r>
      <w:r w:rsidRPr="00C12801">
        <w:rPr>
          <w:noProof/>
          <w:szCs w:val="24"/>
        </w:rPr>
        <w:t xml:space="preserve"> at </w:t>
      </w:r>
      <w:r>
        <w:rPr>
          <w:noProof/>
          <w:szCs w:val="24"/>
        </w:rPr>
        <w:t xml:space="preserve">a </w:t>
      </w:r>
      <w:r w:rsidRPr="00C12801">
        <w:rPr>
          <w:noProof/>
          <w:szCs w:val="24"/>
        </w:rPr>
        <w:t xml:space="preserve">different </w:t>
      </w:r>
      <w:r>
        <w:rPr>
          <w:noProof/>
          <w:szCs w:val="24"/>
        </w:rPr>
        <w:t>stage</w:t>
      </w:r>
      <w:r w:rsidRPr="00C12801">
        <w:rPr>
          <w:noProof/>
          <w:szCs w:val="24"/>
        </w:rPr>
        <w:t xml:space="preserve"> o</w:t>
      </w:r>
      <w:r>
        <w:rPr>
          <w:noProof/>
          <w:szCs w:val="24"/>
        </w:rPr>
        <w:t>f preparation,</w:t>
      </w:r>
      <w:r w:rsidRPr="00C12801">
        <w:rPr>
          <w:noProof/>
          <w:szCs w:val="24"/>
        </w:rPr>
        <w:t xml:space="preserve"> but none </w:t>
      </w:r>
      <w:r>
        <w:rPr>
          <w:noProof/>
          <w:szCs w:val="24"/>
        </w:rPr>
        <w:t>is</w:t>
      </w:r>
      <w:r w:rsidRPr="00C12801">
        <w:rPr>
          <w:noProof/>
          <w:szCs w:val="24"/>
        </w:rPr>
        <w:t xml:space="preserve"> starting from scratch. Many of the innovations in the Pact build on existing practices</w:t>
      </w:r>
      <w:r>
        <w:rPr>
          <w:noProof/>
          <w:szCs w:val="24"/>
        </w:rPr>
        <w:t xml:space="preserve"> or</w:t>
      </w:r>
      <w:r w:rsidRPr="00C12801">
        <w:rPr>
          <w:noProof/>
          <w:szCs w:val="24"/>
        </w:rPr>
        <w:t xml:space="preserve"> scale up existing </w:t>
      </w:r>
      <w:r>
        <w:rPr>
          <w:noProof/>
          <w:szCs w:val="24"/>
        </w:rPr>
        <w:t>requirements</w:t>
      </w:r>
      <w:r w:rsidRPr="00C12801">
        <w:rPr>
          <w:noProof/>
          <w:szCs w:val="24"/>
        </w:rPr>
        <w:t xml:space="preserve">. Member States are encouraged to leverage </w:t>
      </w:r>
      <w:r>
        <w:rPr>
          <w:noProof/>
          <w:szCs w:val="24"/>
        </w:rPr>
        <w:t>their knowledge and experience and share best practices</w:t>
      </w:r>
      <w:r w:rsidRPr="00C12801">
        <w:rPr>
          <w:noProof/>
          <w:szCs w:val="24"/>
        </w:rPr>
        <w:t>.</w:t>
      </w:r>
    </w:p>
    <w:p w14:paraId="4EE3D48C" w14:textId="7145556C" w:rsidR="002140BE" w:rsidRDefault="002140BE" w:rsidP="002140BE">
      <w:pPr>
        <w:spacing w:after="120"/>
        <w:rPr>
          <w:noProof/>
          <w:szCs w:val="24"/>
        </w:rPr>
      </w:pPr>
      <w:r>
        <w:rPr>
          <w:noProof/>
          <w:szCs w:val="24"/>
        </w:rPr>
        <w:t xml:space="preserve">In addition, </w:t>
      </w:r>
      <w:r w:rsidR="00BC15AD">
        <w:rPr>
          <w:noProof/>
          <w:szCs w:val="24"/>
        </w:rPr>
        <w:t xml:space="preserve">three </w:t>
      </w:r>
      <w:r>
        <w:rPr>
          <w:noProof/>
          <w:szCs w:val="24"/>
        </w:rPr>
        <w:t>elements need to be considered to set the right level of ambition during the transition period.</w:t>
      </w:r>
    </w:p>
    <w:p w14:paraId="155DDAA6" w14:textId="0BEAF132" w:rsidR="002140BE" w:rsidRPr="00F729AE" w:rsidRDefault="009D18B7" w:rsidP="002140BE">
      <w:pPr>
        <w:spacing w:after="120"/>
        <w:rPr>
          <w:noProof/>
          <w:szCs w:val="24"/>
        </w:rPr>
      </w:pPr>
      <w:r>
        <w:rPr>
          <w:noProof/>
          <w:szCs w:val="24"/>
        </w:rPr>
        <w:t>First, w</w:t>
      </w:r>
      <w:r w:rsidR="002140BE">
        <w:rPr>
          <w:noProof/>
          <w:szCs w:val="24"/>
        </w:rPr>
        <w:t>hile we have in principle two years to prepare for the entry into application of the new legal framework, i</w:t>
      </w:r>
      <w:r w:rsidR="002140BE" w:rsidRPr="00C12801">
        <w:rPr>
          <w:noProof/>
          <w:szCs w:val="24"/>
        </w:rPr>
        <w:t xml:space="preserve">t is important to stress that some elements will already have to be in place earlier than </w:t>
      </w:r>
      <w:r w:rsidR="002140BE">
        <w:rPr>
          <w:noProof/>
          <w:szCs w:val="24"/>
        </w:rPr>
        <w:t xml:space="preserve">mid-2026. For instance, </w:t>
      </w:r>
      <w:r w:rsidR="002140BE" w:rsidRPr="00C12801">
        <w:rPr>
          <w:noProof/>
          <w:szCs w:val="24"/>
        </w:rPr>
        <w:t xml:space="preserve">the </w:t>
      </w:r>
      <w:r w:rsidR="002140BE" w:rsidRPr="008F7A7A">
        <w:rPr>
          <w:b/>
          <w:bCs/>
          <w:noProof/>
          <w:szCs w:val="24"/>
        </w:rPr>
        <w:t>first annual solidarity cycle</w:t>
      </w:r>
      <w:r w:rsidR="002140BE">
        <w:rPr>
          <w:noProof/>
          <w:szCs w:val="24"/>
        </w:rPr>
        <w:t xml:space="preserve"> will start in </w:t>
      </w:r>
      <w:r w:rsidR="002140BE" w:rsidRPr="008F7A7A">
        <w:rPr>
          <w:b/>
          <w:bCs/>
          <w:noProof/>
          <w:szCs w:val="24"/>
        </w:rPr>
        <w:t>June 2025</w:t>
      </w:r>
      <w:r w:rsidR="002140BE">
        <w:rPr>
          <w:noProof/>
          <w:szCs w:val="24"/>
        </w:rPr>
        <w:t xml:space="preserve"> and </w:t>
      </w:r>
      <w:r w:rsidR="002140BE" w:rsidRPr="00C12801">
        <w:rPr>
          <w:noProof/>
          <w:szCs w:val="24"/>
        </w:rPr>
        <w:t xml:space="preserve">the first </w:t>
      </w:r>
      <w:r w:rsidR="002140BE" w:rsidRPr="008F7A7A">
        <w:rPr>
          <w:b/>
          <w:bCs/>
          <w:noProof/>
          <w:szCs w:val="24"/>
        </w:rPr>
        <w:t xml:space="preserve">Commission Decisions which will determine the Member States under </w:t>
      </w:r>
      <w:r w:rsidR="00AF2409">
        <w:rPr>
          <w:b/>
          <w:bCs/>
          <w:noProof/>
          <w:szCs w:val="24"/>
        </w:rPr>
        <w:t xml:space="preserve">migratory </w:t>
      </w:r>
      <w:r w:rsidR="002140BE" w:rsidRPr="008F7A7A">
        <w:rPr>
          <w:b/>
          <w:bCs/>
          <w:noProof/>
          <w:szCs w:val="24"/>
        </w:rPr>
        <w:t>pressure</w:t>
      </w:r>
      <w:r w:rsidR="00AF2409">
        <w:rPr>
          <w:b/>
          <w:bCs/>
          <w:noProof/>
          <w:szCs w:val="24"/>
        </w:rPr>
        <w:t>, at risk thereof,</w:t>
      </w:r>
      <w:r w:rsidR="002140BE" w:rsidRPr="00C12801">
        <w:rPr>
          <w:noProof/>
          <w:szCs w:val="24"/>
        </w:rPr>
        <w:t xml:space="preserve"> or </w:t>
      </w:r>
      <w:r w:rsidR="002140BE" w:rsidRPr="008F7A7A">
        <w:rPr>
          <w:b/>
          <w:bCs/>
          <w:noProof/>
          <w:szCs w:val="24"/>
        </w:rPr>
        <w:t>those facing a significant migratory situation</w:t>
      </w:r>
      <w:r w:rsidR="002140BE" w:rsidRPr="00C12801">
        <w:rPr>
          <w:noProof/>
          <w:szCs w:val="24"/>
        </w:rPr>
        <w:t xml:space="preserve"> will </w:t>
      </w:r>
      <w:r w:rsidR="002140BE">
        <w:rPr>
          <w:noProof/>
          <w:szCs w:val="24"/>
        </w:rPr>
        <w:t xml:space="preserve">need to be proposed by the Commission in </w:t>
      </w:r>
      <w:r w:rsidR="002140BE" w:rsidRPr="008F7A7A">
        <w:rPr>
          <w:b/>
          <w:bCs/>
          <w:noProof/>
          <w:szCs w:val="24"/>
        </w:rPr>
        <w:t>October 2025</w:t>
      </w:r>
      <w:r w:rsidR="002140BE">
        <w:rPr>
          <w:noProof/>
          <w:szCs w:val="24"/>
        </w:rPr>
        <w:t>.</w:t>
      </w:r>
    </w:p>
    <w:p w14:paraId="4C99D956" w14:textId="4F33C070" w:rsidR="002140BE" w:rsidRDefault="00065EE2" w:rsidP="002140BE">
      <w:pPr>
        <w:spacing w:after="120"/>
        <w:rPr>
          <w:noProof/>
          <w:szCs w:val="24"/>
        </w:rPr>
      </w:pPr>
      <w:r>
        <w:rPr>
          <w:noProof/>
          <w:szCs w:val="24"/>
        </w:rPr>
        <w:t>Second, t</w:t>
      </w:r>
      <w:r w:rsidR="002140BE">
        <w:rPr>
          <w:noProof/>
          <w:szCs w:val="24"/>
        </w:rPr>
        <w:t xml:space="preserve">aking measures so that all the essential elements of the new system are in place by the end of the transition period </w:t>
      </w:r>
      <w:r w:rsidR="002140BE" w:rsidRPr="00C12801">
        <w:rPr>
          <w:noProof/>
          <w:szCs w:val="24"/>
        </w:rPr>
        <w:t xml:space="preserve">is an immediate task but </w:t>
      </w:r>
      <w:r w:rsidR="002140BE">
        <w:rPr>
          <w:noProof/>
          <w:szCs w:val="24"/>
        </w:rPr>
        <w:t xml:space="preserve">fully implementing all the opportunities offered by the Pact on Migration and Asylum </w:t>
      </w:r>
      <w:r w:rsidR="002140BE" w:rsidRPr="00C12801">
        <w:rPr>
          <w:noProof/>
          <w:szCs w:val="24"/>
        </w:rPr>
        <w:t xml:space="preserve">also </w:t>
      </w:r>
      <w:r w:rsidR="0032714E">
        <w:rPr>
          <w:noProof/>
          <w:szCs w:val="24"/>
        </w:rPr>
        <w:t>consists of</w:t>
      </w:r>
      <w:r w:rsidR="0032714E" w:rsidRPr="00C12801">
        <w:rPr>
          <w:noProof/>
          <w:szCs w:val="24"/>
        </w:rPr>
        <w:t xml:space="preserve"> </w:t>
      </w:r>
      <w:r w:rsidR="002140BE" w:rsidRPr="00C12801">
        <w:rPr>
          <w:noProof/>
          <w:szCs w:val="24"/>
        </w:rPr>
        <w:t xml:space="preserve">medium to long-term </w:t>
      </w:r>
      <w:r w:rsidR="0032714E">
        <w:rPr>
          <w:noProof/>
          <w:szCs w:val="24"/>
        </w:rPr>
        <w:t>work</w:t>
      </w:r>
      <w:r w:rsidR="002140BE" w:rsidRPr="00C12801">
        <w:rPr>
          <w:noProof/>
          <w:szCs w:val="24"/>
        </w:rPr>
        <w:t>.</w:t>
      </w:r>
      <w:r w:rsidR="002140BE">
        <w:rPr>
          <w:noProof/>
          <w:szCs w:val="24"/>
        </w:rPr>
        <w:t xml:space="preserve"> The implementation of the Pact is not a one-off process but a dynamic one. </w:t>
      </w:r>
      <w:r w:rsidR="002140BE" w:rsidRPr="00C12801">
        <w:rPr>
          <w:noProof/>
          <w:szCs w:val="24"/>
        </w:rPr>
        <w:t>Further medium</w:t>
      </w:r>
      <w:r w:rsidR="002140BE">
        <w:rPr>
          <w:noProof/>
          <w:szCs w:val="24"/>
        </w:rPr>
        <w:t>- and long-term</w:t>
      </w:r>
      <w:r w:rsidR="002140BE" w:rsidRPr="00C12801">
        <w:rPr>
          <w:noProof/>
          <w:szCs w:val="24"/>
        </w:rPr>
        <w:t xml:space="preserve"> actions </w:t>
      </w:r>
      <w:r w:rsidR="0032714E">
        <w:rPr>
          <w:noProof/>
          <w:szCs w:val="24"/>
        </w:rPr>
        <w:t xml:space="preserve">will be needed </w:t>
      </w:r>
      <w:r w:rsidR="002140BE" w:rsidRPr="00C12801">
        <w:rPr>
          <w:noProof/>
          <w:szCs w:val="24"/>
        </w:rPr>
        <w:t>to enhance the efficiency of the national migration and asylum systems and integrate them further as part of a European</w:t>
      </w:r>
      <w:r w:rsidR="002140BE">
        <w:rPr>
          <w:noProof/>
          <w:szCs w:val="24"/>
        </w:rPr>
        <w:t xml:space="preserve"> </w:t>
      </w:r>
      <w:r w:rsidR="0032714E">
        <w:rPr>
          <w:noProof/>
          <w:szCs w:val="24"/>
        </w:rPr>
        <w:t>m</w:t>
      </w:r>
      <w:r w:rsidR="002140BE">
        <w:rPr>
          <w:noProof/>
          <w:szCs w:val="24"/>
        </w:rPr>
        <w:t>igration and</w:t>
      </w:r>
      <w:r w:rsidR="002140BE" w:rsidRPr="00C12801">
        <w:rPr>
          <w:noProof/>
          <w:szCs w:val="24"/>
        </w:rPr>
        <w:t xml:space="preserve"> </w:t>
      </w:r>
      <w:r w:rsidR="0032714E">
        <w:rPr>
          <w:noProof/>
          <w:szCs w:val="24"/>
        </w:rPr>
        <w:t>a</w:t>
      </w:r>
      <w:r w:rsidR="002140BE" w:rsidRPr="00C12801">
        <w:rPr>
          <w:noProof/>
          <w:szCs w:val="24"/>
        </w:rPr>
        <w:t>sylum</w:t>
      </w:r>
      <w:r w:rsidR="002140BE">
        <w:rPr>
          <w:noProof/>
          <w:szCs w:val="24"/>
        </w:rPr>
        <w:t xml:space="preserve"> policy</w:t>
      </w:r>
      <w:r w:rsidR="002140BE" w:rsidRPr="00C12801">
        <w:rPr>
          <w:noProof/>
          <w:szCs w:val="24"/>
        </w:rPr>
        <w:t>.</w:t>
      </w:r>
      <w:r w:rsidR="002140BE">
        <w:rPr>
          <w:noProof/>
          <w:szCs w:val="24"/>
        </w:rPr>
        <w:t xml:space="preserve"> </w:t>
      </w:r>
    </w:p>
    <w:p w14:paraId="45339993" w14:textId="1FC443D1" w:rsidR="002140BE" w:rsidRPr="00F717B3" w:rsidRDefault="002140BE" w:rsidP="002140BE">
      <w:pPr>
        <w:spacing w:after="120"/>
        <w:rPr>
          <w:noProof/>
          <w:szCs w:val="24"/>
        </w:rPr>
      </w:pPr>
      <w:r>
        <w:rPr>
          <w:noProof/>
          <w:szCs w:val="24"/>
        </w:rPr>
        <w:t xml:space="preserve">A strategic and forward-looking vision will be reflected in </w:t>
      </w:r>
      <w:r w:rsidRPr="00C12801">
        <w:rPr>
          <w:noProof/>
          <w:szCs w:val="24"/>
        </w:rPr>
        <w:t xml:space="preserve">the first </w:t>
      </w:r>
      <w:r w:rsidRPr="008F7A7A">
        <w:rPr>
          <w:b/>
          <w:bCs/>
          <w:noProof/>
          <w:szCs w:val="24"/>
        </w:rPr>
        <w:t>five-year European Migration and Asylum Strategy</w:t>
      </w:r>
      <w:r w:rsidRPr="00C12801">
        <w:rPr>
          <w:noProof/>
          <w:szCs w:val="24"/>
        </w:rPr>
        <w:t xml:space="preserve"> to be issued </w:t>
      </w:r>
      <w:r>
        <w:rPr>
          <w:b/>
          <w:bCs/>
          <w:noProof/>
          <w:szCs w:val="24"/>
        </w:rPr>
        <w:t xml:space="preserve">by the end of 2025 </w:t>
      </w:r>
      <w:r>
        <w:rPr>
          <w:noProof/>
          <w:szCs w:val="24"/>
        </w:rPr>
        <w:t xml:space="preserve">, building on </w:t>
      </w:r>
      <w:r w:rsidRPr="00C12801">
        <w:rPr>
          <w:noProof/>
          <w:szCs w:val="24"/>
        </w:rPr>
        <w:t xml:space="preserve">the development of comprehensive </w:t>
      </w:r>
      <w:r w:rsidRPr="008F7A7A">
        <w:rPr>
          <w:b/>
          <w:bCs/>
          <w:noProof/>
          <w:szCs w:val="24"/>
        </w:rPr>
        <w:t>national migration and asylum strategies</w:t>
      </w:r>
      <w:r w:rsidRPr="00C12801">
        <w:rPr>
          <w:noProof/>
          <w:szCs w:val="24"/>
        </w:rPr>
        <w:t xml:space="preserve"> </w:t>
      </w:r>
      <w:r>
        <w:rPr>
          <w:noProof/>
          <w:szCs w:val="24"/>
        </w:rPr>
        <w:t xml:space="preserve">to be transmitted by the Member States to the Commission </w:t>
      </w:r>
      <w:r w:rsidRPr="00C12801">
        <w:rPr>
          <w:noProof/>
          <w:szCs w:val="24"/>
        </w:rPr>
        <w:t xml:space="preserve">by </w:t>
      </w:r>
      <w:r w:rsidRPr="008F7A7A">
        <w:rPr>
          <w:b/>
          <w:bCs/>
          <w:noProof/>
          <w:szCs w:val="24"/>
        </w:rPr>
        <w:t>June 2025</w:t>
      </w:r>
      <w:r>
        <w:rPr>
          <w:noProof/>
          <w:szCs w:val="24"/>
        </w:rPr>
        <w:t>.</w:t>
      </w:r>
    </w:p>
    <w:p w14:paraId="29A2FF0B" w14:textId="002A3D05" w:rsidR="00EF422B" w:rsidRPr="00EF422B" w:rsidRDefault="00D421C8" w:rsidP="004C751F">
      <w:pPr>
        <w:rPr>
          <w:noProof/>
        </w:rPr>
      </w:pPr>
      <w:r w:rsidRPr="0094756E">
        <w:rPr>
          <w:noProof/>
          <w:szCs w:val="24"/>
        </w:rPr>
        <w:t xml:space="preserve">Third, </w:t>
      </w:r>
      <w:r w:rsidR="00C64024" w:rsidRPr="0094756E">
        <w:rPr>
          <w:noProof/>
          <w:szCs w:val="24"/>
        </w:rPr>
        <w:t>continued work on the external dimension of migration remains crucial. Whilst actions in this area are not tied to legal obligations, it will be essential for the Union to continue to further intensify work with partner countries, notably in three key areas: the fight against migrant smuggling, effective returns, readmission and reintegration as well as legal pathways.</w:t>
      </w:r>
    </w:p>
    <w:p w14:paraId="5AB695EF" w14:textId="6B4AC497" w:rsidR="008A0E4F" w:rsidRDefault="008A0E4F" w:rsidP="008A0E4F">
      <w:pPr>
        <w:pStyle w:val="Caption"/>
        <w:spacing w:before="0"/>
        <w:rPr>
          <w:b/>
          <w:noProof/>
          <w:sz w:val="24"/>
          <w:szCs w:val="24"/>
        </w:rPr>
      </w:pPr>
      <w:r w:rsidRPr="00625E3D">
        <w:rPr>
          <w:b/>
          <w:noProof/>
          <w:sz w:val="24"/>
          <w:szCs w:val="24"/>
        </w:rPr>
        <w:t>Figure 1: Timeline of the key milestones during the two years implementation period</w:t>
      </w:r>
    </w:p>
    <w:p w14:paraId="3E782329" w14:textId="7F5EAA57" w:rsidR="00636196" w:rsidRPr="00C12801" w:rsidRDefault="007542B1" w:rsidP="007542B1">
      <w:pPr>
        <w:ind w:left="-426"/>
        <w:rPr>
          <w:noProof/>
        </w:rPr>
      </w:pPr>
      <w:r>
        <w:rPr>
          <w:noProof/>
          <w:lang w:eastAsia="en-GB"/>
        </w:rPr>
        <w:drawing>
          <wp:inline distT="0" distB="0" distL="0" distR="0" wp14:anchorId="1A89B1B8" wp14:editId="41DEFBF0">
            <wp:extent cx="6432088" cy="3383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60778" cy="3398371"/>
                    </a:xfrm>
                    <a:prstGeom prst="rect">
                      <a:avLst/>
                    </a:prstGeom>
                    <a:noFill/>
                  </pic:spPr>
                </pic:pic>
              </a:graphicData>
            </a:graphic>
          </wp:inline>
        </w:drawing>
      </w:r>
    </w:p>
    <w:p w14:paraId="08D51788" w14:textId="2CF5A4E1" w:rsidR="00563868" w:rsidRPr="003710D6" w:rsidRDefault="00E14B3A">
      <w:pPr>
        <w:spacing w:after="0"/>
        <w:jc w:val="left"/>
        <w:rPr>
          <w:noProof/>
        </w:rPr>
      </w:pPr>
      <w:r>
        <w:rPr>
          <w:noProof/>
        </w:rPr>
        <w:br w:type="page"/>
      </w:r>
    </w:p>
    <w:p w14:paraId="3499C117" w14:textId="0B2A167F" w:rsidR="002140BE" w:rsidRDefault="002140BE" w:rsidP="002740E8">
      <w:pPr>
        <w:pStyle w:val="Heading1"/>
        <w:numPr>
          <w:ilvl w:val="0"/>
          <w:numId w:val="23"/>
        </w:numPr>
        <w:spacing w:before="0" w:after="120"/>
        <w:jc w:val="both"/>
        <w:rPr>
          <w:noProof/>
        </w:rPr>
      </w:pPr>
      <w:r w:rsidRPr="00C12801">
        <w:rPr>
          <w:noProof/>
        </w:rPr>
        <w:t>The Common Implementation plan and the national implementation plans</w:t>
      </w:r>
    </w:p>
    <w:p w14:paraId="09916BBF" w14:textId="5A7E990C" w:rsidR="002140BE" w:rsidRPr="00A96700" w:rsidRDefault="002140BE" w:rsidP="002140BE">
      <w:pPr>
        <w:tabs>
          <w:tab w:val="left" w:pos="720"/>
        </w:tabs>
        <w:spacing w:after="120"/>
        <w:rPr>
          <w:i/>
          <w:iCs/>
          <w:noProof/>
          <w:szCs w:val="24"/>
        </w:rPr>
      </w:pPr>
      <w:r>
        <w:rPr>
          <w:i/>
          <w:iCs/>
          <w:noProof/>
          <w:szCs w:val="24"/>
        </w:rPr>
        <w:t xml:space="preserve">The </w:t>
      </w:r>
      <w:r w:rsidRPr="00A96700">
        <w:rPr>
          <w:i/>
          <w:iCs/>
          <w:noProof/>
          <w:szCs w:val="24"/>
        </w:rPr>
        <w:t>Common Implementation Plan</w:t>
      </w:r>
    </w:p>
    <w:p w14:paraId="2ADF3071" w14:textId="644C7FBE" w:rsidR="002140BE" w:rsidRPr="00C12801" w:rsidRDefault="002140BE" w:rsidP="008B3721">
      <w:pPr>
        <w:tabs>
          <w:tab w:val="left" w:pos="720"/>
        </w:tabs>
        <w:spacing w:after="120"/>
        <w:rPr>
          <w:noProof/>
        </w:rPr>
      </w:pPr>
      <w:r w:rsidRPr="00C12801">
        <w:rPr>
          <w:noProof/>
          <w:szCs w:val="24"/>
        </w:rPr>
        <w:t xml:space="preserve">The Pact on Migration and Asylum includes a set of 10 </w:t>
      </w:r>
      <w:r>
        <w:rPr>
          <w:noProof/>
          <w:szCs w:val="24"/>
        </w:rPr>
        <w:t xml:space="preserve">comprehensive </w:t>
      </w:r>
      <w:r w:rsidRPr="00C12801">
        <w:rPr>
          <w:noProof/>
          <w:szCs w:val="24"/>
        </w:rPr>
        <w:t>legislative acts.</w:t>
      </w:r>
      <w:r w:rsidRPr="005205A0">
        <w:rPr>
          <w:noProof/>
          <w:szCs w:val="24"/>
        </w:rPr>
        <w:t xml:space="preserve"> </w:t>
      </w:r>
      <w:r w:rsidRPr="00C12801">
        <w:rPr>
          <w:noProof/>
          <w:szCs w:val="24"/>
        </w:rPr>
        <w:t xml:space="preserve">To facilitate </w:t>
      </w:r>
      <w:r>
        <w:rPr>
          <w:noProof/>
          <w:szCs w:val="24"/>
        </w:rPr>
        <w:t>understanding and implementation of these complex texts,</w:t>
      </w:r>
      <w:r w:rsidRPr="00C12801">
        <w:rPr>
          <w:noProof/>
          <w:szCs w:val="24"/>
        </w:rPr>
        <w:t xml:space="preserve"> the Comm</w:t>
      </w:r>
      <w:r>
        <w:rPr>
          <w:noProof/>
          <w:szCs w:val="24"/>
        </w:rPr>
        <w:t>on Implementation Plan</w:t>
      </w:r>
      <w:r w:rsidRPr="00C12801">
        <w:rPr>
          <w:noProof/>
          <w:szCs w:val="24"/>
        </w:rPr>
        <w:t xml:space="preserve"> group</w:t>
      </w:r>
      <w:r>
        <w:rPr>
          <w:noProof/>
          <w:szCs w:val="24"/>
        </w:rPr>
        <w:t>s</w:t>
      </w:r>
      <w:r w:rsidRPr="00C12801">
        <w:rPr>
          <w:noProof/>
          <w:szCs w:val="24"/>
        </w:rPr>
        <w:t xml:space="preserve"> the different obligations stemming from the various legal acts and the actions needed to operationalise them into 10 building blocks. This </w:t>
      </w:r>
      <w:r>
        <w:rPr>
          <w:noProof/>
          <w:szCs w:val="24"/>
        </w:rPr>
        <w:t xml:space="preserve">pragmatic </w:t>
      </w:r>
      <w:r w:rsidRPr="00C12801">
        <w:rPr>
          <w:noProof/>
          <w:szCs w:val="24"/>
        </w:rPr>
        <w:t>approach</w:t>
      </w:r>
      <w:r>
        <w:rPr>
          <w:noProof/>
          <w:szCs w:val="24"/>
        </w:rPr>
        <w:t xml:space="preserve"> allows</w:t>
      </w:r>
      <w:r w:rsidRPr="00C12801">
        <w:rPr>
          <w:noProof/>
          <w:szCs w:val="24"/>
        </w:rPr>
        <w:t xml:space="preserve"> focus</w:t>
      </w:r>
      <w:r>
        <w:rPr>
          <w:noProof/>
          <w:szCs w:val="24"/>
        </w:rPr>
        <w:t>ing</w:t>
      </w:r>
      <w:r w:rsidRPr="00C12801">
        <w:rPr>
          <w:noProof/>
          <w:szCs w:val="24"/>
        </w:rPr>
        <w:t xml:space="preserve"> resources on the fundamentals required for the new system to work.</w:t>
      </w:r>
    </w:p>
    <w:p w14:paraId="4F521F6A" w14:textId="3152370D" w:rsidR="002140BE" w:rsidRDefault="002140BE" w:rsidP="008B3721">
      <w:pPr>
        <w:tabs>
          <w:tab w:val="left" w:pos="720"/>
        </w:tabs>
        <w:spacing w:after="120"/>
        <w:rPr>
          <w:noProof/>
          <w:szCs w:val="24"/>
        </w:rPr>
      </w:pPr>
      <w:r>
        <w:rPr>
          <w:noProof/>
          <w:szCs w:val="24"/>
        </w:rPr>
        <w:t>T</w:t>
      </w:r>
      <w:r w:rsidRPr="00C12801">
        <w:rPr>
          <w:noProof/>
          <w:szCs w:val="24"/>
        </w:rPr>
        <w:t>h</w:t>
      </w:r>
      <w:r>
        <w:rPr>
          <w:noProof/>
          <w:szCs w:val="24"/>
        </w:rPr>
        <w:t>ere can be no pick</w:t>
      </w:r>
      <w:r w:rsidR="00857519">
        <w:rPr>
          <w:noProof/>
          <w:szCs w:val="24"/>
        </w:rPr>
        <w:t>ing</w:t>
      </w:r>
      <w:r>
        <w:rPr>
          <w:noProof/>
          <w:szCs w:val="24"/>
        </w:rPr>
        <w:t xml:space="preserve"> and choos</w:t>
      </w:r>
      <w:r w:rsidR="00857519">
        <w:rPr>
          <w:noProof/>
          <w:szCs w:val="24"/>
        </w:rPr>
        <w:t>ing</w:t>
      </w:r>
      <w:r w:rsidRPr="00C12801">
        <w:rPr>
          <w:noProof/>
          <w:szCs w:val="24"/>
        </w:rPr>
        <w:t xml:space="preserve">. All building blocks </w:t>
      </w:r>
      <w:r>
        <w:rPr>
          <w:noProof/>
          <w:szCs w:val="24"/>
        </w:rPr>
        <w:t xml:space="preserve">need to be implemented and </w:t>
      </w:r>
      <w:r w:rsidRPr="00C12801">
        <w:rPr>
          <w:noProof/>
          <w:szCs w:val="24"/>
        </w:rPr>
        <w:t>are interdependent</w:t>
      </w:r>
      <w:r>
        <w:rPr>
          <w:noProof/>
          <w:szCs w:val="24"/>
        </w:rPr>
        <w:t xml:space="preserve">. </w:t>
      </w:r>
      <w:r w:rsidRPr="00C12801">
        <w:rPr>
          <w:noProof/>
          <w:szCs w:val="24"/>
        </w:rPr>
        <w:t xml:space="preserve">For example, a good reception system (building block 3) will get </w:t>
      </w:r>
      <w:r>
        <w:rPr>
          <w:noProof/>
          <w:szCs w:val="24"/>
        </w:rPr>
        <w:t>overloaded</w:t>
      </w:r>
      <w:r w:rsidRPr="00C12801">
        <w:rPr>
          <w:noProof/>
          <w:szCs w:val="24"/>
        </w:rPr>
        <w:t xml:space="preserve"> if procedures are not carried out promptly (building block 4); or if beneficiaries of international protection remain in the accommodation </w:t>
      </w:r>
      <w:r>
        <w:rPr>
          <w:noProof/>
          <w:szCs w:val="24"/>
        </w:rPr>
        <w:t xml:space="preserve">intended </w:t>
      </w:r>
      <w:r w:rsidRPr="00C12801">
        <w:rPr>
          <w:noProof/>
          <w:szCs w:val="24"/>
        </w:rPr>
        <w:t>for applicants</w:t>
      </w:r>
      <w:r>
        <w:rPr>
          <w:noProof/>
          <w:szCs w:val="24"/>
        </w:rPr>
        <w:t xml:space="preserve"> for too long</w:t>
      </w:r>
      <w:r w:rsidRPr="00C12801">
        <w:rPr>
          <w:noProof/>
          <w:szCs w:val="24"/>
        </w:rPr>
        <w:t xml:space="preserve"> (building block 10). Solidarity (building block </w:t>
      </w:r>
      <w:r w:rsidR="00C562A9">
        <w:rPr>
          <w:noProof/>
          <w:szCs w:val="24"/>
        </w:rPr>
        <w:t>7</w:t>
      </w:r>
      <w:r w:rsidRPr="00C12801">
        <w:rPr>
          <w:noProof/>
          <w:szCs w:val="24"/>
        </w:rPr>
        <w:t xml:space="preserve">) and responsibility (building block </w:t>
      </w:r>
      <w:r w:rsidR="00C562A9">
        <w:rPr>
          <w:noProof/>
          <w:szCs w:val="24"/>
        </w:rPr>
        <w:t>6</w:t>
      </w:r>
      <w:r w:rsidRPr="00C12801">
        <w:rPr>
          <w:noProof/>
          <w:szCs w:val="24"/>
        </w:rPr>
        <w:t xml:space="preserve">) or the new system </w:t>
      </w:r>
      <w:r w:rsidRPr="00B01995">
        <w:rPr>
          <w:noProof/>
          <w:szCs w:val="24"/>
        </w:rPr>
        <w:t>to manage migration flows at the EU external border</w:t>
      </w:r>
      <w:r w:rsidRPr="00B01995" w:rsidDel="00B01995">
        <w:rPr>
          <w:noProof/>
          <w:szCs w:val="24"/>
        </w:rPr>
        <w:t xml:space="preserve"> </w:t>
      </w:r>
      <w:r w:rsidRPr="00C12801">
        <w:rPr>
          <w:noProof/>
          <w:szCs w:val="24"/>
        </w:rPr>
        <w:t xml:space="preserve">(building block 2) will not be operational unless Eurodac (building block 1) is up and running on time. </w:t>
      </w:r>
      <w:r w:rsidRPr="000A7E23">
        <w:rPr>
          <w:noProof/>
          <w:szCs w:val="24"/>
        </w:rPr>
        <w:t>Respect of safeguards and rights (building block 9) is a cross cutting dimension of all legislative acts</w:t>
      </w:r>
      <w:r w:rsidR="005B66BF">
        <w:rPr>
          <w:noProof/>
          <w:szCs w:val="24"/>
        </w:rPr>
        <w:t xml:space="preserve"> and an aspect which will need to be operationalised in each of the building blocks. </w:t>
      </w:r>
      <w:r w:rsidR="00B34D06">
        <w:rPr>
          <w:noProof/>
          <w:szCs w:val="24"/>
        </w:rPr>
        <w:t>W</w:t>
      </w:r>
      <w:r w:rsidRPr="000A7E23">
        <w:rPr>
          <w:noProof/>
          <w:szCs w:val="24"/>
        </w:rPr>
        <w:t xml:space="preserve">hile it would be possible to prioritise </w:t>
      </w:r>
      <w:r w:rsidR="009564AE">
        <w:rPr>
          <w:noProof/>
          <w:szCs w:val="24"/>
        </w:rPr>
        <w:t xml:space="preserve">actions </w:t>
      </w:r>
      <w:r w:rsidRPr="000A7E23">
        <w:rPr>
          <w:noProof/>
          <w:szCs w:val="24"/>
        </w:rPr>
        <w:t xml:space="preserve">within the building blocks, </w:t>
      </w:r>
      <w:r w:rsidR="00B34D06">
        <w:rPr>
          <w:noProof/>
          <w:szCs w:val="24"/>
        </w:rPr>
        <w:t>the implementation of each building block will need to take place in parallel.</w:t>
      </w:r>
    </w:p>
    <w:p w14:paraId="1C8C0079" w14:textId="591119EA" w:rsidR="002140BE" w:rsidRPr="00C12801" w:rsidRDefault="002140BE" w:rsidP="008B3721">
      <w:pPr>
        <w:pStyle w:val="Caption"/>
        <w:widowControl w:val="0"/>
        <w:spacing w:before="0" w:after="120"/>
        <w:rPr>
          <w:b/>
          <w:noProof/>
          <w:sz w:val="24"/>
          <w:szCs w:val="24"/>
        </w:rPr>
      </w:pPr>
      <w:r w:rsidRPr="00C12801">
        <w:rPr>
          <w:b/>
          <w:noProof/>
          <w:sz w:val="24"/>
          <w:szCs w:val="24"/>
        </w:rPr>
        <w:t xml:space="preserve">Figure 2: 10 Building blocks to implement the core obligations of the Pact on </w:t>
      </w:r>
      <w:r>
        <w:rPr>
          <w:b/>
          <w:noProof/>
          <w:sz w:val="24"/>
          <w:szCs w:val="24"/>
        </w:rPr>
        <w:t>M</w:t>
      </w:r>
      <w:r w:rsidRPr="00C12801">
        <w:rPr>
          <w:b/>
          <w:noProof/>
          <w:sz w:val="24"/>
          <w:szCs w:val="24"/>
        </w:rPr>
        <w:t xml:space="preserve">igration and </w:t>
      </w:r>
      <w:r>
        <w:rPr>
          <w:b/>
          <w:noProof/>
          <w:sz w:val="24"/>
          <w:szCs w:val="24"/>
        </w:rPr>
        <w:t>A</w:t>
      </w:r>
      <w:r w:rsidRPr="00C12801">
        <w:rPr>
          <w:b/>
          <w:noProof/>
          <w:sz w:val="24"/>
          <w:szCs w:val="24"/>
        </w:rPr>
        <w:t>sylum.</w:t>
      </w:r>
    </w:p>
    <w:p w14:paraId="41FAE910" w14:textId="77777777" w:rsidR="002140BE" w:rsidRDefault="002140BE" w:rsidP="008B3721">
      <w:pPr>
        <w:tabs>
          <w:tab w:val="left" w:pos="720"/>
        </w:tabs>
        <w:spacing w:after="120"/>
        <w:jc w:val="center"/>
        <w:rPr>
          <w:noProof/>
          <w:szCs w:val="24"/>
        </w:rPr>
      </w:pPr>
      <w:r w:rsidRPr="00C12801">
        <w:rPr>
          <w:noProof/>
          <w:lang w:eastAsia="en-GB"/>
        </w:rPr>
        <w:drawing>
          <wp:anchor distT="0" distB="0" distL="114300" distR="114300" simplePos="0" relativeHeight="251657216" behindDoc="0" locked="0" layoutInCell="1" allowOverlap="1" wp14:anchorId="2AA55453" wp14:editId="265D0FCB">
            <wp:simplePos x="0" y="0"/>
            <wp:positionH relativeFrom="column">
              <wp:posOffset>848351</wp:posOffset>
            </wp:positionH>
            <wp:positionV relativeFrom="page">
              <wp:posOffset>5117465</wp:posOffset>
            </wp:positionV>
            <wp:extent cx="3779520" cy="3770630"/>
            <wp:effectExtent l="0" t="0" r="0" b="0"/>
            <wp:wrapThrough wrapText="bothSides">
              <wp:wrapPolygon edited="0">
                <wp:start x="10343" y="0"/>
                <wp:lineTo x="4681" y="2183"/>
                <wp:lineTo x="4246" y="2946"/>
                <wp:lineTo x="4137" y="5456"/>
                <wp:lineTo x="2504" y="6220"/>
                <wp:lineTo x="1089" y="7093"/>
                <wp:lineTo x="1089" y="8075"/>
                <wp:lineTo x="1198" y="8948"/>
                <wp:lineTo x="2177" y="10695"/>
                <wp:lineTo x="1524" y="12441"/>
                <wp:lineTo x="1089" y="12877"/>
                <wp:lineTo x="762" y="13641"/>
                <wp:lineTo x="762" y="14623"/>
                <wp:lineTo x="3266" y="15933"/>
                <wp:lineTo x="4137" y="15933"/>
                <wp:lineTo x="4028" y="18988"/>
                <wp:lineTo x="5444" y="19425"/>
                <wp:lineTo x="9363" y="19425"/>
                <wp:lineTo x="9363" y="19861"/>
                <wp:lineTo x="10016" y="20843"/>
                <wp:lineTo x="10234" y="21062"/>
                <wp:lineTo x="11540" y="21062"/>
                <wp:lineTo x="11649" y="20843"/>
                <wp:lineTo x="17093" y="19425"/>
                <wp:lineTo x="17855" y="18224"/>
                <wp:lineTo x="17746" y="15933"/>
                <wp:lineTo x="18835" y="15933"/>
                <wp:lineTo x="21339" y="14732"/>
                <wp:lineTo x="21339" y="13204"/>
                <wp:lineTo x="21012" y="12441"/>
                <wp:lineTo x="19706" y="10695"/>
                <wp:lineTo x="20903" y="8948"/>
                <wp:lineTo x="20903" y="7202"/>
                <wp:lineTo x="19379" y="6220"/>
                <wp:lineTo x="17746" y="5456"/>
                <wp:lineTo x="17855" y="2728"/>
                <wp:lineTo x="16331" y="2183"/>
                <wp:lineTo x="12629" y="1964"/>
                <wp:lineTo x="12738" y="1528"/>
                <wp:lineTo x="12302" y="655"/>
                <wp:lineTo x="11649" y="0"/>
                <wp:lineTo x="10343"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9520" cy="3770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13A78" w14:textId="77777777" w:rsidR="009B273F" w:rsidRDefault="009B273F">
      <w:pPr>
        <w:spacing w:after="120"/>
        <w:jc w:val="left"/>
        <w:rPr>
          <w:noProof/>
          <w:szCs w:val="24"/>
        </w:rPr>
      </w:pPr>
    </w:p>
    <w:p w14:paraId="0E782495" w14:textId="77777777" w:rsidR="008B3721" w:rsidRDefault="008B3721">
      <w:pPr>
        <w:spacing w:after="120"/>
        <w:jc w:val="left"/>
        <w:rPr>
          <w:noProof/>
          <w:szCs w:val="24"/>
        </w:rPr>
      </w:pPr>
    </w:p>
    <w:p w14:paraId="40085169" w14:textId="77777777" w:rsidR="008B3721" w:rsidRDefault="008B3721">
      <w:pPr>
        <w:spacing w:after="120"/>
        <w:jc w:val="left"/>
        <w:rPr>
          <w:noProof/>
          <w:szCs w:val="24"/>
        </w:rPr>
      </w:pPr>
    </w:p>
    <w:p w14:paraId="0A8050D4" w14:textId="77777777" w:rsidR="008B3721" w:rsidRDefault="008B3721">
      <w:pPr>
        <w:spacing w:after="120"/>
        <w:jc w:val="left"/>
        <w:rPr>
          <w:noProof/>
          <w:szCs w:val="24"/>
        </w:rPr>
      </w:pPr>
    </w:p>
    <w:p w14:paraId="45D53549" w14:textId="77777777" w:rsidR="008B3721" w:rsidRDefault="008B3721">
      <w:pPr>
        <w:spacing w:after="120"/>
        <w:jc w:val="left"/>
        <w:rPr>
          <w:noProof/>
          <w:szCs w:val="24"/>
        </w:rPr>
      </w:pPr>
    </w:p>
    <w:p w14:paraId="6805BFED" w14:textId="77777777" w:rsidR="008B3721" w:rsidRDefault="008B3721">
      <w:pPr>
        <w:spacing w:after="120"/>
        <w:jc w:val="left"/>
        <w:rPr>
          <w:noProof/>
          <w:szCs w:val="24"/>
        </w:rPr>
      </w:pPr>
    </w:p>
    <w:p w14:paraId="012679B0" w14:textId="77777777" w:rsidR="008B3721" w:rsidRDefault="008B3721">
      <w:pPr>
        <w:spacing w:after="120"/>
        <w:jc w:val="left"/>
        <w:rPr>
          <w:noProof/>
          <w:szCs w:val="24"/>
        </w:rPr>
      </w:pPr>
    </w:p>
    <w:p w14:paraId="5D6FF9B4" w14:textId="77777777" w:rsidR="008B3721" w:rsidRDefault="008B3721">
      <w:pPr>
        <w:spacing w:after="120"/>
        <w:jc w:val="left"/>
        <w:rPr>
          <w:noProof/>
          <w:szCs w:val="24"/>
        </w:rPr>
      </w:pPr>
    </w:p>
    <w:p w14:paraId="57C77D05" w14:textId="77777777" w:rsidR="008B3721" w:rsidRDefault="008B3721">
      <w:pPr>
        <w:spacing w:after="120"/>
        <w:jc w:val="left"/>
        <w:rPr>
          <w:noProof/>
          <w:szCs w:val="24"/>
        </w:rPr>
      </w:pPr>
    </w:p>
    <w:p w14:paraId="68419279" w14:textId="77777777" w:rsidR="008B3721" w:rsidRDefault="008B3721">
      <w:pPr>
        <w:spacing w:after="120"/>
        <w:jc w:val="left"/>
        <w:rPr>
          <w:noProof/>
          <w:szCs w:val="24"/>
        </w:rPr>
      </w:pPr>
    </w:p>
    <w:p w14:paraId="6478C498" w14:textId="77777777" w:rsidR="008B3721" w:rsidRDefault="008B3721">
      <w:pPr>
        <w:spacing w:after="120"/>
        <w:jc w:val="left"/>
        <w:rPr>
          <w:noProof/>
          <w:szCs w:val="24"/>
        </w:rPr>
      </w:pPr>
    </w:p>
    <w:p w14:paraId="3931D5BF" w14:textId="77777777" w:rsidR="008B3721" w:rsidRDefault="008B3721">
      <w:pPr>
        <w:spacing w:after="120"/>
        <w:jc w:val="left"/>
        <w:rPr>
          <w:noProof/>
          <w:szCs w:val="24"/>
        </w:rPr>
      </w:pPr>
    </w:p>
    <w:p w14:paraId="2F0CD927" w14:textId="77777777" w:rsidR="008B3721" w:rsidRDefault="008B3721">
      <w:pPr>
        <w:spacing w:after="120"/>
        <w:jc w:val="left"/>
        <w:rPr>
          <w:noProof/>
          <w:szCs w:val="24"/>
        </w:rPr>
      </w:pPr>
    </w:p>
    <w:p w14:paraId="79DB559F" w14:textId="77777777" w:rsidR="008B3721" w:rsidRDefault="008B3721">
      <w:pPr>
        <w:spacing w:after="120"/>
        <w:jc w:val="left"/>
        <w:rPr>
          <w:noProof/>
          <w:szCs w:val="24"/>
        </w:rPr>
      </w:pPr>
    </w:p>
    <w:p w14:paraId="51CBF31D" w14:textId="775499D6" w:rsidR="002140BE" w:rsidRPr="00C12801" w:rsidRDefault="002140BE">
      <w:pPr>
        <w:spacing w:after="120"/>
        <w:jc w:val="left"/>
        <w:rPr>
          <w:noProof/>
          <w:szCs w:val="24"/>
        </w:rPr>
      </w:pPr>
      <w:r w:rsidRPr="00C12801">
        <w:rPr>
          <w:noProof/>
          <w:szCs w:val="24"/>
        </w:rPr>
        <w:t xml:space="preserve">Each building block covers the legal obligations and their consequences </w:t>
      </w:r>
      <w:r>
        <w:rPr>
          <w:noProof/>
          <w:szCs w:val="24"/>
        </w:rPr>
        <w:t>for</w:t>
      </w:r>
      <w:r w:rsidRPr="00C12801">
        <w:rPr>
          <w:noProof/>
          <w:szCs w:val="24"/>
        </w:rPr>
        <w:t xml:space="preserve"> completi</w:t>
      </w:r>
      <w:r>
        <w:rPr>
          <w:noProof/>
          <w:szCs w:val="24"/>
        </w:rPr>
        <w:t>on</w:t>
      </w:r>
      <w:r w:rsidRPr="00C12801">
        <w:rPr>
          <w:noProof/>
          <w:szCs w:val="24"/>
        </w:rPr>
        <w:t xml:space="preserve"> </w:t>
      </w:r>
      <w:r>
        <w:rPr>
          <w:noProof/>
          <w:szCs w:val="24"/>
        </w:rPr>
        <w:t xml:space="preserve">of </w:t>
      </w:r>
      <w:r w:rsidRPr="00C12801">
        <w:rPr>
          <w:noProof/>
          <w:szCs w:val="24"/>
        </w:rPr>
        <w:t>the regulatory framework, administrative processes, organisation</w:t>
      </w:r>
      <w:r w:rsidR="009564AE">
        <w:rPr>
          <w:noProof/>
          <w:szCs w:val="24"/>
        </w:rPr>
        <w:t>,</w:t>
      </w:r>
      <w:r w:rsidRPr="00C12801">
        <w:rPr>
          <w:noProof/>
          <w:szCs w:val="24"/>
        </w:rPr>
        <w:t xml:space="preserve"> and human and infrastructure capacities that Member States, the Commission</w:t>
      </w:r>
      <w:r w:rsidR="009564AE">
        <w:rPr>
          <w:noProof/>
          <w:szCs w:val="24"/>
        </w:rPr>
        <w:t>,</w:t>
      </w:r>
      <w:r w:rsidRPr="00C12801">
        <w:rPr>
          <w:noProof/>
          <w:szCs w:val="24"/>
        </w:rPr>
        <w:t xml:space="preserve"> and EU Agencies </w:t>
      </w:r>
      <w:r>
        <w:rPr>
          <w:noProof/>
          <w:szCs w:val="24"/>
        </w:rPr>
        <w:t>have to implement</w:t>
      </w:r>
      <w:r w:rsidRPr="00C12801">
        <w:rPr>
          <w:noProof/>
          <w:szCs w:val="24"/>
        </w:rPr>
        <w:t xml:space="preserve">. </w:t>
      </w:r>
    </w:p>
    <w:p w14:paraId="183A7362" w14:textId="77777777" w:rsidR="002140BE" w:rsidRPr="00C12801" w:rsidRDefault="002140BE" w:rsidP="008B3721">
      <w:pPr>
        <w:tabs>
          <w:tab w:val="left" w:pos="720"/>
        </w:tabs>
        <w:spacing w:after="120"/>
        <w:rPr>
          <w:noProof/>
          <w:szCs w:val="24"/>
        </w:rPr>
      </w:pPr>
      <w:r w:rsidRPr="00C12801">
        <w:rPr>
          <w:noProof/>
          <w:szCs w:val="24"/>
        </w:rPr>
        <w:t xml:space="preserve">The Common </w:t>
      </w:r>
      <w:r>
        <w:rPr>
          <w:noProof/>
          <w:szCs w:val="24"/>
        </w:rPr>
        <w:t>I</w:t>
      </w:r>
      <w:r w:rsidRPr="00C12801">
        <w:rPr>
          <w:noProof/>
          <w:szCs w:val="24"/>
        </w:rPr>
        <w:t xml:space="preserve">mplementation </w:t>
      </w:r>
      <w:r>
        <w:rPr>
          <w:noProof/>
          <w:szCs w:val="24"/>
        </w:rPr>
        <w:t>P</w:t>
      </w:r>
      <w:r w:rsidRPr="00C12801">
        <w:rPr>
          <w:noProof/>
          <w:szCs w:val="24"/>
        </w:rPr>
        <w:t xml:space="preserve">lan also </w:t>
      </w:r>
      <w:r>
        <w:rPr>
          <w:noProof/>
          <w:szCs w:val="24"/>
        </w:rPr>
        <w:t>specifies</w:t>
      </w:r>
      <w:r w:rsidRPr="00C12801">
        <w:rPr>
          <w:noProof/>
          <w:szCs w:val="24"/>
        </w:rPr>
        <w:t xml:space="preserve"> how the work at EU level will support the implementation </w:t>
      </w:r>
      <w:r>
        <w:rPr>
          <w:noProof/>
          <w:szCs w:val="24"/>
        </w:rPr>
        <w:t>at national level</w:t>
      </w:r>
      <w:r w:rsidRPr="00C12801">
        <w:rPr>
          <w:noProof/>
          <w:szCs w:val="24"/>
        </w:rPr>
        <w:t xml:space="preserve">, </w:t>
      </w:r>
      <w:r>
        <w:rPr>
          <w:noProof/>
          <w:szCs w:val="24"/>
        </w:rPr>
        <w:t xml:space="preserve">by </w:t>
      </w:r>
      <w:r w:rsidRPr="00C12801">
        <w:rPr>
          <w:noProof/>
          <w:szCs w:val="24"/>
        </w:rPr>
        <w:t>foster</w:t>
      </w:r>
      <w:r>
        <w:rPr>
          <w:noProof/>
          <w:szCs w:val="24"/>
        </w:rPr>
        <w:t>ing</w:t>
      </w:r>
      <w:r w:rsidRPr="00C12801">
        <w:rPr>
          <w:noProof/>
          <w:szCs w:val="24"/>
        </w:rPr>
        <w:t xml:space="preserve"> </w:t>
      </w:r>
      <w:r>
        <w:rPr>
          <w:noProof/>
          <w:szCs w:val="24"/>
        </w:rPr>
        <w:t xml:space="preserve">an </w:t>
      </w:r>
      <w:r w:rsidRPr="00C12801">
        <w:rPr>
          <w:noProof/>
          <w:szCs w:val="24"/>
        </w:rPr>
        <w:t xml:space="preserve">exchange of information among </w:t>
      </w:r>
      <w:r>
        <w:rPr>
          <w:noProof/>
          <w:szCs w:val="24"/>
        </w:rPr>
        <w:t>Member States and “twinning”</w:t>
      </w:r>
      <w:r w:rsidRPr="00C12801">
        <w:rPr>
          <w:noProof/>
          <w:szCs w:val="24"/>
        </w:rPr>
        <w:t xml:space="preserve"> (including by identifying good practices and areas where Member States can support each other)</w:t>
      </w:r>
      <w:r>
        <w:rPr>
          <w:noProof/>
          <w:szCs w:val="24"/>
        </w:rPr>
        <w:t xml:space="preserve"> and by </w:t>
      </w:r>
      <w:r w:rsidRPr="00C12801">
        <w:rPr>
          <w:noProof/>
          <w:szCs w:val="24"/>
        </w:rPr>
        <w:t>develop</w:t>
      </w:r>
      <w:r>
        <w:rPr>
          <w:noProof/>
          <w:szCs w:val="24"/>
        </w:rPr>
        <w:t>ing</w:t>
      </w:r>
      <w:r w:rsidRPr="00C12801">
        <w:rPr>
          <w:noProof/>
          <w:szCs w:val="24"/>
        </w:rPr>
        <w:t xml:space="preserve"> </w:t>
      </w:r>
      <w:r>
        <w:rPr>
          <w:noProof/>
          <w:szCs w:val="24"/>
        </w:rPr>
        <w:t xml:space="preserve">practical </w:t>
      </w:r>
      <w:r w:rsidRPr="00C12801">
        <w:rPr>
          <w:noProof/>
          <w:szCs w:val="24"/>
        </w:rPr>
        <w:t>models, guidance documents and common checklists to ensure a common and harmonised</w:t>
      </w:r>
      <w:r>
        <w:rPr>
          <w:noProof/>
          <w:szCs w:val="24"/>
        </w:rPr>
        <w:t xml:space="preserve"> implementation.</w:t>
      </w:r>
      <w:r w:rsidRPr="00D12CE1">
        <w:rPr>
          <w:noProof/>
          <w:szCs w:val="24"/>
        </w:rPr>
        <w:t xml:space="preserve"> </w:t>
      </w:r>
      <w:r w:rsidRPr="00C12801">
        <w:rPr>
          <w:noProof/>
          <w:szCs w:val="24"/>
        </w:rPr>
        <w:t xml:space="preserve">The detailed elements of each building block are presented in a checklist </w:t>
      </w:r>
      <w:r>
        <w:rPr>
          <w:noProof/>
          <w:szCs w:val="24"/>
        </w:rPr>
        <w:t>in the accompanying staff working document</w:t>
      </w:r>
      <w:r w:rsidRPr="00C12801">
        <w:rPr>
          <w:noProof/>
          <w:szCs w:val="24"/>
        </w:rPr>
        <w:t>.</w:t>
      </w:r>
    </w:p>
    <w:p w14:paraId="156933E5" w14:textId="77777777" w:rsidR="002140BE" w:rsidRPr="00A96700" w:rsidRDefault="002140BE" w:rsidP="008B3721">
      <w:pPr>
        <w:spacing w:after="120"/>
        <w:rPr>
          <w:i/>
          <w:iCs/>
          <w:noProof/>
        </w:rPr>
      </w:pPr>
      <w:r w:rsidRPr="00A96700">
        <w:rPr>
          <w:i/>
          <w:iCs/>
          <w:noProof/>
        </w:rPr>
        <w:t>National Implementation Plans</w:t>
      </w:r>
    </w:p>
    <w:p w14:paraId="7FF8A1FE" w14:textId="4EB20BD9" w:rsidR="002140BE" w:rsidRPr="00C12801" w:rsidRDefault="002140BE" w:rsidP="008B3721">
      <w:pPr>
        <w:spacing w:after="120"/>
        <w:rPr>
          <w:noProof/>
        </w:rPr>
      </w:pPr>
      <w:r>
        <w:rPr>
          <w:noProof/>
        </w:rPr>
        <w:t xml:space="preserve">As provided </w:t>
      </w:r>
      <w:r w:rsidR="009564AE">
        <w:rPr>
          <w:noProof/>
        </w:rPr>
        <w:t xml:space="preserve">for </w:t>
      </w:r>
      <w:r>
        <w:rPr>
          <w:noProof/>
        </w:rPr>
        <w:t>in the Asylum and Migration Management Regulation and the Asylum Procedure Regulation,</w:t>
      </w:r>
      <w:r>
        <w:rPr>
          <w:noProof/>
          <w:color w:val="000000"/>
          <w:shd w:val="clear" w:color="auto" w:fill="FFFFFF"/>
        </w:rPr>
        <w:t xml:space="preserve"> each Member State shall, with the support of the Commission and relevant Union bodies, offices and agencies, establish a </w:t>
      </w:r>
      <w:r w:rsidR="005B4426">
        <w:rPr>
          <w:noProof/>
          <w:color w:val="000000"/>
          <w:shd w:val="clear" w:color="auto" w:fill="FFFFFF"/>
        </w:rPr>
        <w:t>N</w:t>
      </w:r>
      <w:r>
        <w:rPr>
          <w:noProof/>
          <w:color w:val="000000"/>
          <w:shd w:val="clear" w:color="auto" w:fill="FFFFFF"/>
        </w:rPr>
        <w:t xml:space="preserve">ational </w:t>
      </w:r>
      <w:r w:rsidR="005B4426">
        <w:rPr>
          <w:noProof/>
          <w:color w:val="000000"/>
          <w:shd w:val="clear" w:color="auto" w:fill="FFFFFF"/>
        </w:rPr>
        <w:t>I</w:t>
      </w:r>
      <w:r>
        <w:rPr>
          <w:noProof/>
          <w:color w:val="000000"/>
          <w:shd w:val="clear" w:color="auto" w:fill="FFFFFF"/>
        </w:rPr>
        <w:t xml:space="preserve">mplementation </w:t>
      </w:r>
      <w:r w:rsidR="005B4426">
        <w:rPr>
          <w:noProof/>
          <w:color w:val="000000"/>
          <w:shd w:val="clear" w:color="auto" w:fill="FFFFFF"/>
        </w:rPr>
        <w:t>P</w:t>
      </w:r>
      <w:r>
        <w:rPr>
          <w:noProof/>
          <w:color w:val="000000"/>
          <w:shd w:val="clear" w:color="auto" w:fill="FFFFFF"/>
        </w:rPr>
        <w:t>lan setting the actions and the timeline for their implementation</w:t>
      </w:r>
      <w:r w:rsidRPr="0012263F">
        <w:rPr>
          <w:noProof/>
          <w:color w:val="000000"/>
          <w:shd w:val="clear" w:color="auto" w:fill="FFFFFF"/>
        </w:rPr>
        <w:t xml:space="preserve"> </w:t>
      </w:r>
      <w:r>
        <w:rPr>
          <w:noProof/>
          <w:color w:val="000000"/>
          <w:shd w:val="clear" w:color="auto" w:fill="FFFFFF"/>
        </w:rPr>
        <w:t>by 12 December 2024</w:t>
      </w:r>
      <w:r w:rsidRPr="0012263F">
        <w:rPr>
          <w:noProof/>
          <w:color w:val="000000"/>
          <w:shd w:val="clear" w:color="auto" w:fill="FFFFFF"/>
        </w:rPr>
        <w:t xml:space="preserve"> </w:t>
      </w:r>
      <w:r>
        <w:rPr>
          <w:noProof/>
          <w:color w:val="000000"/>
          <w:shd w:val="clear" w:color="auto" w:fill="FFFFFF"/>
        </w:rPr>
        <w:t>based on the present Common Implementation Plan.</w:t>
      </w:r>
    </w:p>
    <w:p w14:paraId="006B8A42" w14:textId="72A3CA7A" w:rsidR="002140BE" w:rsidRPr="00C12801" w:rsidRDefault="002140BE" w:rsidP="008B3721">
      <w:pPr>
        <w:spacing w:after="120"/>
        <w:rPr>
          <w:noProof/>
        </w:rPr>
      </w:pPr>
      <w:r w:rsidRPr="00C12801">
        <w:rPr>
          <w:noProof/>
        </w:rPr>
        <w:t xml:space="preserve">Every Member State has different challenges to tackle and finds itself at different starting points. Each Member State’s </w:t>
      </w:r>
      <w:r w:rsidR="00094860">
        <w:rPr>
          <w:noProof/>
        </w:rPr>
        <w:t>N</w:t>
      </w:r>
      <w:r w:rsidRPr="00C12801">
        <w:rPr>
          <w:noProof/>
        </w:rPr>
        <w:t xml:space="preserve">ational </w:t>
      </w:r>
      <w:r w:rsidR="00094860">
        <w:rPr>
          <w:noProof/>
        </w:rPr>
        <w:t>I</w:t>
      </w:r>
      <w:r w:rsidRPr="00C12801">
        <w:rPr>
          <w:noProof/>
        </w:rPr>
        <w:t xml:space="preserve">mplementation </w:t>
      </w:r>
      <w:r w:rsidR="00094860">
        <w:rPr>
          <w:noProof/>
        </w:rPr>
        <w:t>P</w:t>
      </w:r>
      <w:r w:rsidRPr="00C12801">
        <w:rPr>
          <w:noProof/>
        </w:rPr>
        <w:t>lan should therefore</w:t>
      </w:r>
      <w:r w:rsidR="004D44E6">
        <w:rPr>
          <w:noProof/>
        </w:rPr>
        <w:t xml:space="preserve"> map</w:t>
      </w:r>
      <w:r w:rsidRPr="00C12801">
        <w:rPr>
          <w:noProof/>
        </w:rPr>
        <w:t xml:space="preserve"> the current situation first, including the </w:t>
      </w:r>
      <w:r>
        <w:rPr>
          <w:noProof/>
        </w:rPr>
        <w:t>national</w:t>
      </w:r>
      <w:r w:rsidRPr="00C12801">
        <w:rPr>
          <w:noProof/>
        </w:rPr>
        <w:t xml:space="preserve"> context, the current legislative framework and administrative practices, the organisational set-up and structures in place, the existing capacities a</w:t>
      </w:r>
      <w:r>
        <w:rPr>
          <w:noProof/>
        </w:rPr>
        <w:t>s well as the</w:t>
      </w:r>
      <w:r w:rsidRPr="00C12801">
        <w:rPr>
          <w:noProof/>
        </w:rPr>
        <w:t xml:space="preserve"> challenges linked to geographic circumstances.</w:t>
      </w:r>
    </w:p>
    <w:p w14:paraId="38A3B88E" w14:textId="03EBE4AD" w:rsidR="002140BE" w:rsidRPr="001809BD" w:rsidRDefault="002140BE" w:rsidP="008B3721">
      <w:pPr>
        <w:tabs>
          <w:tab w:val="left" w:pos="720"/>
        </w:tabs>
        <w:spacing w:after="120"/>
        <w:rPr>
          <w:noProof/>
          <w:szCs w:val="24"/>
        </w:rPr>
      </w:pPr>
      <w:r>
        <w:rPr>
          <w:noProof/>
        </w:rPr>
        <w:t>T</w:t>
      </w:r>
      <w:r w:rsidRPr="00C12801">
        <w:rPr>
          <w:noProof/>
        </w:rPr>
        <w:t>o ensure Member State</w:t>
      </w:r>
      <w:r>
        <w:rPr>
          <w:noProof/>
        </w:rPr>
        <w:t>s</w:t>
      </w:r>
      <w:r w:rsidRPr="00C12801">
        <w:rPr>
          <w:noProof/>
        </w:rPr>
        <w:t xml:space="preserve"> put in place the fundamental elements outlined for each building block</w:t>
      </w:r>
      <w:r>
        <w:rPr>
          <w:noProof/>
        </w:rPr>
        <w:t xml:space="preserve">, which </w:t>
      </w:r>
      <w:r w:rsidR="009564AE">
        <w:rPr>
          <w:noProof/>
        </w:rPr>
        <w:t xml:space="preserve">are </w:t>
      </w:r>
      <w:r>
        <w:rPr>
          <w:noProof/>
        </w:rPr>
        <w:t>necessary for</w:t>
      </w:r>
      <w:r w:rsidRPr="00C12801">
        <w:rPr>
          <w:noProof/>
        </w:rPr>
        <w:t xml:space="preserve"> a common and comparable approach across all Member States</w:t>
      </w:r>
      <w:r>
        <w:rPr>
          <w:noProof/>
        </w:rPr>
        <w:t>,</w:t>
      </w:r>
      <w:r w:rsidRPr="00C12801">
        <w:rPr>
          <w:noProof/>
        </w:rPr>
        <w:t xml:space="preserve"> the Commission has developed a template for the National Implementation Plans reflecting the building block structure</w:t>
      </w:r>
      <w:r>
        <w:rPr>
          <w:noProof/>
        </w:rPr>
        <w:t xml:space="preserve"> </w:t>
      </w:r>
      <w:r w:rsidRPr="000A7E23">
        <w:rPr>
          <w:noProof/>
          <w:szCs w:val="24"/>
        </w:rPr>
        <w:t>annexed</w:t>
      </w:r>
      <w:r w:rsidRPr="00C12801">
        <w:rPr>
          <w:noProof/>
          <w:szCs w:val="24"/>
        </w:rPr>
        <w:t xml:space="preserve"> to this Communication.</w:t>
      </w:r>
    </w:p>
    <w:p w14:paraId="7BEBEA5D" w14:textId="73D1433C" w:rsidR="002140BE" w:rsidRPr="00C12801" w:rsidRDefault="002140BE" w:rsidP="008B3721">
      <w:pPr>
        <w:tabs>
          <w:tab w:val="num" w:pos="1145"/>
        </w:tabs>
        <w:spacing w:after="120"/>
        <w:rPr>
          <w:noProof/>
        </w:rPr>
      </w:pPr>
      <w:r w:rsidRPr="00C12801">
        <w:rPr>
          <w:noProof/>
        </w:rPr>
        <w:t>The Commission encourages Member States to</w:t>
      </w:r>
      <w:r w:rsidRPr="00C12801" w:rsidDel="005D5A08">
        <w:rPr>
          <w:noProof/>
        </w:rPr>
        <w:t xml:space="preserve"> </w:t>
      </w:r>
      <w:r>
        <w:rPr>
          <w:noProof/>
        </w:rPr>
        <w:t xml:space="preserve">work </w:t>
      </w:r>
      <w:r w:rsidRPr="000A7E23">
        <w:rPr>
          <w:noProof/>
        </w:rPr>
        <w:t xml:space="preserve">based on </w:t>
      </w:r>
      <w:r w:rsidRPr="008F7A7A">
        <w:rPr>
          <w:b/>
          <w:bCs/>
          <w:noProof/>
        </w:rPr>
        <w:t>a</w:t>
      </w:r>
      <w:r w:rsidR="00A628B5">
        <w:rPr>
          <w:b/>
          <w:bCs/>
          <w:noProof/>
        </w:rPr>
        <w:t>n</w:t>
      </w:r>
      <w:r w:rsidR="00FD5DC2">
        <w:rPr>
          <w:b/>
          <w:bCs/>
          <w:noProof/>
        </w:rPr>
        <w:t xml:space="preserve"> </w:t>
      </w:r>
      <w:r w:rsidR="00A628B5">
        <w:rPr>
          <w:b/>
          <w:bCs/>
          <w:noProof/>
        </w:rPr>
        <w:t xml:space="preserve">inter-ministerial and </w:t>
      </w:r>
      <w:r w:rsidR="00FD5DC2">
        <w:rPr>
          <w:b/>
          <w:bCs/>
          <w:noProof/>
        </w:rPr>
        <w:t>cross</w:t>
      </w:r>
      <w:r w:rsidR="00A628B5">
        <w:rPr>
          <w:b/>
          <w:bCs/>
          <w:noProof/>
        </w:rPr>
        <w:t>-</w:t>
      </w:r>
      <w:r w:rsidR="00FD5DC2">
        <w:rPr>
          <w:b/>
          <w:bCs/>
          <w:noProof/>
        </w:rPr>
        <w:t>sectorial task force</w:t>
      </w:r>
      <w:r w:rsidRPr="008F7A7A">
        <w:rPr>
          <w:b/>
          <w:bCs/>
          <w:noProof/>
        </w:rPr>
        <w:t xml:space="preserve"> at national level</w:t>
      </w:r>
      <w:r w:rsidRPr="000A7E23">
        <w:rPr>
          <w:noProof/>
        </w:rPr>
        <w:t xml:space="preserve"> for the development and implementation of their National Implementation Plan. Efficient coordination will be a key</w:t>
      </w:r>
      <w:r>
        <w:rPr>
          <w:noProof/>
        </w:rPr>
        <w:t xml:space="preserve"> prerequisite to</w:t>
      </w:r>
      <w:r w:rsidRPr="00C12801">
        <w:rPr>
          <w:noProof/>
        </w:rPr>
        <w:t xml:space="preserve"> implement all aspects of the</w:t>
      </w:r>
      <w:r w:rsidR="000C427F">
        <w:rPr>
          <w:noProof/>
        </w:rPr>
        <w:t xml:space="preserve"> Pact on Migration and Asylum</w:t>
      </w:r>
      <w:r w:rsidRPr="00C12801">
        <w:rPr>
          <w:noProof/>
        </w:rPr>
        <w:t xml:space="preserve"> by </w:t>
      </w:r>
      <w:r w:rsidR="000C427F">
        <w:rPr>
          <w:noProof/>
        </w:rPr>
        <w:t>mid-</w:t>
      </w:r>
      <w:r w:rsidRPr="00C12801">
        <w:rPr>
          <w:noProof/>
        </w:rPr>
        <w:t>2026.</w:t>
      </w:r>
      <w:r w:rsidRPr="00A96700">
        <w:rPr>
          <w:noProof/>
        </w:rPr>
        <w:t xml:space="preserve"> </w:t>
      </w:r>
    </w:p>
    <w:p w14:paraId="248AE1BB" w14:textId="77777777" w:rsidR="002140BE" w:rsidRPr="00C12801" w:rsidRDefault="002140BE" w:rsidP="008B3721">
      <w:pPr>
        <w:tabs>
          <w:tab w:val="num" w:pos="1145"/>
        </w:tabs>
        <w:spacing w:after="120"/>
        <w:rPr>
          <w:noProof/>
        </w:rPr>
      </w:pPr>
      <w:r w:rsidRPr="00C12801">
        <w:rPr>
          <w:noProof/>
        </w:rPr>
        <w:t>To develop a robust National Implementation Plan, the Commission invites Member States to take the following steps for each building block:</w:t>
      </w:r>
    </w:p>
    <w:p w14:paraId="7F0284CB" w14:textId="77777777" w:rsidR="002140BE" w:rsidRPr="00C12801" w:rsidRDefault="002140BE" w:rsidP="008B3721">
      <w:pPr>
        <w:pStyle w:val="ListParagraph"/>
        <w:numPr>
          <w:ilvl w:val="0"/>
          <w:numId w:val="39"/>
        </w:numPr>
        <w:spacing w:after="120"/>
        <w:ind w:left="567" w:hanging="425"/>
        <w:rPr>
          <w:noProof/>
        </w:rPr>
      </w:pPr>
      <w:r w:rsidRPr="008F7A7A">
        <w:rPr>
          <w:b/>
          <w:bCs/>
          <w:noProof/>
        </w:rPr>
        <w:t>Review their national legal frameworks</w:t>
      </w:r>
      <w:r w:rsidRPr="00C12801">
        <w:rPr>
          <w:noProof/>
        </w:rPr>
        <w:t xml:space="preserve"> and proceed with the </w:t>
      </w:r>
      <w:r w:rsidRPr="00C16CC5">
        <w:rPr>
          <w:noProof/>
        </w:rPr>
        <w:t xml:space="preserve">necessary </w:t>
      </w:r>
      <w:r w:rsidRPr="00C12801">
        <w:rPr>
          <w:noProof/>
        </w:rPr>
        <w:t>adjustments of regulatory and administrative rules. The National Implementation Plan should include the timeline for tabling and adopting such measures at national level</w:t>
      </w:r>
      <w:r>
        <w:rPr>
          <w:noProof/>
        </w:rPr>
        <w:t>.</w:t>
      </w:r>
    </w:p>
    <w:p w14:paraId="1EAD52FD" w14:textId="61001509" w:rsidR="002140BE" w:rsidRPr="00C16CC5" w:rsidRDefault="002140BE" w:rsidP="008B3721">
      <w:pPr>
        <w:pStyle w:val="ListParagraph"/>
        <w:numPr>
          <w:ilvl w:val="0"/>
          <w:numId w:val="39"/>
        </w:numPr>
        <w:spacing w:after="120"/>
        <w:ind w:left="567" w:hanging="425"/>
        <w:rPr>
          <w:noProof/>
        </w:rPr>
      </w:pPr>
      <w:r w:rsidRPr="008F7A7A">
        <w:rPr>
          <w:b/>
          <w:bCs/>
          <w:noProof/>
        </w:rPr>
        <w:t>Review and adjust, as necessary, the current organisational set-ups</w:t>
      </w:r>
      <w:r>
        <w:rPr>
          <w:noProof/>
        </w:rPr>
        <w:t>,</w:t>
      </w:r>
      <w:r w:rsidRPr="00C12801">
        <w:rPr>
          <w:noProof/>
        </w:rPr>
        <w:t xml:space="preserve"> including coordination structures within services, across services and ministerial departments and at inter-ministerial level</w:t>
      </w:r>
      <w:r>
        <w:rPr>
          <w:noProof/>
        </w:rPr>
        <w:t xml:space="preserve"> to ensure they are fit for purpose</w:t>
      </w:r>
      <w:r w:rsidRPr="00C12801">
        <w:rPr>
          <w:noProof/>
        </w:rPr>
        <w:t xml:space="preserve">. If need be, </w:t>
      </w:r>
      <w:r>
        <w:rPr>
          <w:noProof/>
        </w:rPr>
        <w:t xml:space="preserve">Member States will have to </w:t>
      </w:r>
      <w:r w:rsidRPr="00C12801">
        <w:rPr>
          <w:noProof/>
        </w:rPr>
        <w:t xml:space="preserve">identify and plan the </w:t>
      </w:r>
      <w:r>
        <w:rPr>
          <w:noProof/>
        </w:rPr>
        <w:t xml:space="preserve">establishment </w:t>
      </w:r>
      <w:r w:rsidRPr="00C12801">
        <w:rPr>
          <w:noProof/>
        </w:rPr>
        <w:t>of new structures or the reorganisation of services</w:t>
      </w:r>
      <w:r w:rsidR="00B10B95">
        <w:rPr>
          <w:noProof/>
        </w:rPr>
        <w:t xml:space="preserve"> or consider integrated case management systems</w:t>
      </w:r>
      <w:r w:rsidRPr="00C12801">
        <w:rPr>
          <w:noProof/>
        </w:rPr>
        <w:t xml:space="preserve">. </w:t>
      </w:r>
      <w:r w:rsidRPr="00C16CC5">
        <w:rPr>
          <w:noProof/>
        </w:rPr>
        <w:t xml:space="preserve">The National Implementation Plan should </w:t>
      </w:r>
      <w:r w:rsidRPr="00625E3D">
        <w:rPr>
          <w:noProof/>
        </w:rPr>
        <w:t>include</w:t>
      </w:r>
      <w:r w:rsidRPr="00C16CC5">
        <w:rPr>
          <w:noProof/>
        </w:rPr>
        <w:t xml:space="preserve"> a description of the current structures and organisation (at national level but also the tasks that are delegated to regional or local authorities), the changes needed as well as the timeline for their implementation.</w:t>
      </w:r>
    </w:p>
    <w:p w14:paraId="7A557578" w14:textId="77777777" w:rsidR="002140BE" w:rsidRPr="00C12801" w:rsidRDefault="002140BE" w:rsidP="008B3721">
      <w:pPr>
        <w:pStyle w:val="ListParagraph"/>
        <w:numPr>
          <w:ilvl w:val="0"/>
          <w:numId w:val="39"/>
        </w:numPr>
        <w:spacing w:after="120"/>
        <w:ind w:left="567" w:hanging="425"/>
        <w:rPr>
          <w:noProof/>
        </w:rPr>
      </w:pPr>
      <w:r w:rsidRPr="008F7A7A">
        <w:rPr>
          <w:b/>
          <w:bCs/>
          <w:noProof/>
        </w:rPr>
        <w:t>Review and adjust as needed administrative workflows, standard operating procedures, and protocols</w:t>
      </w:r>
      <w:r w:rsidRPr="00C12801">
        <w:rPr>
          <w:noProof/>
        </w:rPr>
        <w:t xml:space="preserve">. </w:t>
      </w:r>
      <w:r>
        <w:rPr>
          <w:noProof/>
        </w:rPr>
        <w:t>This process should be used to i</w:t>
      </w:r>
      <w:r w:rsidRPr="00C12801">
        <w:rPr>
          <w:noProof/>
        </w:rPr>
        <w:t>dentify the current information tools available as well as the need to develop new ones. The National Implementation Plan should include the main deliverables that will be needed in this area and the timeline for their implementation.</w:t>
      </w:r>
    </w:p>
    <w:p w14:paraId="3B887A53" w14:textId="4CE34C8E" w:rsidR="002140BE" w:rsidRPr="00C12801" w:rsidRDefault="002140BE" w:rsidP="008B3721">
      <w:pPr>
        <w:pStyle w:val="ListParagraph"/>
        <w:numPr>
          <w:ilvl w:val="0"/>
          <w:numId w:val="39"/>
        </w:numPr>
        <w:spacing w:after="120"/>
        <w:ind w:left="567" w:hanging="425"/>
        <w:rPr>
          <w:noProof/>
        </w:rPr>
      </w:pPr>
      <w:r w:rsidRPr="008F7A7A">
        <w:rPr>
          <w:b/>
          <w:bCs/>
          <w:noProof/>
        </w:rPr>
        <w:t>Review existing capacity in terms of human resources and identify the needs, including recruitment and training</w:t>
      </w:r>
      <w:r w:rsidRPr="00C12801">
        <w:rPr>
          <w:noProof/>
        </w:rPr>
        <w:t xml:space="preserve">. The National </w:t>
      </w:r>
      <w:r>
        <w:rPr>
          <w:noProof/>
        </w:rPr>
        <w:t xml:space="preserve">Implementation </w:t>
      </w:r>
      <w:r w:rsidRPr="00C12801">
        <w:rPr>
          <w:noProof/>
        </w:rPr>
        <w:t xml:space="preserve">Plan should reflect the current number of staff and </w:t>
      </w:r>
      <w:r>
        <w:rPr>
          <w:noProof/>
        </w:rPr>
        <w:t xml:space="preserve">any </w:t>
      </w:r>
      <w:r w:rsidRPr="00C12801">
        <w:rPr>
          <w:noProof/>
        </w:rPr>
        <w:t xml:space="preserve">increase </w:t>
      </w:r>
      <w:r>
        <w:rPr>
          <w:noProof/>
        </w:rPr>
        <w:t xml:space="preserve">required for different profiles </w:t>
      </w:r>
      <w:r w:rsidRPr="00C12801">
        <w:rPr>
          <w:noProof/>
        </w:rPr>
        <w:t xml:space="preserve">and provide for a clear planning of the various steps to conclude recruitment of </w:t>
      </w:r>
      <w:r w:rsidR="009564AE">
        <w:rPr>
          <w:noProof/>
        </w:rPr>
        <w:t xml:space="preserve">any </w:t>
      </w:r>
      <w:r w:rsidRPr="00C12801">
        <w:rPr>
          <w:noProof/>
        </w:rPr>
        <w:t>new personnel</w:t>
      </w:r>
      <w:r>
        <w:rPr>
          <w:noProof/>
        </w:rPr>
        <w:t>. It should also</w:t>
      </w:r>
      <w:r w:rsidRPr="005C6F37">
        <w:rPr>
          <w:noProof/>
        </w:rPr>
        <w:t xml:space="preserve"> </w:t>
      </w:r>
      <w:r w:rsidRPr="00C12801">
        <w:rPr>
          <w:noProof/>
        </w:rPr>
        <w:t xml:space="preserve">include the training needs, including the planning of such training and </w:t>
      </w:r>
      <w:r>
        <w:rPr>
          <w:noProof/>
        </w:rPr>
        <w:t xml:space="preserve">the </w:t>
      </w:r>
      <w:r w:rsidRPr="00C12801">
        <w:rPr>
          <w:noProof/>
        </w:rPr>
        <w:t>timeline for</w:t>
      </w:r>
      <w:r>
        <w:rPr>
          <w:noProof/>
        </w:rPr>
        <w:t>eseen for</w:t>
      </w:r>
      <w:r w:rsidRPr="00C12801">
        <w:rPr>
          <w:noProof/>
        </w:rPr>
        <w:t xml:space="preserve"> </w:t>
      </w:r>
      <w:r>
        <w:rPr>
          <w:noProof/>
        </w:rPr>
        <w:t xml:space="preserve">its </w:t>
      </w:r>
      <w:r w:rsidRPr="00C12801">
        <w:rPr>
          <w:noProof/>
        </w:rPr>
        <w:t>implementation.</w:t>
      </w:r>
    </w:p>
    <w:p w14:paraId="7DC99432" w14:textId="036BC5A8" w:rsidR="002140BE" w:rsidRDefault="002140BE" w:rsidP="008B3721">
      <w:pPr>
        <w:pStyle w:val="ListParagraph"/>
        <w:numPr>
          <w:ilvl w:val="0"/>
          <w:numId w:val="39"/>
        </w:numPr>
        <w:spacing w:after="120"/>
        <w:ind w:left="567" w:hanging="425"/>
        <w:rPr>
          <w:noProof/>
        </w:rPr>
      </w:pPr>
      <w:r w:rsidRPr="008F7A7A">
        <w:rPr>
          <w:b/>
          <w:bCs/>
          <w:noProof/>
        </w:rPr>
        <w:t xml:space="preserve">Identify which activities will be undertaken by stakeholders or </w:t>
      </w:r>
      <w:r w:rsidR="009564AE">
        <w:rPr>
          <w:b/>
          <w:bCs/>
          <w:noProof/>
        </w:rPr>
        <w:t xml:space="preserve">relevant </w:t>
      </w:r>
      <w:r w:rsidRPr="008F7A7A">
        <w:rPr>
          <w:b/>
          <w:bCs/>
          <w:noProof/>
        </w:rPr>
        <w:t xml:space="preserve">organisations </w:t>
      </w:r>
      <w:r w:rsidRPr="009564AE">
        <w:rPr>
          <w:noProof/>
        </w:rPr>
        <w:t>(e.g.,</w:t>
      </w:r>
      <w:r w:rsidRPr="00C12801">
        <w:rPr>
          <w:noProof/>
        </w:rPr>
        <w:t xml:space="preserve"> lawyers associations, NGOs, private entities) and the capacity needs that would be covered by those. </w:t>
      </w:r>
      <w:r>
        <w:rPr>
          <w:noProof/>
        </w:rPr>
        <w:t xml:space="preserve">It should also </w:t>
      </w:r>
      <w:r w:rsidRPr="00C12801">
        <w:rPr>
          <w:noProof/>
        </w:rPr>
        <w:t xml:space="preserve">provide for the planning for such outsourcing and the mechanisms to ensure the monitoring and quality control of the activities </w:t>
      </w:r>
      <w:r>
        <w:rPr>
          <w:noProof/>
        </w:rPr>
        <w:t xml:space="preserve">carried out by these </w:t>
      </w:r>
      <w:r w:rsidRPr="00C12801">
        <w:rPr>
          <w:noProof/>
        </w:rPr>
        <w:t>stakeholders or organisations.</w:t>
      </w:r>
    </w:p>
    <w:p w14:paraId="39473E65" w14:textId="5E822C56" w:rsidR="002140BE" w:rsidRPr="00C12801" w:rsidRDefault="002140BE" w:rsidP="008B3721">
      <w:pPr>
        <w:pStyle w:val="ListParagraph"/>
        <w:numPr>
          <w:ilvl w:val="0"/>
          <w:numId w:val="39"/>
        </w:numPr>
        <w:spacing w:after="120"/>
        <w:ind w:left="567" w:hanging="425"/>
        <w:rPr>
          <w:noProof/>
        </w:rPr>
      </w:pPr>
      <w:r w:rsidRPr="008F7A7A">
        <w:rPr>
          <w:b/>
          <w:bCs/>
          <w:noProof/>
        </w:rPr>
        <w:t>Review existing capacity and identify needs in terms of infrastructure and equipment and possible logistics requirements</w:t>
      </w:r>
      <w:r w:rsidRPr="00C12801">
        <w:rPr>
          <w:noProof/>
        </w:rPr>
        <w:t xml:space="preserve">. This includes capacities in terms of </w:t>
      </w:r>
      <w:r w:rsidR="005814FA" w:rsidRPr="007B7B8D">
        <w:rPr>
          <w:noProof/>
        </w:rPr>
        <w:t xml:space="preserve">physical infrastructure for reception and detention </w:t>
      </w:r>
      <w:r w:rsidR="005814FA">
        <w:rPr>
          <w:noProof/>
        </w:rPr>
        <w:t xml:space="preserve">in the territory and </w:t>
      </w:r>
      <w:r w:rsidR="005814FA" w:rsidRPr="007B7B8D">
        <w:rPr>
          <w:noProof/>
        </w:rPr>
        <w:t>at the borders</w:t>
      </w:r>
      <w:r w:rsidR="00DE276F">
        <w:rPr>
          <w:noProof/>
        </w:rPr>
        <w:t xml:space="preserve"> as well as </w:t>
      </w:r>
      <w:r w:rsidRPr="00C12801">
        <w:rPr>
          <w:noProof/>
        </w:rPr>
        <w:t xml:space="preserve">IT </w:t>
      </w:r>
      <w:r w:rsidR="00B10B95">
        <w:rPr>
          <w:noProof/>
        </w:rPr>
        <w:t>infrastructure</w:t>
      </w:r>
      <w:r w:rsidRPr="00C12801">
        <w:rPr>
          <w:noProof/>
        </w:rPr>
        <w:t>,</w:t>
      </w:r>
      <w:r w:rsidR="00DE276F">
        <w:rPr>
          <w:noProof/>
        </w:rPr>
        <w:t xml:space="preserve"> </w:t>
      </w:r>
      <w:r w:rsidRPr="00C12801">
        <w:rPr>
          <w:noProof/>
        </w:rPr>
        <w:t xml:space="preserve">internet connectivity and the security environment. The National </w:t>
      </w:r>
      <w:r>
        <w:rPr>
          <w:noProof/>
        </w:rPr>
        <w:t xml:space="preserve">Implementation </w:t>
      </w:r>
      <w:r w:rsidRPr="00C12801">
        <w:rPr>
          <w:noProof/>
        </w:rPr>
        <w:t>Plan should include the current capacity levels</w:t>
      </w:r>
      <w:r>
        <w:rPr>
          <w:noProof/>
        </w:rPr>
        <w:t xml:space="preserve"> related to these elements and</w:t>
      </w:r>
      <w:r w:rsidRPr="00C12801">
        <w:rPr>
          <w:noProof/>
        </w:rPr>
        <w:t xml:space="preserve"> the increase needed and provide for clear planning of the various steps to conclude procurement of equipment and construction</w:t>
      </w:r>
      <w:r>
        <w:rPr>
          <w:noProof/>
        </w:rPr>
        <w:t xml:space="preserve"> or refurbishment</w:t>
      </w:r>
      <w:r w:rsidRPr="00C12801">
        <w:rPr>
          <w:noProof/>
        </w:rPr>
        <w:t>.</w:t>
      </w:r>
    </w:p>
    <w:p w14:paraId="7D3188D2" w14:textId="77777777" w:rsidR="002140BE" w:rsidRPr="00C12801" w:rsidRDefault="002140BE" w:rsidP="008B3721">
      <w:pPr>
        <w:tabs>
          <w:tab w:val="num" w:pos="1145"/>
        </w:tabs>
        <w:spacing w:after="120"/>
        <w:rPr>
          <w:noProof/>
        </w:rPr>
      </w:pPr>
      <w:r w:rsidRPr="00C12801">
        <w:rPr>
          <w:noProof/>
        </w:rPr>
        <w:t xml:space="preserve">Across all building blocks, it will be necessary </w:t>
      </w:r>
      <w:r>
        <w:rPr>
          <w:noProof/>
        </w:rPr>
        <w:t>for</w:t>
      </w:r>
      <w:r w:rsidRPr="00C12801">
        <w:rPr>
          <w:noProof/>
        </w:rPr>
        <w:t xml:space="preserve"> Member States </w:t>
      </w:r>
      <w:r>
        <w:rPr>
          <w:noProof/>
        </w:rPr>
        <w:t xml:space="preserve">to </w:t>
      </w:r>
      <w:r w:rsidRPr="00C12801">
        <w:rPr>
          <w:noProof/>
        </w:rPr>
        <w:t>evaluate the costs to match needs with resources, in full consideration of national budgetary cycles and the availabilit</w:t>
      </w:r>
      <w:r>
        <w:rPr>
          <w:noProof/>
        </w:rPr>
        <w:t>y</w:t>
      </w:r>
      <w:r w:rsidRPr="00C12801">
        <w:rPr>
          <w:noProof/>
        </w:rPr>
        <w:t xml:space="preserve"> of EU funds.</w:t>
      </w:r>
    </w:p>
    <w:p w14:paraId="705AE236" w14:textId="77777777" w:rsidR="002140BE" w:rsidRDefault="002140BE" w:rsidP="008B3721">
      <w:pPr>
        <w:tabs>
          <w:tab w:val="num" w:pos="1145"/>
        </w:tabs>
        <w:spacing w:after="120"/>
        <w:rPr>
          <w:noProof/>
        </w:rPr>
      </w:pPr>
      <w:r w:rsidRPr="00316309">
        <w:rPr>
          <w:noProof/>
        </w:rPr>
        <w:t>The Commission encourages Member States to engage and make use of social partners, local and regional authorities and other stakeholders, in particular representatives of civil society organisations, through regular exchanges and consultation</w:t>
      </w:r>
      <w:r>
        <w:rPr>
          <w:noProof/>
        </w:rPr>
        <w:t>. This helps to identify challenges, improve policy solutions and ensure broader ownership during the preparation of the National Implementation Plans and subsequently during its implementation, where these same actors often play critical roles.</w:t>
      </w:r>
    </w:p>
    <w:p w14:paraId="69A5309E" w14:textId="109B96D2" w:rsidR="002140BE" w:rsidRDefault="002140BE" w:rsidP="008B3721">
      <w:pPr>
        <w:pStyle w:val="BodyText"/>
        <w:spacing w:after="120"/>
        <w:jc w:val="both"/>
        <w:rPr>
          <w:rFonts w:ascii="Times New Roman" w:eastAsia="Times New Roman" w:hAnsi="Times New Roman" w:cs="Times New Roman"/>
          <w:i w:val="0"/>
          <w:iCs w:val="0"/>
          <w:noProof/>
          <w:lang w:val="en-GB" w:eastAsia="en-IE"/>
        </w:rPr>
      </w:pPr>
      <w:r w:rsidRPr="00C12801">
        <w:rPr>
          <w:rFonts w:ascii="Times New Roman" w:eastAsia="Times New Roman" w:hAnsi="Times New Roman" w:cs="Times New Roman"/>
          <w:i w:val="0"/>
          <w:iCs w:val="0"/>
          <w:noProof/>
          <w:lang w:val="en-GB" w:eastAsia="en-IE"/>
        </w:rPr>
        <w:t xml:space="preserve">The Commission invites Member States to share their </w:t>
      </w:r>
      <w:r w:rsidRPr="008F7A7A">
        <w:rPr>
          <w:rFonts w:ascii="Times New Roman" w:eastAsia="Times New Roman" w:hAnsi="Times New Roman" w:cs="Times New Roman"/>
          <w:b/>
          <w:bCs/>
          <w:i w:val="0"/>
          <w:iCs w:val="0"/>
          <w:noProof/>
          <w:lang w:val="en-GB" w:eastAsia="en-IE"/>
        </w:rPr>
        <w:t xml:space="preserve">draft plans by </w:t>
      </w:r>
      <w:r w:rsidRPr="008F7A7A">
        <w:rPr>
          <w:rFonts w:ascii="Times New Roman" w:hAnsi="Times New Roman"/>
          <w:b/>
          <w:bCs/>
          <w:i w:val="0"/>
          <w:iCs w:val="0"/>
          <w:noProof/>
          <w:lang w:val="en-GB"/>
        </w:rPr>
        <w:t>October 2024</w:t>
      </w:r>
      <w:r w:rsidRPr="00316309">
        <w:rPr>
          <w:rFonts w:ascii="Times New Roman" w:eastAsia="Times New Roman" w:hAnsi="Times New Roman" w:cs="Times New Roman"/>
          <w:i w:val="0"/>
          <w:iCs w:val="0"/>
          <w:noProof/>
          <w:lang w:val="en-GB" w:eastAsia="en-IE"/>
        </w:rPr>
        <w:t xml:space="preserve"> to ensure a dialogue on the needs and resources available for timely </w:t>
      </w:r>
      <w:r w:rsidRPr="008F7A7A">
        <w:rPr>
          <w:rFonts w:ascii="Times New Roman" w:eastAsia="Times New Roman" w:hAnsi="Times New Roman" w:cs="Times New Roman"/>
          <w:b/>
          <w:bCs/>
          <w:i w:val="0"/>
          <w:iCs w:val="0"/>
          <w:noProof/>
          <w:lang w:val="en-GB" w:eastAsia="en-IE"/>
        </w:rPr>
        <w:t>finalisation by 12 December 2024</w:t>
      </w:r>
      <w:r w:rsidRPr="00C12801">
        <w:rPr>
          <w:rFonts w:ascii="Times New Roman" w:eastAsia="Times New Roman" w:hAnsi="Times New Roman" w:cs="Times New Roman"/>
          <w:i w:val="0"/>
          <w:iCs w:val="0"/>
          <w:noProof/>
          <w:lang w:val="en-GB" w:eastAsia="en-IE"/>
        </w:rPr>
        <w:t>.</w:t>
      </w:r>
    </w:p>
    <w:tbl>
      <w:tblPr>
        <w:tblStyle w:val="TableGrid"/>
        <w:tblW w:w="0" w:type="auto"/>
        <w:tblLook w:val="04A0" w:firstRow="1" w:lastRow="0" w:firstColumn="1" w:lastColumn="0" w:noHBand="0" w:noVBand="1"/>
      </w:tblPr>
      <w:tblGrid>
        <w:gridCol w:w="8834"/>
      </w:tblGrid>
      <w:tr w:rsidR="007C2CBB" w14:paraId="5CBD85AA" w14:textId="77777777" w:rsidTr="007C2CBB">
        <w:tc>
          <w:tcPr>
            <w:tcW w:w="8834" w:type="dxa"/>
          </w:tcPr>
          <w:p w14:paraId="1CBB4B30" w14:textId="4CBB7C5A" w:rsidR="007C2CBB" w:rsidRPr="00C12801" w:rsidRDefault="007C2CBB">
            <w:pPr>
              <w:tabs>
                <w:tab w:val="num" w:pos="1145"/>
              </w:tabs>
              <w:spacing w:after="60"/>
              <w:rPr>
                <w:b/>
                <w:bCs/>
                <w:i/>
                <w:iCs/>
                <w:noProof/>
                <w:u w:val="single"/>
              </w:rPr>
            </w:pPr>
            <w:r w:rsidRPr="00C12801">
              <w:rPr>
                <w:b/>
                <w:bCs/>
                <w:i/>
                <w:iCs/>
                <w:noProof/>
                <w:u w:val="single"/>
              </w:rPr>
              <w:t>Key indicative milestones for Member States to consider in their planning</w:t>
            </w:r>
            <w:r>
              <w:rPr>
                <w:b/>
                <w:bCs/>
                <w:i/>
                <w:iCs/>
                <w:noProof/>
                <w:u w:val="single"/>
              </w:rPr>
              <w:t xml:space="preserve">: </w:t>
            </w:r>
          </w:p>
          <w:p w14:paraId="58402902" w14:textId="3BF5AA5D" w:rsidR="007C2CBB" w:rsidRPr="007C2CBB" w:rsidRDefault="007C2CBB">
            <w:pPr>
              <w:pStyle w:val="ListDash1"/>
              <w:tabs>
                <w:tab w:val="clear" w:pos="765"/>
                <w:tab w:val="num" w:pos="283"/>
              </w:tabs>
              <w:spacing w:after="60"/>
              <w:ind w:left="284" w:hanging="284"/>
              <w:rPr>
                <w:noProof/>
              </w:rPr>
            </w:pPr>
            <w:r w:rsidRPr="007C2CBB">
              <w:rPr>
                <w:noProof/>
              </w:rPr>
              <w:t>By 1 July 2024, Member States should set up national coordination structures and appoint the national coordinator (if not done already).</w:t>
            </w:r>
          </w:p>
          <w:p w14:paraId="307210E3" w14:textId="5A9594D7" w:rsidR="007C2CBB" w:rsidRPr="006B3949" w:rsidRDefault="007C2CBB">
            <w:pPr>
              <w:pStyle w:val="ListDash1"/>
              <w:tabs>
                <w:tab w:val="clear" w:pos="765"/>
                <w:tab w:val="num" w:pos="283"/>
              </w:tabs>
              <w:spacing w:after="60"/>
              <w:ind w:left="284" w:hanging="284"/>
              <w:rPr>
                <w:noProof/>
              </w:rPr>
            </w:pPr>
            <w:r w:rsidRPr="00316309">
              <w:rPr>
                <w:noProof/>
              </w:rPr>
              <w:t>By October 2024</w:t>
            </w:r>
            <w:r>
              <w:rPr>
                <w:noProof/>
              </w:rPr>
              <w:t>,</w:t>
            </w:r>
            <w:r w:rsidRPr="00316309">
              <w:rPr>
                <w:noProof/>
              </w:rPr>
              <w:t xml:space="preserve"> Member States should submit </w:t>
            </w:r>
            <w:r>
              <w:rPr>
                <w:noProof/>
              </w:rPr>
              <w:t xml:space="preserve">their </w:t>
            </w:r>
            <w:r w:rsidRPr="00316309">
              <w:rPr>
                <w:noProof/>
              </w:rPr>
              <w:t>draft National Implementation Plan to the Commission.</w:t>
            </w:r>
          </w:p>
          <w:p w14:paraId="22FEA22B" w14:textId="377BDAE4" w:rsidR="007C2CBB" w:rsidRDefault="007C2CBB">
            <w:pPr>
              <w:pStyle w:val="ListDash1"/>
              <w:tabs>
                <w:tab w:val="clear" w:pos="765"/>
                <w:tab w:val="num" w:pos="283"/>
              </w:tabs>
              <w:spacing w:after="60"/>
              <w:ind w:left="284" w:hanging="284"/>
              <w:rPr>
                <w:noProof/>
              </w:rPr>
            </w:pPr>
            <w:r w:rsidRPr="006B3949">
              <w:rPr>
                <w:noProof/>
              </w:rPr>
              <w:t>By 1</w:t>
            </w:r>
            <w:r>
              <w:rPr>
                <w:noProof/>
              </w:rPr>
              <w:t>2</w:t>
            </w:r>
            <w:r w:rsidRPr="006B3949">
              <w:rPr>
                <w:noProof/>
              </w:rPr>
              <w:t xml:space="preserve"> December 2024</w:t>
            </w:r>
            <w:r>
              <w:rPr>
                <w:noProof/>
              </w:rPr>
              <w:t>,</w:t>
            </w:r>
            <w:r w:rsidRPr="006B3949">
              <w:rPr>
                <w:noProof/>
              </w:rPr>
              <w:t xml:space="preserve"> </w:t>
            </w:r>
            <w:r>
              <w:rPr>
                <w:noProof/>
              </w:rPr>
              <w:t xml:space="preserve">Member States shall </w:t>
            </w:r>
            <w:r w:rsidRPr="006B3949">
              <w:rPr>
                <w:noProof/>
              </w:rPr>
              <w:t xml:space="preserve">communicate </w:t>
            </w:r>
            <w:r>
              <w:rPr>
                <w:noProof/>
              </w:rPr>
              <w:t xml:space="preserve">their </w:t>
            </w:r>
            <w:r w:rsidRPr="006B3949">
              <w:rPr>
                <w:noProof/>
              </w:rPr>
              <w:t>National Implementation Plan to the Commission.</w:t>
            </w:r>
          </w:p>
          <w:p w14:paraId="75645A30" w14:textId="7118E92E" w:rsidR="00FF0962" w:rsidRDefault="007C2CBB">
            <w:pPr>
              <w:pStyle w:val="ListDash1"/>
              <w:tabs>
                <w:tab w:val="clear" w:pos="765"/>
                <w:tab w:val="num" w:pos="283"/>
              </w:tabs>
              <w:spacing w:after="60"/>
              <w:ind w:left="284" w:hanging="284"/>
              <w:rPr>
                <w:noProof/>
              </w:rPr>
            </w:pPr>
            <w:r>
              <w:rPr>
                <w:noProof/>
              </w:rPr>
              <w:t>By first half of 2025,</w:t>
            </w:r>
            <w:r w:rsidR="008E38AC">
              <w:rPr>
                <w:noProof/>
              </w:rPr>
              <w:t xml:space="preserve"> </w:t>
            </w:r>
            <w:r w:rsidR="00832C3D">
              <w:rPr>
                <w:noProof/>
              </w:rPr>
              <w:t xml:space="preserve">the </w:t>
            </w:r>
            <w:r>
              <w:rPr>
                <w:noProof/>
              </w:rPr>
              <w:t xml:space="preserve">Commission will adopt the decision allocating funds under the national programmes in the context of the mid-term review of </w:t>
            </w:r>
            <w:r w:rsidR="00B702B7">
              <w:rPr>
                <w:noProof/>
              </w:rPr>
              <w:t>AMIF and BMVI, based on updated statistic</w:t>
            </w:r>
            <w:r w:rsidR="00763420">
              <w:rPr>
                <w:noProof/>
              </w:rPr>
              <w:t>s</w:t>
            </w:r>
            <w:r w:rsidR="00E856C2">
              <w:rPr>
                <w:noProof/>
              </w:rPr>
              <w:t xml:space="preserve"> reflecting the allocation key in 2021-2023</w:t>
            </w:r>
            <w:r>
              <w:rPr>
                <w:noProof/>
              </w:rPr>
              <w:t>.</w:t>
            </w:r>
          </w:p>
          <w:p w14:paraId="4EE30200" w14:textId="2E00F283" w:rsidR="00456EC5" w:rsidRPr="00FF0962" w:rsidRDefault="00FF0962">
            <w:pPr>
              <w:pStyle w:val="ListDash1"/>
              <w:tabs>
                <w:tab w:val="clear" w:pos="765"/>
                <w:tab w:val="num" w:pos="283"/>
              </w:tabs>
              <w:spacing w:after="60"/>
              <w:ind w:left="284" w:hanging="284"/>
              <w:rPr>
                <w:noProof/>
              </w:rPr>
            </w:pPr>
            <w:r w:rsidRPr="00FF0962">
              <w:rPr>
                <w:noProof/>
                <w:szCs w:val="24"/>
                <w:lang w:val="en-IE" w:eastAsia="en-GB"/>
              </w:rPr>
              <w:t xml:space="preserve">By first half </w:t>
            </w:r>
            <w:r w:rsidR="00456EC5" w:rsidRPr="00FF0962">
              <w:rPr>
                <w:noProof/>
                <w:szCs w:val="24"/>
                <w:lang w:val="en-IE" w:eastAsia="en-GB"/>
              </w:rPr>
              <w:t>of 2025, the Commission will allocate part of the funding from the MFF mid-term review through the Thematic Facility to Member States.</w:t>
            </w:r>
          </w:p>
          <w:p w14:paraId="201DFBD5" w14:textId="32F7FDDF" w:rsidR="007C2CBB" w:rsidRPr="006B3949" w:rsidRDefault="007369D5">
            <w:pPr>
              <w:pStyle w:val="ListDash1"/>
              <w:tabs>
                <w:tab w:val="clear" w:pos="765"/>
                <w:tab w:val="num" w:pos="283"/>
              </w:tabs>
              <w:spacing w:after="60"/>
              <w:ind w:left="284" w:hanging="284"/>
              <w:rPr>
                <w:noProof/>
              </w:rPr>
            </w:pPr>
            <w:r>
              <w:rPr>
                <w:noProof/>
              </w:rPr>
              <w:t>By</w:t>
            </w:r>
            <w:r w:rsidR="007C2CBB" w:rsidRPr="006B3949">
              <w:rPr>
                <w:noProof/>
              </w:rPr>
              <w:t xml:space="preserve"> first half of 2025</w:t>
            </w:r>
            <w:r w:rsidR="007C2CBB">
              <w:rPr>
                <w:noProof/>
              </w:rPr>
              <w:t>,</w:t>
            </w:r>
            <w:r w:rsidR="007C2CBB" w:rsidRPr="006B3949">
              <w:rPr>
                <w:noProof/>
              </w:rPr>
              <w:t xml:space="preserve"> </w:t>
            </w:r>
            <w:r w:rsidR="007C2CBB">
              <w:rPr>
                <w:noProof/>
              </w:rPr>
              <w:t xml:space="preserve">Member State should </w:t>
            </w:r>
            <w:r w:rsidR="007C2CBB" w:rsidRPr="006B3949">
              <w:rPr>
                <w:noProof/>
              </w:rPr>
              <w:t>launch procurement for acquiring of equipment and building activities.</w:t>
            </w:r>
          </w:p>
          <w:p w14:paraId="3952D247" w14:textId="6ED31712" w:rsidR="007C2CBB" w:rsidRPr="006B3949" w:rsidRDefault="007C2CBB">
            <w:pPr>
              <w:pStyle w:val="ListDash1"/>
              <w:tabs>
                <w:tab w:val="clear" w:pos="765"/>
                <w:tab w:val="num" w:pos="283"/>
              </w:tabs>
              <w:spacing w:after="60"/>
              <w:ind w:left="284" w:hanging="284"/>
              <w:rPr>
                <w:noProof/>
              </w:rPr>
            </w:pPr>
            <w:r w:rsidRPr="006B3949">
              <w:rPr>
                <w:noProof/>
              </w:rPr>
              <w:t>By first half of 2025</w:t>
            </w:r>
            <w:r>
              <w:rPr>
                <w:noProof/>
              </w:rPr>
              <w:t>,</w:t>
            </w:r>
            <w:r w:rsidRPr="006B3949">
              <w:rPr>
                <w:noProof/>
              </w:rPr>
              <w:t xml:space="preserve"> </w:t>
            </w:r>
            <w:r>
              <w:rPr>
                <w:noProof/>
              </w:rPr>
              <w:t xml:space="preserve">Member States should </w:t>
            </w:r>
            <w:r w:rsidRPr="006B3949">
              <w:rPr>
                <w:noProof/>
              </w:rPr>
              <w:t>launch the recruitment process.</w:t>
            </w:r>
          </w:p>
          <w:p w14:paraId="6D3D1E3A" w14:textId="3328FD2F" w:rsidR="007C2CBB" w:rsidRDefault="007C2CBB">
            <w:pPr>
              <w:pStyle w:val="ListDash1"/>
              <w:tabs>
                <w:tab w:val="clear" w:pos="765"/>
                <w:tab w:val="num" w:pos="283"/>
              </w:tabs>
              <w:spacing w:after="60"/>
              <w:ind w:left="284" w:hanging="284"/>
              <w:rPr>
                <w:noProof/>
              </w:rPr>
            </w:pPr>
            <w:r w:rsidRPr="006B3949">
              <w:rPr>
                <w:noProof/>
              </w:rPr>
              <w:t xml:space="preserve">By </w:t>
            </w:r>
            <w:r>
              <w:rPr>
                <w:noProof/>
              </w:rPr>
              <w:t>mid-</w:t>
            </w:r>
            <w:r w:rsidRPr="006B3949">
              <w:rPr>
                <w:noProof/>
              </w:rPr>
              <w:t>202</w:t>
            </w:r>
            <w:r>
              <w:rPr>
                <w:noProof/>
              </w:rPr>
              <w:t xml:space="preserve">6, Member States shall </w:t>
            </w:r>
            <w:r w:rsidRPr="006B3949">
              <w:rPr>
                <w:noProof/>
              </w:rPr>
              <w:t>be ready to</w:t>
            </w:r>
            <w:r>
              <w:rPr>
                <w:noProof/>
              </w:rPr>
              <w:t xml:space="preserve"> apply</w:t>
            </w:r>
            <w:r w:rsidRPr="006B3949">
              <w:rPr>
                <w:noProof/>
              </w:rPr>
              <w:t xml:space="preserve"> the </w:t>
            </w:r>
            <w:r>
              <w:rPr>
                <w:noProof/>
              </w:rPr>
              <w:t>Pact on Migration and Asylum</w:t>
            </w:r>
            <w:r w:rsidRPr="006B3949">
              <w:rPr>
                <w:noProof/>
              </w:rPr>
              <w:t>.</w:t>
            </w:r>
          </w:p>
        </w:tc>
      </w:tr>
    </w:tbl>
    <w:p w14:paraId="208DEA1A" w14:textId="78F9DCC4" w:rsidR="006B25DA" w:rsidRPr="008C708B" w:rsidRDefault="002140BE" w:rsidP="002740E8">
      <w:pPr>
        <w:pStyle w:val="Heading1"/>
        <w:numPr>
          <w:ilvl w:val="0"/>
          <w:numId w:val="23"/>
        </w:numPr>
        <w:spacing w:before="0" w:after="120"/>
        <w:rPr>
          <w:noProof/>
        </w:rPr>
      </w:pPr>
      <w:r w:rsidRPr="00C12801">
        <w:rPr>
          <w:noProof/>
        </w:rPr>
        <w:t>10 Building Blocks to implement the Pact on Migration and Asylum</w:t>
      </w:r>
    </w:p>
    <w:tbl>
      <w:tblPr>
        <w:tblStyle w:val="TableGrid"/>
        <w:tblW w:w="8647" w:type="dxa"/>
        <w:tblInd w:w="108" w:type="dxa"/>
        <w:tblLook w:val="04A0" w:firstRow="1" w:lastRow="0" w:firstColumn="1" w:lastColumn="0" w:noHBand="0" w:noVBand="1"/>
      </w:tblPr>
      <w:tblGrid>
        <w:gridCol w:w="1302"/>
        <w:gridCol w:w="7345"/>
      </w:tblGrid>
      <w:tr w:rsidR="006B25DA" w:rsidRPr="00C12801" w14:paraId="48FF4133" w14:textId="77777777">
        <w:trPr>
          <w:trHeight w:val="572"/>
        </w:trPr>
        <w:tc>
          <w:tcPr>
            <w:tcW w:w="1302" w:type="dxa"/>
            <w:vMerge w:val="restart"/>
            <w:tcBorders>
              <w:right w:val="single" w:sz="4" w:space="0" w:color="FFFFFF" w:themeColor="background1"/>
            </w:tcBorders>
          </w:tcPr>
          <w:p w14:paraId="7F5A98E5" w14:textId="77777777" w:rsidR="006B25DA" w:rsidRPr="00C12801" w:rsidRDefault="006B25DA">
            <w:pPr>
              <w:pStyle w:val="Text1"/>
              <w:spacing w:before="120" w:after="120"/>
              <w:ind w:left="0"/>
              <w:jc w:val="center"/>
              <w:rPr>
                <w:noProof/>
              </w:rPr>
            </w:pPr>
            <w:r w:rsidRPr="00C12801">
              <w:rPr>
                <w:noProof/>
                <w:lang w:eastAsia="en-GB"/>
              </w:rPr>
              <w:drawing>
                <wp:inline distT="0" distB="0" distL="0" distR="0" wp14:anchorId="7A1157B3" wp14:editId="6358DB20">
                  <wp:extent cx="662400" cy="662400"/>
                  <wp:effectExtent l="0" t="0" r="0" b="0"/>
                  <wp:docPr id="168" name="Graphic 168">
                    <a:extLst xmlns:a="http://schemas.openxmlformats.org/drawingml/2006/main">
                      <a:ext uri="{FF2B5EF4-FFF2-40B4-BE49-F238E27FC236}">
                        <a16:creationId xmlns:a16="http://schemas.microsoft.com/office/drawing/2014/main" id="{0EF68215-6DC6-7ACC-CAF5-35DAA7A8A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Graphic 167">
                            <a:extLst>
                              <a:ext uri="{FF2B5EF4-FFF2-40B4-BE49-F238E27FC236}">
                                <a16:creationId xmlns:a16="http://schemas.microsoft.com/office/drawing/2014/main" id="{0EF68215-6DC6-7ACC-CAF5-35DAA7A8AEBA}"/>
                              </a:ext>
                            </a:extLst>
                          </pic:cNvPr>
                          <pic:cNvPicPr>
                            <a:picLocks noChangeAspect="1"/>
                          </pic:cNvPicPr>
                        </pic:nvPicPr>
                        <pic:blipFill>
                          <a:blip r:embed="rId20">
                            <a:extLst>
                              <a:ext uri="{96DAC541-7B7A-43D3-8B79-37D633B846F1}">
                                <asvg:svgBlip xmlns:a14="http://schemas.microsoft.com/office/drawing/2010/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r:embed="rId21"/>
                              </a:ext>
                            </a:extLst>
                          </a:blip>
                          <a:stretch>
                            <a:fillRect/>
                          </a:stretch>
                        </pic:blipFill>
                        <pic:spPr>
                          <a:xfrm>
                            <a:off x="0" y="0"/>
                            <a:ext cx="662400" cy="662400"/>
                          </a:xfrm>
                          <a:prstGeom prst="rect">
                            <a:avLst/>
                          </a:prstGeom>
                        </pic:spPr>
                      </pic:pic>
                    </a:graphicData>
                  </a:graphic>
                </wp:inline>
              </w:drawing>
            </w:r>
          </w:p>
        </w:tc>
        <w:tc>
          <w:tcPr>
            <w:tcW w:w="7345" w:type="dxa"/>
            <w:tcBorders>
              <w:left w:val="single" w:sz="4" w:space="0" w:color="FFFFFF" w:themeColor="background1"/>
              <w:bottom w:val="single" w:sz="4" w:space="0" w:color="FFFFFF" w:themeColor="background1"/>
            </w:tcBorders>
          </w:tcPr>
          <w:p w14:paraId="51A884E6" w14:textId="77777777" w:rsidR="006B25DA" w:rsidRPr="00C12801" w:rsidRDefault="006B25DA">
            <w:pPr>
              <w:pStyle w:val="Text1"/>
              <w:spacing w:before="60" w:after="120"/>
              <w:ind w:left="36"/>
              <w:rPr>
                <w:noProof/>
                <w:u w:val="single"/>
              </w:rPr>
            </w:pPr>
            <w:r w:rsidRPr="00C12801">
              <w:rPr>
                <w:rFonts w:eastAsia="EC Square Sans Pro"/>
                <w:b/>
                <w:bCs/>
                <w:noProof/>
                <w:u w:val="single"/>
              </w:rPr>
              <w:t>BUILDING BLOCK 1</w:t>
            </w:r>
          </w:p>
        </w:tc>
      </w:tr>
      <w:tr w:rsidR="006B25DA" w:rsidRPr="00C12801" w14:paraId="66EDF337" w14:textId="77777777">
        <w:trPr>
          <w:trHeight w:val="466"/>
        </w:trPr>
        <w:tc>
          <w:tcPr>
            <w:tcW w:w="1302" w:type="dxa"/>
            <w:vMerge/>
            <w:tcBorders>
              <w:right w:val="single" w:sz="4" w:space="0" w:color="FFFFFF" w:themeColor="background1"/>
            </w:tcBorders>
          </w:tcPr>
          <w:p w14:paraId="03750C9C"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3C71704C" w14:textId="77777777" w:rsidR="006B25DA" w:rsidRPr="00C12801" w:rsidRDefault="006B25DA">
            <w:pPr>
              <w:pStyle w:val="Text1"/>
              <w:spacing w:before="60" w:after="120"/>
              <w:ind w:left="0"/>
              <w:rPr>
                <w:noProof/>
              </w:rPr>
            </w:pPr>
            <w:r w:rsidRPr="00C12801">
              <w:rPr>
                <w:rFonts w:eastAsia="EC Square Sans Pro"/>
                <w:b/>
                <w:bCs/>
                <w:noProof/>
              </w:rPr>
              <w:t>A common migration and asylum information system: Eurodac</w:t>
            </w:r>
          </w:p>
        </w:tc>
      </w:tr>
    </w:tbl>
    <w:p w14:paraId="6F8CA87B" w14:textId="3635D4AE" w:rsidR="000A7F4D" w:rsidRDefault="006B25DA" w:rsidP="00CF28D6">
      <w:pPr>
        <w:spacing w:before="120" w:after="120"/>
        <w:rPr>
          <w:noProof/>
        </w:rPr>
      </w:pPr>
      <w:r w:rsidRPr="00C12801">
        <w:rPr>
          <w:noProof/>
        </w:rPr>
        <w:t xml:space="preserve">Eurodac is the </w:t>
      </w:r>
      <w:r w:rsidRPr="008F7A7A">
        <w:rPr>
          <w:b/>
          <w:bCs/>
          <w:noProof/>
        </w:rPr>
        <w:t>large-scale IT system</w:t>
      </w:r>
      <w:r w:rsidRPr="00C12801">
        <w:rPr>
          <w:noProof/>
        </w:rPr>
        <w:t xml:space="preserve"> that</w:t>
      </w:r>
      <w:r>
        <w:rPr>
          <w:noProof/>
        </w:rPr>
        <w:t>, among others, will</w:t>
      </w:r>
      <w:r w:rsidRPr="00C12801">
        <w:rPr>
          <w:noProof/>
        </w:rPr>
        <w:t xml:space="preserve"> support the </w:t>
      </w:r>
      <w:r>
        <w:rPr>
          <w:noProof/>
        </w:rPr>
        <w:t>functioning of the Pact in practice</w:t>
      </w:r>
      <w:r w:rsidRPr="00C12801">
        <w:rPr>
          <w:noProof/>
        </w:rPr>
        <w:t xml:space="preserve">, notably </w:t>
      </w:r>
      <w:r>
        <w:rPr>
          <w:noProof/>
        </w:rPr>
        <w:t xml:space="preserve">with </w:t>
      </w:r>
      <w:r w:rsidRPr="00C12801">
        <w:rPr>
          <w:noProof/>
        </w:rPr>
        <w:t xml:space="preserve">the determination of responsibility </w:t>
      </w:r>
      <w:r>
        <w:rPr>
          <w:noProof/>
        </w:rPr>
        <w:t xml:space="preserve">and </w:t>
      </w:r>
      <w:r w:rsidR="000A7F4D">
        <w:rPr>
          <w:noProof/>
        </w:rPr>
        <w:t>the monitoring of secondary movements</w:t>
      </w:r>
      <w:r>
        <w:rPr>
          <w:noProof/>
        </w:rPr>
        <w:t xml:space="preserve">. </w:t>
      </w:r>
    </w:p>
    <w:p w14:paraId="51987C7E" w14:textId="629A5847" w:rsidR="006B25DA" w:rsidRPr="00C12801" w:rsidRDefault="006B25DA" w:rsidP="00DE276F">
      <w:pPr>
        <w:spacing w:after="120"/>
        <w:rPr>
          <w:noProof/>
        </w:rPr>
      </w:pPr>
      <w:r>
        <w:rPr>
          <w:noProof/>
        </w:rPr>
        <w:t>Eurodac will store</w:t>
      </w:r>
      <w:r w:rsidRPr="00C12801">
        <w:rPr>
          <w:noProof/>
        </w:rPr>
        <w:t xml:space="preserve"> and process the </w:t>
      </w:r>
      <w:r>
        <w:rPr>
          <w:noProof/>
        </w:rPr>
        <w:t xml:space="preserve">biometrics, identity data and other information </w:t>
      </w:r>
      <w:r w:rsidRPr="00C12801">
        <w:rPr>
          <w:noProof/>
        </w:rPr>
        <w:t xml:space="preserve">of </w:t>
      </w:r>
      <w:r>
        <w:rPr>
          <w:noProof/>
        </w:rPr>
        <w:t>applicants for international protection, persons disembarked following search and rescue operations</w:t>
      </w:r>
      <w:r w:rsidRPr="00C12801">
        <w:rPr>
          <w:noProof/>
        </w:rPr>
        <w:t xml:space="preserve"> </w:t>
      </w:r>
      <w:r>
        <w:rPr>
          <w:noProof/>
        </w:rPr>
        <w:t>as well as persons apprehended in connection with an</w:t>
      </w:r>
      <w:r w:rsidRPr="00C12801">
        <w:rPr>
          <w:noProof/>
        </w:rPr>
        <w:t xml:space="preserve"> irregular </w:t>
      </w:r>
      <w:r>
        <w:rPr>
          <w:noProof/>
        </w:rPr>
        <w:t xml:space="preserve">crossing of the external border or who are found illegally present </w:t>
      </w:r>
      <w:r w:rsidR="000A7F4D">
        <w:rPr>
          <w:noProof/>
        </w:rPr>
        <w:t>o</w:t>
      </w:r>
      <w:r>
        <w:rPr>
          <w:noProof/>
        </w:rPr>
        <w:t>n the territory of a Member State</w:t>
      </w:r>
      <w:r w:rsidRPr="00C12801">
        <w:rPr>
          <w:noProof/>
        </w:rPr>
        <w:t xml:space="preserve">. In this way, the system helps to </w:t>
      </w:r>
      <w:r>
        <w:rPr>
          <w:noProof/>
        </w:rPr>
        <w:t>compare</w:t>
      </w:r>
      <w:r w:rsidRPr="00C12801">
        <w:rPr>
          <w:noProof/>
        </w:rPr>
        <w:t xml:space="preserve"> new applications</w:t>
      </w:r>
      <w:r>
        <w:rPr>
          <w:noProof/>
        </w:rPr>
        <w:t xml:space="preserve"> for international protection</w:t>
      </w:r>
      <w:r w:rsidRPr="00C12801">
        <w:rPr>
          <w:noProof/>
        </w:rPr>
        <w:t xml:space="preserve"> against those already registered in the database</w:t>
      </w:r>
      <w:r>
        <w:rPr>
          <w:noProof/>
        </w:rPr>
        <w:t xml:space="preserve"> to apply the responsibility rules under the Asylum Migration Management Regulation as well as to monitor secondary movements and flag persons who might present a threat to internal security.</w:t>
      </w:r>
    </w:p>
    <w:p w14:paraId="5211D675" w14:textId="115000C5" w:rsidR="006B25DA" w:rsidRPr="00D930F8" w:rsidRDefault="006B25DA" w:rsidP="00CF28D6">
      <w:pPr>
        <w:pStyle w:val="BodyText"/>
        <w:spacing w:after="120"/>
        <w:jc w:val="both"/>
        <w:rPr>
          <w:rFonts w:ascii="Times New Roman" w:eastAsia="Times New Roman" w:hAnsi="Times New Roman" w:cs="Times New Roman"/>
          <w:i w:val="0"/>
          <w:iCs w:val="0"/>
          <w:noProof/>
          <w:szCs w:val="20"/>
          <w:lang w:val="en-GB" w:eastAsia="en-IE"/>
        </w:rPr>
      </w:pPr>
      <w:r w:rsidRPr="00C12801" w:rsidDel="000A7F4D">
        <w:rPr>
          <w:rFonts w:ascii="Times New Roman" w:eastAsia="Times New Roman" w:hAnsi="Times New Roman" w:cs="Times New Roman"/>
          <w:i w:val="0"/>
          <w:iCs w:val="0"/>
          <w:noProof/>
          <w:szCs w:val="20"/>
          <w:lang w:val="en-GB" w:eastAsia="en-IE"/>
        </w:rPr>
        <w:t xml:space="preserve">The </w:t>
      </w:r>
      <w:r w:rsidDel="000A7F4D">
        <w:rPr>
          <w:rFonts w:ascii="Times New Roman" w:eastAsia="Times New Roman" w:hAnsi="Times New Roman" w:cs="Times New Roman"/>
          <w:i w:val="0"/>
          <w:iCs w:val="0"/>
          <w:noProof/>
          <w:szCs w:val="20"/>
          <w:lang w:val="en-GB" w:eastAsia="en-IE"/>
        </w:rPr>
        <w:t>new</w:t>
      </w:r>
      <w:r w:rsidRPr="00C12801" w:rsidDel="000A7F4D">
        <w:rPr>
          <w:rFonts w:ascii="Times New Roman" w:eastAsia="Times New Roman" w:hAnsi="Times New Roman" w:cs="Times New Roman"/>
          <w:i w:val="0"/>
          <w:iCs w:val="0"/>
          <w:noProof/>
          <w:szCs w:val="20"/>
          <w:lang w:val="en-GB" w:eastAsia="en-IE"/>
        </w:rPr>
        <w:t xml:space="preserve"> Eurodac </w:t>
      </w:r>
      <w:r w:rsidRPr="00C12801" w:rsidDel="000A7F4D">
        <w:rPr>
          <w:rFonts w:ascii="Times New Roman" w:eastAsia="Times New Roman" w:hAnsi="Times New Roman" w:cs="Times New Roman"/>
          <w:i w:val="0"/>
          <w:iCs w:val="0"/>
          <w:noProof/>
          <w:lang w:val="en-GB" w:eastAsia="en-IE"/>
        </w:rPr>
        <w:t xml:space="preserve">is </w:t>
      </w:r>
      <w:r w:rsidDel="000A7F4D">
        <w:rPr>
          <w:rFonts w:ascii="Times New Roman" w:eastAsia="Times New Roman" w:hAnsi="Times New Roman" w:cs="Times New Roman"/>
          <w:i w:val="0"/>
          <w:iCs w:val="0"/>
          <w:noProof/>
          <w:lang w:val="en-GB" w:eastAsia="en-IE"/>
        </w:rPr>
        <w:t xml:space="preserve">one of </w:t>
      </w:r>
      <w:r w:rsidRPr="00C12801" w:rsidDel="000A7F4D">
        <w:rPr>
          <w:rFonts w:ascii="Times New Roman" w:eastAsia="Times New Roman" w:hAnsi="Times New Roman" w:cs="Times New Roman"/>
          <w:i w:val="0"/>
          <w:iCs w:val="0"/>
          <w:noProof/>
          <w:lang w:val="en-GB" w:eastAsia="en-IE"/>
        </w:rPr>
        <w:t xml:space="preserve">the </w:t>
      </w:r>
      <w:r w:rsidRPr="008F7A7A" w:rsidDel="000A7F4D">
        <w:rPr>
          <w:rFonts w:ascii="Times New Roman" w:eastAsia="Times New Roman" w:hAnsi="Times New Roman" w:cs="Times New Roman"/>
          <w:b/>
          <w:bCs/>
          <w:i w:val="0"/>
          <w:iCs w:val="0"/>
          <w:noProof/>
          <w:lang w:val="en-GB" w:eastAsia="en-IE"/>
        </w:rPr>
        <w:t>operational backbone</w:t>
      </w:r>
      <w:r w:rsidR="00E2315E">
        <w:rPr>
          <w:rFonts w:ascii="Times New Roman" w:eastAsia="Times New Roman" w:hAnsi="Times New Roman" w:cs="Times New Roman"/>
          <w:b/>
          <w:bCs/>
          <w:i w:val="0"/>
          <w:iCs w:val="0"/>
          <w:noProof/>
          <w:lang w:val="en-GB" w:eastAsia="en-IE"/>
        </w:rPr>
        <w:t>s</w:t>
      </w:r>
      <w:r w:rsidRPr="008F7A7A" w:rsidDel="000A7F4D">
        <w:rPr>
          <w:rFonts w:ascii="Times New Roman" w:eastAsia="Times New Roman" w:hAnsi="Times New Roman" w:cs="Times New Roman"/>
          <w:b/>
          <w:bCs/>
          <w:i w:val="0"/>
          <w:iCs w:val="0"/>
          <w:noProof/>
          <w:lang w:val="en-GB" w:eastAsia="en-IE"/>
        </w:rPr>
        <w:t xml:space="preserve"> supporting the new legal framework</w:t>
      </w:r>
      <w:r w:rsidRPr="00C12801" w:rsidDel="000A7F4D">
        <w:rPr>
          <w:rFonts w:ascii="Times New Roman" w:eastAsia="Times New Roman" w:hAnsi="Times New Roman" w:cs="Times New Roman"/>
          <w:i w:val="0"/>
          <w:iCs w:val="0"/>
          <w:noProof/>
          <w:szCs w:val="20"/>
          <w:lang w:val="en-GB" w:eastAsia="en-IE"/>
        </w:rPr>
        <w:t>.</w:t>
      </w:r>
      <w:r w:rsidRPr="00C12801" w:rsidDel="000A7F4D">
        <w:rPr>
          <w:rFonts w:ascii="Times New Roman" w:eastAsia="Times New Roman" w:hAnsi="Times New Roman" w:cs="Times New Roman"/>
          <w:i w:val="0"/>
          <w:iCs w:val="0"/>
          <w:noProof/>
          <w:lang w:val="en-GB" w:eastAsia="en-IE"/>
        </w:rPr>
        <w:t xml:space="preserve"> </w:t>
      </w:r>
      <w:r w:rsidRPr="00C12801">
        <w:rPr>
          <w:rFonts w:ascii="Times New Roman" w:eastAsia="Times New Roman" w:hAnsi="Times New Roman" w:cs="Times New Roman"/>
          <w:i w:val="0"/>
          <w:iCs w:val="0"/>
          <w:noProof/>
          <w:lang w:val="en-GB" w:eastAsia="en-IE"/>
        </w:rPr>
        <w:t xml:space="preserve">The timely development and entry into operation of the reformed Eurodac system is a critical precondition for </w:t>
      </w:r>
      <w:r>
        <w:rPr>
          <w:rFonts w:ascii="Times New Roman" w:eastAsia="Times New Roman" w:hAnsi="Times New Roman" w:cs="Times New Roman"/>
          <w:i w:val="0"/>
          <w:iCs w:val="0"/>
          <w:noProof/>
          <w:lang w:val="en-GB" w:eastAsia="en-IE"/>
        </w:rPr>
        <w:t>the implementation of</w:t>
      </w:r>
      <w:r w:rsidR="000A7F4D">
        <w:rPr>
          <w:rFonts w:ascii="Times New Roman" w:eastAsia="Times New Roman" w:hAnsi="Times New Roman" w:cs="Times New Roman"/>
          <w:i w:val="0"/>
          <w:iCs w:val="0"/>
          <w:noProof/>
          <w:lang w:val="en-GB" w:eastAsia="en-IE"/>
        </w:rPr>
        <w:t xml:space="preserve"> all</w:t>
      </w:r>
      <w:r>
        <w:rPr>
          <w:rFonts w:ascii="Times New Roman" w:eastAsia="Times New Roman" w:hAnsi="Times New Roman" w:cs="Times New Roman"/>
          <w:i w:val="0"/>
          <w:iCs w:val="0"/>
          <w:noProof/>
          <w:lang w:val="en-GB" w:eastAsia="en-IE"/>
        </w:rPr>
        <w:t xml:space="preserve"> the </w:t>
      </w:r>
      <w:r w:rsidRPr="00C12801">
        <w:rPr>
          <w:rFonts w:ascii="Times New Roman" w:eastAsia="Times New Roman" w:hAnsi="Times New Roman" w:cs="Times New Roman"/>
          <w:i w:val="0"/>
          <w:iCs w:val="0"/>
          <w:noProof/>
          <w:lang w:val="en-GB" w:eastAsia="en-IE"/>
        </w:rPr>
        <w:t>other elements of the Pact. It will enable Member States to operationalise the new solidarity rules, be it relocation or the solidarity offsets. It will also be instrumental for the application of the new responsibility rules</w:t>
      </w:r>
      <w:r>
        <w:rPr>
          <w:rFonts w:ascii="Times New Roman" w:eastAsia="Times New Roman" w:hAnsi="Times New Roman" w:cs="Times New Roman"/>
          <w:i w:val="0"/>
          <w:iCs w:val="0"/>
          <w:noProof/>
          <w:lang w:val="en-GB" w:eastAsia="en-IE"/>
        </w:rPr>
        <w:t xml:space="preserve">, in particular, </w:t>
      </w:r>
      <w:r w:rsidRPr="00C12801">
        <w:rPr>
          <w:rFonts w:ascii="Times New Roman" w:eastAsia="Times New Roman" w:hAnsi="Times New Roman" w:cs="Times New Roman"/>
          <w:i w:val="0"/>
          <w:iCs w:val="0"/>
          <w:noProof/>
          <w:lang w:val="en-GB" w:eastAsia="en-IE"/>
        </w:rPr>
        <w:t>the new timelines for shift and cessation of responsibility or the new cessation ground for asylum decisions taken in the border procedure.</w:t>
      </w:r>
    </w:p>
    <w:p w14:paraId="115D3600" w14:textId="21DD7B72" w:rsidR="006B25DA" w:rsidRDefault="000A7F4D" w:rsidP="00CF28D6">
      <w:pPr>
        <w:pStyle w:val="BodyText"/>
        <w:spacing w:after="120"/>
        <w:jc w:val="both"/>
        <w:rPr>
          <w:rFonts w:ascii="Times New Roman" w:eastAsia="Times New Roman" w:hAnsi="Times New Roman" w:cs="Times New Roman"/>
          <w:i w:val="0"/>
          <w:noProof/>
          <w:lang w:val="en-GB" w:eastAsia="en-IE"/>
        </w:rPr>
      </w:pPr>
      <w:r w:rsidRPr="00C12801">
        <w:rPr>
          <w:rFonts w:ascii="Times New Roman" w:eastAsia="Times New Roman" w:hAnsi="Times New Roman" w:cs="Times New Roman"/>
          <w:i w:val="0"/>
          <w:iCs w:val="0"/>
          <w:noProof/>
          <w:szCs w:val="20"/>
          <w:lang w:val="en-GB" w:eastAsia="en-IE"/>
        </w:rPr>
        <w:t xml:space="preserve">With the Pact on Migration and Asylum, Eurodac will become part of an </w:t>
      </w:r>
      <w:r w:rsidRPr="002C2A46">
        <w:rPr>
          <w:rFonts w:ascii="Times New Roman" w:eastAsia="Times New Roman" w:hAnsi="Times New Roman" w:cs="Times New Roman"/>
          <w:b/>
          <w:bCs/>
          <w:i w:val="0"/>
          <w:iCs w:val="0"/>
          <w:noProof/>
          <w:szCs w:val="20"/>
          <w:lang w:val="en-GB" w:eastAsia="en-IE"/>
        </w:rPr>
        <w:t>interoperable, and integrated migration and border management system</w:t>
      </w:r>
      <w:r w:rsidRPr="00C12801">
        <w:rPr>
          <w:rFonts w:ascii="Times New Roman" w:eastAsia="Times New Roman" w:hAnsi="Times New Roman" w:cs="Times New Roman"/>
          <w:i w:val="0"/>
          <w:iCs w:val="0"/>
          <w:noProof/>
          <w:lang w:val="en-GB" w:eastAsia="en-IE"/>
        </w:rPr>
        <w:t>.</w:t>
      </w:r>
      <w:r>
        <w:rPr>
          <w:rFonts w:ascii="Times New Roman" w:eastAsia="Times New Roman" w:hAnsi="Times New Roman" w:cs="Times New Roman"/>
          <w:i w:val="0"/>
          <w:iCs w:val="0"/>
          <w:noProof/>
          <w:szCs w:val="20"/>
          <w:lang w:val="en-GB" w:eastAsia="en-IE"/>
        </w:rPr>
        <w:t xml:space="preserve"> </w:t>
      </w:r>
      <w:r w:rsidR="006B25DA" w:rsidRPr="008C708B">
        <w:rPr>
          <w:rFonts w:ascii="Times New Roman" w:eastAsia="Times New Roman" w:hAnsi="Times New Roman" w:cs="Times New Roman"/>
          <w:i w:val="0"/>
          <w:iCs w:val="0"/>
          <w:noProof/>
          <w:lang w:val="en-GB" w:eastAsia="en-IE"/>
        </w:rPr>
        <w:t xml:space="preserve">The </w:t>
      </w:r>
      <w:r w:rsidR="006B25DA">
        <w:rPr>
          <w:rFonts w:ascii="Times New Roman" w:eastAsia="Times New Roman" w:hAnsi="Times New Roman" w:cs="Times New Roman"/>
          <w:i w:val="0"/>
          <w:iCs w:val="0"/>
          <w:noProof/>
          <w:lang w:val="en-GB" w:eastAsia="en-IE"/>
        </w:rPr>
        <w:t xml:space="preserve">requirements of the </w:t>
      </w:r>
      <w:r w:rsidR="006B25DA" w:rsidRPr="008C708B">
        <w:rPr>
          <w:rFonts w:ascii="Times New Roman" w:eastAsia="Times New Roman" w:hAnsi="Times New Roman" w:cs="Times New Roman"/>
          <w:i w:val="0"/>
          <w:iCs w:val="0"/>
          <w:noProof/>
          <w:lang w:val="en-GB" w:eastAsia="en-IE"/>
        </w:rPr>
        <w:t>new system</w:t>
      </w:r>
      <w:r w:rsidR="006B25DA" w:rsidRPr="00130167">
        <w:rPr>
          <w:rFonts w:ascii="Times New Roman" w:eastAsia="Times New Roman" w:hAnsi="Times New Roman" w:cs="Times New Roman"/>
          <w:i w:val="0"/>
          <w:noProof/>
          <w:lang w:val="en-GB" w:eastAsia="en-IE"/>
        </w:rPr>
        <w:t xml:space="preserve"> </w:t>
      </w:r>
      <w:r w:rsidR="006B25DA">
        <w:rPr>
          <w:rFonts w:ascii="Times New Roman" w:eastAsia="Times New Roman" w:hAnsi="Times New Roman" w:cs="Times New Roman"/>
          <w:i w:val="0"/>
          <w:iCs w:val="0"/>
          <w:noProof/>
          <w:lang w:val="en-GB" w:eastAsia="en-IE"/>
        </w:rPr>
        <w:t>go well beyond a mere</w:t>
      </w:r>
      <w:r w:rsidR="006B25DA" w:rsidRPr="00130167">
        <w:rPr>
          <w:rFonts w:ascii="Times New Roman" w:eastAsia="Times New Roman" w:hAnsi="Times New Roman" w:cs="Times New Roman"/>
          <w:i w:val="0"/>
          <w:noProof/>
          <w:lang w:val="en-GB" w:eastAsia="en-IE"/>
        </w:rPr>
        <w:t xml:space="preserve"> </w:t>
      </w:r>
      <w:r w:rsidR="006B25DA" w:rsidRPr="008C708B">
        <w:rPr>
          <w:rFonts w:ascii="Times New Roman" w:eastAsia="Times New Roman" w:hAnsi="Times New Roman" w:cs="Times New Roman"/>
          <w:i w:val="0"/>
          <w:iCs w:val="0"/>
          <w:noProof/>
          <w:lang w:val="en-GB" w:eastAsia="en-IE"/>
        </w:rPr>
        <w:t xml:space="preserve">transformation of the current </w:t>
      </w:r>
      <w:r w:rsidR="006B25DA">
        <w:rPr>
          <w:rFonts w:ascii="Times New Roman" w:eastAsia="Times New Roman" w:hAnsi="Times New Roman" w:cs="Times New Roman"/>
          <w:i w:val="0"/>
          <w:iCs w:val="0"/>
          <w:noProof/>
          <w:lang w:val="en-GB" w:eastAsia="en-IE"/>
        </w:rPr>
        <w:t>Eurodac</w:t>
      </w:r>
      <w:r w:rsidR="006B25DA" w:rsidRPr="008C708B">
        <w:rPr>
          <w:rFonts w:ascii="Times New Roman" w:eastAsia="Times New Roman" w:hAnsi="Times New Roman" w:cs="Times New Roman"/>
          <w:i w:val="0"/>
          <w:iCs w:val="0"/>
          <w:noProof/>
          <w:lang w:val="en-GB" w:eastAsia="en-IE"/>
        </w:rPr>
        <w:t xml:space="preserve">. Given the much wider scope of the </w:t>
      </w:r>
      <w:r w:rsidR="006B25DA" w:rsidRPr="00130167">
        <w:rPr>
          <w:rFonts w:ascii="Times New Roman" w:eastAsia="Times New Roman" w:hAnsi="Times New Roman" w:cs="Times New Roman"/>
          <w:i w:val="0"/>
          <w:noProof/>
          <w:lang w:val="en-GB" w:eastAsia="en-IE"/>
        </w:rPr>
        <w:t xml:space="preserve">database </w:t>
      </w:r>
      <w:r w:rsidR="006B25DA" w:rsidRPr="008C708B">
        <w:rPr>
          <w:rFonts w:ascii="Times New Roman" w:eastAsia="Times New Roman" w:hAnsi="Times New Roman" w:cs="Times New Roman"/>
          <w:i w:val="0"/>
          <w:iCs w:val="0"/>
          <w:noProof/>
          <w:lang w:val="en-GB" w:eastAsia="en-IE"/>
        </w:rPr>
        <w:t xml:space="preserve">and the significantly increased </w:t>
      </w:r>
      <w:r w:rsidR="006B25DA" w:rsidRPr="00130167">
        <w:rPr>
          <w:rFonts w:ascii="Times New Roman" w:eastAsia="Times New Roman" w:hAnsi="Times New Roman" w:cs="Times New Roman"/>
          <w:i w:val="0"/>
          <w:noProof/>
          <w:lang w:val="en-GB" w:eastAsia="en-IE"/>
        </w:rPr>
        <w:t>functionalities</w:t>
      </w:r>
      <w:r w:rsidR="006B25DA" w:rsidRPr="008C708B">
        <w:rPr>
          <w:rFonts w:ascii="Times New Roman" w:eastAsia="Times New Roman" w:hAnsi="Times New Roman" w:cs="Times New Roman"/>
          <w:i w:val="0"/>
          <w:iCs w:val="0"/>
          <w:noProof/>
          <w:lang w:val="en-GB" w:eastAsia="en-IE"/>
        </w:rPr>
        <w:t xml:space="preserve">, the new system will need to be </w:t>
      </w:r>
      <w:r w:rsidR="006B25DA" w:rsidRPr="00875D88">
        <w:rPr>
          <w:rFonts w:ascii="Times New Roman" w:eastAsia="Times New Roman" w:hAnsi="Times New Roman" w:cs="Times New Roman"/>
          <w:i w:val="0"/>
          <w:iCs w:val="0"/>
          <w:noProof/>
          <w:lang w:val="en-GB" w:eastAsia="en-IE"/>
        </w:rPr>
        <w:t>complet</w:t>
      </w:r>
      <w:r w:rsidR="006B25DA">
        <w:rPr>
          <w:rFonts w:ascii="Times New Roman" w:eastAsia="Times New Roman" w:hAnsi="Times New Roman" w:cs="Times New Roman"/>
          <w:i w:val="0"/>
          <w:iCs w:val="0"/>
          <w:noProof/>
          <w:lang w:val="en-GB" w:eastAsia="en-IE"/>
        </w:rPr>
        <w:t>ely</w:t>
      </w:r>
      <w:r w:rsidR="006B25DA" w:rsidRPr="008C708B">
        <w:rPr>
          <w:rFonts w:ascii="Times New Roman" w:eastAsia="Times New Roman" w:hAnsi="Times New Roman" w:cs="Times New Roman"/>
          <w:i w:val="0"/>
          <w:iCs w:val="0"/>
          <w:noProof/>
          <w:lang w:val="en-GB" w:eastAsia="en-IE"/>
        </w:rPr>
        <w:t xml:space="preserve"> built from scratch. This is true both </w:t>
      </w:r>
      <w:r w:rsidR="006B25DA">
        <w:rPr>
          <w:rFonts w:ascii="Times New Roman" w:eastAsia="Times New Roman" w:hAnsi="Times New Roman" w:cs="Times New Roman"/>
          <w:i w:val="0"/>
          <w:iCs w:val="0"/>
          <w:noProof/>
          <w:lang w:val="en-GB" w:eastAsia="en-IE"/>
        </w:rPr>
        <w:t>for</w:t>
      </w:r>
      <w:r w:rsidR="006B25DA" w:rsidRPr="008C708B">
        <w:rPr>
          <w:rFonts w:ascii="Times New Roman" w:eastAsia="Times New Roman" w:hAnsi="Times New Roman" w:cs="Times New Roman"/>
          <w:i w:val="0"/>
          <w:iCs w:val="0"/>
          <w:noProof/>
          <w:lang w:val="en-GB" w:eastAsia="en-IE"/>
        </w:rPr>
        <w:t xml:space="preserve"> the database itself that eu-LISA will build and for each of the</w:t>
      </w:r>
      <w:r w:rsidR="006B25DA" w:rsidRPr="00130167">
        <w:rPr>
          <w:rFonts w:ascii="Times New Roman" w:eastAsia="Times New Roman" w:hAnsi="Times New Roman" w:cs="Times New Roman"/>
          <w:i w:val="0"/>
          <w:noProof/>
          <w:lang w:val="en-GB" w:eastAsia="en-IE"/>
        </w:rPr>
        <w:t xml:space="preserve"> national </w:t>
      </w:r>
      <w:r w:rsidR="006B25DA" w:rsidRPr="008C708B">
        <w:rPr>
          <w:rFonts w:ascii="Times New Roman" w:eastAsia="Times New Roman" w:hAnsi="Times New Roman" w:cs="Times New Roman"/>
          <w:i w:val="0"/>
          <w:iCs w:val="0"/>
          <w:noProof/>
          <w:lang w:val="en-GB" w:eastAsia="en-IE"/>
        </w:rPr>
        <w:t>components</w:t>
      </w:r>
      <w:r w:rsidR="006B25DA">
        <w:rPr>
          <w:rFonts w:ascii="Times New Roman" w:eastAsia="Times New Roman" w:hAnsi="Times New Roman" w:cs="Times New Roman"/>
          <w:i w:val="0"/>
          <w:iCs w:val="0"/>
          <w:noProof/>
          <w:lang w:val="en-GB" w:eastAsia="en-IE"/>
        </w:rPr>
        <w:t xml:space="preserve"> that Member States must build and</w:t>
      </w:r>
      <w:r w:rsidR="006B25DA" w:rsidRPr="008C708B">
        <w:rPr>
          <w:rFonts w:ascii="Times New Roman" w:eastAsia="Times New Roman" w:hAnsi="Times New Roman" w:cs="Times New Roman"/>
          <w:i w:val="0"/>
          <w:iCs w:val="0"/>
          <w:noProof/>
          <w:lang w:val="en-GB" w:eastAsia="en-IE"/>
        </w:rPr>
        <w:t xml:space="preserve"> that will need to be connected to the </w:t>
      </w:r>
      <w:r w:rsidR="006B25DA" w:rsidRPr="009A3978">
        <w:rPr>
          <w:rFonts w:ascii="Times New Roman" w:eastAsia="Times New Roman" w:hAnsi="Times New Roman" w:cs="Times New Roman"/>
          <w:i w:val="0"/>
          <w:iCs w:val="0"/>
          <w:noProof/>
          <w:lang w:val="en-GB" w:eastAsia="en-IE"/>
        </w:rPr>
        <w:t>database.</w:t>
      </w:r>
      <w:r w:rsidR="006B25DA" w:rsidRPr="009A3978">
        <w:rPr>
          <w:rFonts w:ascii="Times New Roman" w:eastAsia="Times New Roman" w:hAnsi="Times New Roman" w:cs="Times New Roman"/>
          <w:i w:val="0"/>
          <w:noProof/>
          <w:lang w:val="en-GB" w:eastAsia="en-IE"/>
        </w:rPr>
        <w:t xml:space="preserve"> In terms of the way in which competent authorities apply the Eurodac Regulation, biometrics have to be taken in full respect of the person’s dignity and physical integrity.</w:t>
      </w:r>
      <w:r w:rsidR="00492DAB">
        <w:rPr>
          <w:rFonts w:ascii="Times New Roman" w:eastAsia="Times New Roman" w:hAnsi="Times New Roman" w:cs="Times New Roman"/>
          <w:i w:val="0"/>
          <w:noProof/>
          <w:lang w:val="en-GB" w:eastAsia="en-IE"/>
        </w:rPr>
        <w:t xml:space="preserve"> </w:t>
      </w:r>
      <w:r w:rsidR="008176B6">
        <w:rPr>
          <w:rFonts w:ascii="Times New Roman" w:eastAsia="Times New Roman" w:hAnsi="Times New Roman" w:cs="Times New Roman"/>
          <w:i w:val="0"/>
          <w:noProof/>
          <w:lang w:val="en-GB" w:eastAsia="en-IE"/>
        </w:rPr>
        <w:t>M</w:t>
      </w:r>
      <w:r w:rsidR="000455C7">
        <w:rPr>
          <w:rFonts w:ascii="Times New Roman" w:eastAsia="Times New Roman" w:hAnsi="Times New Roman" w:cs="Times New Roman"/>
          <w:i w:val="0"/>
          <w:noProof/>
          <w:lang w:val="en-GB" w:eastAsia="en-IE"/>
        </w:rPr>
        <w:t>ember States</w:t>
      </w:r>
      <w:r w:rsidR="008176B6">
        <w:rPr>
          <w:rFonts w:ascii="Times New Roman" w:eastAsia="Times New Roman" w:hAnsi="Times New Roman" w:cs="Times New Roman"/>
          <w:i w:val="0"/>
          <w:noProof/>
          <w:lang w:val="en-GB" w:eastAsia="en-IE"/>
        </w:rPr>
        <w:t xml:space="preserve"> should factor in </w:t>
      </w:r>
      <w:r w:rsidR="003E2880">
        <w:rPr>
          <w:rFonts w:ascii="Times New Roman" w:eastAsia="Times New Roman" w:hAnsi="Times New Roman" w:cs="Times New Roman"/>
          <w:i w:val="0"/>
          <w:noProof/>
          <w:lang w:val="en-GB" w:eastAsia="en-IE"/>
        </w:rPr>
        <w:t>their review and planning</w:t>
      </w:r>
      <w:r w:rsidR="008176B6">
        <w:rPr>
          <w:rFonts w:ascii="Times New Roman" w:eastAsia="Times New Roman" w:hAnsi="Times New Roman" w:cs="Times New Roman"/>
          <w:i w:val="0"/>
          <w:noProof/>
          <w:lang w:val="en-GB" w:eastAsia="en-IE"/>
        </w:rPr>
        <w:t xml:space="preserve"> the potential</w:t>
      </w:r>
      <w:r w:rsidR="006B25DA" w:rsidRPr="009A3978">
        <w:rPr>
          <w:rFonts w:ascii="Times New Roman" w:eastAsia="Times New Roman" w:hAnsi="Times New Roman" w:cs="Times New Roman"/>
          <w:i w:val="0"/>
          <w:noProof/>
          <w:lang w:val="en-GB" w:eastAsia="en-IE"/>
        </w:rPr>
        <w:t xml:space="preserve"> </w:t>
      </w:r>
      <w:r w:rsidR="00492DAB">
        <w:rPr>
          <w:rFonts w:ascii="Times New Roman" w:eastAsia="Times New Roman" w:hAnsi="Times New Roman" w:cs="Times New Roman"/>
          <w:i w:val="0"/>
          <w:noProof/>
          <w:lang w:val="en-GB" w:eastAsia="en-IE"/>
        </w:rPr>
        <w:t xml:space="preserve">impact on the workload of </w:t>
      </w:r>
      <w:r w:rsidR="006B25DA" w:rsidRPr="009A3978">
        <w:rPr>
          <w:rFonts w:ascii="Times New Roman" w:eastAsia="Times New Roman" w:hAnsi="Times New Roman" w:cs="Times New Roman"/>
          <w:i w:val="0"/>
          <w:noProof/>
          <w:lang w:val="en-GB" w:eastAsia="en-IE"/>
        </w:rPr>
        <w:t>Data Protection Authorities.</w:t>
      </w:r>
    </w:p>
    <w:p w14:paraId="3FED5C44" w14:textId="77777777" w:rsidR="006B25DA" w:rsidRPr="00C12801" w:rsidRDefault="006B25DA" w:rsidP="00CF28D6">
      <w:pPr>
        <w:pStyle w:val="BodyText"/>
        <w:spacing w:after="120"/>
        <w:jc w:val="both"/>
        <w:rPr>
          <w:rFonts w:ascii="Times New Roman" w:eastAsia="Times New Roman" w:hAnsi="Times New Roman" w:cs="Times New Roman"/>
          <w:i w:val="0"/>
          <w:iCs w:val="0"/>
          <w:noProof/>
          <w:lang w:val="en-GB" w:eastAsia="en-IE"/>
        </w:rPr>
      </w:pPr>
      <w:r w:rsidRPr="00C12801">
        <w:rPr>
          <w:rFonts w:ascii="Times New Roman" w:eastAsia="Times New Roman" w:hAnsi="Times New Roman" w:cs="Times New Roman"/>
          <w:i w:val="0"/>
          <w:iCs w:val="0"/>
          <w:noProof/>
          <w:lang w:val="en-GB" w:eastAsia="en-IE"/>
        </w:rPr>
        <w:t xml:space="preserve">In this context, all actors </w:t>
      </w:r>
      <w:r>
        <w:rPr>
          <w:rFonts w:ascii="Times New Roman" w:eastAsia="Times New Roman" w:hAnsi="Times New Roman" w:cs="Times New Roman"/>
          <w:i w:val="0"/>
          <w:iCs w:val="0"/>
          <w:noProof/>
          <w:lang w:val="en-GB" w:eastAsia="en-IE"/>
        </w:rPr>
        <w:t>should</w:t>
      </w:r>
      <w:r w:rsidRPr="00C12801">
        <w:rPr>
          <w:rFonts w:ascii="Times New Roman" w:eastAsia="Times New Roman" w:hAnsi="Times New Roman" w:cs="Times New Roman"/>
          <w:i w:val="0"/>
          <w:iCs w:val="0"/>
          <w:noProof/>
          <w:lang w:val="en-GB" w:eastAsia="en-IE"/>
        </w:rPr>
        <w:t xml:space="preserve"> take the following actions so that Eurodac key functionalities </w:t>
      </w:r>
      <w:r>
        <w:rPr>
          <w:rFonts w:ascii="Times New Roman" w:eastAsia="Times New Roman" w:hAnsi="Times New Roman" w:cs="Times New Roman"/>
          <w:i w:val="0"/>
          <w:iCs w:val="0"/>
          <w:noProof/>
          <w:lang w:val="en-GB" w:eastAsia="en-IE"/>
        </w:rPr>
        <w:t>are</w:t>
      </w:r>
      <w:r w:rsidRPr="00C12801">
        <w:rPr>
          <w:rFonts w:ascii="Times New Roman" w:eastAsia="Times New Roman" w:hAnsi="Times New Roman" w:cs="Times New Roman"/>
          <w:i w:val="0"/>
          <w:iCs w:val="0"/>
          <w:noProof/>
          <w:lang w:val="en-GB" w:eastAsia="en-IE"/>
        </w:rPr>
        <w:t xml:space="preserve"> available and Member States’ systems ready to use them by the end of the transition period:</w:t>
      </w:r>
    </w:p>
    <w:p w14:paraId="079D3EF9" w14:textId="569749F9" w:rsidR="006B25DA" w:rsidRPr="00C12801" w:rsidRDefault="006B25DA" w:rsidP="006B25DA">
      <w:pPr>
        <w:pStyle w:val="BodyText"/>
        <w:spacing w:after="120"/>
        <w:jc w:val="both"/>
        <w:rPr>
          <w:rFonts w:ascii="Times New Roman" w:eastAsia="Times New Roman" w:hAnsi="Times New Roman" w:cs="Times New Roman"/>
          <w:i w:val="0"/>
          <w:noProof/>
          <w:szCs w:val="20"/>
          <w:lang w:val="en-GB" w:eastAsia="en-IE"/>
        </w:rPr>
      </w:pPr>
      <w:r w:rsidRPr="00C12801">
        <w:rPr>
          <w:rFonts w:ascii="Times New Roman" w:eastAsia="Times New Roman" w:hAnsi="Times New Roman" w:cs="Times New Roman"/>
          <w:b/>
          <w:bCs/>
          <w:i w:val="0"/>
          <w:noProof/>
          <w:szCs w:val="20"/>
          <w:lang w:val="en-GB" w:eastAsia="en-IE"/>
        </w:rPr>
        <w:t>Member State</w:t>
      </w:r>
    </w:p>
    <w:p w14:paraId="36859BFE" w14:textId="77777777" w:rsidR="006B25DA" w:rsidRPr="00C12801" w:rsidRDefault="006B25DA" w:rsidP="006B25DA">
      <w:pPr>
        <w:spacing w:after="120"/>
        <w:ind w:left="68"/>
        <w:rPr>
          <w:bCs/>
          <w:i/>
          <w:iCs/>
          <w:noProof/>
        </w:rPr>
      </w:pPr>
      <w:r w:rsidRPr="00C12801">
        <w:rPr>
          <w:bCs/>
          <w:i/>
          <w:iCs/>
          <w:noProof/>
        </w:rPr>
        <w:t>Legislation</w:t>
      </w:r>
    </w:p>
    <w:p w14:paraId="7E307BF7" w14:textId="18D74E9A" w:rsidR="00DE276F" w:rsidRDefault="006B25DA" w:rsidP="008F7A7A">
      <w:pPr>
        <w:pStyle w:val="ListParagraph"/>
        <w:numPr>
          <w:ilvl w:val="0"/>
          <w:numId w:val="28"/>
        </w:numPr>
        <w:spacing w:after="120"/>
        <w:ind w:left="709" w:hanging="425"/>
        <w:contextualSpacing w:val="0"/>
        <w:rPr>
          <w:noProof/>
        </w:rPr>
      </w:pPr>
      <w:r w:rsidRPr="00C12801">
        <w:rPr>
          <w:noProof/>
        </w:rPr>
        <w:t xml:space="preserve">Member States will have to </w:t>
      </w:r>
      <w:r w:rsidRPr="008F7A7A">
        <w:rPr>
          <w:b/>
          <w:bCs/>
          <w:noProof/>
        </w:rPr>
        <w:t>review their national regulatory frameworks</w:t>
      </w:r>
      <w:r w:rsidRPr="00C12801">
        <w:rPr>
          <w:noProof/>
        </w:rPr>
        <w:t xml:space="preserve"> </w:t>
      </w:r>
      <w:r>
        <w:rPr>
          <w:noProof/>
        </w:rPr>
        <w:t xml:space="preserve">and adjust them as necessary </w:t>
      </w:r>
      <w:r w:rsidRPr="00C12801">
        <w:rPr>
          <w:noProof/>
        </w:rPr>
        <w:t xml:space="preserve">to ensure legal and operational access to the system for all </w:t>
      </w:r>
      <w:r>
        <w:rPr>
          <w:noProof/>
        </w:rPr>
        <w:t>competent</w:t>
      </w:r>
      <w:r w:rsidRPr="00C12801">
        <w:rPr>
          <w:noProof/>
        </w:rPr>
        <w:t xml:space="preserve"> authorities, such as asylum authorities or border </w:t>
      </w:r>
      <w:r w:rsidRPr="00970C00">
        <w:rPr>
          <w:noProof/>
        </w:rPr>
        <w:t>guards, in compliance with EU data protection law.</w:t>
      </w:r>
    </w:p>
    <w:p w14:paraId="0009B9EC" w14:textId="77777777" w:rsidR="00D339B6" w:rsidRPr="00970C00" w:rsidRDefault="00D339B6" w:rsidP="00D339B6">
      <w:pPr>
        <w:pStyle w:val="ListParagraph"/>
        <w:spacing w:after="120"/>
        <w:ind w:left="709"/>
        <w:contextualSpacing w:val="0"/>
        <w:rPr>
          <w:noProof/>
        </w:rPr>
      </w:pPr>
    </w:p>
    <w:p w14:paraId="201DFC2E" w14:textId="77777777" w:rsidR="006B25DA" w:rsidRPr="00C12801" w:rsidRDefault="006B25DA" w:rsidP="006B25DA">
      <w:pPr>
        <w:spacing w:after="120"/>
        <w:rPr>
          <w:i/>
          <w:iCs/>
          <w:noProof/>
        </w:rPr>
      </w:pPr>
      <w:r>
        <w:rPr>
          <w:i/>
          <w:iCs/>
          <w:noProof/>
        </w:rPr>
        <w:t>Organisation</w:t>
      </w:r>
      <w:r w:rsidRPr="00C12801">
        <w:rPr>
          <w:i/>
          <w:iCs/>
          <w:noProof/>
        </w:rPr>
        <w:t xml:space="preserve"> and administrative processes</w:t>
      </w:r>
    </w:p>
    <w:p w14:paraId="39602623" w14:textId="77777777" w:rsidR="006B25DA" w:rsidRPr="00C12801" w:rsidRDefault="006B25DA" w:rsidP="002740E8">
      <w:pPr>
        <w:pStyle w:val="ListParagraph"/>
        <w:numPr>
          <w:ilvl w:val="0"/>
          <w:numId w:val="31"/>
        </w:numPr>
        <w:spacing w:after="120"/>
        <w:contextualSpacing w:val="0"/>
        <w:rPr>
          <w:noProof/>
        </w:rPr>
      </w:pPr>
      <w:r w:rsidRPr="00C12801">
        <w:rPr>
          <w:noProof/>
        </w:rPr>
        <w:t xml:space="preserve">Member States </w:t>
      </w:r>
      <w:r>
        <w:rPr>
          <w:noProof/>
        </w:rPr>
        <w:t>will have to</w:t>
      </w:r>
      <w:r w:rsidRPr="00C12801">
        <w:rPr>
          <w:noProof/>
        </w:rPr>
        <w:t xml:space="preserve"> </w:t>
      </w:r>
      <w:r w:rsidRPr="008F7A7A">
        <w:rPr>
          <w:b/>
          <w:bCs/>
          <w:noProof/>
        </w:rPr>
        <w:t>notify the Commission of the designated and verifying authorities for Eurodac</w:t>
      </w:r>
      <w:r w:rsidRPr="00C12801">
        <w:rPr>
          <w:noProof/>
        </w:rPr>
        <w:t xml:space="preserve"> within </w:t>
      </w:r>
      <w:r w:rsidRPr="008F7A7A">
        <w:rPr>
          <w:b/>
          <w:bCs/>
          <w:noProof/>
        </w:rPr>
        <w:t>three months</w:t>
      </w:r>
      <w:r w:rsidRPr="00C12801">
        <w:rPr>
          <w:noProof/>
        </w:rPr>
        <w:t xml:space="preserve"> of entry into force of the regulation.</w:t>
      </w:r>
    </w:p>
    <w:p w14:paraId="7FFF27B7" w14:textId="4685C06D" w:rsidR="006B25DA" w:rsidRDefault="006B25DA" w:rsidP="008F7A7A">
      <w:pPr>
        <w:pStyle w:val="ListParagraph"/>
        <w:numPr>
          <w:ilvl w:val="0"/>
          <w:numId w:val="31"/>
        </w:numPr>
        <w:spacing w:after="120"/>
        <w:contextualSpacing w:val="0"/>
        <w:rPr>
          <w:noProof/>
        </w:rPr>
      </w:pPr>
      <w:r>
        <w:rPr>
          <w:noProof/>
        </w:rPr>
        <w:t xml:space="preserve">The new Eurodac brings many new </w:t>
      </w:r>
      <w:r w:rsidR="00E114A5">
        <w:rPr>
          <w:noProof/>
        </w:rPr>
        <w:t>functionalities</w:t>
      </w:r>
      <w:r>
        <w:rPr>
          <w:noProof/>
        </w:rPr>
        <w:t xml:space="preserve">, but not all of them can be considered a </w:t>
      </w:r>
      <w:r w:rsidRPr="20EC2015">
        <w:rPr>
          <w:noProof/>
        </w:rPr>
        <w:t>critical precondition for other elements of the Pact to be implemented</w:t>
      </w:r>
      <w:r w:rsidR="00E114A5">
        <w:rPr>
          <w:noProof/>
        </w:rPr>
        <w:t xml:space="preserve"> by mid-2026</w:t>
      </w:r>
      <w:r w:rsidR="00657DB9">
        <w:rPr>
          <w:noProof/>
        </w:rPr>
        <w:t xml:space="preserve"> (e.g., the new category of beneficiaries of temporary protection)</w:t>
      </w:r>
      <w:r>
        <w:rPr>
          <w:noProof/>
        </w:rPr>
        <w:t xml:space="preserve">. Therefore, given </w:t>
      </w:r>
      <w:r w:rsidRPr="006C337C">
        <w:rPr>
          <w:noProof/>
        </w:rPr>
        <w:t>the challenging deadline, a</w:t>
      </w:r>
      <w:r w:rsidR="000007B2">
        <w:rPr>
          <w:noProof/>
        </w:rPr>
        <w:t xml:space="preserve"> common understanding</w:t>
      </w:r>
      <w:r w:rsidRPr="006C337C">
        <w:rPr>
          <w:noProof/>
        </w:rPr>
        <w:t xml:space="preserve"> </w:t>
      </w:r>
      <w:r>
        <w:rPr>
          <w:noProof/>
        </w:rPr>
        <w:t>should</w:t>
      </w:r>
      <w:r w:rsidRPr="006C337C">
        <w:rPr>
          <w:noProof/>
        </w:rPr>
        <w:t xml:space="preserve"> be reached </w:t>
      </w:r>
      <w:r w:rsidR="00C54844">
        <w:rPr>
          <w:noProof/>
        </w:rPr>
        <w:t>between Member States</w:t>
      </w:r>
      <w:r w:rsidR="00776C0B">
        <w:rPr>
          <w:noProof/>
        </w:rPr>
        <w:t>,</w:t>
      </w:r>
      <w:r w:rsidR="00C54844">
        <w:rPr>
          <w:noProof/>
        </w:rPr>
        <w:t xml:space="preserve"> eu-LISA and </w:t>
      </w:r>
      <w:r w:rsidR="00776C0B">
        <w:rPr>
          <w:noProof/>
        </w:rPr>
        <w:t xml:space="preserve">the </w:t>
      </w:r>
      <w:r w:rsidR="00C54844">
        <w:rPr>
          <w:noProof/>
        </w:rPr>
        <w:t>Commission</w:t>
      </w:r>
      <w:r w:rsidR="00C54844" w:rsidRPr="006C337C">
        <w:rPr>
          <w:noProof/>
        </w:rPr>
        <w:t xml:space="preserve"> </w:t>
      </w:r>
      <w:r w:rsidRPr="006C337C">
        <w:rPr>
          <w:noProof/>
        </w:rPr>
        <w:t xml:space="preserve">on </w:t>
      </w:r>
      <w:r>
        <w:rPr>
          <w:noProof/>
        </w:rPr>
        <w:t xml:space="preserve">which </w:t>
      </w:r>
      <w:r w:rsidRPr="006C337C">
        <w:rPr>
          <w:noProof/>
        </w:rPr>
        <w:t xml:space="preserve">Eurodac </w:t>
      </w:r>
      <w:r>
        <w:rPr>
          <w:noProof/>
        </w:rPr>
        <w:t>functionalities</w:t>
      </w:r>
      <w:r w:rsidR="00B756B0">
        <w:rPr>
          <w:noProof/>
        </w:rPr>
        <w:t xml:space="preserve"> </w:t>
      </w:r>
      <w:r w:rsidR="006F0B4C">
        <w:rPr>
          <w:noProof/>
        </w:rPr>
        <w:t>should</w:t>
      </w:r>
      <w:r w:rsidR="00B756B0">
        <w:rPr>
          <w:noProof/>
        </w:rPr>
        <w:t xml:space="preserve"> be prioritised</w:t>
      </w:r>
      <w:r w:rsidR="006F0B4C">
        <w:rPr>
          <w:noProof/>
        </w:rPr>
        <w:t xml:space="preserve"> </w:t>
      </w:r>
      <w:r w:rsidRPr="006C337C">
        <w:rPr>
          <w:noProof/>
        </w:rPr>
        <w:t xml:space="preserve">for the implementation of the </w:t>
      </w:r>
      <w:r>
        <w:rPr>
          <w:noProof/>
        </w:rPr>
        <w:t>P</w:t>
      </w:r>
      <w:r w:rsidRPr="006C337C">
        <w:rPr>
          <w:noProof/>
        </w:rPr>
        <w:t xml:space="preserve">act. </w:t>
      </w:r>
      <w:r w:rsidR="00694EEF">
        <w:rPr>
          <w:noProof/>
        </w:rPr>
        <w:t>Similarly</w:t>
      </w:r>
      <w:r w:rsidR="006663B1">
        <w:rPr>
          <w:noProof/>
        </w:rPr>
        <w:t>,</w:t>
      </w:r>
      <w:r w:rsidR="00694EEF">
        <w:rPr>
          <w:noProof/>
        </w:rPr>
        <w:t xml:space="preserve"> a common understanding </w:t>
      </w:r>
      <w:r>
        <w:rPr>
          <w:noProof/>
        </w:rPr>
        <w:t>regarding the relative weight of different technical solutions to be implemented (centralised solutions and national systems, see below)</w:t>
      </w:r>
      <w:r w:rsidR="00694EEF">
        <w:rPr>
          <w:noProof/>
        </w:rPr>
        <w:t xml:space="preserve"> should be reached</w:t>
      </w:r>
      <w:r>
        <w:rPr>
          <w:noProof/>
        </w:rPr>
        <w:t xml:space="preserve">. </w:t>
      </w:r>
    </w:p>
    <w:p w14:paraId="7AA395CE" w14:textId="77777777" w:rsidR="006B25DA" w:rsidRPr="00970C00" w:rsidRDefault="006B25DA" w:rsidP="002740E8">
      <w:pPr>
        <w:pStyle w:val="ListParagraph"/>
        <w:numPr>
          <w:ilvl w:val="0"/>
          <w:numId w:val="31"/>
        </w:numPr>
        <w:spacing w:after="120"/>
        <w:ind w:left="709" w:hanging="425"/>
        <w:rPr>
          <w:noProof/>
        </w:rPr>
      </w:pPr>
      <w:r>
        <w:rPr>
          <w:noProof/>
        </w:rPr>
        <w:t xml:space="preserve">Member States should </w:t>
      </w:r>
      <w:r w:rsidRPr="008F7A7A">
        <w:rPr>
          <w:b/>
          <w:bCs/>
          <w:noProof/>
        </w:rPr>
        <w:t>revise their internal workflows and standard operation procedures</w:t>
      </w:r>
      <w:r>
        <w:rPr>
          <w:noProof/>
        </w:rPr>
        <w:t xml:space="preserve"> to ensure the smooth exchange of information between authorities as well as the proper registration of information in </w:t>
      </w:r>
      <w:r w:rsidRPr="00970C00">
        <w:rPr>
          <w:noProof/>
        </w:rPr>
        <w:t>Eurodac, with a specific attention to EU data protection requirements.</w:t>
      </w:r>
    </w:p>
    <w:p w14:paraId="70B709A0" w14:textId="77777777" w:rsidR="006B25DA" w:rsidRPr="00C12801" w:rsidRDefault="006B25DA" w:rsidP="006B25DA">
      <w:pPr>
        <w:spacing w:after="120"/>
        <w:rPr>
          <w:i/>
          <w:noProof/>
        </w:rPr>
      </w:pPr>
      <w:r w:rsidRPr="00C12801">
        <w:rPr>
          <w:bCs/>
          <w:i/>
          <w:iCs/>
          <w:noProof/>
        </w:rPr>
        <w:t>Capacities (</w:t>
      </w:r>
      <w:r w:rsidRPr="00C12801">
        <w:rPr>
          <w:i/>
          <w:iCs/>
          <w:noProof/>
        </w:rPr>
        <w:t>human resources, infrastructure, and equipment)</w:t>
      </w:r>
    </w:p>
    <w:p w14:paraId="38F940D4" w14:textId="77777777" w:rsidR="006B25DA" w:rsidRPr="00DF785C" w:rsidRDefault="006B25DA" w:rsidP="002740E8">
      <w:pPr>
        <w:pStyle w:val="ListParagraph"/>
        <w:numPr>
          <w:ilvl w:val="0"/>
          <w:numId w:val="31"/>
        </w:numPr>
        <w:spacing w:after="120"/>
        <w:ind w:left="714" w:hanging="357"/>
        <w:contextualSpacing w:val="0"/>
        <w:rPr>
          <w:bCs/>
          <w:noProof/>
        </w:rPr>
      </w:pPr>
      <w:r w:rsidRPr="00F8565E">
        <w:rPr>
          <w:noProof/>
        </w:rPr>
        <w:t xml:space="preserve">Member States will have to implement and test the readiness of </w:t>
      </w:r>
      <w:r>
        <w:rPr>
          <w:noProof/>
        </w:rPr>
        <w:t>the Eurodac key functionalities</w:t>
      </w:r>
      <w:r w:rsidRPr="00F8565E">
        <w:rPr>
          <w:noProof/>
        </w:rPr>
        <w:t xml:space="preserve"> at national level to ensure the proper information collection and dissemination via National Access </w:t>
      </w:r>
      <w:r>
        <w:rPr>
          <w:noProof/>
        </w:rPr>
        <w:t>P</w:t>
      </w:r>
      <w:r w:rsidRPr="00F8565E">
        <w:rPr>
          <w:noProof/>
        </w:rPr>
        <w:t>oints.</w:t>
      </w:r>
      <w:r>
        <w:rPr>
          <w:noProof/>
        </w:rPr>
        <w:t xml:space="preserve"> </w:t>
      </w:r>
      <w:r w:rsidRPr="00F8565E">
        <w:rPr>
          <w:noProof/>
        </w:rPr>
        <w:t>Given the challenging deadlines, Member States should consider all options that could reduce and simplify their national development and implementation, such as the use of off</w:t>
      </w:r>
      <w:r>
        <w:rPr>
          <w:noProof/>
        </w:rPr>
        <w:t>-</w:t>
      </w:r>
      <w:r w:rsidRPr="00F8565E">
        <w:rPr>
          <w:noProof/>
        </w:rPr>
        <w:t>the</w:t>
      </w:r>
      <w:r>
        <w:rPr>
          <w:noProof/>
        </w:rPr>
        <w:t>-</w:t>
      </w:r>
      <w:r w:rsidRPr="00F8565E">
        <w:rPr>
          <w:noProof/>
        </w:rPr>
        <w:t>shelf products.</w:t>
      </w:r>
      <w:r>
        <w:rPr>
          <w:noProof/>
        </w:rPr>
        <w:t xml:space="preserve"> </w:t>
      </w:r>
      <w:r w:rsidRPr="008C708B">
        <w:rPr>
          <w:noProof/>
        </w:rPr>
        <w:t xml:space="preserve">The choice </w:t>
      </w:r>
      <w:r>
        <w:rPr>
          <w:noProof/>
        </w:rPr>
        <w:t xml:space="preserve">of whether </w:t>
      </w:r>
      <w:r w:rsidRPr="008C708B">
        <w:rPr>
          <w:noProof/>
        </w:rPr>
        <w:t xml:space="preserve">to go for </w:t>
      </w:r>
      <w:r>
        <w:rPr>
          <w:noProof/>
        </w:rPr>
        <w:t xml:space="preserve">a </w:t>
      </w:r>
      <w:r w:rsidRPr="008C708B">
        <w:rPr>
          <w:noProof/>
        </w:rPr>
        <w:t xml:space="preserve">more central system development </w:t>
      </w:r>
      <w:r>
        <w:rPr>
          <w:noProof/>
        </w:rPr>
        <w:t>by eu-LISA or</w:t>
      </w:r>
      <w:r w:rsidRPr="008C708B">
        <w:rPr>
          <w:noProof/>
        </w:rPr>
        <w:t xml:space="preserve"> more national system development </w:t>
      </w:r>
      <w:r w:rsidRPr="004762AF">
        <w:rPr>
          <w:noProof/>
        </w:rPr>
        <w:t>should also be considered early on. Apart from greatly simplifying development, it could speed-up Eurodac’s delivery and ensure flexibility when faced with the need for last-minute adjustments</w:t>
      </w:r>
      <w:r>
        <w:rPr>
          <w:noProof/>
        </w:rPr>
        <w:t>.</w:t>
      </w:r>
    </w:p>
    <w:p w14:paraId="4D38C8AD" w14:textId="688B3387" w:rsidR="006B25DA" w:rsidRPr="00DF785C" w:rsidRDefault="006B25DA" w:rsidP="002740E8">
      <w:pPr>
        <w:pStyle w:val="ListParagraph"/>
        <w:numPr>
          <w:ilvl w:val="0"/>
          <w:numId w:val="31"/>
        </w:numPr>
        <w:spacing w:after="120"/>
        <w:ind w:left="714" w:hanging="357"/>
        <w:contextualSpacing w:val="0"/>
        <w:rPr>
          <w:bCs/>
          <w:noProof/>
        </w:rPr>
      </w:pPr>
      <w:r>
        <w:rPr>
          <w:noProof/>
        </w:rPr>
        <w:t>Member States should ensure that they have sufficient and appropriately trained personnel to carry out the Eurodac checks, factoring recruitment</w:t>
      </w:r>
      <w:r w:rsidR="00E00517">
        <w:rPr>
          <w:noProof/>
        </w:rPr>
        <w:t>,</w:t>
      </w:r>
      <w:r>
        <w:rPr>
          <w:noProof/>
        </w:rPr>
        <w:t xml:space="preserve"> and training into their planning timelines.</w:t>
      </w:r>
    </w:p>
    <w:p w14:paraId="16776F84" w14:textId="77777777" w:rsidR="006B25DA" w:rsidRDefault="006B25DA" w:rsidP="002740E8">
      <w:pPr>
        <w:pStyle w:val="ListParagraph"/>
        <w:numPr>
          <w:ilvl w:val="0"/>
          <w:numId w:val="31"/>
        </w:numPr>
        <w:spacing w:after="120"/>
        <w:ind w:left="709" w:hanging="425"/>
        <w:contextualSpacing w:val="0"/>
        <w:rPr>
          <w:noProof/>
        </w:rPr>
      </w:pPr>
      <w:r>
        <w:rPr>
          <w:noProof/>
        </w:rPr>
        <w:t xml:space="preserve">Member States </w:t>
      </w:r>
      <w:r w:rsidRPr="00AC171D">
        <w:rPr>
          <w:noProof/>
        </w:rPr>
        <w:t>should</w:t>
      </w:r>
      <w:r>
        <w:rPr>
          <w:noProof/>
        </w:rPr>
        <w:t xml:space="preserve"> also adequately equip their staff to collect and upload in Eurodac the information required in a timely manner (e.g., Eurodac machines, equipment enabling facial image capturing, etc.). This could entail launching procurement to purchase the necessary hardware for Eurodac data collection and meeting the connectivity requirements. Procurement timelines should be anticipated and factored in.</w:t>
      </w:r>
    </w:p>
    <w:p w14:paraId="7D33CC8A" w14:textId="77777777" w:rsidR="00CF7B71" w:rsidRPr="00C12801" w:rsidRDefault="00CF7B71" w:rsidP="00CF7B71">
      <w:pPr>
        <w:tabs>
          <w:tab w:val="num" w:pos="720"/>
          <w:tab w:val="num" w:pos="1332"/>
        </w:tabs>
        <w:spacing w:after="120"/>
        <w:rPr>
          <w:b/>
          <w:bCs/>
          <w:noProof/>
          <w:szCs w:val="24"/>
        </w:rPr>
      </w:pPr>
      <w:r w:rsidRPr="00C12801">
        <w:rPr>
          <w:b/>
          <w:bCs/>
          <w:noProof/>
          <w:szCs w:val="24"/>
        </w:rPr>
        <w:t>Commission</w:t>
      </w:r>
    </w:p>
    <w:p w14:paraId="473ABAC0" w14:textId="77777777" w:rsidR="00CF7B71" w:rsidRPr="00C12801" w:rsidRDefault="00CF7B71" w:rsidP="00CF7B71">
      <w:pPr>
        <w:spacing w:after="120"/>
        <w:rPr>
          <w:bCs/>
          <w:i/>
          <w:iCs/>
          <w:noProof/>
        </w:rPr>
      </w:pPr>
      <w:r w:rsidRPr="00C12801">
        <w:rPr>
          <w:bCs/>
          <w:i/>
          <w:iCs/>
          <w:noProof/>
        </w:rPr>
        <w:t>Legal obligation</w:t>
      </w:r>
    </w:p>
    <w:p w14:paraId="331B31E4" w14:textId="1DDEACAD" w:rsidR="00CF7B71" w:rsidRPr="00C12801" w:rsidRDefault="00CF7B71" w:rsidP="00CF7B71">
      <w:pPr>
        <w:pStyle w:val="ListParagraph"/>
        <w:widowControl w:val="0"/>
        <w:numPr>
          <w:ilvl w:val="0"/>
          <w:numId w:val="28"/>
        </w:numPr>
        <w:spacing w:after="120"/>
        <w:ind w:left="709" w:hanging="425"/>
        <w:contextualSpacing w:val="0"/>
        <w:rPr>
          <w:noProof/>
        </w:rPr>
      </w:pPr>
      <w:r w:rsidRPr="00C12801">
        <w:rPr>
          <w:noProof/>
        </w:rPr>
        <w:t xml:space="preserve">The Commission will </w:t>
      </w:r>
      <w:r>
        <w:rPr>
          <w:noProof/>
        </w:rPr>
        <w:t>convene</w:t>
      </w:r>
      <w:r w:rsidRPr="00C12801">
        <w:rPr>
          <w:noProof/>
        </w:rPr>
        <w:t xml:space="preserve"> </w:t>
      </w:r>
      <w:r>
        <w:rPr>
          <w:noProof/>
        </w:rPr>
        <w:t xml:space="preserve">by September 2024 </w:t>
      </w:r>
      <w:r w:rsidRPr="00C12801">
        <w:rPr>
          <w:noProof/>
        </w:rPr>
        <w:t xml:space="preserve">the </w:t>
      </w:r>
      <w:r w:rsidRPr="008F7A7A">
        <w:rPr>
          <w:b/>
          <w:bCs/>
          <w:noProof/>
        </w:rPr>
        <w:t>Eurodac Regulatory Committee</w:t>
      </w:r>
      <w:r>
        <w:rPr>
          <w:rStyle w:val="FootnoteReference"/>
          <w:noProof/>
        </w:rPr>
        <w:footnoteReference w:id="7"/>
      </w:r>
      <w:r>
        <w:rPr>
          <w:noProof/>
        </w:rPr>
        <w:t xml:space="preserve"> to be able to adopt the implementing act foreseen in the Eurodac Regulation. </w:t>
      </w:r>
    </w:p>
    <w:p w14:paraId="3555BF03" w14:textId="2E2D284C" w:rsidR="00CF7B71" w:rsidRPr="00C12801" w:rsidRDefault="00CF7B71" w:rsidP="00CF7B71">
      <w:pPr>
        <w:pStyle w:val="ListParagraph"/>
        <w:widowControl w:val="0"/>
        <w:numPr>
          <w:ilvl w:val="0"/>
          <w:numId w:val="28"/>
        </w:numPr>
        <w:spacing w:after="120"/>
        <w:ind w:left="709" w:hanging="425"/>
        <w:rPr>
          <w:noProof/>
        </w:rPr>
      </w:pPr>
      <w:r w:rsidRPr="00C12801">
        <w:rPr>
          <w:noProof/>
        </w:rPr>
        <w:t xml:space="preserve">The Commission will </w:t>
      </w:r>
      <w:r w:rsidRPr="008F7A7A">
        <w:rPr>
          <w:b/>
          <w:bCs/>
          <w:noProof/>
        </w:rPr>
        <w:t xml:space="preserve">update nine delegated and implementing acts </w:t>
      </w:r>
      <w:r>
        <w:rPr>
          <w:noProof/>
        </w:rPr>
        <w:t xml:space="preserve">under the Interoperability Regulations, </w:t>
      </w:r>
      <w:r w:rsidRPr="00BB0651">
        <w:rPr>
          <w:noProof/>
        </w:rPr>
        <w:t>European Travel Information and Authorisation System (ETIAS)</w:t>
      </w:r>
      <w:r>
        <w:rPr>
          <w:noProof/>
        </w:rPr>
        <w:t xml:space="preserve"> and Visa Information System (VIS) Regulation</w:t>
      </w:r>
      <w:r>
        <w:rPr>
          <w:rStyle w:val="FootnoteReference"/>
          <w:noProof/>
        </w:rPr>
        <w:footnoteReference w:id="8"/>
      </w:r>
      <w:r>
        <w:rPr>
          <w:noProof/>
        </w:rPr>
        <w:t xml:space="preserve"> to enable their use of Eurodac data. </w:t>
      </w:r>
      <w:r w:rsidR="0075604F">
        <w:rPr>
          <w:noProof/>
        </w:rPr>
        <w:t xml:space="preserve">It </w:t>
      </w:r>
      <w:r>
        <w:rPr>
          <w:noProof/>
        </w:rPr>
        <w:t xml:space="preserve">will also </w:t>
      </w:r>
      <w:r w:rsidRPr="00C12801">
        <w:rPr>
          <w:noProof/>
        </w:rPr>
        <w:t>adopt the implementing act on cross-system statistics.</w:t>
      </w:r>
    </w:p>
    <w:p w14:paraId="358D9EFF" w14:textId="77777777" w:rsidR="00CF7B71" w:rsidRPr="00C12801" w:rsidRDefault="00CF7B71" w:rsidP="00CF7B71">
      <w:pPr>
        <w:spacing w:after="120"/>
        <w:ind w:left="66"/>
        <w:rPr>
          <w:noProof/>
        </w:rPr>
      </w:pPr>
      <w:r w:rsidRPr="00C12801">
        <w:rPr>
          <w:bCs/>
          <w:i/>
          <w:iCs/>
          <w:noProof/>
        </w:rPr>
        <w:t>Practical support</w:t>
      </w:r>
    </w:p>
    <w:p w14:paraId="15196C5D" w14:textId="32D1596F" w:rsidR="00CF7B71" w:rsidRPr="00C12801" w:rsidRDefault="00CF7B71" w:rsidP="00CF7B71">
      <w:pPr>
        <w:pStyle w:val="ListParagraph"/>
        <w:numPr>
          <w:ilvl w:val="0"/>
          <w:numId w:val="28"/>
        </w:numPr>
        <w:spacing w:after="120"/>
        <w:ind w:left="709" w:hanging="425"/>
        <w:contextualSpacing w:val="0"/>
        <w:rPr>
          <w:noProof/>
        </w:rPr>
      </w:pPr>
      <w:r w:rsidRPr="00C12801">
        <w:rPr>
          <w:noProof/>
        </w:rPr>
        <w:t xml:space="preserve">The Commission will </w:t>
      </w:r>
      <w:r w:rsidRPr="008F7A7A">
        <w:rPr>
          <w:b/>
          <w:bCs/>
          <w:noProof/>
        </w:rPr>
        <w:t>work closely with eu-LISA</w:t>
      </w:r>
      <w:r w:rsidRPr="00C12801">
        <w:rPr>
          <w:noProof/>
        </w:rPr>
        <w:t xml:space="preserve"> to facilitate the key decisions that Member States have to make.</w:t>
      </w:r>
    </w:p>
    <w:p w14:paraId="0B5EE974" w14:textId="7C699946" w:rsidR="00CF7B71" w:rsidRPr="003A3CA2" w:rsidRDefault="00CF7B71" w:rsidP="00CF7B71">
      <w:pPr>
        <w:pStyle w:val="ListParagraph"/>
        <w:numPr>
          <w:ilvl w:val="0"/>
          <w:numId w:val="28"/>
        </w:numPr>
        <w:spacing w:after="120"/>
        <w:ind w:left="709" w:hanging="425"/>
        <w:contextualSpacing w:val="0"/>
        <w:rPr>
          <w:b/>
          <w:bCs/>
          <w:noProof/>
        </w:rPr>
      </w:pPr>
      <w:r w:rsidRPr="00C12801">
        <w:rPr>
          <w:noProof/>
        </w:rPr>
        <w:t xml:space="preserve">The Commission will </w:t>
      </w:r>
      <w:r w:rsidRPr="008F7A7A">
        <w:rPr>
          <w:b/>
          <w:bCs/>
          <w:noProof/>
        </w:rPr>
        <w:t>complement the technical work led by eu-LISA</w:t>
      </w:r>
      <w:r w:rsidRPr="00C12801">
        <w:rPr>
          <w:noProof/>
        </w:rPr>
        <w:t xml:space="preserve"> with the necessary support via the </w:t>
      </w:r>
      <w:r>
        <w:rPr>
          <w:noProof/>
        </w:rPr>
        <w:t xml:space="preserve">existing </w:t>
      </w:r>
      <w:r w:rsidRPr="00C12801">
        <w:rPr>
          <w:noProof/>
        </w:rPr>
        <w:t xml:space="preserve">Eurodac </w:t>
      </w:r>
      <w:r>
        <w:rPr>
          <w:noProof/>
        </w:rPr>
        <w:t xml:space="preserve">expert group (the ‘Eurodac </w:t>
      </w:r>
      <w:r w:rsidRPr="00C12801">
        <w:rPr>
          <w:noProof/>
        </w:rPr>
        <w:t>Contact Committee</w:t>
      </w:r>
      <w:r>
        <w:rPr>
          <w:noProof/>
        </w:rPr>
        <w:t>’)</w:t>
      </w:r>
      <w:r>
        <w:rPr>
          <w:rStyle w:val="FootnoteReference"/>
          <w:noProof/>
        </w:rPr>
        <w:footnoteReference w:id="9"/>
      </w:r>
      <w:r w:rsidRPr="00C12801">
        <w:rPr>
          <w:noProof/>
        </w:rPr>
        <w:t xml:space="preserve"> to </w:t>
      </w:r>
      <w:r>
        <w:rPr>
          <w:noProof/>
        </w:rPr>
        <w:t xml:space="preserve">facilitate the correct application of the Regulation (including by clarifying the meaning of some </w:t>
      </w:r>
      <w:r w:rsidRPr="00C12801">
        <w:rPr>
          <w:noProof/>
        </w:rPr>
        <w:t>provisions</w:t>
      </w:r>
      <w:r>
        <w:rPr>
          <w:noProof/>
        </w:rPr>
        <w:t>)</w:t>
      </w:r>
      <w:r w:rsidRPr="00C12801">
        <w:rPr>
          <w:noProof/>
        </w:rPr>
        <w:t xml:space="preserve"> and identify the areas that would require further attention in the transition period.</w:t>
      </w:r>
    </w:p>
    <w:p w14:paraId="532ECD6C" w14:textId="77777777" w:rsidR="00CF7B71" w:rsidRPr="00C12801" w:rsidRDefault="00CF7B71" w:rsidP="00CF7B71">
      <w:pPr>
        <w:spacing w:after="120"/>
        <w:rPr>
          <w:b/>
          <w:bCs/>
          <w:noProof/>
        </w:rPr>
      </w:pPr>
      <w:r>
        <w:rPr>
          <w:b/>
          <w:bCs/>
          <w:noProof/>
        </w:rPr>
        <w:t>e</w:t>
      </w:r>
      <w:r w:rsidRPr="00C12801">
        <w:rPr>
          <w:b/>
          <w:bCs/>
          <w:noProof/>
        </w:rPr>
        <w:t>u-LISA</w:t>
      </w:r>
    </w:p>
    <w:p w14:paraId="458B909C" w14:textId="77777777" w:rsidR="00CF7B71" w:rsidRPr="00C12801" w:rsidRDefault="00CF7B71" w:rsidP="00CF7B71">
      <w:pPr>
        <w:spacing w:after="120"/>
        <w:rPr>
          <w:i/>
          <w:iCs/>
          <w:noProof/>
        </w:rPr>
      </w:pPr>
      <w:r w:rsidRPr="00C12801">
        <w:rPr>
          <w:i/>
          <w:iCs/>
          <w:noProof/>
        </w:rPr>
        <w:t>Legal obligation</w:t>
      </w:r>
    </w:p>
    <w:p w14:paraId="16378B7D" w14:textId="7A2A06CA" w:rsidR="00CF7B71" w:rsidRPr="00C12801" w:rsidRDefault="00CF7B71" w:rsidP="00CF7B71">
      <w:pPr>
        <w:pStyle w:val="ListParagraph"/>
        <w:numPr>
          <w:ilvl w:val="0"/>
          <w:numId w:val="32"/>
        </w:numPr>
        <w:spacing w:after="120"/>
        <w:ind w:left="709" w:hanging="425"/>
        <w:rPr>
          <w:noProof/>
        </w:rPr>
      </w:pPr>
      <w:r w:rsidRPr="00CA50A4">
        <w:rPr>
          <w:noProof/>
        </w:rPr>
        <w:t xml:space="preserve">By </w:t>
      </w:r>
      <w:r>
        <w:rPr>
          <w:noProof/>
        </w:rPr>
        <w:t xml:space="preserve">the </w:t>
      </w:r>
      <w:r w:rsidRPr="00CA50A4">
        <w:rPr>
          <w:noProof/>
        </w:rPr>
        <w:t xml:space="preserve">end of 2024, </w:t>
      </w:r>
      <w:r>
        <w:rPr>
          <w:noProof/>
        </w:rPr>
        <w:t>e</w:t>
      </w:r>
      <w:r w:rsidRPr="00CA50A4">
        <w:rPr>
          <w:noProof/>
        </w:rPr>
        <w:t xml:space="preserve">u-LISA </w:t>
      </w:r>
      <w:r>
        <w:rPr>
          <w:noProof/>
        </w:rPr>
        <w:t>will have to</w:t>
      </w:r>
      <w:r w:rsidRPr="00CA50A4">
        <w:rPr>
          <w:noProof/>
        </w:rPr>
        <w:t xml:space="preserve"> </w:t>
      </w:r>
      <w:r>
        <w:rPr>
          <w:noProof/>
        </w:rPr>
        <w:t>adopt</w:t>
      </w:r>
      <w:r w:rsidRPr="00CA50A4">
        <w:rPr>
          <w:noProof/>
        </w:rPr>
        <w:t xml:space="preserve"> the </w:t>
      </w:r>
      <w:r w:rsidRPr="008F7A7A">
        <w:rPr>
          <w:b/>
          <w:bCs/>
          <w:noProof/>
        </w:rPr>
        <w:t>revised Eurodac Interface Control Document (ICD) at central level</w:t>
      </w:r>
      <w:r>
        <w:rPr>
          <w:noProof/>
        </w:rPr>
        <w:t xml:space="preserve">, </w:t>
      </w:r>
      <w:r w:rsidRPr="00CA50A4">
        <w:rPr>
          <w:noProof/>
        </w:rPr>
        <w:t xml:space="preserve">reflecting the new functionalities. </w:t>
      </w:r>
      <w:r>
        <w:rPr>
          <w:noProof/>
        </w:rPr>
        <w:t xml:space="preserve">To this end, </w:t>
      </w:r>
      <w:r w:rsidRPr="00CA50A4">
        <w:rPr>
          <w:noProof/>
        </w:rPr>
        <w:t>a</w:t>
      </w:r>
      <w:r>
        <w:rPr>
          <w:noProof/>
        </w:rPr>
        <w:t xml:space="preserve"> common </w:t>
      </w:r>
      <w:r w:rsidRPr="00CA50A4">
        <w:rPr>
          <w:noProof/>
        </w:rPr>
        <w:t xml:space="preserve">early </w:t>
      </w:r>
      <w:r>
        <w:rPr>
          <w:noProof/>
        </w:rPr>
        <w:t>understanding between all Member States, the Commission and eu-LISA</w:t>
      </w:r>
      <w:r w:rsidRPr="00CA50A4">
        <w:rPr>
          <w:noProof/>
        </w:rPr>
        <w:t xml:space="preserve"> should </w:t>
      </w:r>
      <w:r w:rsidR="00425B36">
        <w:rPr>
          <w:noProof/>
        </w:rPr>
        <w:t xml:space="preserve">be </w:t>
      </w:r>
      <w:r w:rsidRPr="00CA50A4">
        <w:rPr>
          <w:noProof/>
        </w:rPr>
        <w:t>f</w:t>
      </w:r>
      <w:r w:rsidR="00425B36">
        <w:rPr>
          <w:noProof/>
        </w:rPr>
        <w:t>ou</w:t>
      </w:r>
      <w:r w:rsidRPr="00CA50A4">
        <w:rPr>
          <w:noProof/>
        </w:rPr>
        <w:t>nd</w:t>
      </w:r>
      <w:r w:rsidR="005F0618">
        <w:rPr>
          <w:noProof/>
        </w:rPr>
        <w:t xml:space="preserve"> </w:t>
      </w:r>
      <w:r w:rsidRPr="00CA50A4">
        <w:rPr>
          <w:noProof/>
        </w:rPr>
        <w:t xml:space="preserve">on the technical solution to implement the Eurodac Interface Control Document (ICD) and its functionalities, which will set important parameters for national </w:t>
      </w:r>
      <w:r>
        <w:rPr>
          <w:noProof/>
        </w:rPr>
        <w:t>implementation</w:t>
      </w:r>
      <w:r w:rsidRPr="00CA50A4">
        <w:rPr>
          <w:noProof/>
        </w:rPr>
        <w:t>.</w:t>
      </w:r>
      <w:r w:rsidRPr="0000012C">
        <w:rPr>
          <w:noProof/>
        </w:rPr>
        <w:t xml:space="preserve"> </w:t>
      </w:r>
      <w:r>
        <w:rPr>
          <w:noProof/>
        </w:rPr>
        <w:t>In this context, the Commission together with eu-LISA will prepare a concept note for discussion with Member States both on the technical solutions for the database as well as for the key functionalities that should be in place by 12 June 2026.</w:t>
      </w:r>
      <w:r w:rsidR="000F5125">
        <w:rPr>
          <w:noProof/>
        </w:rPr>
        <w:t xml:space="preserve"> </w:t>
      </w:r>
    </w:p>
    <w:p w14:paraId="6BEEF394" w14:textId="77777777" w:rsidR="00CF7B71" w:rsidRPr="00D339B6" w:rsidRDefault="00CF7B71" w:rsidP="00D339B6">
      <w:pPr>
        <w:spacing w:after="120"/>
        <w:rPr>
          <w:i/>
          <w:iCs/>
          <w:noProof/>
        </w:rPr>
      </w:pPr>
      <w:r w:rsidRPr="00D339B6">
        <w:rPr>
          <w:i/>
          <w:iCs/>
          <w:noProof/>
        </w:rPr>
        <w:t>Practical support</w:t>
      </w:r>
    </w:p>
    <w:p w14:paraId="4903654F" w14:textId="77777777" w:rsidR="00CF7B71" w:rsidRDefault="00CF7B71" w:rsidP="00D339B6">
      <w:pPr>
        <w:pStyle w:val="ListParagraph"/>
        <w:numPr>
          <w:ilvl w:val="0"/>
          <w:numId w:val="31"/>
        </w:numPr>
        <w:spacing w:after="120"/>
        <w:ind w:left="714" w:hanging="357"/>
        <w:contextualSpacing w:val="0"/>
        <w:rPr>
          <w:noProof/>
        </w:rPr>
      </w:pPr>
      <w:r>
        <w:rPr>
          <w:noProof/>
        </w:rPr>
        <w:t>e</w:t>
      </w:r>
      <w:r w:rsidRPr="00CA50A4">
        <w:rPr>
          <w:noProof/>
        </w:rPr>
        <w:t>u-L</w:t>
      </w:r>
      <w:r>
        <w:rPr>
          <w:noProof/>
        </w:rPr>
        <w:t>ISA</w:t>
      </w:r>
      <w:r w:rsidRPr="00CA50A4">
        <w:rPr>
          <w:noProof/>
        </w:rPr>
        <w:t xml:space="preserve"> </w:t>
      </w:r>
      <w:r>
        <w:rPr>
          <w:noProof/>
        </w:rPr>
        <w:t>will</w:t>
      </w:r>
      <w:r w:rsidRPr="00CA50A4">
        <w:rPr>
          <w:noProof/>
        </w:rPr>
        <w:t xml:space="preserve"> </w:t>
      </w:r>
      <w:r w:rsidRPr="00D339B6">
        <w:rPr>
          <w:b/>
          <w:bCs/>
          <w:noProof/>
        </w:rPr>
        <w:t>update the Operator Manual and train Eurodac users</w:t>
      </w:r>
      <w:r w:rsidRPr="00CA50A4">
        <w:rPr>
          <w:noProof/>
        </w:rPr>
        <w:t xml:space="preserve"> on the technical use of Eurodac</w:t>
      </w:r>
      <w:r>
        <w:rPr>
          <w:noProof/>
        </w:rPr>
        <w:t>.</w:t>
      </w:r>
    </w:p>
    <w:p w14:paraId="22525AF2" w14:textId="3F1A545D" w:rsidR="00CF7B71" w:rsidRDefault="00CF7B71" w:rsidP="00CF7B71">
      <w:pPr>
        <w:pStyle w:val="ListParagraph"/>
        <w:numPr>
          <w:ilvl w:val="0"/>
          <w:numId w:val="32"/>
        </w:numPr>
        <w:spacing w:after="120"/>
        <w:ind w:left="709" w:hanging="425"/>
        <w:contextualSpacing w:val="0"/>
        <w:rPr>
          <w:noProof/>
        </w:rPr>
      </w:pPr>
      <w:r>
        <w:rPr>
          <w:noProof/>
        </w:rPr>
        <w:t>eu</w:t>
      </w:r>
      <w:r w:rsidRPr="00CA50A4">
        <w:rPr>
          <w:noProof/>
        </w:rPr>
        <w:t>-L</w:t>
      </w:r>
      <w:r>
        <w:rPr>
          <w:noProof/>
        </w:rPr>
        <w:t>ISA</w:t>
      </w:r>
      <w:r w:rsidRPr="00CA50A4">
        <w:rPr>
          <w:noProof/>
        </w:rPr>
        <w:t xml:space="preserve"> </w:t>
      </w:r>
      <w:r>
        <w:rPr>
          <w:noProof/>
        </w:rPr>
        <w:t>will</w:t>
      </w:r>
      <w:r w:rsidRPr="00CA50A4">
        <w:rPr>
          <w:noProof/>
        </w:rPr>
        <w:t xml:space="preserve"> </w:t>
      </w:r>
      <w:r w:rsidRPr="008F7A7A">
        <w:rPr>
          <w:b/>
          <w:bCs/>
          <w:noProof/>
        </w:rPr>
        <w:t>identify and address interoperability requirements</w:t>
      </w:r>
      <w:r>
        <w:rPr>
          <w:noProof/>
        </w:rPr>
        <w:t xml:space="preserve"> that </w:t>
      </w:r>
      <w:r w:rsidR="00AB1C43">
        <w:rPr>
          <w:noProof/>
        </w:rPr>
        <w:t>would allow</w:t>
      </w:r>
      <w:r>
        <w:rPr>
          <w:noProof/>
        </w:rPr>
        <w:t xml:space="preserve"> the integration of Eurodac into the interoperability framework</w:t>
      </w:r>
      <w:r w:rsidRPr="00CA50A4">
        <w:rPr>
          <w:noProof/>
        </w:rPr>
        <w:t>.</w:t>
      </w:r>
    </w:p>
    <w:p w14:paraId="485C9069" w14:textId="39537708" w:rsidR="008C0A2C" w:rsidRDefault="005816DD" w:rsidP="00CF7B71">
      <w:pPr>
        <w:pStyle w:val="ListParagraph"/>
        <w:numPr>
          <w:ilvl w:val="0"/>
          <w:numId w:val="32"/>
        </w:numPr>
        <w:spacing w:after="120"/>
        <w:ind w:left="709" w:hanging="425"/>
        <w:rPr>
          <w:noProof/>
        </w:rPr>
      </w:pPr>
      <w:r>
        <w:rPr>
          <w:noProof/>
        </w:rPr>
        <w:t>eu-LISA will s</w:t>
      </w:r>
      <w:r w:rsidR="008C0A2C">
        <w:rPr>
          <w:noProof/>
        </w:rPr>
        <w:t xml:space="preserve">upport </w:t>
      </w:r>
      <w:r>
        <w:rPr>
          <w:noProof/>
        </w:rPr>
        <w:t>the</w:t>
      </w:r>
      <w:r w:rsidR="008C0A2C">
        <w:rPr>
          <w:noProof/>
        </w:rPr>
        <w:t xml:space="preserve"> development of technological solutions </w:t>
      </w:r>
      <w:r>
        <w:rPr>
          <w:noProof/>
        </w:rPr>
        <w:t xml:space="preserve">to enable relevant </w:t>
      </w:r>
      <w:r w:rsidR="008C0A2C">
        <w:rPr>
          <w:noProof/>
        </w:rPr>
        <w:t xml:space="preserve">support by </w:t>
      </w:r>
      <w:r w:rsidR="00B529FE">
        <w:rPr>
          <w:noProof/>
        </w:rPr>
        <w:t>Frontex</w:t>
      </w:r>
      <w:r>
        <w:rPr>
          <w:noProof/>
        </w:rPr>
        <w:t xml:space="preserve"> Teams</w:t>
      </w:r>
      <w:r w:rsidR="008C0A2C">
        <w:rPr>
          <w:noProof/>
        </w:rPr>
        <w:t xml:space="preserve"> and EUAA Asylum Support Teams</w:t>
      </w:r>
      <w:r>
        <w:rPr>
          <w:noProof/>
        </w:rPr>
        <w:t xml:space="preserve"> that Member States may request</w:t>
      </w:r>
      <w:r w:rsidR="008C0A2C">
        <w:rPr>
          <w:noProof/>
        </w:rPr>
        <w:t xml:space="preserve">. </w:t>
      </w:r>
    </w:p>
    <w:p w14:paraId="2ADEA28F" w14:textId="77777777" w:rsidR="00DE276F" w:rsidRDefault="00DE276F" w:rsidP="00DE276F">
      <w:pPr>
        <w:spacing w:after="120"/>
        <w:rPr>
          <w:noProof/>
        </w:rPr>
      </w:pPr>
    </w:p>
    <w:p w14:paraId="501966F1" w14:textId="77777777" w:rsidR="00DE276F" w:rsidRDefault="00DE276F" w:rsidP="00DE276F">
      <w:pPr>
        <w:spacing w:after="120"/>
        <w:rPr>
          <w:noProof/>
        </w:rPr>
      </w:pPr>
    </w:p>
    <w:tbl>
      <w:tblPr>
        <w:tblStyle w:val="TableGrid"/>
        <w:tblW w:w="5000" w:type="pct"/>
        <w:tblLook w:val="04A0" w:firstRow="1" w:lastRow="0" w:firstColumn="1" w:lastColumn="0" w:noHBand="0" w:noVBand="1"/>
      </w:tblPr>
      <w:tblGrid>
        <w:gridCol w:w="8834"/>
      </w:tblGrid>
      <w:tr w:rsidR="006B25DA" w14:paraId="1A002AC8" w14:textId="77777777">
        <w:tc>
          <w:tcPr>
            <w:tcW w:w="5000" w:type="pct"/>
          </w:tcPr>
          <w:p w14:paraId="7EFDC62F" w14:textId="77777777" w:rsidR="006B25DA" w:rsidRPr="00D92941" w:rsidRDefault="006B25DA">
            <w:pPr>
              <w:spacing w:after="120"/>
              <w:rPr>
                <w:b/>
                <w:bCs/>
                <w:i/>
                <w:iCs/>
                <w:noProof/>
                <w:u w:val="single"/>
              </w:rPr>
            </w:pPr>
            <w:r w:rsidRPr="00D92941">
              <w:rPr>
                <w:b/>
                <w:bCs/>
                <w:i/>
                <w:iCs/>
                <w:noProof/>
                <w:u w:val="single"/>
              </w:rPr>
              <w:t>Key milestones to consider:</w:t>
            </w:r>
          </w:p>
          <w:p w14:paraId="68A8F1DB" w14:textId="7A8B7B7A" w:rsidR="006B25DA" w:rsidRDefault="006B25DA" w:rsidP="006B25DA">
            <w:pPr>
              <w:pStyle w:val="ListDash1"/>
              <w:tabs>
                <w:tab w:val="clear" w:pos="765"/>
                <w:tab w:val="num" w:pos="283"/>
              </w:tabs>
              <w:spacing w:after="120"/>
              <w:ind w:left="284" w:hanging="284"/>
              <w:rPr>
                <w:noProof/>
              </w:rPr>
            </w:pPr>
            <w:r>
              <w:rPr>
                <w:noProof/>
              </w:rPr>
              <w:t>By end of</w:t>
            </w:r>
            <w:r w:rsidRPr="006C337C">
              <w:rPr>
                <w:noProof/>
              </w:rPr>
              <w:t xml:space="preserve"> June 2024,</w:t>
            </w:r>
            <w:r>
              <w:rPr>
                <w:noProof/>
              </w:rPr>
              <w:t xml:space="preserve"> Member States</w:t>
            </w:r>
            <w:r w:rsidR="00AF3570">
              <w:rPr>
                <w:noProof/>
              </w:rPr>
              <w:t xml:space="preserve">, </w:t>
            </w:r>
            <w:r w:rsidR="00D019B3">
              <w:rPr>
                <w:noProof/>
              </w:rPr>
              <w:t>Commission and eu-LISA</w:t>
            </w:r>
            <w:r w:rsidR="00AF3570">
              <w:rPr>
                <w:noProof/>
              </w:rPr>
              <w:t xml:space="preserve"> </w:t>
            </w:r>
            <w:r>
              <w:rPr>
                <w:noProof/>
              </w:rPr>
              <w:t>should reach a</w:t>
            </w:r>
            <w:r w:rsidR="00AF3570">
              <w:rPr>
                <w:noProof/>
              </w:rPr>
              <w:t xml:space="preserve"> common </w:t>
            </w:r>
            <w:r w:rsidR="00D019B3">
              <w:rPr>
                <w:noProof/>
              </w:rPr>
              <w:t xml:space="preserve">understanding </w:t>
            </w:r>
            <w:r w:rsidRPr="006C337C">
              <w:rPr>
                <w:noProof/>
              </w:rPr>
              <w:t xml:space="preserve">on the Eurodac key functionalities </w:t>
            </w:r>
            <w:r>
              <w:rPr>
                <w:noProof/>
              </w:rPr>
              <w:t xml:space="preserve">to ensure </w:t>
            </w:r>
            <w:r w:rsidRPr="006C337C">
              <w:rPr>
                <w:noProof/>
              </w:rPr>
              <w:t xml:space="preserve">that those functionalities </w:t>
            </w:r>
            <w:r>
              <w:rPr>
                <w:noProof/>
              </w:rPr>
              <w:t>are</w:t>
            </w:r>
            <w:r w:rsidRPr="006C337C">
              <w:rPr>
                <w:noProof/>
              </w:rPr>
              <w:t xml:space="preserve"> in place by </w:t>
            </w:r>
            <w:r>
              <w:rPr>
                <w:noProof/>
              </w:rPr>
              <w:t>12</w:t>
            </w:r>
            <w:r w:rsidRPr="006C337C">
              <w:rPr>
                <w:noProof/>
              </w:rPr>
              <w:t xml:space="preserve"> </w:t>
            </w:r>
            <w:r>
              <w:rPr>
                <w:noProof/>
              </w:rPr>
              <w:t>June</w:t>
            </w:r>
            <w:r w:rsidRPr="006C337C">
              <w:rPr>
                <w:noProof/>
              </w:rPr>
              <w:t xml:space="preserve"> 2026.</w:t>
            </w:r>
          </w:p>
          <w:p w14:paraId="34535745" w14:textId="671CBBF2" w:rsidR="006B25DA" w:rsidRPr="006C337C" w:rsidRDefault="006B25DA" w:rsidP="006B25DA">
            <w:pPr>
              <w:pStyle w:val="ListDash1"/>
              <w:tabs>
                <w:tab w:val="clear" w:pos="765"/>
                <w:tab w:val="num" w:pos="283"/>
              </w:tabs>
              <w:spacing w:after="120"/>
              <w:ind w:left="284" w:hanging="284"/>
              <w:rPr>
                <w:noProof/>
              </w:rPr>
            </w:pPr>
            <w:r>
              <w:rPr>
                <w:noProof/>
              </w:rPr>
              <w:t>By end of June 2024, Member States</w:t>
            </w:r>
            <w:r w:rsidR="00D019B3">
              <w:rPr>
                <w:noProof/>
              </w:rPr>
              <w:t>, Commission and</w:t>
            </w:r>
            <w:r>
              <w:rPr>
                <w:noProof/>
              </w:rPr>
              <w:t xml:space="preserve"> </w:t>
            </w:r>
            <w:r w:rsidR="00D019B3">
              <w:rPr>
                <w:noProof/>
              </w:rPr>
              <w:t>eu-LISA</w:t>
            </w:r>
            <w:r w:rsidR="00AF3570">
              <w:rPr>
                <w:noProof/>
              </w:rPr>
              <w:t xml:space="preserve"> and Commission </w:t>
            </w:r>
            <w:r>
              <w:rPr>
                <w:noProof/>
              </w:rPr>
              <w:t xml:space="preserve">should reach a </w:t>
            </w:r>
            <w:r w:rsidR="00AF3570">
              <w:rPr>
                <w:noProof/>
              </w:rPr>
              <w:t>common understanding</w:t>
            </w:r>
            <w:r w:rsidR="005F0618">
              <w:rPr>
                <w:noProof/>
              </w:rPr>
              <w:t xml:space="preserve"> </w:t>
            </w:r>
            <w:r>
              <w:rPr>
                <w:noProof/>
              </w:rPr>
              <w:t>on the type of technical solution to be implemented (centralised or not).</w:t>
            </w:r>
          </w:p>
          <w:p w14:paraId="7C47BD71" w14:textId="77777777" w:rsidR="006B25DA" w:rsidRDefault="006B25DA" w:rsidP="006B25DA">
            <w:pPr>
              <w:pStyle w:val="ListDash1"/>
              <w:tabs>
                <w:tab w:val="clear" w:pos="765"/>
                <w:tab w:val="num" w:pos="283"/>
              </w:tabs>
              <w:spacing w:after="120"/>
              <w:ind w:left="284" w:hanging="284"/>
              <w:rPr>
                <w:noProof/>
              </w:rPr>
            </w:pPr>
            <w:r>
              <w:rPr>
                <w:noProof/>
              </w:rPr>
              <w:t>By September 2024, the Commission should convene the Eurodac Regulatory Committee.</w:t>
            </w:r>
          </w:p>
          <w:p w14:paraId="673B8DE9" w14:textId="77777777" w:rsidR="006B25DA" w:rsidRPr="00C12801" w:rsidRDefault="006B25DA" w:rsidP="006B25DA">
            <w:pPr>
              <w:pStyle w:val="ListDash1"/>
              <w:tabs>
                <w:tab w:val="clear" w:pos="765"/>
                <w:tab w:val="num" w:pos="283"/>
              </w:tabs>
              <w:spacing w:after="120"/>
              <w:ind w:left="284" w:hanging="284"/>
              <w:rPr>
                <w:noProof/>
              </w:rPr>
            </w:pPr>
            <w:r>
              <w:rPr>
                <w:noProof/>
              </w:rPr>
              <w:t xml:space="preserve">By 12 December 2024, Member States should reach an agreement on the Eurodac Interface Control Document. </w:t>
            </w:r>
          </w:p>
          <w:p w14:paraId="72C01934" w14:textId="77777777" w:rsidR="006B25DA" w:rsidRPr="00E80FCB" w:rsidRDefault="006B25DA" w:rsidP="006B25DA">
            <w:pPr>
              <w:pStyle w:val="ListDash1"/>
              <w:tabs>
                <w:tab w:val="clear" w:pos="765"/>
                <w:tab w:val="num" w:pos="283"/>
              </w:tabs>
              <w:spacing w:after="120"/>
              <w:ind w:left="284" w:hanging="284"/>
              <w:rPr>
                <w:noProof/>
              </w:rPr>
            </w:pPr>
            <w:r w:rsidRPr="006C337C">
              <w:rPr>
                <w:noProof/>
              </w:rPr>
              <w:t xml:space="preserve">By </w:t>
            </w:r>
            <w:r w:rsidRPr="0000114C">
              <w:rPr>
                <w:noProof/>
              </w:rPr>
              <w:t>1</w:t>
            </w:r>
            <w:r>
              <w:rPr>
                <w:noProof/>
              </w:rPr>
              <w:t>2</w:t>
            </w:r>
            <w:r w:rsidRPr="0000114C">
              <w:rPr>
                <w:noProof/>
              </w:rPr>
              <w:t xml:space="preserve"> December 2024</w:t>
            </w:r>
            <w:r w:rsidRPr="006C337C">
              <w:rPr>
                <w:noProof/>
              </w:rPr>
              <w:t xml:space="preserve">, </w:t>
            </w:r>
            <w:r>
              <w:rPr>
                <w:noProof/>
              </w:rPr>
              <w:t xml:space="preserve">the Commission should ensure </w:t>
            </w:r>
            <w:r w:rsidRPr="006C337C">
              <w:rPr>
                <w:noProof/>
              </w:rPr>
              <w:t>an agreement on the stable texts of the implementing and delegated acts necessary for the Eurodac key functionalities</w:t>
            </w:r>
            <w:r>
              <w:rPr>
                <w:noProof/>
              </w:rPr>
              <w:t>.</w:t>
            </w:r>
          </w:p>
          <w:p w14:paraId="4E93DFDE" w14:textId="77777777" w:rsidR="006B25DA" w:rsidRDefault="006B25DA" w:rsidP="006B25DA">
            <w:pPr>
              <w:pStyle w:val="ListDash1"/>
              <w:tabs>
                <w:tab w:val="clear" w:pos="765"/>
                <w:tab w:val="num" w:pos="283"/>
              </w:tabs>
              <w:spacing w:after="120"/>
              <w:ind w:left="284" w:hanging="284"/>
              <w:rPr>
                <w:noProof/>
              </w:rPr>
            </w:pPr>
            <w:r w:rsidRPr="00C12801">
              <w:rPr>
                <w:noProof/>
              </w:rPr>
              <w:t xml:space="preserve">By </w:t>
            </w:r>
            <w:r>
              <w:rPr>
                <w:noProof/>
              </w:rPr>
              <w:t>12</w:t>
            </w:r>
            <w:r w:rsidRPr="00C12801">
              <w:rPr>
                <w:noProof/>
              </w:rPr>
              <w:t xml:space="preserve"> Ju</w:t>
            </w:r>
            <w:r>
              <w:rPr>
                <w:noProof/>
              </w:rPr>
              <w:t>ne</w:t>
            </w:r>
            <w:r w:rsidRPr="00C12801">
              <w:rPr>
                <w:noProof/>
              </w:rPr>
              <w:t xml:space="preserve"> 2026, the upgraded Eurodac goes live.</w:t>
            </w:r>
          </w:p>
        </w:tc>
      </w:tr>
    </w:tbl>
    <w:p w14:paraId="1375FA0C" w14:textId="77777777" w:rsidR="006B25DA" w:rsidRPr="00C12801" w:rsidRDefault="006B25DA" w:rsidP="006B25DA">
      <w:pPr>
        <w:spacing w:after="0"/>
        <w:jc w:val="left"/>
        <w:rPr>
          <w:noProof/>
        </w:rPr>
      </w:pPr>
      <w:r w:rsidRPr="00C12801">
        <w:rPr>
          <w:noProof/>
        </w:rPr>
        <w:br w:type="page"/>
      </w:r>
    </w:p>
    <w:tbl>
      <w:tblPr>
        <w:tblStyle w:val="TableGrid"/>
        <w:tblW w:w="8701" w:type="dxa"/>
        <w:tblInd w:w="108" w:type="dxa"/>
        <w:tblLook w:val="04A0" w:firstRow="1" w:lastRow="0" w:firstColumn="1" w:lastColumn="0" w:noHBand="0" w:noVBand="1"/>
      </w:tblPr>
      <w:tblGrid>
        <w:gridCol w:w="1310"/>
        <w:gridCol w:w="7391"/>
      </w:tblGrid>
      <w:tr w:rsidR="006B25DA" w:rsidRPr="00C12801" w14:paraId="43F14281" w14:textId="77777777" w:rsidTr="0093423F">
        <w:trPr>
          <w:trHeight w:val="673"/>
        </w:trPr>
        <w:tc>
          <w:tcPr>
            <w:tcW w:w="1310" w:type="dxa"/>
            <w:vMerge w:val="restart"/>
            <w:tcBorders>
              <w:right w:val="single" w:sz="4" w:space="0" w:color="FFFFFF" w:themeColor="background1"/>
            </w:tcBorders>
          </w:tcPr>
          <w:p w14:paraId="30066B76" w14:textId="77777777" w:rsidR="006B25DA" w:rsidRPr="00C12801" w:rsidRDefault="00A2365E">
            <w:pPr>
              <w:pStyle w:val="Text1"/>
              <w:spacing w:before="120" w:after="120"/>
              <w:ind w:left="0"/>
              <w:jc w:val="center"/>
              <w:rPr>
                <w:noProof/>
              </w:rPr>
            </w:pPr>
            <w:r>
              <w:rPr>
                <w:noProof/>
              </w:rPr>
              <w:pict w14:anchorId="76A21706">
                <v:group id="Group 3" o:spid="_x0000_s2051" style="position:absolute;left:0;text-align:left;margin-left:-1.8pt;margin-top:4.65pt;width:52.15pt;height:52.15pt;z-index:251658241;mso-height-relative:margin" coordsize="11058,11058">
                  <v:shape id="Graphic 43" o:spid="_x0000_s2052" type="#_x0000_t75" style="position:absolute;width:11058;height:11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">
                    <v:imagedata r:id="rId22" o:title=""/>
                  </v:shape>
                  <v:shape id="Graphic 44" o:spid="_x0000_s2053" type="#_x0000_t75" style="position:absolute;left:2729;top:2461;width:6628;height:6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">
                    <v:imagedata r:id="rId23" o:title=""/>
                  </v:shape>
                </v:group>
              </w:pict>
            </w:r>
          </w:p>
        </w:tc>
        <w:tc>
          <w:tcPr>
            <w:tcW w:w="7391" w:type="dxa"/>
            <w:tcBorders>
              <w:left w:val="single" w:sz="4" w:space="0" w:color="FFFFFF" w:themeColor="background1"/>
              <w:bottom w:val="single" w:sz="4" w:space="0" w:color="FFFFFF" w:themeColor="background1"/>
            </w:tcBorders>
          </w:tcPr>
          <w:p w14:paraId="01556430" w14:textId="77777777" w:rsidR="006B25DA" w:rsidRPr="00C12801" w:rsidRDefault="006B25DA">
            <w:pPr>
              <w:pStyle w:val="Text1"/>
              <w:spacing w:before="60" w:after="120"/>
              <w:ind w:left="36"/>
              <w:rPr>
                <w:noProof/>
                <w:u w:val="single"/>
              </w:rPr>
            </w:pPr>
            <w:r w:rsidRPr="00C12801">
              <w:rPr>
                <w:rFonts w:eastAsia="EC Square Sans Pro"/>
                <w:b/>
                <w:bCs/>
                <w:noProof/>
                <w:u w:val="single"/>
              </w:rPr>
              <w:t>BUILDING BLOCK 2</w:t>
            </w:r>
          </w:p>
        </w:tc>
      </w:tr>
      <w:tr w:rsidR="006B25DA" w:rsidRPr="00C12801" w14:paraId="27180E57" w14:textId="77777777" w:rsidTr="0093423F">
        <w:trPr>
          <w:trHeight w:val="548"/>
        </w:trPr>
        <w:tc>
          <w:tcPr>
            <w:tcW w:w="1310" w:type="dxa"/>
            <w:vMerge/>
            <w:tcBorders>
              <w:right w:val="single" w:sz="4" w:space="0" w:color="FFFFFF" w:themeColor="background1"/>
            </w:tcBorders>
          </w:tcPr>
          <w:p w14:paraId="19912A21" w14:textId="77777777" w:rsidR="006B25DA" w:rsidRPr="00C12801" w:rsidRDefault="006B25DA">
            <w:pPr>
              <w:pStyle w:val="Text1"/>
              <w:spacing w:after="120"/>
              <w:ind w:left="0"/>
              <w:rPr>
                <w:noProof/>
              </w:rPr>
            </w:pPr>
          </w:p>
        </w:tc>
        <w:tc>
          <w:tcPr>
            <w:tcW w:w="7391" w:type="dxa"/>
            <w:tcBorders>
              <w:top w:val="single" w:sz="4" w:space="0" w:color="FFFFFF" w:themeColor="background1"/>
              <w:left w:val="single" w:sz="4" w:space="0" w:color="FFFFFF" w:themeColor="background1"/>
            </w:tcBorders>
          </w:tcPr>
          <w:p w14:paraId="7109FC11" w14:textId="41ADA547" w:rsidR="006B25DA" w:rsidRPr="00C12801" w:rsidRDefault="006B25DA">
            <w:pPr>
              <w:pStyle w:val="Text1"/>
              <w:spacing w:before="60" w:after="120"/>
              <w:ind w:left="0"/>
              <w:rPr>
                <w:b/>
                <w:bCs/>
                <w:noProof/>
              </w:rPr>
            </w:pPr>
            <w:r w:rsidRPr="00C12801">
              <w:rPr>
                <w:b/>
                <w:bCs/>
                <w:noProof/>
              </w:rPr>
              <w:t>A new system to manage migration flows at the EU external border</w:t>
            </w:r>
            <w:r w:rsidR="001F7602">
              <w:rPr>
                <w:b/>
                <w:bCs/>
                <w:noProof/>
              </w:rPr>
              <w:t>s</w:t>
            </w:r>
          </w:p>
        </w:tc>
      </w:tr>
    </w:tbl>
    <w:p w14:paraId="60EAE450" w14:textId="428AE31B" w:rsidR="006B25DA" w:rsidRPr="00C12801" w:rsidRDefault="006B25DA" w:rsidP="006B25DA">
      <w:pPr>
        <w:spacing w:before="120" w:after="120"/>
        <w:rPr>
          <w:noProof/>
        </w:rPr>
      </w:pPr>
      <w:r w:rsidRPr="00C12801">
        <w:rPr>
          <w:noProof/>
        </w:rPr>
        <w:t xml:space="preserve">The implementation of the Pact will </w:t>
      </w:r>
      <w:r w:rsidR="00F93D79">
        <w:rPr>
          <w:noProof/>
        </w:rPr>
        <w:t>create a seamless</w:t>
      </w:r>
      <w:r>
        <w:rPr>
          <w:noProof/>
        </w:rPr>
        <w:t xml:space="preserve"> approach to further enhance the effective management of the external borders of the European Union. It offers the necessary tools to manage the arrival of third country nationals and to set up fast and efficient procedures for asylum and return with strong individuals safeguards. </w:t>
      </w:r>
      <w:r w:rsidRPr="00C12801">
        <w:rPr>
          <w:noProof/>
        </w:rPr>
        <w:t>T</w:t>
      </w:r>
      <w:r>
        <w:rPr>
          <w:noProof/>
        </w:rPr>
        <w:t>ogether, t</w:t>
      </w:r>
      <w:r w:rsidRPr="00C12801">
        <w:rPr>
          <w:noProof/>
        </w:rPr>
        <w:t>he Screening Regulation, the Asylum Procedure Regulation</w:t>
      </w:r>
      <w:r w:rsidR="00D50598">
        <w:rPr>
          <w:noProof/>
        </w:rPr>
        <w:t>,</w:t>
      </w:r>
      <w:r w:rsidRPr="00C12801">
        <w:rPr>
          <w:noProof/>
        </w:rPr>
        <w:t xml:space="preserve"> and the Regulation on a </w:t>
      </w:r>
      <w:r>
        <w:rPr>
          <w:noProof/>
        </w:rPr>
        <w:t>R</w:t>
      </w:r>
      <w:r w:rsidRPr="00C12801">
        <w:rPr>
          <w:noProof/>
        </w:rPr>
        <w:t xml:space="preserve">eturn </w:t>
      </w:r>
      <w:r>
        <w:rPr>
          <w:noProof/>
        </w:rPr>
        <w:t>B</w:t>
      </w:r>
      <w:r w:rsidRPr="00C12801">
        <w:rPr>
          <w:noProof/>
        </w:rPr>
        <w:t xml:space="preserve">order </w:t>
      </w:r>
      <w:r>
        <w:rPr>
          <w:noProof/>
        </w:rPr>
        <w:t>P</w:t>
      </w:r>
      <w:r w:rsidRPr="00C12801">
        <w:rPr>
          <w:noProof/>
        </w:rPr>
        <w:t>rocedure</w:t>
      </w:r>
      <w:r w:rsidR="001F7602">
        <w:rPr>
          <w:noProof/>
        </w:rPr>
        <w:t>,</w:t>
      </w:r>
      <w:r>
        <w:rPr>
          <w:noProof/>
        </w:rPr>
        <w:t xml:space="preserve"> provide for</w:t>
      </w:r>
      <w:r w:rsidRPr="00C12801">
        <w:rPr>
          <w:noProof/>
        </w:rPr>
        <w:t xml:space="preserve"> a harmonise</w:t>
      </w:r>
      <w:r>
        <w:rPr>
          <w:noProof/>
        </w:rPr>
        <w:t>d</w:t>
      </w:r>
      <w:r w:rsidRPr="00C12801">
        <w:rPr>
          <w:noProof/>
        </w:rPr>
        <w:t xml:space="preserve"> </w:t>
      </w:r>
      <w:r>
        <w:rPr>
          <w:noProof/>
        </w:rPr>
        <w:t>approach</w:t>
      </w:r>
      <w:r w:rsidRPr="00C12801">
        <w:rPr>
          <w:noProof/>
        </w:rPr>
        <w:t>.</w:t>
      </w:r>
    </w:p>
    <w:p w14:paraId="2E45C08F" w14:textId="77777777" w:rsidR="006B25DA" w:rsidRDefault="006B25DA" w:rsidP="006B25DA">
      <w:pPr>
        <w:spacing w:after="120"/>
        <w:rPr>
          <w:noProof/>
        </w:rPr>
      </w:pPr>
      <w:r w:rsidRPr="00F841AA">
        <w:rPr>
          <w:noProof/>
        </w:rPr>
        <w:t>All irregular migrants</w:t>
      </w:r>
      <w:r w:rsidRPr="008C708B">
        <w:rPr>
          <w:noProof/>
        </w:rPr>
        <w:t xml:space="preserve"> </w:t>
      </w:r>
      <w:r w:rsidRPr="00F841AA">
        <w:rPr>
          <w:noProof/>
        </w:rPr>
        <w:t>will be registered</w:t>
      </w:r>
      <w:r w:rsidRPr="00C12801">
        <w:rPr>
          <w:noProof/>
        </w:rPr>
        <w:t xml:space="preserve"> and subject to </w:t>
      </w:r>
      <w:r>
        <w:rPr>
          <w:noProof/>
        </w:rPr>
        <w:t xml:space="preserve">a screening of their </w:t>
      </w:r>
      <w:r w:rsidRPr="00C12801">
        <w:rPr>
          <w:noProof/>
        </w:rPr>
        <w:t>identity, security</w:t>
      </w:r>
      <w:r>
        <w:rPr>
          <w:noProof/>
        </w:rPr>
        <w:t xml:space="preserve"> risk</w:t>
      </w:r>
      <w:r w:rsidRPr="00C12801">
        <w:rPr>
          <w:noProof/>
        </w:rPr>
        <w:t xml:space="preserve">, vulnerability, and health. </w:t>
      </w:r>
      <w:r>
        <w:rPr>
          <w:noProof/>
        </w:rPr>
        <w:t xml:space="preserve">This </w:t>
      </w:r>
      <w:r w:rsidRPr="0056299F">
        <w:rPr>
          <w:noProof/>
        </w:rPr>
        <w:t>includ</w:t>
      </w:r>
      <w:r>
        <w:rPr>
          <w:noProof/>
        </w:rPr>
        <w:t>es</w:t>
      </w:r>
      <w:r w:rsidRPr="0056299F">
        <w:rPr>
          <w:noProof/>
        </w:rPr>
        <w:t xml:space="preserve"> </w:t>
      </w:r>
      <w:r>
        <w:rPr>
          <w:noProof/>
        </w:rPr>
        <w:t>persons</w:t>
      </w:r>
      <w:r w:rsidRPr="0056299F">
        <w:rPr>
          <w:noProof/>
        </w:rPr>
        <w:t xml:space="preserve"> apprehended within the territory who have not yet been subject to screening or a border check</w:t>
      </w:r>
      <w:r>
        <w:rPr>
          <w:noProof/>
        </w:rPr>
        <w:t xml:space="preserve">. The same applies to all persons who apply for international protection at a border crossing point. </w:t>
      </w:r>
      <w:r w:rsidRPr="00C12801">
        <w:rPr>
          <w:noProof/>
        </w:rPr>
        <w:t xml:space="preserve">In a second stage, a mandatory border procedure will apply for those who are likely </w:t>
      </w:r>
      <w:r>
        <w:rPr>
          <w:noProof/>
        </w:rPr>
        <w:t xml:space="preserve">not in </w:t>
      </w:r>
      <w:r w:rsidRPr="00C12801">
        <w:rPr>
          <w:noProof/>
        </w:rPr>
        <w:t xml:space="preserve">need </w:t>
      </w:r>
      <w:r>
        <w:rPr>
          <w:noProof/>
        </w:rPr>
        <w:t xml:space="preserve">of international </w:t>
      </w:r>
      <w:r w:rsidRPr="00C12801">
        <w:rPr>
          <w:noProof/>
        </w:rPr>
        <w:t xml:space="preserve">protection, present a security risk or mislead the authorities. </w:t>
      </w:r>
      <w:r w:rsidRPr="00245311">
        <w:rPr>
          <w:noProof/>
          <w:szCs w:val="24"/>
        </w:rPr>
        <w:t xml:space="preserve">The Screening Regulation </w:t>
      </w:r>
      <w:r>
        <w:rPr>
          <w:noProof/>
          <w:szCs w:val="24"/>
        </w:rPr>
        <w:t xml:space="preserve">and the Asylum Procedure Regulation </w:t>
      </w:r>
      <w:r w:rsidRPr="00245311">
        <w:rPr>
          <w:noProof/>
          <w:szCs w:val="24"/>
        </w:rPr>
        <w:t>also contain new provisions to improve the identification of stateless persons.</w:t>
      </w:r>
    </w:p>
    <w:p w14:paraId="44F8EC37" w14:textId="77777777" w:rsidR="006B25DA" w:rsidRDefault="006B25DA" w:rsidP="006B25DA">
      <w:pPr>
        <w:spacing w:after="120"/>
        <w:rPr>
          <w:noProof/>
        </w:rPr>
      </w:pPr>
      <w:r w:rsidRPr="00C12801">
        <w:rPr>
          <w:noProof/>
        </w:rPr>
        <w:t xml:space="preserve">The successful implementation of </w:t>
      </w:r>
      <w:r>
        <w:rPr>
          <w:noProof/>
        </w:rPr>
        <w:t>the new obligations</w:t>
      </w:r>
      <w:r w:rsidRPr="00C12801">
        <w:rPr>
          <w:noProof/>
        </w:rPr>
        <w:t xml:space="preserve"> requires that the screening and the border procedures for asylum and (where relevant) return work together in a seamless process</w:t>
      </w:r>
      <w:r>
        <w:rPr>
          <w:noProof/>
        </w:rPr>
        <w:t>,</w:t>
      </w:r>
      <w:r w:rsidRPr="00C12801">
        <w:rPr>
          <w:noProof/>
        </w:rPr>
        <w:t xml:space="preserve"> ensuring </w:t>
      </w:r>
      <w:r>
        <w:rPr>
          <w:noProof/>
        </w:rPr>
        <w:t>rigorous</w:t>
      </w:r>
      <w:r w:rsidRPr="00C12801">
        <w:rPr>
          <w:noProof/>
        </w:rPr>
        <w:t xml:space="preserve"> decision-making</w:t>
      </w:r>
      <w:r>
        <w:rPr>
          <w:noProof/>
        </w:rPr>
        <w:t xml:space="preserve">, in </w:t>
      </w:r>
      <w:r w:rsidRPr="00C12801">
        <w:rPr>
          <w:noProof/>
        </w:rPr>
        <w:t>full respect</w:t>
      </w:r>
      <w:r>
        <w:rPr>
          <w:noProof/>
        </w:rPr>
        <w:t xml:space="preserve"> of all guarantees and </w:t>
      </w:r>
      <w:r w:rsidRPr="00C12801">
        <w:rPr>
          <w:noProof/>
        </w:rPr>
        <w:t xml:space="preserve">the </w:t>
      </w:r>
      <w:r>
        <w:rPr>
          <w:noProof/>
        </w:rPr>
        <w:t>person</w:t>
      </w:r>
      <w:r w:rsidRPr="00C12801">
        <w:rPr>
          <w:noProof/>
        </w:rPr>
        <w:t>s’ rights.</w:t>
      </w:r>
    </w:p>
    <w:p w14:paraId="1C8AD1A6" w14:textId="79BA80BF" w:rsidR="006B25DA" w:rsidRPr="00D339B6" w:rsidRDefault="006B25DA" w:rsidP="006B25DA">
      <w:pPr>
        <w:spacing w:after="120"/>
        <w:rPr>
          <w:noProof/>
        </w:rPr>
      </w:pPr>
      <w:r w:rsidRPr="00D339B6">
        <w:rPr>
          <w:noProof/>
        </w:rPr>
        <w:t xml:space="preserve">Each Member State is required to have capacity to screen all </w:t>
      </w:r>
      <w:r w:rsidR="001F7602" w:rsidRPr="00D339B6">
        <w:rPr>
          <w:noProof/>
        </w:rPr>
        <w:t xml:space="preserve">irregular </w:t>
      </w:r>
      <w:r w:rsidRPr="00D339B6">
        <w:rPr>
          <w:noProof/>
        </w:rPr>
        <w:t>arrivals and to host a certain number of applicants for international protection (and returnees) for the duration of the border procedure in adequate conditions. The ‘</w:t>
      </w:r>
      <w:r w:rsidRPr="00D339B6">
        <w:rPr>
          <w:b/>
          <w:bCs/>
          <w:noProof/>
        </w:rPr>
        <w:t>adequate capacity’</w:t>
      </w:r>
      <w:r w:rsidR="001D3C7A" w:rsidRPr="001228CD">
        <w:rPr>
          <w:rStyle w:val="FootnoteReference"/>
          <w:noProof/>
        </w:rPr>
        <w:footnoteReference w:id="10"/>
      </w:r>
      <w:r w:rsidRPr="00D339B6">
        <w:rPr>
          <w:noProof/>
        </w:rPr>
        <w:t xml:space="preserve"> to process asylum applications and returns at the border is set </w:t>
      </w:r>
      <w:r w:rsidR="00655CA0" w:rsidRPr="00D339B6">
        <w:rPr>
          <w:noProof/>
        </w:rPr>
        <w:t xml:space="preserve">at </w:t>
      </w:r>
      <w:r w:rsidRPr="00D339B6">
        <w:rPr>
          <w:noProof/>
        </w:rPr>
        <w:t xml:space="preserve">30 000 at </w:t>
      </w:r>
      <w:r w:rsidR="00341711" w:rsidRPr="00D339B6">
        <w:rPr>
          <w:noProof/>
        </w:rPr>
        <w:t>Union</w:t>
      </w:r>
      <w:r w:rsidRPr="00D339B6">
        <w:rPr>
          <w:noProof/>
        </w:rPr>
        <w:t xml:space="preserve"> level</w:t>
      </w:r>
      <w:r w:rsidR="00714FB7">
        <w:rPr>
          <w:noProof/>
        </w:rPr>
        <w:t>,</w:t>
      </w:r>
      <w:r w:rsidR="005F0618">
        <w:rPr>
          <w:noProof/>
        </w:rPr>
        <w:t xml:space="preserve"> </w:t>
      </w:r>
      <w:r w:rsidR="00655CA0" w:rsidRPr="00D339B6">
        <w:rPr>
          <w:noProof/>
        </w:rPr>
        <w:t>with t</w:t>
      </w:r>
      <w:r w:rsidRPr="00D339B6">
        <w:rPr>
          <w:noProof/>
        </w:rPr>
        <w:t xml:space="preserve">he Member States’ individual </w:t>
      </w:r>
      <w:r w:rsidR="00655CA0" w:rsidRPr="00D339B6">
        <w:rPr>
          <w:noProof/>
        </w:rPr>
        <w:t xml:space="preserve">share of that </w:t>
      </w:r>
      <w:r w:rsidRPr="00D339B6">
        <w:rPr>
          <w:noProof/>
        </w:rPr>
        <w:t>adequate capacity calculated every three years by the Commission</w:t>
      </w:r>
      <w:r w:rsidR="00655CA0" w:rsidRPr="00D339B6">
        <w:rPr>
          <w:noProof/>
        </w:rPr>
        <w:t>, in line with the formula laid down in the Asylum Procedure Regulation</w:t>
      </w:r>
      <w:r w:rsidRPr="00D339B6">
        <w:rPr>
          <w:noProof/>
        </w:rPr>
        <w:t>.</w:t>
      </w:r>
    </w:p>
    <w:p w14:paraId="149994B7" w14:textId="02EA096A" w:rsidR="006B25DA" w:rsidRPr="00D339B6" w:rsidRDefault="006B25DA" w:rsidP="006B25DA">
      <w:pPr>
        <w:spacing w:after="120"/>
        <w:rPr>
          <w:noProof/>
        </w:rPr>
      </w:pPr>
      <w:r w:rsidRPr="00D339B6">
        <w:rPr>
          <w:rStyle w:val="normaltextrun"/>
          <w:noProof/>
        </w:rPr>
        <w:t xml:space="preserve">A fast procedure </w:t>
      </w:r>
      <w:r w:rsidR="00C34DBD" w:rsidRPr="00D339B6">
        <w:rPr>
          <w:rStyle w:val="normaltextrun"/>
          <w:noProof/>
        </w:rPr>
        <w:t>can be applied without undermining the</w:t>
      </w:r>
      <w:r w:rsidRPr="00D339B6">
        <w:rPr>
          <w:rStyle w:val="normaltextrun"/>
          <w:noProof/>
        </w:rPr>
        <w:t xml:space="preserve"> quality of the decision-making or the applicants’ rights. </w:t>
      </w:r>
      <w:r w:rsidR="00EF3D09" w:rsidRPr="00D339B6">
        <w:rPr>
          <w:rStyle w:val="normaltextrun"/>
          <w:noProof/>
        </w:rPr>
        <w:t>While d</w:t>
      </w:r>
      <w:r w:rsidRPr="00D339B6">
        <w:rPr>
          <w:rStyle w:val="normaltextrun"/>
          <w:noProof/>
        </w:rPr>
        <w:t xml:space="preserve">uring the screening and the border procedure, </w:t>
      </w:r>
      <w:r w:rsidR="00363B9A" w:rsidRPr="00D339B6">
        <w:rPr>
          <w:rStyle w:val="normaltextrun"/>
          <w:noProof/>
        </w:rPr>
        <w:t>persons are</w:t>
      </w:r>
      <w:r w:rsidR="00EF3D09" w:rsidRPr="00D339B6">
        <w:rPr>
          <w:rStyle w:val="normaltextrun"/>
          <w:noProof/>
        </w:rPr>
        <w:t xml:space="preserve"> not authorised to enter the EU territory</w:t>
      </w:r>
      <w:r w:rsidR="00363B9A" w:rsidRPr="00D339B6">
        <w:rPr>
          <w:rStyle w:val="normaltextrun"/>
          <w:noProof/>
        </w:rPr>
        <w:t>, they</w:t>
      </w:r>
      <w:r w:rsidR="00EF3D09" w:rsidRPr="00D339B6">
        <w:rPr>
          <w:rStyle w:val="normaltextrun"/>
          <w:noProof/>
        </w:rPr>
        <w:t xml:space="preserve"> ha</w:t>
      </w:r>
      <w:r w:rsidR="00363B9A" w:rsidRPr="00D339B6">
        <w:rPr>
          <w:rStyle w:val="normaltextrun"/>
          <w:noProof/>
        </w:rPr>
        <w:t>ve</w:t>
      </w:r>
      <w:r w:rsidR="00EF3D09" w:rsidRPr="00D339B6">
        <w:rPr>
          <w:rStyle w:val="normaltextrun"/>
          <w:noProof/>
        </w:rPr>
        <w:t xml:space="preserve"> </w:t>
      </w:r>
      <w:r w:rsidR="00363B9A" w:rsidRPr="00D339B6">
        <w:rPr>
          <w:rStyle w:val="normaltextrun"/>
          <w:noProof/>
        </w:rPr>
        <w:t>the</w:t>
      </w:r>
      <w:r w:rsidR="00EF3D09" w:rsidRPr="00D339B6">
        <w:rPr>
          <w:rStyle w:val="normaltextrun"/>
          <w:noProof/>
        </w:rPr>
        <w:t xml:space="preserve"> right to remain</w:t>
      </w:r>
      <w:r w:rsidR="00B32D3E" w:rsidRPr="00D339B6">
        <w:rPr>
          <w:rStyle w:val="normaltextrun"/>
          <w:noProof/>
        </w:rPr>
        <w:t>.</w:t>
      </w:r>
      <w:r w:rsidR="006C51A2" w:rsidRPr="00D339B6">
        <w:rPr>
          <w:rStyle w:val="normaltextrun"/>
          <w:noProof/>
        </w:rPr>
        <w:t xml:space="preserve"> </w:t>
      </w:r>
      <w:r w:rsidRPr="00D339B6">
        <w:rPr>
          <w:noProof/>
        </w:rPr>
        <w:t xml:space="preserve">Member States must </w:t>
      </w:r>
      <w:r w:rsidR="00B32D3E" w:rsidRPr="00D339B6">
        <w:rPr>
          <w:noProof/>
        </w:rPr>
        <w:t xml:space="preserve">carry out these procedures in line with the safeguards and guarantees provided under the Pact legislative instruments and in full </w:t>
      </w:r>
      <w:r w:rsidRPr="00D339B6">
        <w:rPr>
          <w:noProof/>
        </w:rPr>
        <w:t xml:space="preserve">respect </w:t>
      </w:r>
      <w:r w:rsidR="00B32D3E" w:rsidRPr="00D339B6">
        <w:rPr>
          <w:noProof/>
        </w:rPr>
        <w:t xml:space="preserve">of </w:t>
      </w:r>
      <w:r w:rsidRPr="00D339B6">
        <w:rPr>
          <w:noProof/>
        </w:rPr>
        <w:t xml:space="preserve">fundamental rights </w:t>
      </w:r>
      <w:r w:rsidR="00B32D3E" w:rsidRPr="00D339B6">
        <w:rPr>
          <w:noProof/>
        </w:rPr>
        <w:t>as set out in</w:t>
      </w:r>
      <w:r w:rsidRPr="00D339B6">
        <w:rPr>
          <w:noProof/>
        </w:rPr>
        <w:t xml:space="preserve"> the EU Charter, including the respect of the principle of </w:t>
      </w:r>
      <w:r w:rsidRPr="00D339B6">
        <w:rPr>
          <w:i/>
          <w:iCs/>
          <w:noProof/>
        </w:rPr>
        <w:t>non-refoulement</w:t>
      </w:r>
      <w:r w:rsidRPr="00D339B6">
        <w:rPr>
          <w:noProof/>
        </w:rPr>
        <w:t xml:space="preserve"> and the right to an effective remedy in relation to decisions taken in the border procedure</w:t>
      </w:r>
      <w:r w:rsidRPr="00D339B6">
        <w:rPr>
          <w:rStyle w:val="FootnoteReference"/>
          <w:noProof/>
        </w:rPr>
        <w:footnoteReference w:id="11"/>
      </w:r>
      <w:r w:rsidRPr="00D339B6">
        <w:rPr>
          <w:noProof/>
        </w:rPr>
        <w:t>.</w:t>
      </w:r>
    </w:p>
    <w:p w14:paraId="5B87C701" w14:textId="77777777" w:rsidR="00D339B6" w:rsidRDefault="00D339B6" w:rsidP="006B25DA">
      <w:pPr>
        <w:spacing w:after="120"/>
        <w:rPr>
          <w:noProof/>
        </w:rPr>
      </w:pPr>
    </w:p>
    <w:p w14:paraId="6DBFE8DE" w14:textId="0E3D2A2D" w:rsidR="008F7A7A" w:rsidRDefault="006B25DA" w:rsidP="006B25DA">
      <w:pPr>
        <w:spacing w:after="120"/>
        <w:rPr>
          <w:noProof/>
        </w:rPr>
      </w:pPr>
      <w:r w:rsidRPr="00D339B6">
        <w:rPr>
          <w:noProof/>
        </w:rPr>
        <w:t>The new system for the border builds on existing structures and knowledge.</w:t>
      </w:r>
      <w:r w:rsidRPr="00C12801">
        <w:rPr>
          <w:noProof/>
        </w:rPr>
        <w:t xml:space="preserve"> </w:t>
      </w:r>
      <w:r w:rsidRPr="00C12801">
        <w:rPr>
          <w:rStyle w:val="normaltextrun"/>
          <w:noProof/>
        </w:rPr>
        <w:t xml:space="preserve">Many Member States are already implementing screening protocols that to a large extent inspired the new legal obligations. Furthermore, </w:t>
      </w:r>
      <w:r w:rsidRPr="00C12801">
        <w:rPr>
          <w:noProof/>
        </w:rPr>
        <w:t xml:space="preserve">at least 14 Member States already apply the </w:t>
      </w:r>
      <w:r>
        <w:rPr>
          <w:noProof/>
        </w:rPr>
        <w:t xml:space="preserve">asylum </w:t>
      </w:r>
      <w:r w:rsidRPr="00C12801">
        <w:rPr>
          <w:noProof/>
        </w:rPr>
        <w:t xml:space="preserve">border procedure or have some good practices </w:t>
      </w:r>
      <w:r>
        <w:rPr>
          <w:noProof/>
        </w:rPr>
        <w:t>applied</w:t>
      </w:r>
      <w:r w:rsidRPr="00C12801">
        <w:rPr>
          <w:noProof/>
        </w:rPr>
        <w:t xml:space="preserve"> at the border.</w:t>
      </w:r>
      <w:r w:rsidR="008F7A7A">
        <w:rPr>
          <w:noProof/>
        </w:rPr>
        <w:t xml:space="preserve"> </w:t>
      </w:r>
    </w:p>
    <w:p w14:paraId="68D058D2" w14:textId="1E102DF6" w:rsidR="006B25DA" w:rsidRPr="00C12801" w:rsidRDefault="006B25DA" w:rsidP="006B25DA">
      <w:pPr>
        <w:spacing w:after="120"/>
        <w:rPr>
          <w:noProof/>
        </w:rPr>
      </w:pPr>
      <w:r w:rsidRPr="00C12801">
        <w:rPr>
          <w:noProof/>
        </w:rPr>
        <w:t xml:space="preserve">In this context, the following actions </w:t>
      </w:r>
      <w:r>
        <w:rPr>
          <w:noProof/>
        </w:rPr>
        <w:t>should</w:t>
      </w:r>
      <w:r w:rsidRPr="00C12801">
        <w:rPr>
          <w:noProof/>
        </w:rPr>
        <w:t xml:space="preserve"> be taken</w:t>
      </w:r>
      <w:r>
        <w:rPr>
          <w:noProof/>
        </w:rPr>
        <w:t xml:space="preserve"> to ensure the effective implementation of this building block</w:t>
      </w:r>
      <w:r w:rsidRPr="00C12801">
        <w:rPr>
          <w:noProof/>
        </w:rPr>
        <w:t>:</w:t>
      </w:r>
    </w:p>
    <w:p w14:paraId="1BEC5572" w14:textId="77777777" w:rsidR="006B25DA" w:rsidRPr="00C12801" w:rsidRDefault="006B25DA" w:rsidP="006B25DA">
      <w:pPr>
        <w:spacing w:after="120"/>
        <w:rPr>
          <w:b/>
          <w:bCs/>
          <w:noProof/>
        </w:rPr>
      </w:pPr>
      <w:r w:rsidRPr="00C12801">
        <w:rPr>
          <w:b/>
          <w:bCs/>
          <w:noProof/>
        </w:rPr>
        <w:t>Member States</w:t>
      </w:r>
    </w:p>
    <w:p w14:paraId="5496B222" w14:textId="77777777" w:rsidR="006B25DA" w:rsidRPr="00C12801" w:rsidRDefault="006B25DA" w:rsidP="006B25DA">
      <w:pPr>
        <w:spacing w:after="120"/>
        <w:rPr>
          <w:rStyle w:val="normaltextrun"/>
          <w:i/>
          <w:iCs/>
          <w:noProof/>
        </w:rPr>
      </w:pPr>
      <w:r w:rsidRPr="00C12801">
        <w:rPr>
          <w:i/>
          <w:iCs/>
          <w:noProof/>
        </w:rPr>
        <w:t>Legislation</w:t>
      </w:r>
    </w:p>
    <w:p w14:paraId="343C9346" w14:textId="77777777" w:rsidR="006B25DA" w:rsidRPr="00257F35" w:rsidRDefault="006B25DA" w:rsidP="002740E8">
      <w:pPr>
        <w:pStyle w:val="ListParagraph"/>
        <w:numPr>
          <w:ilvl w:val="0"/>
          <w:numId w:val="28"/>
        </w:numPr>
        <w:spacing w:after="120"/>
        <w:ind w:left="709" w:hanging="425"/>
        <w:contextualSpacing w:val="0"/>
        <w:rPr>
          <w:noProof/>
        </w:rPr>
      </w:pPr>
      <w:r w:rsidRPr="00573D3A">
        <w:rPr>
          <w:noProof/>
        </w:rPr>
        <w:t>Member States should</w:t>
      </w:r>
      <w:r w:rsidRPr="00C12801">
        <w:rPr>
          <w:noProof/>
        </w:rPr>
        <w:t xml:space="preserve"> </w:t>
      </w:r>
      <w:r w:rsidRPr="008F7A7A">
        <w:rPr>
          <w:b/>
          <w:bCs/>
          <w:noProof/>
        </w:rPr>
        <w:t>review and adapt their national regulatory frameworks</w:t>
      </w:r>
      <w:r w:rsidRPr="00C12801">
        <w:rPr>
          <w:noProof/>
        </w:rPr>
        <w:t xml:space="preserve"> to the new provisions and ensure that border controls, screening and the asylum and return border procedures are organised seamlessly to comply with the new </w:t>
      </w:r>
      <w:r w:rsidRPr="00257F35">
        <w:rPr>
          <w:noProof/>
        </w:rPr>
        <w:t xml:space="preserve">strict time-limits (7 days for the screening, 12 weeks for the asylum border procedure and 12 weeks for the return border procedure). </w:t>
      </w:r>
    </w:p>
    <w:p w14:paraId="12EAC4DE" w14:textId="77777777" w:rsidR="006B25DA" w:rsidRPr="00257F35" w:rsidRDefault="006B25DA" w:rsidP="006B25DA">
      <w:pPr>
        <w:spacing w:after="120"/>
        <w:rPr>
          <w:i/>
          <w:iCs/>
          <w:noProof/>
        </w:rPr>
      </w:pPr>
      <w:r w:rsidRPr="00257F35">
        <w:rPr>
          <w:i/>
          <w:iCs/>
          <w:noProof/>
        </w:rPr>
        <w:t>Organisation and administrative processes</w:t>
      </w:r>
    </w:p>
    <w:p w14:paraId="538F235B" w14:textId="77777777" w:rsidR="006B25DA" w:rsidRPr="00257F35" w:rsidRDefault="006B25DA" w:rsidP="002740E8">
      <w:pPr>
        <w:pStyle w:val="ListParagraph"/>
        <w:numPr>
          <w:ilvl w:val="0"/>
          <w:numId w:val="28"/>
        </w:numPr>
        <w:spacing w:after="120"/>
        <w:ind w:left="709" w:hanging="425"/>
        <w:contextualSpacing w:val="0"/>
        <w:rPr>
          <w:noProof/>
        </w:rPr>
      </w:pPr>
      <w:r w:rsidRPr="00257F35">
        <w:rPr>
          <w:noProof/>
        </w:rPr>
        <w:t xml:space="preserve">Member States should </w:t>
      </w:r>
      <w:r w:rsidRPr="008F7A7A">
        <w:rPr>
          <w:b/>
          <w:bCs/>
          <w:noProof/>
        </w:rPr>
        <w:t>review their administrative processes, starting with their workflows and standard operating procedures</w:t>
      </w:r>
      <w:r>
        <w:rPr>
          <w:noProof/>
        </w:rPr>
        <w:t>,</w:t>
      </w:r>
      <w:r w:rsidRPr="00257F35">
        <w:rPr>
          <w:noProof/>
        </w:rPr>
        <w:t xml:space="preserve"> as well as their tools to ensure the adequate flow of information </w:t>
      </w:r>
      <w:r>
        <w:rPr>
          <w:noProof/>
        </w:rPr>
        <w:t>in each step and among the authorities involved and</w:t>
      </w:r>
      <w:r w:rsidRPr="00257F35">
        <w:rPr>
          <w:noProof/>
        </w:rPr>
        <w:t xml:space="preserve"> comply with the new strict time-limits and reporting obligations. </w:t>
      </w:r>
      <w:r>
        <w:rPr>
          <w:noProof/>
        </w:rPr>
        <w:t xml:space="preserve">For this purpose, Member States should consider establishing </w:t>
      </w:r>
      <w:r w:rsidRPr="008F7A7A">
        <w:rPr>
          <w:b/>
          <w:bCs/>
          <w:noProof/>
        </w:rPr>
        <w:t>integrated case management systems</w:t>
      </w:r>
      <w:r w:rsidRPr="002E1ED0">
        <w:rPr>
          <w:noProof/>
        </w:rPr>
        <w:t xml:space="preserve"> </w:t>
      </w:r>
      <w:r>
        <w:rPr>
          <w:noProof/>
        </w:rPr>
        <w:t>so that relevant information is collected and shared with the various services, as relevant.</w:t>
      </w:r>
    </w:p>
    <w:p w14:paraId="4A836CCA" w14:textId="6777DBE1" w:rsidR="006B25DA" w:rsidRDefault="006B25DA" w:rsidP="002740E8">
      <w:pPr>
        <w:pStyle w:val="ListParagraph"/>
        <w:numPr>
          <w:ilvl w:val="0"/>
          <w:numId w:val="28"/>
        </w:numPr>
        <w:spacing w:after="120"/>
        <w:ind w:left="709" w:hanging="425"/>
        <w:contextualSpacing w:val="0"/>
        <w:rPr>
          <w:noProof/>
        </w:rPr>
      </w:pPr>
      <w:r w:rsidRPr="00573D3A">
        <w:rPr>
          <w:noProof/>
        </w:rPr>
        <w:t xml:space="preserve">Member States will have to </w:t>
      </w:r>
      <w:r>
        <w:rPr>
          <w:noProof/>
        </w:rPr>
        <w:t>take the appropriate actions</w:t>
      </w:r>
      <w:r w:rsidRPr="00573D3A">
        <w:rPr>
          <w:noProof/>
        </w:rPr>
        <w:t xml:space="preserve"> to ensure that migrants remain available to authorities during </w:t>
      </w:r>
      <w:r>
        <w:rPr>
          <w:noProof/>
        </w:rPr>
        <w:t>the</w:t>
      </w:r>
      <w:r w:rsidRPr="00573D3A">
        <w:rPr>
          <w:noProof/>
        </w:rPr>
        <w:t xml:space="preserve"> screening and the border procedures</w:t>
      </w:r>
      <w:r>
        <w:rPr>
          <w:noProof/>
        </w:rPr>
        <w:t xml:space="preserve"> (and are prevented from an unauthorised entry</w:t>
      </w:r>
      <w:r w:rsidR="00496D13">
        <w:rPr>
          <w:noProof/>
        </w:rPr>
        <w:t xml:space="preserve"> and </w:t>
      </w:r>
      <w:r w:rsidR="00E81F45">
        <w:rPr>
          <w:noProof/>
        </w:rPr>
        <w:t>limited from</w:t>
      </w:r>
      <w:r w:rsidR="006B5521">
        <w:rPr>
          <w:noProof/>
        </w:rPr>
        <w:t xml:space="preserve"> </w:t>
      </w:r>
      <w:r w:rsidR="00E81F45">
        <w:rPr>
          <w:noProof/>
        </w:rPr>
        <w:t>moving in an</w:t>
      </w:r>
      <w:r w:rsidR="006B5521">
        <w:rPr>
          <w:noProof/>
        </w:rPr>
        <w:t xml:space="preserve"> </w:t>
      </w:r>
      <w:r w:rsidR="00496D13" w:rsidRPr="00E64E68">
        <w:rPr>
          <w:noProof/>
        </w:rPr>
        <w:t xml:space="preserve">unauthorised </w:t>
      </w:r>
      <w:r w:rsidR="00E81F45">
        <w:rPr>
          <w:noProof/>
        </w:rPr>
        <w:t>manner</w:t>
      </w:r>
      <w:r>
        <w:rPr>
          <w:rStyle w:val="FootnoteReference"/>
          <w:noProof/>
        </w:rPr>
        <w:footnoteReference w:id="12"/>
      </w:r>
      <w:r>
        <w:rPr>
          <w:noProof/>
        </w:rPr>
        <w:t>). These actions could include</w:t>
      </w:r>
      <w:r w:rsidRPr="00573D3A">
        <w:rPr>
          <w:noProof/>
        </w:rPr>
        <w:t xml:space="preserve"> protocols</w:t>
      </w:r>
      <w:r>
        <w:rPr>
          <w:noProof/>
        </w:rPr>
        <w:t xml:space="preserve"> covering an assessment of measures to </w:t>
      </w:r>
      <w:r w:rsidR="00C34DBD">
        <w:rPr>
          <w:noProof/>
        </w:rPr>
        <w:t xml:space="preserve">limit </w:t>
      </w:r>
      <w:r>
        <w:rPr>
          <w:noProof/>
        </w:rPr>
        <w:t>the risk of absconding, including alternatives to detention (which should be defined by law), notably for families with children, and possible use of detention</w:t>
      </w:r>
      <w:r w:rsidRPr="00573D3A">
        <w:rPr>
          <w:noProof/>
        </w:rPr>
        <w:t xml:space="preserve">. </w:t>
      </w:r>
    </w:p>
    <w:p w14:paraId="2EF17081" w14:textId="77777777" w:rsidR="006B25DA" w:rsidRDefault="006B25DA" w:rsidP="002740E8">
      <w:pPr>
        <w:pStyle w:val="ListParagraph"/>
        <w:numPr>
          <w:ilvl w:val="0"/>
          <w:numId w:val="28"/>
        </w:numPr>
        <w:spacing w:after="120"/>
        <w:ind w:left="709" w:hanging="425"/>
        <w:contextualSpacing w:val="0"/>
        <w:rPr>
          <w:noProof/>
        </w:rPr>
      </w:pPr>
      <w:r>
        <w:rPr>
          <w:noProof/>
        </w:rPr>
        <w:t xml:space="preserve">Member States </w:t>
      </w:r>
      <w:r w:rsidRPr="007855DD">
        <w:rPr>
          <w:noProof/>
        </w:rPr>
        <w:t>should</w:t>
      </w:r>
      <w:r>
        <w:rPr>
          <w:noProof/>
        </w:rPr>
        <w:t xml:space="preserve"> reflect screening into their national </w:t>
      </w:r>
      <w:r w:rsidRPr="00C12801">
        <w:rPr>
          <w:noProof/>
        </w:rPr>
        <w:t>I</w:t>
      </w:r>
      <w:r>
        <w:rPr>
          <w:noProof/>
        </w:rPr>
        <w:t xml:space="preserve">ntegrated </w:t>
      </w:r>
      <w:r w:rsidRPr="00C12801">
        <w:rPr>
          <w:noProof/>
        </w:rPr>
        <w:t>B</w:t>
      </w:r>
      <w:r>
        <w:rPr>
          <w:noProof/>
        </w:rPr>
        <w:t xml:space="preserve">order </w:t>
      </w:r>
      <w:r w:rsidRPr="00C12801">
        <w:rPr>
          <w:noProof/>
        </w:rPr>
        <w:t>M</w:t>
      </w:r>
      <w:r>
        <w:rPr>
          <w:noProof/>
        </w:rPr>
        <w:t>anagement</w:t>
      </w:r>
      <w:r w:rsidRPr="00C12801">
        <w:rPr>
          <w:noProof/>
        </w:rPr>
        <w:t xml:space="preserve"> strategies</w:t>
      </w:r>
      <w:r>
        <w:rPr>
          <w:noProof/>
        </w:rPr>
        <w:t>.</w:t>
      </w:r>
    </w:p>
    <w:p w14:paraId="7F75C6A6" w14:textId="77777777" w:rsidR="006B25DA" w:rsidRDefault="006B25DA" w:rsidP="002740E8">
      <w:pPr>
        <w:pStyle w:val="ListParagraph"/>
        <w:numPr>
          <w:ilvl w:val="0"/>
          <w:numId w:val="28"/>
        </w:numPr>
        <w:spacing w:after="120"/>
        <w:ind w:left="709" w:hanging="425"/>
        <w:rPr>
          <w:noProof/>
        </w:rPr>
      </w:pPr>
      <w:r>
        <w:rPr>
          <w:noProof/>
        </w:rPr>
        <w:t>Member States will have to integrate the identity, security, vulnerability and health checks required for screening in the territory into already existing national apprehension/return practices.</w:t>
      </w:r>
    </w:p>
    <w:p w14:paraId="6452BA93" w14:textId="77777777" w:rsidR="006B25DA" w:rsidRPr="00C12801" w:rsidRDefault="006B25DA" w:rsidP="006B25DA">
      <w:pPr>
        <w:spacing w:after="120"/>
        <w:rPr>
          <w:i/>
          <w:iCs/>
          <w:noProof/>
        </w:rPr>
      </w:pPr>
      <w:r w:rsidRPr="00C12801">
        <w:rPr>
          <w:i/>
          <w:iCs/>
          <w:noProof/>
        </w:rPr>
        <w:t>Capacities (human resources, infrastructure, and equipment)</w:t>
      </w:r>
      <w:r w:rsidRPr="00C12801" w:rsidDel="003F015E">
        <w:rPr>
          <w:i/>
          <w:iCs/>
          <w:noProof/>
        </w:rPr>
        <w:t xml:space="preserve"> </w:t>
      </w:r>
    </w:p>
    <w:p w14:paraId="54CC8560" w14:textId="08EC966E" w:rsidR="006B25DA" w:rsidRPr="00A9648A" w:rsidRDefault="006B25DA" w:rsidP="002740E8">
      <w:pPr>
        <w:pStyle w:val="ListParagraph"/>
        <w:numPr>
          <w:ilvl w:val="0"/>
          <w:numId w:val="28"/>
        </w:numPr>
        <w:spacing w:after="120"/>
        <w:ind w:left="709" w:hanging="425"/>
        <w:contextualSpacing w:val="0"/>
        <w:rPr>
          <w:noProof/>
        </w:rPr>
      </w:pPr>
      <w:r w:rsidRPr="00A9648A">
        <w:rPr>
          <w:noProof/>
        </w:rPr>
        <w:t xml:space="preserve">Member States will need to </w:t>
      </w:r>
      <w:r>
        <w:rPr>
          <w:noProof/>
        </w:rPr>
        <w:t xml:space="preserve">identify the </w:t>
      </w:r>
      <w:r w:rsidRPr="00A9648A">
        <w:rPr>
          <w:noProof/>
        </w:rPr>
        <w:t>locations to carry out screening and the border procedure</w:t>
      </w:r>
      <w:r>
        <w:rPr>
          <w:noProof/>
        </w:rPr>
        <w:t>s</w:t>
      </w:r>
      <w:r w:rsidRPr="00A9648A">
        <w:rPr>
          <w:noProof/>
        </w:rPr>
        <w:t>. If ne</w:t>
      </w:r>
      <w:r>
        <w:rPr>
          <w:noProof/>
        </w:rPr>
        <w:t>cessary</w:t>
      </w:r>
      <w:r w:rsidRPr="00A9648A">
        <w:rPr>
          <w:noProof/>
        </w:rPr>
        <w:t>, they will have to scale up or build the necessary infrastructure</w:t>
      </w:r>
      <w:r w:rsidRPr="008C708B">
        <w:rPr>
          <w:noProof/>
        </w:rPr>
        <w:t>. The infrastructure should include</w:t>
      </w:r>
      <w:r w:rsidRPr="00A9648A">
        <w:rPr>
          <w:noProof/>
        </w:rPr>
        <w:t xml:space="preserve"> screening facilities </w:t>
      </w:r>
      <w:r w:rsidRPr="008C708B">
        <w:rPr>
          <w:noProof/>
        </w:rPr>
        <w:t xml:space="preserve">for irregular </w:t>
      </w:r>
      <w:r w:rsidRPr="00970C00">
        <w:rPr>
          <w:noProof/>
        </w:rPr>
        <w:t>migrants and applicants for international protection which have to conform with the standards of the Return Directive (in the</w:t>
      </w:r>
      <w:r w:rsidRPr="008C708B">
        <w:rPr>
          <w:noProof/>
        </w:rPr>
        <w:t xml:space="preserve"> case of irregular migrants) and the </w:t>
      </w:r>
      <w:r>
        <w:rPr>
          <w:noProof/>
        </w:rPr>
        <w:t xml:space="preserve">recast </w:t>
      </w:r>
      <w:r w:rsidRPr="008C708B">
        <w:rPr>
          <w:noProof/>
        </w:rPr>
        <w:t>Reception Conditions Directive (in the case of applicants for international protection)</w:t>
      </w:r>
      <w:r>
        <w:rPr>
          <w:noProof/>
        </w:rPr>
        <w:t>. Infrastructure should also include</w:t>
      </w:r>
      <w:r w:rsidRPr="008C708B">
        <w:rPr>
          <w:noProof/>
        </w:rPr>
        <w:t xml:space="preserve"> </w:t>
      </w:r>
      <w:r w:rsidRPr="00A9648A">
        <w:rPr>
          <w:noProof/>
        </w:rPr>
        <w:t>reception centres</w:t>
      </w:r>
      <w:r>
        <w:rPr>
          <w:noProof/>
        </w:rPr>
        <w:t xml:space="preserve"> for applicants for international protection</w:t>
      </w:r>
      <w:r w:rsidRPr="00A9648A">
        <w:rPr>
          <w:noProof/>
        </w:rPr>
        <w:t xml:space="preserve"> (including </w:t>
      </w:r>
      <w:r>
        <w:rPr>
          <w:noProof/>
        </w:rPr>
        <w:t xml:space="preserve">appropriate </w:t>
      </w:r>
      <w:r w:rsidRPr="00A9648A">
        <w:rPr>
          <w:noProof/>
        </w:rPr>
        <w:t xml:space="preserve">capacity for detention) </w:t>
      </w:r>
      <w:r>
        <w:rPr>
          <w:noProof/>
        </w:rPr>
        <w:t>to meet the Member State’s</w:t>
      </w:r>
      <w:r w:rsidRPr="00A9648A">
        <w:rPr>
          <w:noProof/>
        </w:rPr>
        <w:t xml:space="preserve"> </w:t>
      </w:r>
      <w:r>
        <w:rPr>
          <w:noProof/>
        </w:rPr>
        <w:t>‘</w:t>
      </w:r>
      <w:r w:rsidRPr="00A9648A">
        <w:rPr>
          <w:noProof/>
        </w:rPr>
        <w:t>adequate capacity</w:t>
      </w:r>
      <w:r>
        <w:rPr>
          <w:noProof/>
        </w:rPr>
        <w:t>’ requirements</w:t>
      </w:r>
      <w:r w:rsidRPr="00A9648A">
        <w:rPr>
          <w:noProof/>
        </w:rPr>
        <w:t xml:space="preserve"> and </w:t>
      </w:r>
      <w:r>
        <w:rPr>
          <w:noProof/>
        </w:rPr>
        <w:t xml:space="preserve">which have to </w:t>
      </w:r>
      <w:r w:rsidRPr="00A9648A">
        <w:rPr>
          <w:noProof/>
        </w:rPr>
        <w:t xml:space="preserve">conform with the standards of the </w:t>
      </w:r>
      <w:r>
        <w:rPr>
          <w:noProof/>
        </w:rPr>
        <w:t xml:space="preserve">recast </w:t>
      </w:r>
      <w:r w:rsidRPr="00A9648A">
        <w:rPr>
          <w:noProof/>
        </w:rPr>
        <w:t>Reception Conditions Directive</w:t>
      </w:r>
      <w:r>
        <w:rPr>
          <w:rStyle w:val="FootnoteReference"/>
          <w:noProof/>
        </w:rPr>
        <w:footnoteReference w:id="13"/>
      </w:r>
      <w:r>
        <w:rPr>
          <w:noProof/>
        </w:rPr>
        <w:t>, also taking into account the specific requirements for families with children</w:t>
      </w:r>
      <w:r>
        <w:rPr>
          <w:rStyle w:val="FootnoteReference"/>
          <w:noProof/>
        </w:rPr>
        <w:footnoteReference w:id="14"/>
      </w:r>
      <w:r>
        <w:rPr>
          <w:noProof/>
        </w:rPr>
        <w:t>. This requires a thorough assessment of existing capacity and planning the building</w:t>
      </w:r>
      <w:r w:rsidR="00C34DBD">
        <w:rPr>
          <w:noProof/>
        </w:rPr>
        <w:t xml:space="preserve"> or refurbishment</w:t>
      </w:r>
      <w:r>
        <w:rPr>
          <w:noProof/>
        </w:rPr>
        <w:t xml:space="preserve"> of infrastructure immediately after the Commission establishes the adequate capacity that each Member State needs to put in place. </w:t>
      </w:r>
    </w:p>
    <w:p w14:paraId="452583E6" w14:textId="5DC48F4B"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t>
      </w:r>
      <w:r w:rsidR="00391E30">
        <w:rPr>
          <w:noProof/>
        </w:rPr>
        <w:t xml:space="preserve">will </w:t>
      </w:r>
      <w:r>
        <w:rPr>
          <w:noProof/>
        </w:rPr>
        <w:t>have to ensure sufficient competent staff</w:t>
      </w:r>
      <w:r>
        <w:rPr>
          <w:rStyle w:val="FootnoteReference"/>
          <w:noProof/>
        </w:rPr>
        <w:footnoteReference w:id="15"/>
      </w:r>
      <w:r>
        <w:rPr>
          <w:noProof/>
        </w:rPr>
        <w:t xml:space="preserve"> to carry out the screening and the asylum/return border procedures within the short deadlines provided in the </w:t>
      </w:r>
      <w:r w:rsidRPr="00970C00">
        <w:rPr>
          <w:noProof/>
        </w:rPr>
        <w:t>legislation in due respect of all fundamental rights safeguards. Member States should also ensure sufficient judicial capacity to ensure</w:t>
      </w:r>
      <w:r>
        <w:rPr>
          <w:noProof/>
        </w:rPr>
        <w:t xml:space="preserve"> that any appeal would fit into the deadline for the border procedures.</w:t>
      </w:r>
    </w:p>
    <w:p w14:paraId="7EEC2D62" w14:textId="77777777" w:rsidR="006B25DA" w:rsidRPr="00C12801" w:rsidRDefault="006B25DA" w:rsidP="00C1206A">
      <w:pPr>
        <w:pStyle w:val="ListParagraph"/>
        <w:numPr>
          <w:ilvl w:val="0"/>
          <w:numId w:val="28"/>
        </w:numPr>
        <w:spacing w:after="120"/>
        <w:ind w:left="709" w:hanging="425"/>
        <w:contextualSpacing w:val="0"/>
        <w:rPr>
          <w:noProof/>
        </w:rPr>
      </w:pPr>
      <w:r>
        <w:rPr>
          <w:noProof/>
        </w:rPr>
        <w:t>If needed, Member States will have to acquire the necessary equipment to carry out the screening and border procedures (e.g., Eurodac machines, equipment to identify fraudulent documents) and ensure adequate internet connectivity to access the various databases.</w:t>
      </w:r>
    </w:p>
    <w:p w14:paraId="2B6494B6" w14:textId="58D7661B" w:rsidR="00D33ADD" w:rsidRPr="00C12801" w:rsidRDefault="00D33ADD" w:rsidP="002740E8">
      <w:pPr>
        <w:pStyle w:val="ListParagraph"/>
        <w:numPr>
          <w:ilvl w:val="0"/>
          <w:numId w:val="28"/>
        </w:numPr>
        <w:spacing w:after="120"/>
        <w:ind w:left="709" w:hanging="425"/>
        <w:contextualSpacing w:val="0"/>
        <w:rPr>
          <w:noProof/>
        </w:rPr>
      </w:pPr>
      <w:r>
        <w:rPr>
          <w:noProof/>
        </w:rPr>
        <w:t xml:space="preserve">Member States </w:t>
      </w:r>
      <w:r w:rsidR="000F6F65" w:rsidRPr="001228CD">
        <w:rPr>
          <w:noProof/>
        </w:rPr>
        <w:t xml:space="preserve">will </w:t>
      </w:r>
      <w:r w:rsidR="00ED1DE9">
        <w:rPr>
          <w:noProof/>
        </w:rPr>
        <w:t xml:space="preserve">also </w:t>
      </w:r>
      <w:r w:rsidR="000F6F65" w:rsidRPr="001228CD">
        <w:rPr>
          <w:noProof/>
        </w:rPr>
        <w:t>have to ensure</w:t>
      </w:r>
      <w:r w:rsidRPr="001228CD">
        <w:rPr>
          <w:noProof/>
        </w:rPr>
        <w:t xml:space="preserve"> that </w:t>
      </w:r>
      <w:r w:rsidR="00815D38">
        <w:rPr>
          <w:noProof/>
        </w:rPr>
        <w:t xml:space="preserve">duly </w:t>
      </w:r>
      <w:r w:rsidR="000F6F65" w:rsidRPr="001228CD">
        <w:rPr>
          <w:noProof/>
        </w:rPr>
        <w:t>authorised</w:t>
      </w:r>
      <w:r w:rsidRPr="001228CD">
        <w:rPr>
          <w:noProof/>
        </w:rPr>
        <w:t xml:space="preserve"> </w:t>
      </w:r>
      <w:r w:rsidR="00815D38">
        <w:rPr>
          <w:noProof/>
        </w:rPr>
        <w:t xml:space="preserve">staff of the </w:t>
      </w:r>
      <w:r w:rsidRPr="001228CD">
        <w:rPr>
          <w:noProof/>
        </w:rPr>
        <w:t>screening authorities have</w:t>
      </w:r>
      <w:r w:rsidRPr="001228CD">
        <w:rPr>
          <w:b/>
          <w:noProof/>
        </w:rPr>
        <w:t xml:space="preserve"> access</w:t>
      </w:r>
      <w:r w:rsidRPr="001228CD">
        <w:rPr>
          <w:noProof/>
        </w:rPr>
        <w:t xml:space="preserve"> to EU and Interpol databases, and Europol data. </w:t>
      </w:r>
    </w:p>
    <w:p w14:paraId="3A71BCE2" w14:textId="77777777" w:rsidR="006B25DA" w:rsidRPr="00C12801" w:rsidRDefault="006B25DA" w:rsidP="002740E8">
      <w:pPr>
        <w:pStyle w:val="ListParagraph"/>
        <w:numPr>
          <w:ilvl w:val="0"/>
          <w:numId w:val="28"/>
        </w:numPr>
        <w:spacing w:after="120"/>
        <w:ind w:left="709" w:hanging="425"/>
        <w:contextualSpacing w:val="0"/>
        <w:rPr>
          <w:noProof/>
        </w:rPr>
      </w:pPr>
      <w:r>
        <w:rPr>
          <w:noProof/>
        </w:rPr>
        <w:t>Member States will have to develop the necessary data collection capacity to comply with the reporting obligations where the ‘adequate capacity’ or the annual maximum number of applications is reached.</w:t>
      </w:r>
    </w:p>
    <w:p w14:paraId="3867ED9D" w14:textId="77777777" w:rsidR="006B25DA" w:rsidRPr="00C12801" w:rsidRDefault="006B25DA" w:rsidP="006B25DA">
      <w:pPr>
        <w:spacing w:after="120"/>
        <w:rPr>
          <w:b/>
          <w:bCs/>
          <w:noProof/>
        </w:rPr>
      </w:pPr>
      <w:r w:rsidRPr="00C12801">
        <w:rPr>
          <w:b/>
          <w:bCs/>
          <w:noProof/>
        </w:rPr>
        <w:t>Commission</w:t>
      </w:r>
    </w:p>
    <w:p w14:paraId="06136CC4" w14:textId="2F277A0B" w:rsidR="006B25DA" w:rsidRPr="00C12801" w:rsidRDefault="006B25DA" w:rsidP="006B25DA">
      <w:pPr>
        <w:spacing w:after="120"/>
        <w:rPr>
          <w:i/>
          <w:iCs/>
          <w:noProof/>
        </w:rPr>
      </w:pPr>
      <w:r w:rsidRPr="00C12801">
        <w:rPr>
          <w:i/>
          <w:iCs/>
          <w:noProof/>
        </w:rPr>
        <w:t>Legal obligation</w:t>
      </w:r>
    </w:p>
    <w:p w14:paraId="32404EAE" w14:textId="58BA1194" w:rsidR="006B25DA" w:rsidRPr="00C12801" w:rsidRDefault="006B25DA" w:rsidP="002740E8">
      <w:pPr>
        <w:pStyle w:val="ListParagraph"/>
        <w:numPr>
          <w:ilvl w:val="0"/>
          <w:numId w:val="28"/>
        </w:numPr>
        <w:spacing w:after="120"/>
        <w:ind w:left="709" w:hanging="425"/>
        <w:rPr>
          <w:noProof/>
        </w:rPr>
      </w:pPr>
      <w:r>
        <w:rPr>
          <w:noProof/>
        </w:rPr>
        <w:t>By August 2024, (</w:t>
      </w:r>
      <w:r w:rsidR="00C00958">
        <w:rPr>
          <w:noProof/>
        </w:rPr>
        <w:t>two</w:t>
      </w:r>
      <w:r>
        <w:rPr>
          <w:noProof/>
        </w:rPr>
        <w:t xml:space="preserve"> months after the entry into force of the Asylum Procedure Regulation), the Commission will adopt the implementing act calculating the adequate capacity that each Member State will have to put in place for three years. </w:t>
      </w:r>
    </w:p>
    <w:p w14:paraId="68173AE1" w14:textId="77777777" w:rsidR="006B25DA" w:rsidRPr="00C12801" w:rsidRDefault="006B25DA" w:rsidP="006B25DA">
      <w:pPr>
        <w:spacing w:after="120"/>
        <w:rPr>
          <w:i/>
          <w:iCs/>
          <w:noProof/>
        </w:rPr>
      </w:pPr>
      <w:r w:rsidRPr="00C12801">
        <w:rPr>
          <w:i/>
          <w:iCs/>
          <w:noProof/>
        </w:rPr>
        <w:t>Practical support</w:t>
      </w:r>
    </w:p>
    <w:p w14:paraId="5E3AC97D" w14:textId="5F7A4F58" w:rsidR="006B25DA" w:rsidRPr="003A3CA2" w:rsidRDefault="006B25DA" w:rsidP="002740E8">
      <w:pPr>
        <w:pStyle w:val="ListParagraph"/>
        <w:numPr>
          <w:ilvl w:val="0"/>
          <w:numId w:val="28"/>
        </w:numPr>
        <w:spacing w:after="120"/>
        <w:ind w:left="709" w:hanging="425"/>
        <w:contextualSpacing w:val="0"/>
        <w:rPr>
          <w:noProof/>
        </w:rPr>
      </w:pPr>
      <w:r>
        <w:rPr>
          <w:noProof/>
        </w:rPr>
        <w:t xml:space="preserve">The Commission, with European Union Asylum Agency (EUAA) and the European Border and Coast Guard Agency (Frontex), will </w:t>
      </w:r>
      <w:r w:rsidRPr="008F7A7A">
        <w:rPr>
          <w:b/>
          <w:bCs/>
          <w:noProof/>
        </w:rPr>
        <w:t>develop models for the border procedure</w:t>
      </w:r>
      <w:r w:rsidRPr="00970C00">
        <w:rPr>
          <w:noProof/>
        </w:rPr>
        <w:t xml:space="preserve"> (including fundamental rights safeguards)</w:t>
      </w:r>
      <w:r>
        <w:rPr>
          <w:noProof/>
        </w:rPr>
        <w:t xml:space="preserve">. The Commission will also revise, </w:t>
      </w:r>
      <w:r w:rsidR="00DB5F8B">
        <w:rPr>
          <w:noProof/>
        </w:rPr>
        <w:t xml:space="preserve">as </w:t>
      </w:r>
      <w:r>
        <w:rPr>
          <w:noProof/>
        </w:rPr>
        <w:t>necessary, the Practical Handbook for Border Guards. To ensure a common understanding between border guards, asylum officials and return case workers, the Commission will organise dedicated discussions bringing these three actors together.</w:t>
      </w:r>
    </w:p>
    <w:p w14:paraId="1050B500" w14:textId="77777777" w:rsidR="006B25DA" w:rsidRDefault="006B25DA" w:rsidP="002740E8">
      <w:pPr>
        <w:pStyle w:val="ListParagraph"/>
        <w:numPr>
          <w:ilvl w:val="0"/>
          <w:numId w:val="28"/>
        </w:numPr>
        <w:spacing w:after="120"/>
        <w:ind w:left="709" w:hanging="425"/>
        <w:contextualSpacing w:val="0"/>
        <w:rPr>
          <w:noProof/>
        </w:rPr>
      </w:pPr>
      <w:r>
        <w:rPr>
          <w:noProof/>
        </w:rPr>
        <w:t xml:space="preserve">The Commission will take all necessary actions, including </w:t>
      </w:r>
      <w:r w:rsidRPr="008C708B">
        <w:rPr>
          <w:noProof/>
        </w:rPr>
        <w:t>in the follow-up</w:t>
      </w:r>
      <w:r>
        <w:rPr>
          <w:noProof/>
        </w:rPr>
        <w:t xml:space="preserve"> to the Article 25a process of the Visa Code presented in section 5 as well as ‘targeted return actions’ in the context of the work of the EU Return Coordinator (see building block 5) to ensure that the return border procedure can function effectively, taking into account the nationalities that fall under the mandatory border procedure.</w:t>
      </w:r>
    </w:p>
    <w:p w14:paraId="6079CD59" w14:textId="77777777" w:rsidR="00DA6458" w:rsidRPr="00703206" w:rsidRDefault="006B25DA" w:rsidP="00975C79">
      <w:pPr>
        <w:pStyle w:val="ListParagraph"/>
        <w:numPr>
          <w:ilvl w:val="0"/>
          <w:numId w:val="28"/>
        </w:numPr>
        <w:spacing w:after="120"/>
        <w:ind w:left="709" w:hanging="425"/>
        <w:contextualSpacing w:val="0"/>
        <w:rPr>
          <w:b/>
          <w:noProof/>
        </w:rPr>
      </w:pPr>
      <w:r>
        <w:rPr>
          <w:noProof/>
        </w:rPr>
        <w:t>The Commission will integrate screening into the policy cycle of European Integrated Border Managem</w:t>
      </w:r>
      <w:r w:rsidRPr="008841A6">
        <w:rPr>
          <w:noProof/>
        </w:rPr>
        <w:t>ent.</w:t>
      </w:r>
    </w:p>
    <w:p w14:paraId="44F09417" w14:textId="02EA5639" w:rsidR="006B25DA" w:rsidRPr="00C12801" w:rsidRDefault="006B25DA" w:rsidP="006B25DA">
      <w:pPr>
        <w:spacing w:after="120"/>
        <w:rPr>
          <w:b/>
          <w:bCs/>
          <w:noProof/>
        </w:rPr>
      </w:pPr>
      <w:r w:rsidRPr="00C12801">
        <w:rPr>
          <w:b/>
          <w:bCs/>
          <w:noProof/>
        </w:rPr>
        <w:t>EU Agencies</w:t>
      </w:r>
    </w:p>
    <w:p w14:paraId="5C6E173D" w14:textId="77777777" w:rsidR="006B25DA" w:rsidRPr="00C12801" w:rsidRDefault="006B25DA" w:rsidP="006B25DA">
      <w:pPr>
        <w:spacing w:after="120"/>
        <w:rPr>
          <w:i/>
          <w:iCs/>
          <w:noProof/>
        </w:rPr>
      </w:pPr>
      <w:r w:rsidRPr="00C12801">
        <w:rPr>
          <w:i/>
          <w:iCs/>
          <w:noProof/>
        </w:rPr>
        <w:t xml:space="preserve">Legal obligation </w:t>
      </w:r>
    </w:p>
    <w:p w14:paraId="067E6AB0"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The EUAA will develop </w:t>
      </w:r>
      <w:r w:rsidRPr="008F7A7A">
        <w:rPr>
          <w:b/>
          <w:bCs/>
          <w:noProof/>
        </w:rPr>
        <w:t>guidance on effective alternatives to detention</w:t>
      </w:r>
      <w:r>
        <w:rPr>
          <w:noProof/>
        </w:rPr>
        <w:t>.</w:t>
      </w:r>
    </w:p>
    <w:p w14:paraId="3ACF8827" w14:textId="77777777" w:rsidR="006B25DA" w:rsidRPr="00C12801" w:rsidRDefault="006B25DA" w:rsidP="002740E8">
      <w:pPr>
        <w:pStyle w:val="ListParagraph"/>
        <w:numPr>
          <w:ilvl w:val="0"/>
          <w:numId w:val="28"/>
        </w:numPr>
        <w:spacing w:after="120"/>
        <w:ind w:left="709" w:hanging="425"/>
        <w:contextualSpacing w:val="0"/>
        <w:rPr>
          <w:noProof/>
        </w:rPr>
      </w:pPr>
      <w:r w:rsidRPr="00C12801">
        <w:rPr>
          <w:noProof/>
        </w:rPr>
        <w:t xml:space="preserve">The upcoming </w:t>
      </w:r>
      <w:r>
        <w:rPr>
          <w:noProof/>
        </w:rPr>
        <w:t xml:space="preserve">EUAA </w:t>
      </w:r>
      <w:r w:rsidRPr="008F7A7A">
        <w:rPr>
          <w:b/>
          <w:bCs/>
          <w:noProof/>
        </w:rPr>
        <w:t>regular ‘Convergence Reports’</w:t>
      </w:r>
      <w:r w:rsidRPr="00C12801">
        <w:rPr>
          <w:noProof/>
        </w:rPr>
        <w:t xml:space="preserve"> should support Member States in the process of determining those nationalities that would in principle </w:t>
      </w:r>
      <w:r>
        <w:rPr>
          <w:noProof/>
        </w:rPr>
        <w:t>fall</w:t>
      </w:r>
      <w:r w:rsidRPr="00C12801">
        <w:rPr>
          <w:noProof/>
        </w:rPr>
        <w:t xml:space="preserve"> within the border procedure and </w:t>
      </w:r>
      <w:r>
        <w:rPr>
          <w:noProof/>
        </w:rPr>
        <w:t>identify cases for which the 20% recognition rate at first instance is not representative because of significant differences between first instance and the final decisions</w:t>
      </w:r>
      <w:r w:rsidRPr="00C12801">
        <w:rPr>
          <w:noProof/>
        </w:rPr>
        <w:t>.</w:t>
      </w:r>
    </w:p>
    <w:p w14:paraId="46A70C12" w14:textId="77777777" w:rsidR="006B25DA" w:rsidRPr="00C12801" w:rsidRDefault="006B25DA" w:rsidP="002740E8">
      <w:pPr>
        <w:pStyle w:val="ListParagraph"/>
        <w:numPr>
          <w:ilvl w:val="0"/>
          <w:numId w:val="28"/>
        </w:numPr>
        <w:spacing w:after="120"/>
        <w:ind w:left="709" w:hanging="425"/>
        <w:contextualSpacing w:val="0"/>
        <w:rPr>
          <w:noProof/>
        </w:rPr>
      </w:pPr>
      <w:r w:rsidRPr="16B0F4F9">
        <w:rPr>
          <w:noProof/>
          <w:lang w:val="en-US"/>
        </w:rPr>
        <w:t>The EUAA will have to pay particular attention to the application of the border procedure by Member States.</w:t>
      </w:r>
      <w:r>
        <w:rPr>
          <w:noProof/>
        </w:rPr>
        <w:t xml:space="preserve"> Where the EUAA monitoring shows that the conditions to accommodate children are not in place, the Commission has an obligation to issue a public recommendation to suspend the border procedures for families with children.</w:t>
      </w:r>
    </w:p>
    <w:p w14:paraId="1186E875" w14:textId="77777777" w:rsidR="006B25DA" w:rsidRPr="00C12801" w:rsidRDefault="006B25DA" w:rsidP="006B25DA">
      <w:pPr>
        <w:spacing w:after="120"/>
        <w:rPr>
          <w:i/>
          <w:iCs/>
          <w:noProof/>
        </w:rPr>
      </w:pPr>
      <w:r w:rsidRPr="00C12801">
        <w:rPr>
          <w:i/>
          <w:iCs/>
          <w:noProof/>
        </w:rPr>
        <w:t>Practical support</w:t>
      </w:r>
    </w:p>
    <w:p w14:paraId="7F9082C7"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The EUAA will update </w:t>
      </w:r>
      <w:r w:rsidRPr="008F7A7A">
        <w:rPr>
          <w:b/>
          <w:bCs/>
          <w:noProof/>
        </w:rPr>
        <w:t>training modules and guidelines</w:t>
      </w:r>
      <w:r>
        <w:rPr>
          <w:noProof/>
        </w:rPr>
        <w:t>. Examples of updates needed include the operational workflows for screening, the screening/vulnerability toolbox, or the practical tool for first-contact officials.</w:t>
      </w:r>
    </w:p>
    <w:p w14:paraId="65F607EC" w14:textId="77777777" w:rsidR="006B25DA" w:rsidRDefault="006B25DA" w:rsidP="002740E8">
      <w:pPr>
        <w:pStyle w:val="ListParagraph"/>
        <w:numPr>
          <w:ilvl w:val="0"/>
          <w:numId w:val="28"/>
        </w:numPr>
        <w:spacing w:after="120"/>
        <w:ind w:left="709" w:hanging="425"/>
        <w:contextualSpacing w:val="0"/>
        <w:rPr>
          <w:noProof/>
        </w:rPr>
      </w:pPr>
      <w:r>
        <w:rPr>
          <w:noProof/>
        </w:rPr>
        <w:t xml:space="preserve">Frontex will provide </w:t>
      </w:r>
      <w:r w:rsidRPr="008F7A7A">
        <w:rPr>
          <w:b/>
          <w:bCs/>
          <w:noProof/>
        </w:rPr>
        <w:t>operational support to Member States on screening</w:t>
      </w:r>
      <w:r>
        <w:rPr>
          <w:noProof/>
        </w:rPr>
        <w:t>, in particular training of screening authorities.</w:t>
      </w:r>
    </w:p>
    <w:p w14:paraId="2A9ADDD9" w14:textId="0312CC04" w:rsidR="006B25DA" w:rsidRPr="00C12801" w:rsidRDefault="006B25DA" w:rsidP="002740E8">
      <w:pPr>
        <w:pStyle w:val="ListParagraph"/>
        <w:numPr>
          <w:ilvl w:val="0"/>
          <w:numId w:val="28"/>
        </w:numPr>
        <w:spacing w:after="120"/>
        <w:ind w:left="709" w:hanging="425"/>
        <w:contextualSpacing w:val="0"/>
        <w:rPr>
          <w:noProof/>
        </w:rPr>
      </w:pPr>
      <w:r>
        <w:rPr>
          <w:noProof/>
        </w:rPr>
        <w:t xml:space="preserve">The Frontex Management Board should include </w:t>
      </w:r>
      <w:r w:rsidRPr="008F7A7A">
        <w:rPr>
          <w:b/>
          <w:bCs/>
          <w:noProof/>
        </w:rPr>
        <w:t>screening, as a new tool of the Schengen external border management</w:t>
      </w:r>
      <w:r w:rsidR="00DB5F8B">
        <w:rPr>
          <w:noProof/>
        </w:rPr>
        <w:t>,</w:t>
      </w:r>
      <w:r>
        <w:rPr>
          <w:noProof/>
        </w:rPr>
        <w:t xml:space="preserve"> into the Annex of the Technical and Operational Strategy for European Integrated Border Management (TO-EIBM). </w:t>
      </w:r>
    </w:p>
    <w:tbl>
      <w:tblPr>
        <w:tblStyle w:val="TableGrid"/>
        <w:tblW w:w="5000" w:type="pct"/>
        <w:tblLook w:val="04A0" w:firstRow="1" w:lastRow="0" w:firstColumn="1" w:lastColumn="0" w:noHBand="0" w:noVBand="1"/>
      </w:tblPr>
      <w:tblGrid>
        <w:gridCol w:w="8834"/>
      </w:tblGrid>
      <w:tr w:rsidR="006B25DA" w14:paraId="4EE7B0F9" w14:textId="77777777">
        <w:tc>
          <w:tcPr>
            <w:tcW w:w="5000" w:type="pct"/>
          </w:tcPr>
          <w:p w14:paraId="123DA401" w14:textId="77777777" w:rsidR="006B25DA" w:rsidRPr="00C12801" w:rsidRDefault="006B25DA">
            <w:pPr>
              <w:tabs>
                <w:tab w:val="num" w:pos="1332"/>
              </w:tabs>
              <w:spacing w:after="120"/>
              <w:rPr>
                <w:b/>
                <w:bCs/>
                <w:i/>
                <w:noProof/>
                <w:u w:val="single"/>
              </w:rPr>
            </w:pPr>
            <w:r w:rsidRPr="00C12801">
              <w:rPr>
                <w:b/>
                <w:bCs/>
                <w:i/>
                <w:noProof/>
                <w:szCs w:val="24"/>
                <w:u w:val="single"/>
              </w:rPr>
              <w:t>Key milestones</w:t>
            </w:r>
            <w:r>
              <w:rPr>
                <w:b/>
                <w:bCs/>
                <w:i/>
                <w:noProof/>
                <w:szCs w:val="24"/>
                <w:u w:val="single"/>
              </w:rPr>
              <w:t xml:space="preserve"> to consider:</w:t>
            </w:r>
          </w:p>
          <w:p w14:paraId="61C9697E" w14:textId="5C8E0CC0" w:rsidR="006B25DA" w:rsidRPr="00844E76" w:rsidRDefault="006B25DA" w:rsidP="006B25DA">
            <w:pPr>
              <w:pStyle w:val="ListDash1"/>
              <w:tabs>
                <w:tab w:val="clear" w:pos="765"/>
                <w:tab w:val="num" w:pos="283"/>
              </w:tabs>
              <w:spacing w:after="120"/>
              <w:ind w:left="284" w:hanging="284"/>
              <w:rPr>
                <w:b/>
                <w:bCs/>
                <w:i/>
                <w:noProof/>
                <w:u w:val="single"/>
              </w:rPr>
            </w:pPr>
            <w:r>
              <w:rPr>
                <w:noProof/>
              </w:rPr>
              <w:t xml:space="preserve">By </w:t>
            </w:r>
            <w:r w:rsidR="00617A7A">
              <w:rPr>
                <w:noProof/>
              </w:rPr>
              <w:t xml:space="preserve">12 </w:t>
            </w:r>
            <w:r>
              <w:rPr>
                <w:noProof/>
              </w:rPr>
              <w:t>August 2024, the Commission shall adopt the implementing act calculating the adequate capacity for each Member State.</w:t>
            </w:r>
          </w:p>
          <w:p w14:paraId="06E0EA48" w14:textId="77777777" w:rsidR="006B25DA" w:rsidRPr="00E70E9D" w:rsidRDefault="006B25DA" w:rsidP="006B25DA">
            <w:pPr>
              <w:pStyle w:val="ListDash1"/>
              <w:tabs>
                <w:tab w:val="clear" w:pos="765"/>
                <w:tab w:val="num" w:pos="283"/>
              </w:tabs>
              <w:spacing w:after="120"/>
              <w:ind w:left="284" w:hanging="284"/>
              <w:rPr>
                <w:noProof/>
              </w:rPr>
            </w:pPr>
            <w:r>
              <w:rPr>
                <w:noProof/>
              </w:rPr>
              <w:t>By 12 December 2024, EUAA should adopt guidelines regarding the requirements for personnel in the border procedure and EUAA guidelines on different practices as regards alternatives to detention in the context of the border procedure.</w:t>
            </w:r>
          </w:p>
          <w:p w14:paraId="7D888805" w14:textId="1C7B457A" w:rsidR="006B25DA" w:rsidRPr="00C12801" w:rsidRDefault="006B25DA" w:rsidP="006B25DA">
            <w:pPr>
              <w:pStyle w:val="ListDash1"/>
              <w:tabs>
                <w:tab w:val="clear" w:pos="765"/>
                <w:tab w:val="num" w:pos="283"/>
              </w:tabs>
              <w:spacing w:after="120"/>
              <w:ind w:left="284" w:hanging="284"/>
              <w:rPr>
                <w:noProof/>
              </w:rPr>
            </w:pPr>
            <w:r>
              <w:rPr>
                <w:noProof/>
              </w:rPr>
              <w:t>By 11 April 2026 (i.e., two months before the date where the Asylum Procedure Regulation becomes applicable), Member States shall notify to the Commission the locations for the border procedures.</w:t>
            </w:r>
          </w:p>
          <w:p w14:paraId="79D72D09" w14:textId="77777777" w:rsidR="006B25DA" w:rsidRDefault="006B25DA" w:rsidP="006B25DA">
            <w:pPr>
              <w:pStyle w:val="ListDash1"/>
              <w:tabs>
                <w:tab w:val="clear" w:pos="765"/>
                <w:tab w:val="num" w:pos="283"/>
              </w:tabs>
              <w:spacing w:after="120"/>
              <w:ind w:left="284" w:hanging="284"/>
              <w:rPr>
                <w:noProof/>
              </w:rPr>
            </w:pPr>
            <w:r>
              <w:rPr>
                <w:noProof/>
              </w:rPr>
              <w:t>By 12 June 2026, Member States shall have finalised the setting-up of their adequate capacity.</w:t>
            </w:r>
          </w:p>
        </w:tc>
      </w:tr>
    </w:tbl>
    <w:p w14:paraId="297D204B" w14:textId="77777777" w:rsidR="006B25DA" w:rsidRPr="00C12801" w:rsidRDefault="006B25DA" w:rsidP="006B25DA">
      <w:pPr>
        <w:spacing w:after="0"/>
        <w:jc w:val="left"/>
        <w:rPr>
          <w:noProof/>
        </w:rPr>
      </w:pPr>
      <w:r w:rsidRPr="00C12801">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C12801" w14:paraId="26A72F4F" w14:textId="77777777">
        <w:trPr>
          <w:trHeight w:val="572"/>
        </w:trPr>
        <w:tc>
          <w:tcPr>
            <w:tcW w:w="1302" w:type="dxa"/>
            <w:vMerge w:val="restart"/>
            <w:tcBorders>
              <w:right w:val="single" w:sz="4" w:space="0" w:color="FFFFFF" w:themeColor="background1"/>
            </w:tcBorders>
          </w:tcPr>
          <w:p w14:paraId="404C9CEF" w14:textId="77777777" w:rsidR="006B25DA" w:rsidRPr="00C12801" w:rsidRDefault="00A2365E">
            <w:pPr>
              <w:pStyle w:val="Text1"/>
              <w:spacing w:before="120" w:after="120"/>
              <w:ind w:left="0"/>
              <w:jc w:val="center"/>
              <w:rPr>
                <w:noProof/>
              </w:rPr>
            </w:pPr>
            <w:r>
              <w:rPr>
                <w:noProof/>
              </w:rPr>
              <w:pict w14:anchorId="435A27C2">
                <v:group id="Group 45" o:spid="_x0000_s2054" style="position:absolute;left:0;text-align:left;margin-left:1.2pt;margin-top:4.65pt;width:52.15pt;height:52.15pt;z-index:251658242;mso-position-horizontal-relative:margin;mso-width-relative:margin;mso-height-relative:margin" coordsize="15897,15897">
                  <v:shape id="Graphic 46" o:spid="_x0000_s2055"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">
                    <v:imagedata r:id="rId24" o:title=""/>
                  </v:shape>
                  <v:shape id="Graphic 47" o:spid="_x0000_s2056" type="#_x0000_t75" style="position:absolute;left:4728;top:4236;width:6441;height:71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">
                    <v:imagedata r:id="rId25" o:title=""/>
                  </v:shape>
                  <w10:wrap anchorx="margin"/>
                </v:group>
              </w:pict>
            </w:r>
          </w:p>
        </w:tc>
        <w:tc>
          <w:tcPr>
            <w:tcW w:w="7345" w:type="dxa"/>
            <w:tcBorders>
              <w:left w:val="single" w:sz="4" w:space="0" w:color="FFFFFF" w:themeColor="background1"/>
              <w:bottom w:val="single" w:sz="4" w:space="0" w:color="FFFFFF" w:themeColor="background1"/>
            </w:tcBorders>
          </w:tcPr>
          <w:p w14:paraId="562D65CC" w14:textId="77777777" w:rsidR="006B25DA" w:rsidRPr="00C12801" w:rsidRDefault="006B25DA">
            <w:pPr>
              <w:pStyle w:val="Text1"/>
              <w:spacing w:before="60" w:after="120"/>
              <w:ind w:left="36"/>
              <w:rPr>
                <w:noProof/>
                <w:u w:val="single"/>
              </w:rPr>
            </w:pPr>
            <w:r w:rsidRPr="00C12801">
              <w:rPr>
                <w:rFonts w:eastAsia="EC Square Sans Pro"/>
                <w:b/>
                <w:bCs/>
                <w:noProof/>
                <w:u w:val="single"/>
              </w:rPr>
              <w:t>BUILDING BLOCK 3</w:t>
            </w:r>
          </w:p>
        </w:tc>
      </w:tr>
      <w:tr w:rsidR="006B25DA" w:rsidRPr="00C12801" w14:paraId="0E60662D" w14:textId="77777777">
        <w:trPr>
          <w:trHeight w:val="675"/>
        </w:trPr>
        <w:tc>
          <w:tcPr>
            <w:tcW w:w="1302" w:type="dxa"/>
            <w:vMerge/>
            <w:tcBorders>
              <w:right w:val="single" w:sz="4" w:space="0" w:color="FFFFFF" w:themeColor="background1"/>
            </w:tcBorders>
          </w:tcPr>
          <w:p w14:paraId="76CEA843"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711A05E0" w14:textId="77777777" w:rsidR="006B25DA" w:rsidRPr="00C12801" w:rsidRDefault="006B25DA">
            <w:pPr>
              <w:pStyle w:val="Text1"/>
              <w:spacing w:before="60" w:after="120"/>
              <w:ind w:left="0"/>
              <w:rPr>
                <w:b/>
                <w:bCs/>
                <w:noProof/>
              </w:rPr>
            </w:pPr>
            <w:r w:rsidRPr="00C12801">
              <w:rPr>
                <w:b/>
                <w:bCs/>
                <w:noProof/>
              </w:rPr>
              <w:t>Rethinking reception</w:t>
            </w:r>
          </w:p>
        </w:tc>
      </w:tr>
    </w:tbl>
    <w:p w14:paraId="233C934F" w14:textId="754132BA" w:rsidR="006B25DA" w:rsidRPr="00C12801" w:rsidRDefault="006B25DA" w:rsidP="006B25DA">
      <w:pPr>
        <w:spacing w:before="120" w:after="120"/>
        <w:rPr>
          <w:rStyle w:val="normaltextrun"/>
          <w:noProof/>
        </w:rPr>
      </w:pPr>
      <w:r w:rsidRPr="00C12801">
        <w:rPr>
          <w:rStyle w:val="normaltextrun"/>
          <w:noProof/>
        </w:rPr>
        <w:t>Reception capacity entails the ability to provide material reception conditions (housing, food, clothing, personal hygiene products and a daily-expenses allowance</w:t>
      </w:r>
      <w:r>
        <w:rPr>
          <w:rStyle w:val="normaltextrun"/>
          <w:noProof/>
        </w:rPr>
        <w:t xml:space="preserve"> which should</w:t>
      </w:r>
      <w:r w:rsidRPr="00C12801">
        <w:rPr>
          <w:rStyle w:val="normaltextrun"/>
          <w:noProof/>
        </w:rPr>
        <w:t xml:space="preserve"> always includ</w:t>
      </w:r>
      <w:r>
        <w:rPr>
          <w:rStyle w:val="normaltextrun"/>
          <w:noProof/>
        </w:rPr>
        <w:t>e</w:t>
      </w:r>
      <w:r w:rsidRPr="00C12801">
        <w:rPr>
          <w:rStyle w:val="normaltextrun"/>
          <w:noProof/>
        </w:rPr>
        <w:t xml:space="preserve"> a monetary amount) to applicants</w:t>
      </w:r>
      <w:r>
        <w:rPr>
          <w:rStyle w:val="normaltextrun"/>
          <w:noProof/>
        </w:rPr>
        <w:t xml:space="preserve"> for international protection</w:t>
      </w:r>
      <w:r w:rsidRPr="00C12801">
        <w:rPr>
          <w:rStyle w:val="normaltextrun"/>
          <w:noProof/>
        </w:rPr>
        <w:t xml:space="preserve">, </w:t>
      </w:r>
      <w:r>
        <w:rPr>
          <w:rStyle w:val="normaltextrun"/>
          <w:noProof/>
        </w:rPr>
        <w:t>taking into account</w:t>
      </w:r>
      <w:r w:rsidRPr="00C12801">
        <w:rPr>
          <w:rStyle w:val="normaltextrun"/>
          <w:noProof/>
        </w:rPr>
        <w:t xml:space="preserve"> their gender, age and any special reception needs</w:t>
      </w:r>
      <w:r>
        <w:rPr>
          <w:rStyle w:val="normaltextrun"/>
          <w:noProof/>
        </w:rPr>
        <w:t xml:space="preserve">. It also entails the capacity to provide </w:t>
      </w:r>
      <w:r w:rsidRPr="00C12801">
        <w:rPr>
          <w:rStyle w:val="normaltextrun"/>
          <w:noProof/>
        </w:rPr>
        <w:t xml:space="preserve">physical and mental health care, education for minors, early integration measures and information </w:t>
      </w:r>
      <w:r>
        <w:rPr>
          <w:rStyle w:val="normaltextrun"/>
          <w:noProof/>
        </w:rPr>
        <w:t>as well as the</w:t>
      </w:r>
      <w:r w:rsidRPr="00C12801">
        <w:rPr>
          <w:rStyle w:val="normaltextrun"/>
          <w:noProof/>
        </w:rPr>
        <w:t xml:space="preserve"> protect</w:t>
      </w:r>
      <w:r>
        <w:rPr>
          <w:rStyle w:val="normaltextrun"/>
          <w:noProof/>
        </w:rPr>
        <w:t>ion of their</w:t>
      </w:r>
      <w:r w:rsidRPr="00C12801">
        <w:rPr>
          <w:rStyle w:val="normaltextrun"/>
          <w:noProof/>
        </w:rPr>
        <w:t xml:space="preserve"> rights</w:t>
      </w:r>
      <w:r>
        <w:rPr>
          <w:rStyle w:val="FootnoteReference"/>
          <w:noProof/>
        </w:rPr>
        <w:footnoteReference w:id="16"/>
      </w:r>
      <w:r w:rsidRPr="00C12801">
        <w:rPr>
          <w:rStyle w:val="normaltextrun"/>
          <w:noProof/>
        </w:rPr>
        <w:t>.</w:t>
      </w:r>
    </w:p>
    <w:p w14:paraId="65EBF1B3" w14:textId="61441336" w:rsidR="006B25DA" w:rsidRDefault="006B25DA" w:rsidP="006B25DA">
      <w:pPr>
        <w:spacing w:after="120"/>
        <w:rPr>
          <w:noProof/>
        </w:rPr>
      </w:pPr>
      <w:r w:rsidRPr="00C12801">
        <w:rPr>
          <w:noProof/>
        </w:rPr>
        <w:t xml:space="preserve">Convergence towards adequate standards of reception for </w:t>
      </w:r>
      <w:r>
        <w:rPr>
          <w:noProof/>
        </w:rPr>
        <w:t xml:space="preserve">international protection </w:t>
      </w:r>
      <w:r w:rsidRPr="00C12801">
        <w:rPr>
          <w:noProof/>
        </w:rPr>
        <w:t xml:space="preserve">applicants </w:t>
      </w:r>
      <w:r>
        <w:rPr>
          <w:noProof/>
        </w:rPr>
        <w:t xml:space="preserve">that create comparable living conditions in all Member States </w:t>
      </w:r>
      <w:r w:rsidRPr="00C12801">
        <w:rPr>
          <w:noProof/>
        </w:rPr>
        <w:t>is essential for the European migration and asylum system to function properly</w:t>
      </w:r>
      <w:r>
        <w:rPr>
          <w:noProof/>
        </w:rPr>
        <w:t>, including for transfers under the responsibility rules. The existence of adequate reception conditions is</w:t>
      </w:r>
      <w:r>
        <w:rPr>
          <w:rStyle w:val="normaltextrun"/>
          <w:noProof/>
        </w:rPr>
        <w:t xml:space="preserve"> </w:t>
      </w:r>
      <w:r w:rsidRPr="00352D6E">
        <w:rPr>
          <w:noProof/>
        </w:rPr>
        <w:t>a key</w:t>
      </w:r>
      <w:r>
        <w:rPr>
          <w:noProof/>
        </w:rPr>
        <w:t xml:space="preserve"> element when deciding whether a Member State is well</w:t>
      </w:r>
      <w:r w:rsidR="00F93D79">
        <w:rPr>
          <w:noProof/>
        </w:rPr>
        <w:t>-</w:t>
      </w:r>
      <w:r>
        <w:rPr>
          <w:noProof/>
        </w:rPr>
        <w:t>prepared. Providing material reception in accordance with the standards in the recast Reception Conditions Directive is also</w:t>
      </w:r>
      <w:r w:rsidRPr="00352D6E">
        <w:rPr>
          <w:noProof/>
        </w:rPr>
        <w:t xml:space="preserve"> </w:t>
      </w:r>
      <w:r>
        <w:rPr>
          <w:noProof/>
        </w:rPr>
        <w:t>a crucial factor for deciding whether border capacity can be considered ‘adequate’</w:t>
      </w:r>
      <w:r>
        <w:rPr>
          <w:rStyle w:val="FootnoteReference"/>
          <w:noProof/>
        </w:rPr>
        <w:footnoteReference w:id="17"/>
      </w:r>
      <w:r>
        <w:rPr>
          <w:noProof/>
        </w:rPr>
        <w:t>.</w:t>
      </w:r>
    </w:p>
    <w:p w14:paraId="27A43C1E" w14:textId="5EDC656D" w:rsidR="006B25DA" w:rsidRDefault="006B25DA" w:rsidP="006B25DA">
      <w:pPr>
        <w:spacing w:after="120"/>
        <w:rPr>
          <w:noProof/>
        </w:rPr>
      </w:pPr>
      <w:r w:rsidRPr="00C12801">
        <w:rPr>
          <w:noProof/>
        </w:rPr>
        <w:t xml:space="preserve">Most Member States are facing </w:t>
      </w:r>
      <w:r>
        <w:rPr>
          <w:noProof/>
        </w:rPr>
        <w:t>numerous</w:t>
      </w:r>
      <w:r w:rsidRPr="00C12801">
        <w:rPr>
          <w:noProof/>
        </w:rPr>
        <w:t xml:space="preserve"> challenges on reception. The recast Reception Conditions Directive not only scale</w:t>
      </w:r>
      <w:r>
        <w:rPr>
          <w:noProof/>
        </w:rPr>
        <w:t>s</w:t>
      </w:r>
      <w:r w:rsidRPr="00C12801">
        <w:rPr>
          <w:noProof/>
        </w:rPr>
        <w:t xml:space="preserve"> up the current system, but also offers an opportunity to rethink the way reception systems are organised at national level. It contains important new tools in the management of reception that provide for added flexibility, efficiency, and the prevention of secondary movements. </w:t>
      </w:r>
      <w:r>
        <w:rPr>
          <w:noProof/>
        </w:rPr>
        <w:t xml:space="preserve">For example, the recast </w:t>
      </w:r>
      <w:r w:rsidR="004E3F0D">
        <w:rPr>
          <w:noProof/>
        </w:rPr>
        <w:t xml:space="preserve">Reception Conditions </w:t>
      </w:r>
      <w:r>
        <w:rPr>
          <w:noProof/>
        </w:rPr>
        <w:t xml:space="preserve">Directive offers the possibility of </w:t>
      </w:r>
      <w:r w:rsidRPr="00760201">
        <w:rPr>
          <w:noProof/>
        </w:rPr>
        <w:t>allocat</w:t>
      </w:r>
      <w:r>
        <w:rPr>
          <w:noProof/>
        </w:rPr>
        <w:t>ing</w:t>
      </w:r>
      <w:r w:rsidRPr="00760201">
        <w:rPr>
          <w:noProof/>
        </w:rPr>
        <w:t xml:space="preserve"> applicants to accommodations and geographical areas, making the provision of material reception conditions subject to actual residence in the accommodation </w:t>
      </w:r>
      <w:r>
        <w:rPr>
          <w:noProof/>
        </w:rPr>
        <w:t xml:space="preserve">where applicants </w:t>
      </w:r>
      <w:r w:rsidRPr="00760201">
        <w:rPr>
          <w:noProof/>
        </w:rPr>
        <w:t>have been allocated</w:t>
      </w:r>
      <w:r>
        <w:rPr>
          <w:noProof/>
        </w:rPr>
        <w:t xml:space="preserve"> or in a specific area. </w:t>
      </w:r>
      <w:r w:rsidRPr="00C12801">
        <w:rPr>
          <w:noProof/>
        </w:rPr>
        <w:t xml:space="preserve">Member States </w:t>
      </w:r>
      <w:r>
        <w:rPr>
          <w:noProof/>
        </w:rPr>
        <w:t>should</w:t>
      </w:r>
      <w:r w:rsidRPr="00C12801">
        <w:rPr>
          <w:noProof/>
        </w:rPr>
        <w:t xml:space="preserve"> take full advantage of these opportunities.</w:t>
      </w:r>
      <w:r w:rsidRPr="000D68CC">
        <w:rPr>
          <w:noProof/>
        </w:rPr>
        <w:t xml:space="preserve"> </w:t>
      </w:r>
      <w:r>
        <w:rPr>
          <w:noProof/>
        </w:rPr>
        <w:t xml:space="preserve">Furthermore, Member States will </w:t>
      </w:r>
      <w:r w:rsidR="006E2638">
        <w:rPr>
          <w:noProof/>
        </w:rPr>
        <w:t xml:space="preserve">have </w:t>
      </w:r>
      <w:r>
        <w:rPr>
          <w:noProof/>
        </w:rPr>
        <w:t xml:space="preserve">to provide for basic needs </w:t>
      </w:r>
      <w:r w:rsidR="004E3F0D">
        <w:rPr>
          <w:noProof/>
        </w:rPr>
        <w:t xml:space="preserve">only </w:t>
      </w:r>
      <w:r>
        <w:rPr>
          <w:noProof/>
        </w:rPr>
        <w:t>when applicants are not in the Member State where they are supposed to be.</w:t>
      </w:r>
    </w:p>
    <w:p w14:paraId="62A30770" w14:textId="482BFFE8" w:rsidR="006B25DA" w:rsidRPr="00C12801" w:rsidRDefault="006B25DA" w:rsidP="006B25DA">
      <w:pPr>
        <w:spacing w:after="120"/>
        <w:rPr>
          <w:noProof/>
        </w:rPr>
      </w:pPr>
      <w:r>
        <w:rPr>
          <w:noProof/>
        </w:rPr>
        <w:t xml:space="preserve">The recast </w:t>
      </w:r>
      <w:r w:rsidR="008E180D">
        <w:rPr>
          <w:noProof/>
        </w:rPr>
        <w:t xml:space="preserve">Reception Conditions </w:t>
      </w:r>
      <w:r>
        <w:rPr>
          <w:noProof/>
        </w:rPr>
        <w:t>Directive also further harmonise</w:t>
      </w:r>
      <w:r w:rsidR="008E180D">
        <w:rPr>
          <w:noProof/>
        </w:rPr>
        <w:t>s</w:t>
      </w:r>
      <w:r>
        <w:rPr>
          <w:noProof/>
        </w:rPr>
        <w:t xml:space="preserve"> standards and strengthens the safeguards </w:t>
      </w:r>
      <w:r w:rsidR="00751579">
        <w:rPr>
          <w:noProof/>
        </w:rPr>
        <w:t>for</w:t>
      </w:r>
      <w:r>
        <w:rPr>
          <w:noProof/>
        </w:rPr>
        <w:t xml:space="preserve"> applicants</w:t>
      </w:r>
      <w:r w:rsidR="00751579">
        <w:rPr>
          <w:noProof/>
        </w:rPr>
        <w:t xml:space="preserve"> for international protection</w:t>
      </w:r>
      <w:r>
        <w:rPr>
          <w:noProof/>
        </w:rPr>
        <w:t>, including earlier access to the labour market (6 months instead of 9</w:t>
      </w:r>
      <w:r w:rsidR="008E180D">
        <w:rPr>
          <w:noProof/>
        </w:rPr>
        <w:t xml:space="preserve"> months</w:t>
      </w:r>
      <w:r>
        <w:rPr>
          <w:noProof/>
        </w:rPr>
        <w:t>), physical and mental healthcare and more protection for families, children</w:t>
      </w:r>
      <w:r w:rsidR="00AD4CD4">
        <w:rPr>
          <w:noProof/>
        </w:rPr>
        <w:t>,</w:t>
      </w:r>
      <w:r>
        <w:rPr>
          <w:noProof/>
        </w:rPr>
        <w:t xml:space="preserve"> and vulnerable applicants</w:t>
      </w:r>
      <w:r>
        <w:rPr>
          <w:rStyle w:val="FootnoteReference"/>
          <w:noProof/>
        </w:rPr>
        <w:footnoteReference w:id="18"/>
      </w:r>
      <w:r>
        <w:rPr>
          <w:noProof/>
        </w:rPr>
        <w:t>.</w:t>
      </w:r>
    </w:p>
    <w:p w14:paraId="23614AE7" w14:textId="4D33ABEA" w:rsidR="006B25DA" w:rsidRDefault="006B25DA" w:rsidP="006B25DA">
      <w:pPr>
        <w:spacing w:after="120"/>
        <w:rPr>
          <w:noProof/>
        </w:rPr>
      </w:pPr>
      <w:r w:rsidRPr="00C12801">
        <w:rPr>
          <w:noProof/>
        </w:rPr>
        <w:t>Given the numerous actors involved in managing the reception of asylum seekers, multi-stakeholder partnerships with relevant actors have often proven critical</w:t>
      </w:r>
      <w:r>
        <w:rPr>
          <w:noProof/>
        </w:rPr>
        <w:t xml:space="preserve"> in the proper management of the reception systems in some Member States. This includes the involvement of</w:t>
      </w:r>
      <w:r w:rsidRPr="00C12801">
        <w:rPr>
          <w:noProof/>
        </w:rPr>
        <w:t xml:space="preserve"> local and regional authorities, social and economic </w:t>
      </w:r>
      <w:r>
        <w:rPr>
          <w:noProof/>
        </w:rPr>
        <w:t>partners</w:t>
      </w:r>
      <w:r w:rsidRPr="00970C00">
        <w:rPr>
          <w:noProof/>
        </w:rPr>
        <w:t>, international organisations, NGOs</w:t>
      </w:r>
      <w:r w:rsidR="006E2638">
        <w:rPr>
          <w:noProof/>
        </w:rPr>
        <w:t>,</w:t>
      </w:r>
      <w:r w:rsidRPr="00970C00">
        <w:rPr>
          <w:noProof/>
        </w:rPr>
        <w:t xml:space="preserve"> or migrant-led organisations.</w:t>
      </w:r>
    </w:p>
    <w:p w14:paraId="769BFE46" w14:textId="77777777" w:rsidR="00970C00" w:rsidRDefault="00970C00" w:rsidP="006B25DA">
      <w:pPr>
        <w:spacing w:after="120"/>
        <w:rPr>
          <w:noProof/>
        </w:rPr>
      </w:pPr>
    </w:p>
    <w:p w14:paraId="3BF6F2B4" w14:textId="77777777" w:rsidR="00970C00" w:rsidRDefault="00970C00" w:rsidP="006B25DA">
      <w:pPr>
        <w:spacing w:after="120"/>
        <w:rPr>
          <w:noProof/>
        </w:rPr>
      </w:pPr>
    </w:p>
    <w:p w14:paraId="33F0BC72" w14:textId="77777777" w:rsidR="003E405D" w:rsidRPr="00C12801" w:rsidRDefault="003E405D" w:rsidP="006B25DA">
      <w:pPr>
        <w:spacing w:after="120"/>
        <w:rPr>
          <w:noProof/>
        </w:rPr>
      </w:pPr>
    </w:p>
    <w:p w14:paraId="66833304" w14:textId="77777777" w:rsidR="006B25DA" w:rsidRPr="00C12801" w:rsidRDefault="006B25DA" w:rsidP="006B25DA">
      <w:pPr>
        <w:spacing w:after="120"/>
        <w:rPr>
          <w:noProof/>
        </w:rPr>
      </w:pPr>
      <w:r w:rsidRPr="00C12801">
        <w:rPr>
          <w:noProof/>
        </w:rPr>
        <w:t xml:space="preserve">In this context, the following actions </w:t>
      </w:r>
      <w:r>
        <w:rPr>
          <w:noProof/>
        </w:rPr>
        <w:t>should</w:t>
      </w:r>
      <w:r w:rsidRPr="00C12801">
        <w:rPr>
          <w:noProof/>
        </w:rPr>
        <w:t xml:space="preserve"> be taken</w:t>
      </w:r>
      <w:r w:rsidRPr="00A04B5D">
        <w:rPr>
          <w:noProof/>
        </w:rPr>
        <w:t xml:space="preserve"> </w:t>
      </w:r>
      <w:r>
        <w:rPr>
          <w:noProof/>
        </w:rPr>
        <w:t>to ensure the effective implementation of this building block</w:t>
      </w:r>
      <w:r w:rsidRPr="00C12801">
        <w:rPr>
          <w:noProof/>
        </w:rPr>
        <w:t>:</w:t>
      </w:r>
    </w:p>
    <w:p w14:paraId="52491C02" w14:textId="77777777" w:rsidR="006B25DA" w:rsidRPr="00C12801" w:rsidRDefault="006B25DA" w:rsidP="006B25DA">
      <w:pPr>
        <w:spacing w:after="120"/>
        <w:rPr>
          <w:b/>
          <w:bCs/>
          <w:noProof/>
        </w:rPr>
      </w:pPr>
      <w:r w:rsidRPr="00C12801">
        <w:rPr>
          <w:b/>
          <w:bCs/>
          <w:noProof/>
        </w:rPr>
        <w:t>Member States</w:t>
      </w:r>
    </w:p>
    <w:p w14:paraId="59C466B8" w14:textId="77777777" w:rsidR="006B25DA" w:rsidRPr="00C12801" w:rsidRDefault="006B25DA" w:rsidP="006B25DA">
      <w:pPr>
        <w:spacing w:after="120"/>
        <w:rPr>
          <w:rStyle w:val="normaltextrun"/>
          <w:i/>
          <w:iCs/>
          <w:noProof/>
        </w:rPr>
      </w:pPr>
      <w:r w:rsidRPr="00C12801">
        <w:rPr>
          <w:i/>
          <w:iCs/>
          <w:noProof/>
        </w:rPr>
        <w:t>Legislation</w:t>
      </w:r>
    </w:p>
    <w:p w14:paraId="5EA5938F" w14:textId="607DCEDE" w:rsidR="006B25DA" w:rsidRPr="003A3CA2" w:rsidRDefault="006B25DA" w:rsidP="002740E8">
      <w:pPr>
        <w:pStyle w:val="ListParagraph"/>
        <w:numPr>
          <w:ilvl w:val="0"/>
          <w:numId w:val="25"/>
        </w:numPr>
        <w:spacing w:before="120" w:after="120"/>
        <w:ind w:left="709" w:hanging="425"/>
        <w:contextualSpacing w:val="0"/>
        <w:rPr>
          <w:noProof/>
        </w:rPr>
      </w:pPr>
      <w:r w:rsidRPr="00C12801">
        <w:rPr>
          <w:noProof/>
        </w:rPr>
        <w:t xml:space="preserve">Member States will have to </w:t>
      </w:r>
      <w:r w:rsidRPr="008F7A7A">
        <w:rPr>
          <w:b/>
          <w:bCs/>
          <w:noProof/>
        </w:rPr>
        <w:t>review their national regulatory frameworks</w:t>
      </w:r>
      <w:r w:rsidRPr="00C12801">
        <w:rPr>
          <w:noProof/>
        </w:rPr>
        <w:t xml:space="preserve"> and adopt all necessary legislative measures to transpose the recast Reception Conditions </w:t>
      </w:r>
      <w:r w:rsidRPr="00CF0AF8">
        <w:rPr>
          <w:noProof/>
        </w:rPr>
        <w:t>Directive by 12 June 2026 and co</w:t>
      </w:r>
      <w:r w:rsidRPr="00C12801">
        <w:rPr>
          <w:noProof/>
        </w:rPr>
        <w:t>mmunicate them to the Commission.</w:t>
      </w:r>
      <w:r>
        <w:rPr>
          <w:noProof/>
        </w:rPr>
        <w:t xml:space="preserve"> For Member States being able to apply the flexible solutions provided for in the recast Directive, for example in relation to residence and allocation of applicants to specific areas, these possibilities need to be transposed into national law. The legislation should also provide for alternatives to detention</w:t>
      </w:r>
      <w:r w:rsidR="00021D32">
        <w:rPr>
          <w:noProof/>
        </w:rPr>
        <w:t>.</w:t>
      </w:r>
    </w:p>
    <w:p w14:paraId="111AB250" w14:textId="77777777" w:rsidR="006B25DA" w:rsidRPr="00C12801" w:rsidRDefault="006B25DA" w:rsidP="006B25DA">
      <w:pPr>
        <w:spacing w:after="120"/>
        <w:rPr>
          <w:i/>
          <w:iCs/>
          <w:noProof/>
        </w:rPr>
      </w:pPr>
      <w:r>
        <w:rPr>
          <w:i/>
          <w:iCs/>
          <w:noProof/>
        </w:rPr>
        <w:t>Organisation</w:t>
      </w:r>
      <w:r w:rsidRPr="00C12801">
        <w:rPr>
          <w:i/>
          <w:iCs/>
          <w:noProof/>
        </w:rPr>
        <w:t xml:space="preserve"> and administrative processes</w:t>
      </w:r>
    </w:p>
    <w:p w14:paraId="483766FA" w14:textId="4186AF5F" w:rsidR="006B25DA" w:rsidRDefault="006B25DA" w:rsidP="002740E8">
      <w:pPr>
        <w:pStyle w:val="ListParagraph"/>
        <w:numPr>
          <w:ilvl w:val="0"/>
          <w:numId w:val="24"/>
        </w:numPr>
        <w:spacing w:after="120"/>
        <w:ind w:left="709" w:hanging="425"/>
        <w:contextualSpacing w:val="0"/>
        <w:rPr>
          <w:noProof/>
        </w:rPr>
      </w:pPr>
      <w:r>
        <w:rPr>
          <w:noProof/>
        </w:rPr>
        <w:t>Member State</w:t>
      </w:r>
      <w:r w:rsidR="008E180D">
        <w:rPr>
          <w:noProof/>
        </w:rPr>
        <w:t>s</w:t>
      </w:r>
      <w:r>
        <w:rPr>
          <w:noProof/>
        </w:rPr>
        <w:t xml:space="preserve"> will have to notify the Commission of the authorities responsible for fulfilling the obligations arising from the recast Reception Conditions Directive.</w:t>
      </w:r>
    </w:p>
    <w:p w14:paraId="10765C57" w14:textId="0DB61CAD" w:rsidR="006B25DA" w:rsidRPr="00C12801" w:rsidRDefault="006B25DA" w:rsidP="002740E8">
      <w:pPr>
        <w:pStyle w:val="ListParagraph"/>
        <w:numPr>
          <w:ilvl w:val="0"/>
          <w:numId w:val="24"/>
        </w:numPr>
        <w:spacing w:after="120"/>
        <w:ind w:left="709" w:hanging="425"/>
        <w:contextualSpacing w:val="0"/>
        <w:rPr>
          <w:noProof/>
        </w:rPr>
      </w:pPr>
      <w:r w:rsidRPr="00C12801">
        <w:rPr>
          <w:noProof/>
        </w:rPr>
        <w:t xml:space="preserve">Member States </w:t>
      </w:r>
      <w:r>
        <w:rPr>
          <w:noProof/>
        </w:rPr>
        <w:t xml:space="preserve">should </w:t>
      </w:r>
      <w:r w:rsidRPr="008F7A7A">
        <w:rPr>
          <w:noProof/>
        </w:rPr>
        <w:t xml:space="preserve">consider </w:t>
      </w:r>
      <w:r w:rsidRPr="008F7A7A">
        <w:rPr>
          <w:b/>
          <w:bCs/>
          <w:noProof/>
        </w:rPr>
        <w:t>reviewing the organisation of national reception systems to optimise how they are organised</w:t>
      </w:r>
      <w:r w:rsidRPr="008F7A7A">
        <w:rPr>
          <w:noProof/>
        </w:rPr>
        <w:t>. For example</w:t>
      </w:r>
      <w:r w:rsidRPr="00970C00">
        <w:rPr>
          <w:noProof/>
        </w:rPr>
        <w:t>, Member States could combine reception centres with housing units, support services and cash assistance, depending on the profile of the applicant for international protection, i.e., gender, age, family composition, vulnerabilities</w:t>
      </w:r>
      <w:r w:rsidR="001C1E35">
        <w:rPr>
          <w:noProof/>
        </w:rPr>
        <w:t>,</w:t>
      </w:r>
      <w:r w:rsidRPr="00970C00">
        <w:rPr>
          <w:noProof/>
        </w:rPr>
        <w:t xml:space="preserve"> and needs. </w:t>
      </w:r>
    </w:p>
    <w:p w14:paraId="27C12F14" w14:textId="77777777" w:rsidR="006B25DA" w:rsidRPr="00C12801" w:rsidRDefault="006B25DA" w:rsidP="002740E8">
      <w:pPr>
        <w:pStyle w:val="ListParagraph"/>
        <w:numPr>
          <w:ilvl w:val="0"/>
          <w:numId w:val="24"/>
        </w:numPr>
        <w:spacing w:after="120"/>
        <w:ind w:left="709" w:hanging="425"/>
        <w:contextualSpacing w:val="0"/>
        <w:rPr>
          <w:noProof/>
        </w:rPr>
      </w:pPr>
      <w:r w:rsidRPr="008F7A7A">
        <w:rPr>
          <w:b/>
          <w:bCs/>
          <w:noProof/>
        </w:rPr>
        <w:t>New technologies offer automated tools</w:t>
      </w:r>
      <w:r>
        <w:rPr>
          <w:noProof/>
        </w:rPr>
        <w:t xml:space="preserve">, currently lacking in many Member States, for a more efficient management of reception capacity. Member States are therefore </w:t>
      </w:r>
      <w:r w:rsidRPr="008F7A7A">
        <w:rPr>
          <w:b/>
          <w:bCs/>
          <w:noProof/>
        </w:rPr>
        <w:t>encouraged to consider the establishment of an integrated case management system</w:t>
      </w:r>
      <w:r>
        <w:rPr>
          <w:noProof/>
        </w:rPr>
        <w:t xml:space="preserve"> to effectively collect and share relevant quantitative and qualitative data and information on reception capacity levels. The integrated system could then facilitate access to services by all relevant actors and would also help to detect absconding.</w:t>
      </w:r>
    </w:p>
    <w:p w14:paraId="3937D1F5" w14:textId="62D28ED2" w:rsidR="006B25DA" w:rsidRPr="00C12801" w:rsidRDefault="006B25DA" w:rsidP="002740E8">
      <w:pPr>
        <w:pStyle w:val="ListParagraph"/>
        <w:numPr>
          <w:ilvl w:val="0"/>
          <w:numId w:val="24"/>
        </w:numPr>
        <w:spacing w:after="120"/>
        <w:ind w:left="709" w:hanging="425"/>
        <w:rPr>
          <w:noProof/>
        </w:rPr>
      </w:pPr>
      <w:r w:rsidRPr="00C12801">
        <w:rPr>
          <w:noProof/>
        </w:rPr>
        <w:t>Member States should</w:t>
      </w:r>
      <w:r>
        <w:rPr>
          <w:noProof/>
        </w:rPr>
        <w:t xml:space="preserve"> take the necessary administrative measures and</w:t>
      </w:r>
      <w:r w:rsidRPr="00C12801">
        <w:rPr>
          <w:noProof/>
        </w:rPr>
        <w:t xml:space="preserve"> develop procedures to reflect </w:t>
      </w:r>
      <w:r>
        <w:rPr>
          <w:noProof/>
        </w:rPr>
        <w:t xml:space="preserve">the </w:t>
      </w:r>
      <w:r w:rsidRPr="00C12801">
        <w:rPr>
          <w:noProof/>
        </w:rPr>
        <w:t>new measures in the recast Directive to curb secondary movements and abuses</w:t>
      </w:r>
      <w:r>
        <w:rPr>
          <w:noProof/>
        </w:rPr>
        <w:t xml:space="preserve"> (following their transposition into national law),</w:t>
      </w:r>
      <w:r w:rsidRPr="00C12801">
        <w:rPr>
          <w:noProof/>
        </w:rPr>
        <w:t xml:space="preserve"> such as the obligation to cover only basic needs when applicant</w:t>
      </w:r>
      <w:r>
        <w:rPr>
          <w:noProof/>
        </w:rPr>
        <w:t>s</w:t>
      </w:r>
      <w:r w:rsidRPr="00C12801">
        <w:rPr>
          <w:noProof/>
        </w:rPr>
        <w:t xml:space="preserve"> </w:t>
      </w:r>
      <w:r>
        <w:rPr>
          <w:noProof/>
        </w:rPr>
        <w:t>are</w:t>
      </w:r>
      <w:r w:rsidRPr="00C12801">
        <w:rPr>
          <w:noProof/>
        </w:rPr>
        <w:t xml:space="preserve"> not in the Member State where </w:t>
      </w:r>
      <w:r>
        <w:rPr>
          <w:noProof/>
        </w:rPr>
        <w:t>they</w:t>
      </w:r>
      <w:r w:rsidRPr="00C12801">
        <w:rPr>
          <w:noProof/>
        </w:rPr>
        <w:t xml:space="preserve"> </w:t>
      </w:r>
      <w:r>
        <w:rPr>
          <w:noProof/>
        </w:rPr>
        <w:t>are</w:t>
      </w:r>
      <w:r w:rsidRPr="00C12801">
        <w:rPr>
          <w:noProof/>
        </w:rPr>
        <w:t xml:space="preserve"> required to be present</w:t>
      </w:r>
      <w:r>
        <w:rPr>
          <w:noProof/>
        </w:rPr>
        <w:t>,</w:t>
      </w:r>
      <w:r w:rsidRPr="00C12801">
        <w:rPr>
          <w:noProof/>
        </w:rPr>
        <w:t xml:space="preserve"> or the possibility of allocating applicants to</w:t>
      </w:r>
      <w:r>
        <w:rPr>
          <w:noProof/>
        </w:rPr>
        <w:t xml:space="preserve"> specific</w:t>
      </w:r>
      <w:r w:rsidRPr="00C12801">
        <w:rPr>
          <w:noProof/>
        </w:rPr>
        <w:t xml:space="preserve"> accommodation and geographical areas, making the provision of material reception conditions subject to actual residence in the accommodation </w:t>
      </w:r>
      <w:r>
        <w:rPr>
          <w:noProof/>
        </w:rPr>
        <w:t xml:space="preserve">or areas to which </w:t>
      </w:r>
      <w:r w:rsidRPr="00C12801">
        <w:rPr>
          <w:noProof/>
        </w:rPr>
        <w:t>applicants have been allocated</w:t>
      </w:r>
      <w:r w:rsidRPr="00C12801">
        <w:rPr>
          <w:rStyle w:val="FootnoteReference"/>
          <w:noProof/>
        </w:rPr>
        <w:footnoteReference w:id="19"/>
      </w:r>
      <w:r w:rsidRPr="00C12801">
        <w:rPr>
          <w:noProof/>
        </w:rPr>
        <w:t>.</w:t>
      </w:r>
    </w:p>
    <w:p w14:paraId="2D7E669E" w14:textId="77777777" w:rsidR="006B25DA" w:rsidRPr="00C12801" w:rsidRDefault="006B25DA" w:rsidP="006B25DA">
      <w:pPr>
        <w:spacing w:after="120"/>
        <w:rPr>
          <w:i/>
          <w:iCs/>
          <w:noProof/>
          <w:szCs w:val="24"/>
        </w:rPr>
      </w:pPr>
      <w:r w:rsidRPr="00C12801">
        <w:rPr>
          <w:i/>
          <w:iCs/>
          <w:noProof/>
          <w:szCs w:val="24"/>
        </w:rPr>
        <w:t>Capacities (human resources, infrastructure, and equipment)</w:t>
      </w:r>
    </w:p>
    <w:p w14:paraId="6533813B" w14:textId="74102EE3" w:rsidR="006B25DA" w:rsidRPr="00A9648A" w:rsidRDefault="006B25DA" w:rsidP="002740E8">
      <w:pPr>
        <w:pStyle w:val="ListParagraph"/>
        <w:numPr>
          <w:ilvl w:val="0"/>
          <w:numId w:val="28"/>
        </w:numPr>
        <w:spacing w:after="120"/>
        <w:ind w:left="709" w:hanging="425"/>
        <w:contextualSpacing w:val="0"/>
        <w:rPr>
          <w:noProof/>
        </w:rPr>
      </w:pPr>
      <w:r w:rsidRPr="000A74D2">
        <w:rPr>
          <w:noProof/>
        </w:rPr>
        <w:t xml:space="preserve">Member </w:t>
      </w:r>
      <w:r w:rsidRPr="00AD41FD">
        <w:rPr>
          <w:noProof/>
        </w:rPr>
        <w:t xml:space="preserve">States will have to ensure </w:t>
      </w:r>
      <w:r w:rsidRPr="008F7A7A">
        <w:rPr>
          <w:b/>
          <w:bCs/>
          <w:noProof/>
        </w:rPr>
        <w:t>sufficient reception capacity</w:t>
      </w:r>
      <w:r w:rsidRPr="008C708B">
        <w:rPr>
          <w:noProof/>
        </w:rPr>
        <w:t>, including</w:t>
      </w:r>
      <w:r w:rsidRPr="00AD41FD">
        <w:rPr>
          <w:noProof/>
        </w:rPr>
        <w:t xml:space="preserve"> in relation to </w:t>
      </w:r>
      <w:r w:rsidRPr="008F7A7A">
        <w:rPr>
          <w:noProof/>
        </w:rPr>
        <w:t>infrastructure, housing, cash assistance, etc., (also in relation to persons with special reception needs</w:t>
      </w:r>
      <w:r w:rsidRPr="008F7A7A">
        <w:rPr>
          <w:rStyle w:val="FootnoteReference"/>
          <w:noProof/>
        </w:rPr>
        <w:footnoteReference w:id="20"/>
      </w:r>
      <w:r w:rsidRPr="008F7A7A">
        <w:rPr>
          <w:noProof/>
          <w:szCs w:val="24"/>
        </w:rPr>
        <w:t>,</w:t>
      </w:r>
      <w:r w:rsidRPr="008F7A7A">
        <w:rPr>
          <w:noProof/>
        </w:rPr>
        <w:t xml:space="preserve"> to match projected needs and provide for an adequate standard of living. This capacity should include anticipated relocations (if the Member State opts for this solidarity</w:t>
      </w:r>
      <w:r w:rsidRPr="000A74D2">
        <w:rPr>
          <w:noProof/>
        </w:rPr>
        <w:t xml:space="preserve"> measure)</w:t>
      </w:r>
      <w:r>
        <w:rPr>
          <w:noProof/>
        </w:rPr>
        <w:t>,</w:t>
      </w:r>
      <w:r w:rsidRPr="000A74D2">
        <w:rPr>
          <w:noProof/>
        </w:rPr>
        <w:t xml:space="preserve"> capacity for preparedness purposes</w:t>
      </w:r>
      <w:r>
        <w:rPr>
          <w:rStyle w:val="FootnoteReference"/>
          <w:noProof/>
        </w:rPr>
        <w:footnoteReference w:id="21"/>
      </w:r>
      <w:r w:rsidRPr="000A74D2">
        <w:rPr>
          <w:noProof/>
        </w:rPr>
        <w:t xml:space="preserve"> as well as capacity for implementing </w:t>
      </w:r>
      <w:r>
        <w:rPr>
          <w:noProof/>
        </w:rPr>
        <w:t xml:space="preserve">effective </w:t>
      </w:r>
      <w:r w:rsidRPr="000A74D2">
        <w:rPr>
          <w:noProof/>
        </w:rPr>
        <w:t>alternatives to detention</w:t>
      </w:r>
      <w:r w:rsidRPr="008C708B">
        <w:rPr>
          <w:noProof/>
        </w:rPr>
        <w:t>.</w:t>
      </w:r>
      <w:r>
        <w:rPr>
          <w:noProof/>
        </w:rPr>
        <w:t xml:space="preserve"> This requires a thorough assessment of existing capacity and planning the necessary changes. </w:t>
      </w:r>
    </w:p>
    <w:p w14:paraId="669551F6" w14:textId="0AD4FCCA" w:rsidR="006B25DA" w:rsidRPr="00246232" w:rsidRDefault="006B25DA" w:rsidP="00741BE8">
      <w:pPr>
        <w:pStyle w:val="ListParagraph"/>
        <w:numPr>
          <w:ilvl w:val="0"/>
          <w:numId w:val="28"/>
        </w:numPr>
        <w:spacing w:after="120"/>
        <w:ind w:left="709" w:hanging="425"/>
        <w:contextualSpacing w:val="0"/>
        <w:rPr>
          <w:noProof/>
        </w:rPr>
      </w:pPr>
      <w:r w:rsidRPr="00C12801">
        <w:rPr>
          <w:noProof/>
        </w:rPr>
        <w:t xml:space="preserve">Member States </w:t>
      </w:r>
      <w:r w:rsidRPr="00A06B9B">
        <w:rPr>
          <w:noProof/>
        </w:rPr>
        <w:t>will</w:t>
      </w:r>
      <w:r>
        <w:rPr>
          <w:noProof/>
        </w:rPr>
        <w:t xml:space="preserve"> have to </w:t>
      </w:r>
      <w:r w:rsidRPr="008F7A7A">
        <w:rPr>
          <w:b/>
          <w:bCs/>
          <w:noProof/>
        </w:rPr>
        <w:t>ensure capacity to provide sufficient and adapted access to physical and mental healthcare</w:t>
      </w:r>
      <w:r w:rsidRPr="00C12801">
        <w:rPr>
          <w:noProof/>
        </w:rPr>
        <w:t xml:space="preserve"> and for quicker</w:t>
      </w:r>
      <w:r>
        <w:rPr>
          <w:noProof/>
        </w:rPr>
        <w:t xml:space="preserve"> and</w:t>
      </w:r>
      <w:r w:rsidRPr="00C12801">
        <w:rPr>
          <w:noProof/>
        </w:rPr>
        <w:t xml:space="preserve"> effective access to early integration measures (e.g., education, language training, access to the labour market within </w:t>
      </w:r>
      <w:r>
        <w:rPr>
          <w:noProof/>
        </w:rPr>
        <w:t xml:space="preserve">six </w:t>
      </w:r>
      <w:r w:rsidRPr="00C12801">
        <w:rPr>
          <w:noProof/>
        </w:rPr>
        <w:t xml:space="preserve">months from the registration of the application, employment support). </w:t>
      </w:r>
      <w:r>
        <w:rPr>
          <w:noProof/>
        </w:rPr>
        <w:t xml:space="preserve">Member States </w:t>
      </w:r>
      <w:r w:rsidRPr="00A06B9B">
        <w:rPr>
          <w:noProof/>
        </w:rPr>
        <w:t>will</w:t>
      </w:r>
      <w:r>
        <w:rPr>
          <w:noProof/>
        </w:rPr>
        <w:t xml:space="preserve"> have to ensure sufficient and adequately trained staff on reception and access to services (such as interpreters, translators, social workers, medical personnel including for mental health, and child protection officers). This requires a thorough assessment of existing capacity and planning the necessary recruitment and training of personnel. The training has to include the core parts of the European Asylum Curriculum related to reception conditions as well as the tool for the identification of applicants with special reception needs developed by the EUAA. Where local and regional authorities, civil society or international organisations take part in the implementation of the recast Reception Conditions Directive, Member States will have to allocate them the necessary resources.</w:t>
      </w:r>
    </w:p>
    <w:p w14:paraId="097627A8" w14:textId="77777777" w:rsidR="006B25DA" w:rsidRPr="00C12801" w:rsidRDefault="006B25DA" w:rsidP="006B25DA">
      <w:pPr>
        <w:spacing w:after="120"/>
        <w:rPr>
          <w:b/>
          <w:bCs/>
          <w:noProof/>
        </w:rPr>
      </w:pPr>
      <w:r w:rsidRPr="00C12801">
        <w:rPr>
          <w:b/>
          <w:bCs/>
          <w:noProof/>
        </w:rPr>
        <w:t>Commission</w:t>
      </w:r>
    </w:p>
    <w:p w14:paraId="14DC10FB" w14:textId="77777777" w:rsidR="006B25DA" w:rsidRPr="00C12801" w:rsidRDefault="006B25DA" w:rsidP="006B25DA">
      <w:pPr>
        <w:spacing w:after="120"/>
        <w:rPr>
          <w:i/>
          <w:iCs/>
          <w:noProof/>
        </w:rPr>
      </w:pPr>
      <w:r w:rsidRPr="00C12801">
        <w:rPr>
          <w:i/>
          <w:iCs/>
          <w:noProof/>
        </w:rPr>
        <w:t>Practical support</w:t>
      </w:r>
    </w:p>
    <w:p w14:paraId="59842275" w14:textId="2BE3B2F3" w:rsidR="006B25DA" w:rsidRPr="00C12801" w:rsidRDefault="006B25DA" w:rsidP="002740E8">
      <w:pPr>
        <w:pStyle w:val="ListParagraph"/>
        <w:numPr>
          <w:ilvl w:val="0"/>
          <w:numId w:val="26"/>
        </w:numPr>
        <w:spacing w:after="120"/>
        <w:ind w:left="709" w:hanging="425"/>
        <w:rPr>
          <w:noProof/>
        </w:rPr>
      </w:pPr>
      <w:r w:rsidRPr="00C12801">
        <w:rPr>
          <w:noProof/>
        </w:rPr>
        <w:t>The Commission will provide the necessary technical support via the</w:t>
      </w:r>
      <w:r>
        <w:rPr>
          <w:noProof/>
        </w:rPr>
        <w:t xml:space="preserve"> </w:t>
      </w:r>
      <w:r w:rsidRPr="008C708B">
        <w:rPr>
          <w:noProof/>
        </w:rPr>
        <w:t xml:space="preserve">Reception experts </w:t>
      </w:r>
      <w:r>
        <w:rPr>
          <w:noProof/>
        </w:rPr>
        <w:t xml:space="preserve">group (the ‘Reception </w:t>
      </w:r>
      <w:r w:rsidRPr="008C708B">
        <w:rPr>
          <w:noProof/>
        </w:rPr>
        <w:t xml:space="preserve">Contact </w:t>
      </w:r>
      <w:r w:rsidRPr="00F1600E">
        <w:rPr>
          <w:noProof/>
        </w:rPr>
        <w:t>Committee</w:t>
      </w:r>
      <w:r>
        <w:rPr>
          <w:noProof/>
        </w:rPr>
        <w:t>’)</w:t>
      </w:r>
      <w:r w:rsidRPr="008C708B">
        <w:rPr>
          <w:rStyle w:val="FootnoteReference"/>
          <w:noProof/>
        </w:rPr>
        <w:footnoteReference w:id="22"/>
      </w:r>
      <w:r w:rsidRPr="00C12801">
        <w:rPr>
          <w:noProof/>
        </w:rPr>
        <w:t xml:space="preserve"> to </w:t>
      </w:r>
      <w:r>
        <w:rPr>
          <w:noProof/>
        </w:rPr>
        <w:t>facilitate the correct application of the recast Directive, including by c</w:t>
      </w:r>
      <w:r w:rsidRPr="00C12801">
        <w:rPr>
          <w:noProof/>
        </w:rPr>
        <w:t>larify</w:t>
      </w:r>
      <w:r>
        <w:rPr>
          <w:noProof/>
        </w:rPr>
        <w:t>ing</w:t>
      </w:r>
      <w:r w:rsidRPr="00C12801">
        <w:rPr>
          <w:noProof/>
        </w:rPr>
        <w:t xml:space="preserve"> the meaning of some provisions</w:t>
      </w:r>
      <w:r>
        <w:rPr>
          <w:noProof/>
        </w:rPr>
        <w:t>,</w:t>
      </w:r>
      <w:r w:rsidRPr="00C12801">
        <w:rPr>
          <w:noProof/>
        </w:rPr>
        <w:t xml:space="preserve"> and identify the areas that would require further attention in the transition period, including in view of the transposition of the recast </w:t>
      </w:r>
      <w:r>
        <w:rPr>
          <w:noProof/>
        </w:rPr>
        <w:t xml:space="preserve">Reception Conditions </w:t>
      </w:r>
      <w:r w:rsidRPr="00C12801">
        <w:rPr>
          <w:noProof/>
        </w:rPr>
        <w:t>Directive.</w:t>
      </w:r>
    </w:p>
    <w:p w14:paraId="3D2AC1F7" w14:textId="77777777" w:rsidR="006B25DA" w:rsidRPr="00C12801" w:rsidRDefault="006B25DA" w:rsidP="006B25DA">
      <w:pPr>
        <w:spacing w:after="120"/>
        <w:rPr>
          <w:b/>
          <w:bCs/>
          <w:noProof/>
        </w:rPr>
      </w:pPr>
      <w:r w:rsidRPr="00C12801">
        <w:rPr>
          <w:b/>
          <w:bCs/>
          <w:noProof/>
        </w:rPr>
        <w:t>EU Agencies</w:t>
      </w:r>
    </w:p>
    <w:p w14:paraId="2C5FE3F1" w14:textId="77777777" w:rsidR="006B25DA" w:rsidRPr="00C12801" w:rsidRDefault="006B25DA" w:rsidP="006B25DA">
      <w:pPr>
        <w:spacing w:after="120"/>
        <w:rPr>
          <w:i/>
          <w:iCs/>
          <w:noProof/>
        </w:rPr>
      </w:pPr>
      <w:r w:rsidRPr="00C12801">
        <w:rPr>
          <w:i/>
          <w:iCs/>
          <w:noProof/>
        </w:rPr>
        <w:t xml:space="preserve">Legal obligation </w:t>
      </w:r>
    </w:p>
    <w:p w14:paraId="367D5AE0" w14:textId="47053F49" w:rsidR="003E405D" w:rsidRDefault="006B25DA" w:rsidP="00975C79">
      <w:pPr>
        <w:pStyle w:val="ListParagraph"/>
        <w:numPr>
          <w:ilvl w:val="0"/>
          <w:numId w:val="26"/>
        </w:numPr>
        <w:spacing w:after="120"/>
        <w:ind w:left="709" w:hanging="425"/>
        <w:rPr>
          <w:noProof/>
        </w:rPr>
      </w:pPr>
      <w:r w:rsidRPr="00C12801">
        <w:rPr>
          <w:noProof/>
        </w:rPr>
        <w:t>The EUAA will develop a standard information template as well as the guidance on alternatives to detention.</w:t>
      </w:r>
    </w:p>
    <w:p w14:paraId="3F0B2887" w14:textId="6B65ABD1" w:rsidR="006B25DA" w:rsidRPr="00C12801" w:rsidRDefault="006B25DA" w:rsidP="006B25DA">
      <w:pPr>
        <w:spacing w:after="120"/>
        <w:rPr>
          <w:i/>
          <w:iCs/>
          <w:noProof/>
        </w:rPr>
      </w:pPr>
      <w:r w:rsidRPr="00C12801">
        <w:rPr>
          <w:i/>
          <w:iCs/>
          <w:noProof/>
        </w:rPr>
        <w:t>Practical support</w:t>
      </w:r>
    </w:p>
    <w:p w14:paraId="2A1E934B" w14:textId="77777777" w:rsidR="006B25DA" w:rsidRDefault="006B25DA" w:rsidP="002740E8">
      <w:pPr>
        <w:pStyle w:val="ListParagraph"/>
        <w:numPr>
          <w:ilvl w:val="0"/>
          <w:numId w:val="27"/>
        </w:numPr>
        <w:spacing w:after="120"/>
        <w:ind w:left="709" w:hanging="425"/>
        <w:contextualSpacing w:val="0"/>
        <w:rPr>
          <w:noProof/>
        </w:rPr>
      </w:pPr>
      <w:r w:rsidRPr="00C12801">
        <w:rPr>
          <w:noProof/>
        </w:rPr>
        <w:t xml:space="preserve">The EUAA will provide support via its Reception Network </w:t>
      </w:r>
      <w:r>
        <w:rPr>
          <w:noProof/>
        </w:rPr>
        <w:t>and will</w:t>
      </w:r>
      <w:r w:rsidRPr="00C12801">
        <w:rPr>
          <w:noProof/>
        </w:rPr>
        <w:t xml:space="preserve"> update existing guidance documents, tools, and training materials and revise its standards and indicators for reception and vulnerability. This includes notably the 2024 Guidance on Reception – Standards and Indicators.</w:t>
      </w:r>
    </w:p>
    <w:tbl>
      <w:tblPr>
        <w:tblStyle w:val="TableGrid"/>
        <w:tblpPr w:leftFromText="180" w:rightFromText="180" w:vertAnchor="text" w:tblpY="30"/>
        <w:tblW w:w="5000" w:type="pct"/>
        <w:tblLook w:val="04A0" w:firstRow="1" w:lastRow="0" w:firstColumn="1" w:lastColumn="0" w:noHBand="0" w:noVBand="1"/>
      </w:tblPr>
      <w:tblGrid>
        <w:gridCol w:w="8834"/>
      </w:tblGrid>
      <w:tr w:rsidR="00812F34" w14:paraId="00B9D182" w14:textId="77777777" w:rsidTr="00812F34">
        <w:tc>
          <w:tcPr>
            <w:tcW w:w="5000" w:type="pct"/>
          </w:tcPr>
          <w:p w14:paraId="459437B8" w14:textId="77777777" w:rsidR="00812F34" w:rsidRPr="00844E76" w:rsidRDefault="00812F34" w:rsidP="00812F34">
            <w:pPr>
              <w:tabs>
                <w:tab w:val="num" w:pos="1332"/>
              </w:tabs>
              <w:spacing w:after="120"/>
              <w:rPr>
                <w:b/>
                <w:bCs/>
                <w:i/>
                <w:noProof/>
                <w:szCs w:val="24"/>
                <w:u w:val="single"/>
              </w:rPr>
            </w:pPr>
            <w:r w:rsidRPr="00844E76">
              <w:rPr>
                <w:b/>
                <w:bCs/>
                <w:i/>
                <w:noProof/>
                <w:szCs w:val="24"/>
                <w:u w:val="single"/>
              </w:rPr>
              <w:t>Key milestones to consider:</w:t>
            </w:r>
          </w:p>
          <w:p w14:paraId="622A6489" w14:textId="77777777" w:rsidR="00812F34" w:rsidRPr="00C73649" w:rsidRDefault="00812F34" w:rsidP="00812F34">
            <w:pPr>
              <w:pStyle w:val="ListDash1"/>
              <w:tabs>
                <w:tab w:val="clear" w:pos="765"/>
                <w:tab w:val="num" w:pos="283"/>
              </w:tabs>
              <w:spacing w:after="120"/>
              <w:ind w:left="284" w:hanging="284"/>
              <w:rPr>
                <w:noProof/>
              </w:rPr>
            </w:pPr>
            <w:r>
              <w:rPr>
                <w:noProof/>
              </w:rPr>
              <w:t>By the end of 2025, EUAA will provide for a standard information template.</w:t>
            </w:r>
          </w:p>
          <w:p w14:paraId="0F5FBBAE" w14:textId="77777777" w:rsidR="00812F34" w:rsidRPr="00C12801" w:rsidRDefault="00812F34" w:rsidP="00812F34">
            <w:pPr>
              <w:pStyle w:val="ListDash1"/>
              <w:tabs>
                <w:tab w:val="clear" w:pos="765"/>
                <w:tab w:val="num" w:pos="283"/>
              </w:tabs>
              <w:spacing w:after="120"/>
              <w:ind w:left="284" w:hanging="284"/>
              <w:rPr>
                <w:noProof/>
              </w:rPr>
            </w:pPr>
            <w:r>
              <w:rPr>
                <w:noProof/>
              </w:rPr>
              <w:t>By 12 June 2026, Member States shall have transposed the requirements of the recast Reception Conditions Directive into national legislation.</w:t>
            </w:r>
          </w:p>
          <w:p w14:paraId="66AFC8DE" w14:textId="77777777" w:rsidR="00812F34" w:rsidRPr="00844E76" w:rsidRDefault="00812F34" w:rsidP="00812F34">
            <w:pPr>
              <w:pStyle w:val="ListDash1"/>
              <w:tabs>
                <w:tab w:val="clear" w:pos="765"/>
                <w:tab w:val="num" w:pos="283"/>
              </w:tabs>
              <w:spacing w:after="120"/>
              <w:ind w:left="284" w:hanging="284"/>
              <w:rPr>
                <w:b/>
                <w:bCs/>
                <w:i/>
                <w:noProof/>
                <w:szCs w:val="24"/>
                <w:u w:val="single"/>
              </w:rPr>
            </w:pPr>
            <w:r>
              <w:rPr>
                <w:noProof/>
              </w:rPr>
              <w:t>By 12 June 2026, Member States shall notify to the Commission the authorities responsible for fulfilling the Reception Conditions Directive obligations. If possible, Member States are encouraged to notify earlier than the required legal deadline to facilitate contacts with the Commission for implementation purposes.</w:t>
            </w:r>
          </w:p>
        </w:tc>
      </w:tr>
    </w:tbl>
    <w:tbl>
      <w:tblPr>
        <w:tblStyle w:val="TableGrid"/>
        <w:tblW w:w="5000" w:type="pct"/>
        <w:tblLook w:val="04A0" w:firstRow="1" w:lastRow="0" w:firstColumn="1" w:lastColumn="0" w:noHBand="0" w:noVBand="1"/>
      </w:tblPr>
      <w:tblGrid>
        <w:gridCol w:w="1330"/>
        <w:gridCol w:w="7504"/>
      </w:tblGrid>
      <w:tr w:rsidR="008A07B0" w:rsidRPr="00C12801" w14:paraId="128F4581" w14:textId="77777777" w:rsidTr="00EA3704">
        <w:trPr>
          <w:trHeight w:val="572"/>
        </w:trPr>
        <w:tc>
          <w:tcPr>
            <w:tcW w:w="753" w:type="pct"/>
            <w:vMerge w:val="restart"/>
            <w:tcBorders>
              <w:right w:val="single" w:sz="4" w:space="0" w:color="FFFFFF" w:themeColor="background1"/>
            </w:tcBorders>
          </w:tcPr>
          <w:p w14:paraId="7F6DEBD0" w14:textId="07E031FC" w:rsidR="008A07B0" w:rsidRPr="00C12801" w:rsidRDefault="008A07B0" w:rsidP="007B5728">
            <w:pPr>
              <w:pStyle w:val="Text1"/>
              <w:spacing w:before="120" w:after="120"/>
              <w:ind w:left="0"/>
              <w:jc w:val="center"/>
              <w:rPr>
                <w:noProof/>
              </w:rPr>
            </w:pPr>
            <w:r w:rsidRPr="0093423F">
              <w:rPr>
                <w:noProof/>
                <w:lang w:eastAsia="en-GB"/>
              </w:rPr>
              <w:drawing>
                <wp:inline distT="0" distB="0" distL="0" distR="0" wp14:anchorId="5778B3B9" wp14:editId="4C93A9DB">
                  <wp:extent cx="662400" cy="662400"/>
                  <wp:effectExtent l="0" t="0" r="0" b="0"/>
                  <wp:docPr id="6" name="Graphic 6">
                    <a:extLst xmlns:a="http://schemas.openxmlformats.org/drawingml/2006/main">
                      <a:ext uri="{FF2B5EF4-FFF2-40B4-BE49-F238E27FC236}">
                        <a16:creationId xmlns:a16="http://schemas.microsoft.com/office/drawing/2014/main" id="{7EEA9E02-615D-9E6F-0814-E01D6762E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Graphic 177">
                            <a:extLst>
                              <a:ext uri="{FF2B5EF4-FFF2-40B4-BE49-F238E27FC236}">
                                <a16:creationId xmlns:a16="http://schemas.microsoft.com/office/drawing/2014/main" id="{7EEA9E02-615D-9E6F-0814-E01D6762E297}"/>
                              </a:ext>
                            </a:extLst>
                          </pic:cNvPr>
                          <pic:cNvPicPr>
                            <a:picLocks noChangeAspect="1"/>
                          </pic:cNvPicPr>
                        </pic:nvPicPr>
                        <pic:blipFill>
                          <a:blip r:embed="rId26">
                            <a:extLst>
                              <a:ext uri="{96DAC541-7B7A-43D3-8B79-37D633B846F1}">
                                <asvg:svgBlip xmlns:a14="http://schemas.microsoft.com/office/drawing/2010/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r:embed="rId27"/>
                              </a:ext>
                            </a:extLst>
                          </a:blip>
                          <a:stretch>
                            <a:fillRect/>
                          </a:stretch>
                        </pic:blipFill>
                        <pic:spPr>
                          <a:xfrm>
                            <a:off x="0" y="0"/>
                            <a:ext cx="662400" cy="662400"/>
                          </a:xfrm>
                          <a:prstGeom prst="rect">
                            <a:avLst/>
                          </a:prstGeom>
                        </pic:spPr>
                      </pic:pic>
                    </a:graphicData>
                  </a:graphic>
                </wp:inline>
              </w:drawing>
            </w:r>
          </w:p>
        </w:tc>
        <w:tc>
          <w:tcPr>
            <w:tcW w:w="4247" w:type="pct"/>
            <w:tcBorders>
              <w:left w:val="single" w:sz="4" w:space="0" w:color="FFFFFF" w:themeColor="background1"/>
              <w:bottom w:val="single" w:sz="4" w:space="0" w:color="FFFFFF" w:themeColor="background1"/>
            </w:tcBorders>
          </w:tcPr>
          <w:p w14:paraId="36FC928F" w14:textId="025429CB" w:rsidR="008A07B0" w:rsidRPr="00C12801" w:rsidRDefault="008A07B0" w:rsidP="007B5728">
            <w:pPr>
              <w:pStyle w:val="Text1"/>
              <w:spacing w:before="60" w:after="120"/>
              <w:ind w:left="36"/>
              <w:rPr>
                <w:rFonts w:eastAsia="EC Square Sans Pro"/>
                <w:b/>
                <w:bCs/>
                <w:noProof/>
                <w:u w:val="single"/>
              </w:rPr>
            </w:pPr>
            <w:r w:rsidRPr="00C12801">
              <w:rPr>
                <w:rFonts w:eastAsia="EC Square Sans Pro"/>
                <w:b/>
                <w:bCs/>
                <w:noProof/>
                <w:u w:val="single"/>
              </w:rPr>
              <w:t xml:space="preserve">BUILDING BLOCK </w:t>
            </w:r>
            <w:r>
              <w:rPr>
                <w:rFonts w:eastAsia="EC Square Sans Pro"/>
                <w:b/>
                <w:bCs/>
                <w:noProof/>
                <w:u w:val="single"/>
              </w:rPr>
              <w:t>4</w:t>
            </w:r>
          </w:p>
        </w:tc>
      </w:tr>
      <w:tr w:rsidR="008A07B0" w:rsidRPr="00C12801" w14:paraId="6F7A434A" w14:textId="77777777" w:rsidTr="00EA3704">
        <w:trPr>
          <w:trHeight w:val="675"/>
        </w:trPr>
        <w:tc>
          <w:tcPr>
            <w:tcW w:w="753" w:type="pct"/>
            <w:vMerge/>
            <w:tcBorders>
              <w:right w:val="single" w:sz="4" w:space="0" w:color="FFFFFF" w:themeColor="background1"/>
            </w:tcBorders>
          </w:tcPr>
          <w:p w14:paraId="1D6A1944" w14:textId="77777777" w:rsidR="008A07B0" w:rsidRPr="00C12801" w:rsidRDefault="008A07B0" w:rsidP="007B5728">
            <w:pPr>
              <w:pStyle w:val="Text1"/>
              <w:spacing w:after="120"/>
              <w:ind w:left="0"/>
              <w:rPr>
                <w:noProof/>
              </w:rPr>
            </w:pPr>
          </w:p>
        </w:tc>
        <w:tc>
          <w:tcPr>
            <w:tcW w:w="4247" w:type="pct"/>
            <w:tcBorders>
              <w:top w:val="single" w:sz="4" w:space="0" w:color="FFFFFF" w:themeColor="background1"/>
              <w:left w:val="single" w:sz="4" w:space="0" w:color="FFFFFF" w:themeColor="background1"/>
            </w:tcBorders>
          </w:tcPr>
          <w:p w14:paraId="0A581069" w14:textId="45566661" w:rsidR="008A07B0" w:rsidRPr="00C12801" w:rsidRDefault="008A07B0" w:rsidP="007B5728">
            <w:pPr>
              <w:pStyle w:val="Text1"/>
              <w:spacing w:before="60" w:after="120"/>
              <w:ind w:left="36"/>
              <w:rPr>
                <w:rFonts w:eastAsia="EC Square Sans Pro"/>
                <w:b/>
                <w:bCs/>
                <w:noProof/>
              </w:rPr>
            </w:pPr>
            <w:r w:rsidRPr="00C12801">
              <w:rPr>
                <w:rFonts w:eastAsia="EC Square Sans Pro"/>
                <w:b/>
                <w:bCs/>
                <w:noProof/>
              </w:rPr>
              <w:t>Fair, efficient, and convergent asylum procedures</w:t>
            </w:r>
          </w:p>
        </w:tc>
      </w:tr>
    </w:tbl>
    <w:p w14:paraId="3DB515FF" w14:textId="77777777" w:rsidR="006B25DA" w:rsidRDefault="006B25DA" w:rsidP="003E405D">
      <w:pPr>
        <w:spacing w:before="120" w:after="120"/>
        <w:rPr>
          <w:noProof/>
          <w:szCs w:val="24"/>
        </w:rPr>
      </w:pPr>
      <w:r>
        <w:rPr>
          <w:noProof/>
          <w:szCs w:val="24"/>
        </w:rPr>
        <w:t xml:space="preserve">Swifter and more harmonised procedures are critical to maintain the integrity of the overall asylum system as well as to reduce secondary movements and prevent abuses. </w:t>
      </w:r>
      <w:r w:rsidRPr="00C12801">
        <w:rPr>
          <w:noProof/>
          <w:szCs w:val="24"/>
        </w:rPr>
        <w:t>The Asylum Procedure Regulation and the Qualification Regulation streamline</w:t>
      </w:r>
      <w:r>
        <w:rPr>
          <w:noProof/>
          <w:szCs w:val="24"/>
        </w:rPr>
        <w:t xml:space="preserve"> and foster convergence in</w:t>
      </w:r>
      <w:r w:rsidRPr="00C12801">
        <w:rPr>
          <w:noProof/>
          <w:szCs w:val="24"/>
        </w:rPr>
        <w:t xml:space="preserve"> the </w:t>
      </w:r>
      <w:r>
        <w:rPr>
          <w:noProof/>
          <w:szCs w:val="24"/>
        </w:rPr>
        <w:t xml:space="preserve">assessment and </w:t>
      </w:r>
      <w:r w:rsidRPr="00C12801">
        <w:rPr>
          <w:noProof/>
          <w:szCs w:val="24"/>
        </w:rPr>
        <w:t>decision-making process</w:t>
      </w:r>
      <w:r w:rsidRPr="00C12801" w:rsidDel="00DA7D19">
        <w:rPr>
          <w:noProof/>
          <w:szCs w:val="24"/>
        </w:rPr>
        <w:t xml:space="preserve"> </w:t>
      </w:r>
      <w:r w:rsidRPr="00C12801">
        <w:rPr>
          <w:noProof/>
          <w:szCs w:val="24"/>
        </w:rPr>
        <w:t>o</w:t>
      </w:r>
      <w:r>
        <w:rPr>
          <w:noProof/>
          <w:szCs w:val="24"/>
        </w:rPr>
        <w:t>f</w:t>
      </w:r>
      <w:r w:rsidRPr="00C12801">
        <w:rPr>
          <w:noProof/>
          <w:szCs w:val="24"/>
        </w:rPr>
        <w:t xml:space="preserve"> individual asylum applications across Europe and reinforce the safeguards, rights and guarantees for applicants and beneficiaries</w:t>
      </w:r>
      <w:r>
        <w:rPr>
          <w:noProof/>
          <w:szCs w:val="24"/>
        </w:rPr>
        <w:t xml:space="preserve"> of international protection</w:t>
      </w:r>
      <w:r w:rsidRPr="00C12801">
        <w:rPr>
          <w:noProof/>
          <w:szCs w:val="24"/>
        </w:rPr>
        <w:t>.</w:t>
      </w:r>
      <w:r w:rsidRPr="00B11D60">
        <w:rPr>
          <w:noProof/>
        </w:rPr>
        <w:t xml:space="preserve"> </w:t>
      </w:r>
      <w:r>
        <w:rPr>
          <w:noProof/>
          <w:szCs w:val="24"/>
        </w:rPr>
        <w:t>The Asylum Procedure Regulation also includes provisions that should facilitate the identification of statelessness.</w:t>
      </w:r>
    </w:p>
    <w:p w14:paraId="6719A8B5" w14:textId="58A21E39" w:rsidR="006B25DA" w:rsidRPr="00C12801" w:rsidRDefault="006B25DA" w:rsidP="003E405D">
      <w:pPr>
        <w:spacing w:after="120"/>
        <w:rPr>
          <w:noProof/>
          <w:szCs w:val="24"/>
        </w:rPr>
      </w:pPr>
      <w:r w:rsidRPr="00C12801">
        <w:rPr>
          <w:noProof/>
          <w:szCs w:val="24"/>
        </w:rPr>
        <w:t>The A</w:t>
      </w:r>
      <w:r>
        <w:rPr>
          <w:noProof/>
          <w:szCs w:val="24"/>
        </w:rPr>
        <w:t xml:space="preserve">sylum </w:t>
      </w:r>
      <w:r w:rsidRPr="00C12801">
        <w:rPr>
          <w:noProof/>
          <w:szCs w:val="24"/>
        </w:rPr>
        <w:t>P</w:t>
      </w:r>
      <w:r>
        <w:rPr>
          <w:noProof/>
          <w:szCs w:val="24"/>
        </w:rPr>
        <w:t xml:space="preserve">rocedure </w:t>
      </w:r>
      <w:r w:rsidRPr="00C12801">
        <w:rPr>
          <w:noProof/>
          <w:szCs w:val="24"/>
        </w:rPr>
        <w:t>R</w:t>
      </w:r>
      <w:r>
        <w:rPr>
          <w:noProof/>
          <w:szCs w:val="24"/>
        </w:rPr>
        <w:t>egulation</w:t>
      </w:r>
      <w:r w:rsidRPr="00C12801">
        <w:rPr>
          <w:noProof/>
          <w:szCs w:val="24"/>
        </w:rPr>
        <w:t xml:space="preserve"> </w:t>
      </w:r>
      <w:r>
        <w:rPr>
          <w:noProof/>
          <w:szCs w:val="24"/>
        </w:rPr>
        <w:t xml:space="preserve">streamlines the access to the asylum procedure and </w:t>
      </w:r>
      <w:r w:rsidRPr="00C12801">
        <w:rPr>
          <w:noProof/>
          <w:szCs w:val="24"/>
        </w:rPr>
        <w:t xml:space="preserve">harmonises the timelines </w:t>
      </w:r>
      <w:r w:rsidR="004B4D52">
        <w:rPr>
          <w:noProof/>
          <w:szCs w:val="24"/>
        </w:rPr>
        <w:t>thereby</w:t>
      </w:r>
      <w:r w:rsidR="004B4D52" w:rsidRPr="00C12801">
        <w:rPr>
          <w:noProof/>
          <w:szCs w:val="24"/>
        </w:rPr>
        <w:t xml:space="preserve"> </w:t>
      </w:r>
      <w:r w:rsidRPr="00C12801">
        <w:rPr>
          <w:noProof/>
          <w:szCs w:val="24"/>
        </w:rPr>
        <w:t>provid</w:t>
      </w:r>
      <w:r w:rsidR="004B4D52">
        <w:rPr>
          <w:noProof/>
          <w:szCs w:val="24"/>
        </w:rPr>
        <w:t>ing</w:t>
      </w:r>
      <w:r w:rsidRPr="00C12801">
        <w:rPr>
          <w:noProof/>
          <w:szCs w:val="24"/>
        </w:rPr>
        <w:t xml:space="preserve"> for shorter and more efficient procedures. </w:t>
      </w:r>
      <w:r>
        <w:rPr>
          <w:noProof/>
          <w:szCs w:val="24"/>
        </w:rPr>
        <w:t>For example, the Regulation establishes clear deadlines for the three steps of the asylum procedure, i.e., the applicant expressing the wish to receive international protection (</w:t>
      </w:r>
      <w:r w:rsidR="00292C3C">
        <w:rPr>
          <w:noProof/>
          <w:szCs w:val="24"/>
        </w:rPr>
        <w:t>‘</w:t>
      </w:r>
      <w:r>
        <w:rPr>
          <w:noProof/>
          <w:szCs w:val="24"/>
        </w:rPr>
        <w:t>the making</w:t>
      </w:r>
      <w:r w:rsidR="00292C3C">
        <w:rPr>
          <w:noProof/>
          <w:szCs w:val="24"/>
        </w:rPr>
        <w:t>’</w:t>
      </w:r>
      <w:r>
        <w:rPr>
          <w:noProof/>
          <w:szCs w:val="24"/>
        </w:rPr>
        <w:t xml:space="preserve">) </w:t>
      </w:r>
      <w:r w:rsidRPr="00D339B6">
        <w:rPr>
          <w:noProof/>
          <w:szCs w:val="24"/>
        </w:rPr>
        <w:t xml:space="preserve">and the consequent </w:t>
      </w:r>
      <w:r w:rsidR="000F05B9" w:rsidRPr="00D339B6">
        <w:rPr>
          <w:noProof/>
          <w:szCs w:val="24"/>
        </w:rPr>
        <w:t xml:space="preserve">receiving </w:t>
      </w:r>
      <w:r w:rsidRPr="00D339B6">
        <w:rPr>
          <w:noProof/>
          <w:szCs w:val="24"/>
        </w:rPr>
        <w:t>by the Member State authorities</w:t>
      </w:r>
      <w:r w:rsidR="00C856F4" w:rsidRPr="00D339B6">
        <w:rPr>
          <w:noProof/>
          <w:szCs w:val="24"/>
        </w:rPr>
        <w:t xml:space="preserve"> and</w:t>
      </w:r>
      <w:r w:rsidRPr="00D339B6" w:rsidDel="000F05B9">
        <w:rPr>
          <w:noProof/>
          <w:szCs w:val="24"/>
        </w:rPr>
        <w:t xml:space="preserve"> registering</w:t>
      </w:r>
      <w:r w:rsidRPr="00D339B6" w:rsidDel="00F93D79">
        <w:rPr>
          <w:noProof/>
          <w:szCs w:val="24"/>
        </w:rPr>
        <w:t xml:space="preserve"> </w:t>
      </w:r>
      <w:r w:rsidR="00F93D79" w:rsidRPr="00D339B6">
        <w:rPr>
          <w:noProof/>
          <w:szCs w:val="24"/>
        </w:rPr>
        <w:t>the</w:t>
      </w:r>
      <w:r w:rsidRPr="00D339B6">
        <w:rPr>
          <w:noProof/>
          <w:szCs w:val="24"/>
        </w:rPr>
        <w:t xml:space="preserve"> application (</w:t>
      </w:r>
      <w:r w:rsidR="00292C3C" w:rsidRPr="00D339B6">
        <w:rPr>
          <w:noProof/>
          <w:szCs w:val="24"/>
        </w:rPr>
        <w:t>‘</w:t>
      </w:r>
      <w:r w:rsidRPr="00D339B6">
        <w:rPr>
          <w:noProof/>
          <w:szCs w:val="24"/>
        </w:rPr>
        <w:t>the registering</w:t>
      </w:r>
      <w:r w:rsidR="00B272F9" w:rsidRPr="00D339B6">
        <w:rPr>
          <w:noProof/>
          <w:szCs w:val="24"/>
        </w:rPr>
        <w:t>’</w:t>
      </w:r>
      <w:r w:rsidRPr="00D339B6">
        <w:rPr>
          <w:noProof/>
          <w:szCs w:val="24"/>
        </w:rPr>
        <w:t xml:space="preserve">) and the </w:t>
      </w:r>
      <w:r w:rsidRPr="00D339B6" w:rsidDel="00F93D79">
        <w:rPr>
          <w:noProof/>
          <w:szCs w:val="24"/>
        </w:rPr>
        <w:t xml:space="preserve">applicant lodging </w:t>
      </w:r>
      <w:r w:rsidR="00B272F9" w:rsidRPr="00D339B6">
        <w:rPr>
          <w:noProof/>
          <w:szCs w:val="24"/>
        </w:rPr>
        <w:t>the</w:t>
      </w:r>
      <w:r w:rsidRPr="00D339B6">
        <w:rPr>
          <w:noProof/>
          <w:szCs w:val="24"/>
        </w:rPr>
        <w:t xml:space="preserve"> application (</w:t>
      </w:r>
      <w:r w:rsidR="00B272F9" w:rsidRPr="00D339B6">
        <w:rPr>
          <w:noProof/>
          <w:szCs w:val="24"/>
        </w:rPr>
        <w:t>‘</w:t>
      </w:r>
      <w:r w:rsidRPr="00D339B6">
        <w:rPr>
          <w:noProof/>
          <w:szCs w:val="24"/>
        </w:rPr>
        <w:t>the lodging</w:t>
      </w:r>
      <w:r w:rsidR="00B272F9" w:rsidRPr="00D339B6">
        <w:rPr>
          <w:noProof/>
          <w:szCs w:val="24"/>
        </w:rPr>
        <w:t>’</w:t>
      </w:r>
      <w:r w:rsidRPr="00D339B6">
        <w:rPr>
          <w:noProof/>
          <w:szCs w:val="24"/>
        </w:rPr>
        <w:t>). The Regulation clarifies what each of the three steps entails, what obligations the applicant and the authorities have, and what the deadlines for each step are (5 days for registering, 21 days for lodging</w:t>
      </w:r>
      <w:r w:rsidR="003C3BAA" w:rsidRPr="00D339B6">
        <w:rPr>
          <w:noProof/>
          <w:szCs w:val="24"/>
        </w:rPr>
        <w:t>).</w:t>
      </w:r>
      <w:r w:rsidR="00C856F4" w:rsidRPr="00D339B6">
        <w:rPr>
          <w:noProof/>
          <w:szCs w:val="24"/>
        </w:rPr>
        <w:t xml:space="preserve"> </w:t>
      </w:r>
      <w:r w:rsidR="003C3BAA" w:rsidRPr="00D339B6">
        <w:rPr>
          <w:noProof/>
          <w:szCs w:val="24"/>
        </w:rPr>
        <w:t>The Regulation also establishes deadlines for the examination of the application</w:t>
      </w:r>
      <w:r>
        <w:rPr>
          <w:noProof/>
          <w:szCs w:val="24"/>
        </w:rPr>
        <w:t xml:space="preserve"> </w:t>
      </w:r>
      <w:r w:rsidR="003C3BAA">
        <w:rPr>
          <w:noProof/>
          <w:szCs w:val="24"/>
        </w:rPr>
        <w:t>(</w:t>
      </w:r>
      <w:r>
        <w:rPr>
          <w:noProof/>
          <w:szCs w:val="24"/>
        </w:rPr>
        <w:t>6 months for a decision in the regular procedure, 3 months for the accelerated procedure and between 10 days and 2 months for the inadmissibility checks).</w:t>
      </w:r>
    </w:p>
    <w:p w14:paraId="5E6A161F" w14:textId="304595B8" w:rsidR="006B25DA" w:rsidRPr="00C12801" w:rsidRDefault="006B25DA" w:rsidP="003E405D">
      <w:pPr>
        <w:spacing w:after="120"/>
        <w:rPr>
          <w:noProof/>
          <w:szCs w:val="24"/>
        </w:rPr>
      </w:pPr>
      <w:r w:rsidRPr="00C12801">
        <w:rPr>
          <w:noProof/>
          <w:szCs w:val="24"/>
        </w:rPr>
        <w:t xml:space="preserve">Member States will </w:t>
      </w:r>
      <w:r>
        <w:rPr>
          <w:noProof/>
          <w:szCs w:val="24"/>
        </w:rPr>
        <w:t xml:space="preserve">also </w:t>
      </w:r>
      <w:r w:rsidRPr="00C12801">
        <w:rPr>
          <w:noProof/>
          <w:szCs w:val="24"/>
        </w:rPr>
        <w:t xml:space="preserve">have to apply </w:t>
      </w:r>
      <w:r>
        <w:rPr>
          <w:noProof/>
          <w:szCs w:val="24"/>
        </w:rPr>
        <w:t>new rules that become mandatory</w:t>
      </w:r>
      <w:r w:rsidRPr="00C12801">
        <w:rPr>
          <w:noProof/>
          <w:szCs w:val="24"/>
        </w:rPr>
        <w:t>, such as the mandatory accelerated procedures (optional until now)</w:t>
      </w:r>
      <w:r>
        <w:rPr>
          <w:noProof/>
          <w:szCs w:val="24"/>
        </w:rPr>
        <w:t xml:space="preserve">, </w:t>
      </w:r>
      <w:r w:rsidRPr="00C12801">
        <w:rPr>
          <w:noProof/>
        </w:rPr>
        <w:t>as well as the stricter</w:t>
      </w:r>
      <w:r>
        <w:rPr>
          <w:noProof/>
        </w:rPr>
        <w:t xml:space="preserve"> mandatory</w:t>
      </w:r>
      <w:r w:rsidRPr="00C12801">
        <w:rPr>
          <w:noProof/>
        </w:rPr>
        <w:t xml:space="preserve"> regime applicable to subsequent applications (including the </w:t>
      </w:r>
      <w:r>
        <w:rPr>
          <w:noProof/>
        </w:rPr>
        <w:t xml:space="preserve">obligation to </w:t>
      </w:r>
      <w:r w:rsidRPr="00C12801">
        <w:rPr>
          <w:noProof/>
        </w:rPr>
        <w:t>consider applications that have been made following the rejection in another Member State</w:t>
      </w:r>
      <w:r w:rsidRPr="000741B4">
        <w:rPr>
          <w:noProof/>
        </w:rPr>
        <w:t xml:space="preserve"> </w:t>
      </w:r>
      <w:r w:rsidRPr="00C12801">
        <w:rPr>
          <w:noProof/>
        </w:rPr>
        <w:t>as subsequent application</w:t>
      </w:r>
      <w:r>
        <w:rPr>
          <w:noProof/>
        </w:rPr>
        <w:t>s</w:t>
      </w:r>
      <w:r w:rsidRPr="00C12801">
        <w:rPr>
          <w:noProof/>
        </w:rPr>
        <w:t>)</w:t>
      </w:r>
      <w:r>
        <w:rPr>
          <w:noProof/>
          <w:szCs w:val="24"/>
        </w:rPr>
        <w:t xml:space="preserve">. </w:t>
      </w:r>
      <w:r w:rsidRPr="00C12801">
        <w:rPr>
          <w:noProof/>
          <w:szCs w:val="24"/>
        </w:rPr>
        <w:t xml:space="preserve">They </w:t>
      </w:r>
      <w:r>
        <w:rPr>
          <w:noProof/>
          <w:szCs w:val="24"/>
        </w:rPr>
        <w:t>will</w:t>
      </w:r>
      <w:r w:rsidRPr="00C12801">
        <w:rPr>
          <w:noProof/>
          <w:szCs w:val="24"/>
        </w:rPr>
        <w:t xml:space="preserve"> also </w:t>
      </w:r>
      <w:r>
        <w:rPr>
          <w:noProof/>
          <w:szCs w:val="24"/>
        </w:rPr>
        <w:t xml:space="preserve">have to </w:t>
      </w:r>
      <w:r w:rsidRPr="00C12801">
        <w:rPr>
          <w:noProof/>
          <w:szCs w:val="24"/>
        </w:rPr>
        <w:t xml:space="preserve">make the necessary adjustments to consider an application </w:t>
      </w:r>
      <w:r>
        <w:rPr>
          <w:noProof/>
          <w:szCs w:val="24"/>
        </w:rPr>
        <w:t xml:space="preserve">as </w:t>
      </w:r>
      <w:r w:rsidRPr="00C12801">
        <w:rPr>
          <w:noProof/>
          <w:szCs w:val="24"/>
        </w:rPr>
        <w:t>implicitly withdrawn where the applicant fails to comply with certain obligation</w:t>
      </w:r>
      <w:r>
        <w:rPr>
          <w:noProof/>
          <w:szCs w:val="24"/>
        </w:rPr>
        <w:t>s,</w:t>
      </w:r>
      <w:r w:rsidRPr="00C12801">
        <w:rPr>
          <w:noProof/>
          <w:szCs w:val="24"/>
        </w:rPr>
        <w:t xml:space="preserve"> such as the </w:t>
      </w:r>
      <w:r>
        <w:rPr>
          <w:noProof/>
          <w:szCs w:val="24"/>
        </w:rPr>
        <w:t>requirement</w:t>
      </w:r>
      <w:r w:rsidRPr="00C12801">
        <w:rPr>
          <w:noProof/>
          <w:szCs w:val="24"/>
        </w:rPr>
        <w:t xml:space="preserve"> to provide </w:t>
      </w:r>
      <w:r w:rsidRPr="003E405D">
        <w:rPr>
          <w:noProof/>
          <w:szCs w:val="24"/>
        </w:rPr>
        <w:t>biometric data,</w:t>
      </w:r>
      <w:r w:rsidRPr="003E405D">
        <w:rPr>
          <w:noProof/>
        </w:rPr>
        <w:t xml:space="preserve"> or to apply </w:t>
      </w:r>
      <w:r w:rsidRPr="003E405D">
        <w:rPr>
          <w:noProof/>
          <w:szCs w:val="24"/>
        </w:rPr>
        <w:t>the new notion of what constitute</w:t>
      </w:r>
      <w:r w:rsidR="00392AE4">
        <w:rPr>
          <w:noProof/>
          <w:szCs w:val="24"/>
        </w:rPr>
        <w:t>s</w:t>
      </w:r>
      <w:r w:rsidRPr="003E405D">
        <w:rPr>
          <w:noProof/>
          <w:szCs w:val="24"/>
        </w:rPr>
        <w:t xml:space="preserve"> ‘effective protection’ to designate safe third countries and apply the first country of asylum concept. Furthermore, for most</w:t>
      </w:r>
      <w:r>
        <w:rPr>
          <w:noProof/>
          <w:szCs w:val="24"/>
        </w:rPr>
        <w:t xml:space="preserve"> abusive claims and subsequent applications, the appeal will not have an automatic suspensive effect, which means that if the application is rejected and the person is not allowed to remain by a court, the authorities can enforce a return decision.</w:t>
      </w:r>
    </w:p>
    <w:p w14:paraId="46107461" w14:textId="77777777" w:rsidR="003E405D" w:rsidRDefault="006B25DA" w:rsidP="003E405D">
      <w:pPr>
        <w:spacing w:after="120"/>
        <w:rPr>
          <w:noProof/>
          <w:szCs w:val="24"/>
        </w:rPr>
      </w:pPr>
      <w:r w:rsidRPr="00C12801">
        <w:rPr>
          <w:noProof/>
          <w:szCs w:val="24"/>
        </w:rPr>
        <w:t xml:space="preserve">Member States </w:t>
      </w:r>
      <w:r>
        <w:rPr>
          <w:noProof/>
          <w:szCs w:val="24"/>
        </w:rPr>
        <w:t>will</w:t>
      </w:r>
      <w:r w:rsidRPr="00C12801">
        <w:rPr>
          <w:noProof/>
          <w:szCs w:val="24"/>
        </w:rPr>
        <w:t xml:space="preserve"> also </w:t>
      </w:r>
      <w:r>
        <w:rPr>
          <w:noProof/>
          <w:szCs w:val="24"/>
        </w:rPr>
        <w:t xml:space="preserve">have to </w:t>
      </w:r>
      <w:r w:rsidRPr="00C12801">
        <w:rPr>
          <w:noProof/>
          <w:szCs w:val="24"/>
        </w:rPr>
        <w:t>apply the new requirement</w:t>
      </w:r>
      <w:r>
        <w:rPr>
          <w:noProof/>
          <w:szCs w:val="24"/>
        </w:rPr>
        <w:t>s</w:t>
      </w:r>
      <w:r w:rsidRPr="00C12801">
        <w:rPr>
          <w:noProof/>
          <w:szCs w:val="24"/>
        </w:rPr>
        <w:t xml:space="preserve"> </w:t>
      </w:r>
      <w:r>
        <w:rPr>
          <w:noProof/>
          <w:szCs w:val="24"/>
        </w:rPr>
        <w:t xml:space="preserve">foreseen in the Qualification Regulation such as the obligation </w:t>
      </w:r>
      <w:r w:rsidRPr="00C12801">
        <w:rPr>
          <w:noProof/>
          <w:szCs w:val="24"/>
        </w:rPr>
        <w:t xml:space="preserve">to assess an internal protection alternative and </w:t>
      </w:r>
      <w:r>
        <w:rPr>
          <w:noProof/>
          <w:szCs w:val="24"/>
        </w:rPr>
        <w:t xml:space="preserve">the obligation to </w:t>
      </w:r>
      <w:r w:rsidRPr="00C12801">
        <w:rPr>
          <w:noProof/>
          <w:szCs w:val="24"/>
        </w:rPr>
        <w:t>withdraw the international protection status where certain criminal acts have been committed or the person otherwise poses a security threat.</w:t>
      </w:r>
    </w:p>
    <w:p w14:paraId="6A025B42" w14:textId="37E0CC75" w:rsidR="006B25DA" w:rsidRPr="00C12801" w:rsidRDefault="006B25DA" w:rsidP="003E405D">
      <w:pPr>
        <w:spacing w:after="120"/>
        <w:rPr>
          <w:noProof/>
          <w:szCs w:val="24"/>
        </w:rPr>
      </w:pPr>
      <w:r>
        <w:rPr>
          <w:noProof/>
          <w:szCs w:val="24"/>
        </w:rPr>
        <w:t xml:space="preserve">The changes introduced in the Asylum Procedure Regulation and the procedural aspects of the Qualification Regulation offer an opportunity for </w:t>
      </w:r>
      <w:r w:rsidRPr="00C12801">
        <w:rPr>
          <w:noProof/>
          <w:szCs w:val="24"/>
        </w:rPr>
        <w:t xml:space="preserve">Member States to address current challenges in relation to lengthy asylum procedures and existing </w:t>
      </w:r>
      <w:r w:rsidRPr="003E405D">
        <w:rPr>
          <w:noProof/>
          <w:szCs w:val="24"/>
        </w:rPr>
        <w:t>backlogs. Respect for the fundamental rights of applicants and beneficiaries of international protection in line with the Charter and the specific rights provided for under the two Regulations is essential for the correct implementation of this building block (see building block 9).</w:t>
      </w:r>
    </w:p>
    <w:p w14:paraId="65E3ADE3" w14:textId="77777777" w:rsidR="00D339B6" w:rsidRDefault="00D339B6" w:rsidP="003E405D">
      <w:pPr>
        <w:spacing w:after="120"/>
        <w:rPr>
          <w:noProof/>
        </w:rPr>
      </w:pPr>
    </w:p>
    <w:p w14:paraId="7773DB20" w14:textId="788D758E" w:rsidR="006B25DA" w:rsidRPr="00C12801" w:rsidRDefault="006B25DA" w:rsidP="003E405D">
      <w:pPr>
        <w:spacing w:after="120"/>
        <w:rPr>
          <w:noProof/>
        </w:rPr>
      </w:pPr>
      <w:r w:rsidRPr="00C12801">
        <w:rPr>
          <w:noProof/>
        </w:rPr>
        <w:t xml:space="preserve">In this context, the following actions </w:t>
      </w:r>
      <w:r>
        <w:rPr>
          <w:noProof/>
        </w:rPr>
        <w:t>should</w:t>
      </w:r>
      <w:r w:rsidRPr="00C12801">
        <w:rPr>
          <w:noProof/>
        </w:rPr>
        <w:t xml:space="preserve"> be taken</w:t>
      </w:r>
      <w:r w:rsidRPr="00A04B5D">
        <w:rPr>
          <w:noProof/>
        </w:rPr>
        <w:t xml:space="preserve"> </w:t>
      </w:r>
      <w:r>
        <w:rPr>
          <w:noProof/>
        </w:rPr>
        <w:t>to ensure the effective implementation of this building block</w:t>
      </w:r>
      <w:r w:rsidRPr="00C12801">
        <w:rPr>
          <w:noProof/>
        </w:rPr>
        <w:t>:</w:t>
      </w:r>
    </w:p>
    <w:p w14:paraId="32AA46E6" w14:textId="77777777" w:rsidR="006B25DA" w:rsidRPr="00C12801" w:rsidRDefault="006B25DA" w:rsidP="006B25DA">
      <w:pPr>
        <w:spacing w:after="120"/>
        <w:rPr>
          <w:b/>
          <w:bCs/>
          <w:noProof/>
          <w:szCs w:val="24"/>
        </w:rPr>
      </w:pPr>
      <w:r w:rsidRPr="00C12801">
        <w:rPr>
          <w:b/>
          <w:bCs/>
          <w:noProof/>
          <w:szCs w:val="24"/>
        </w:rPr>
        <w:t>Member States</w:t>
      </w:r>
    </w:p>
    <w:p w14:paraId="496EAB2A" w14:textId="77777777" w:rsidR="006B25DA" w:rsidRPr="00C12801" w:rsidRDefault="006B25DA" w:rsidP="006B25DA">
      <w:pPr>
        <w:spacing w:after="120"/>
        <w:rPr>
          <w:noProof/>
        </w:rPr>
      </w:pPr>
      <w:r w:rsidRPr="00C12801">
        <w:rPr>
          <w:i/>
          <w:iCs/>
          <w:noProof/>
          <w:szCs w:val="24"/>
        </w:rPr>
        <w:t>Legislation</w:t>
      </w:r>
    </w:p>
    <w:p w14:paraId="35A93A48" w14:textId="52A393C8" w:rsidR="006B25DA" w:rsidRPr="00C12801" w:rsidRDefault="006B25DA" w:rsidP="002740E8">
      <w:pPr>
        <w:pStyle w:val="ListParagraph"/>
        <w:numPr>
          <w:ilvl w:val="0"/>
          <w:numId w:val="27"/>
        </w:numPr>
        <w:spacing w:after="120"/>
        <w:ind w:left="709" w:hanging="425"/>
        <w:rPr>
          <w:i/>
          <w:noProof/>
        </w:rPr>
      </w:pPr>
      <w:r w:rsidRPr="00C12801">
        <w:rPr>
          <w:noProof/>
        </w:rPr>
        <w:t xml:space="preserve">Member States should </w:t>
      </w:r>
      <w:r w:rsidRPr="008F7A7A">
        <w:rPr>
          <w:b/>
          <w:bCs/>
          <w:noProof/>
        </w:rPr>
        <w:t>review their national regulatory frameworks</w:t>
      </w:r>
      <w:r w:rsidRPr="00C12801">
        <w:rPr>
          <w:noProof/>
        </w:rPr>
        <w:t xml:space="preserve"> and make the necessary adjustments</w:t>
      </w:r>
      <w:r>
        <w:rPr>
          <w:noProof/>
        </w:rPr>
        <w:t xml:space="preserve"> to ensure the effective application of the two Regulations. In this sense, some of the elements that will require particular attention are the way the access to the procedure is organised (i.e., the steps, the timelines, the authorities involved), the non-automatic suspensive effect for </w:t>
      </w:r>
      <w:r w:rsidR="00817A9A">
        <w:rPr>
          <w:noProof/>
        </w:rPr>
        <w:t xml:space="preserve">a </w:t>
      </w:r>
      <w:r>
        <w:rPr>
          <w:noProof/>
        </w:rPr>
        <w:t>certain type of decisions and the way the final decision is defined. For the latter, it is crucial to ensure that the definition allows for a smooth application of the rules on subsequent applications without creating parallel proceedings between a first application in the appeal stage and a second one at the administrative stage</w:t>
      </w:r>
      <w:r w:rsidRPr="00C12801">
        <w:rPr>
          <w:noProof/>
        </w:rPr>
        <w:t>.</w:t>
      </w:r>
    </w:p>
    <w:p w14:paraId="382DB5B2" w14:textId="77777777" w:rsidR="006B25DA" w:rsidRPr="00C12801" w:rsidRDefault="006B25DA" w:rsidP="006B25DA">
      <w:pPr>
        <w:spacing w:after="120"/>
        <w:ind w:left="709" w:hanging="425"/>
        <w:rPr>
          <w:i/>
          <w:iCs/>
          <w:noProof/>
          <w:szCs w:val="24"/>
        </w:rPr>
      </w:pPr>
      <w:r>
        <w:rPr>
          <w:i/>
          <w:iCs/>
          <w:noProof/>
          <w:szCs w:val="24"/>
        </w:rPr>
        <w:t>Organisation</w:t>
      </w:r>
      <w:r w:rsidRPr="00C12801">
        <w:rPr>
          <w:i/>
          <w:iCs/>
          <w:noProof/>
          <w:szCs w:val="24"/>
        </w:rPr>
        <w:t xml:space="preserve"> and administrative processes</w:t>
      </w:r>
    </w:p>
    <w:p w14:paraId="4CA049D3" w14:textId="77777777" w:rsidR="006B25DA" w:rsidRPr="002714FF" w:rsidRDefault="006B25DA" w:rsidP="002740E8">
      <w:pPr>
        <w:pStyle w:val="ListParagraph"/>
        <w:numPr>
          <w:ilvl w:val="0"/>
          <w:numId w:val="28"/>
        </w:numPr>
        <w:spacing w:after="120"/>
        <w:ind w:left="709" w:hanging="425"/>
        <w:contextualSpacing w:val="0"/>
        <w:rPr>
          <w:noProof/>
        </w:rPr>
      </w:pPr>
      <w:r>
        <w:rPr>
          <w:noProof/>
        </w:rPr>
        <w:t xml:space="preserve">Member States will need to </w:t>
      </w:r>
      <w:r w:rsidRPr="008F7A7A">
        <w:rPr>
          <w:b/>
          <w:bCs/>
          <w:noProof/>
        </w:rPr>
        <w:t>assign responsibilities adapted to the new framework</w:t>
      </w:r>
      <w:r>
        <w:rPr>
          <w:noProof/>
        </w:rPr>
        <w:t xml:space="preserve"> and the clearly differentiated </w:t>
      </w:r>
      <w:r w:rsidRPr="008C708B">
        <w:rPr>
          <w:noProof/>
        </w:rPr>
        <w:t>steps</w:t>
      </w:r>
      <w:r>
        <w:rPr>
          <w:noProof/>
        </w:rPr>
        <w:t xml:space="preserve"> of the asylum procedure, i.e., making/receiving applications, registering applications and lodging applications.</w:t>
      </w:r>
    </w:p>
    <w:p w14:paraId="3C3D0D87" w14:textId="77777777" w:rsidR="006B25DA" w:rsidRDefault="006B25DA" w:rsidP="002740E8">
      <w:pPr>
        <w:pStyle w:val="ListParagraph"/>
        <w:numPr>
          <w:ilvl w:val="0"/>
          <w:numId w:val="28"/>
        </w:numPr>
        <w:spacing w:after="120"/>
        <w:ind w:left="709" w:hanging="425"/>
        <w:contextualSpacing w:val="0"/>
        <w:rPr>
          <w:noProof/>
        </w:rPr>
      </w:pPr>
      <w:r w:rsidRPr="002F69F7">
        <w:rPr>
          <w:noProof/>
        </w:rPr>
        <w:t xml:space="preserve">Member States should develop </w:t>
      </w:r>
      <w:r w:rsidRPr="008F7A7A">
        <w:rPr>
          <w:b/>
          <w:bCs/>
          <w:noProof/>
        </w:rPr>
        <w:t>efficient internal workflows for information exchange between various services</w:t>
      </w:r>
      <w:r w:rsidRPr="002F69F7">
        <w:rPr>
          <w:noProof/>
        </w:rPr>
        <w:t xml:space="preserve"> (e.g.,</w:t>
      </w:r>
      <w:r>
        <w:rPr>
          <w:noProof/>
        </w:rPr>
        <w:t xml:space="preserve"> to comply with the information obligation </w:t>
      </w:r>
      <w:r w:rsidRPr="002F69F7">
        <w:rPr>
          <w:noProof/>
        </w:rPr>
        <w:t xml:space="preserve">when the authority receiving is different from the authority registering) and with other Member States (e.g., when an application has already been rejected in another Member State). </w:t>
      </w:r>
    </w:p>
    <w:p w14:paraId="0D3CC0C6" w14:textId="4ACF5045" w:rsidR="006B25DA" w:rsidRPr="002714FF" w:rsidRDefault="006B25DA" w:rsidP="002740E8">
      <w:pPr>
        <w:pStyle w:val="ListParagraph"/>
        <w:numPr>
          <w:ilvl w:val="0"/>
          <w:numId w:val="28"/>
        </w:numPr>
        <w:spacing w:after="120"/>
        <w:ind w:left="709" w:hanging="425"/>
        <w:contextualSpacing w:val="0"/>
        <w:rPr>
          <w:noProof/>
        </w:rPr>
      </w:pPr>
      <w:r w:rsidRPr="002714FF">
        <w:rPr>
          <w:noProof/>
        </w:rPr>
        <w:t xml:space="preserve">Member States </w:t>
      </w:r>
      <w:r>
        <w:rPr>
          <w:noProof/>
        </w:rPr>
        <w:t xml:space="preserve">should </w:t>
      </w:r>
      <w:r w:rsidRPr="008F7A7A">
        <w:rPr>
          <w:b/>
          <w:bCs/>
          <w:noProof/>
        </w:rPr>
        <w:t xml:space="preserve">review and adjust as needed working methods and if </w:t>
      </w:r>
      <w:r w:rsidR="00576DA7" w:rsidRPr="008F7A7A">
        <w:rPr>
          <w:b/>
          <w:bCs/>
          <w:noProof/>
        </w:rPr>
        <w:t>necessary,</w:t>
      </w:r>
      <w:r w:rsidRPr="008F7A7A">
        <w:rPr>
          <w:b/>
          <w:bCs/>
          <w:noProof/>
        </w:rPr>
        <w:t xml:space="preserve"> develop standard operating procedures</w:t>
      </w:r>
      <w:r w:rsidRPr="002714FF">
        <w:rPr>
          <w:noProof/>
        </w:rPr>
        <w:t xml:space="preserve"> for the different steps of the asylum procedure</w:t>
      </w:r>
      <w:r>
        <w:rPr>
          <w:noProof/>
        </w:rPr>
        <w:t xml:space="preserve"> </w:t>
      </w:r>
      <w:r w:rsidRPr="002714FF">
        <w:rPr>
          <w:noProof/>
        </w:rPr>
        <w:t xml:space="preserve">in full respect of the new timelines </w:t>
      </w:r>
      <w:r>
        <w:rPr>
          <w:noProof/>
        </w:rPr>
        <w:t>(for regular and accelerated procedure</w:t>
      </w:r>
      <w:r w:rsidR="00B33943">
        <w:rPr>
          <w:noProof/>
        </w:rPr>
        <w:t>s</w:t>
      </w:r>
      <w:r>
        <w:rPr>
          <w:noProof/>
        </w:rPr>
        <w:t xml:space="preserve"> and for the inadmissibility checks) </w:t>
      </w:r>
      <w:r w:rsidRPr="002714FF">
        <w:rPr>
          <w:noProof/>
        </w:rPr>
        <w:t>and obligations, including for appeals</w:t>
      </w:r>
      <w:r>
        <w:rPr>
          <w:noProof/>
        </w:rPr>
        <w:t>,</w:t>
      </w:r>
      <w:r w:rsidRPr="002714FF">
        <w:rPr>
          <w:noProof/>
        </w:rPr>
        <w:t xml:space="preserve"> while providing for all </w:t>
      </w:r>
      <w:r>
        <w:rPr>
          <w:noProof/>
        </w:rPr>
        <w:t>required</w:t>
      </w:r>
      <w:r w:rsidRPr="002714FF">
        <w:rPr>
          <w:noProof/>
        </w:rPr>
        <w:t xml:space="preserve"> safeguards and guarantees</w:t>
      </w:r>
      <w:r>
        <w:rPr>
          <w:rStyle w:val="FootnoteReference"/>
          <w:noProof/>
        </w:rPr>
        <w:footnoteReference w:id="23"/>
      </w:r>
      <w:r w:rsidRPr="002714FF">
        <w:rPr>
          <w:noProof/>
        </w:rPr>
        <w:t>.</w:t>
      </w:r>
      <w:r>
        <w:rPr>
          <w:noProof/>
        </w:rPr>
        <w:t xml:space="preserve"> </w:t>
      </w:r>
    </w:p>
    <w:p w14:paraId="6EBC1F67" w14:textId="1A0AF26F" w:rsidR="006B25DA" w:rsidRPr="00D339B6" w:rsidRDefault="006B25DA" w:rsidP="002740E8">
      <w:pPr>
        <w:pStyle w:val="ListParagraph"/>
        <w:numPr>
          <w:ilvl w:val="0"/>
          <w:numId w:val="28"/>
        </w:numPr>
        <w:spacing w:after="120"/>
        <w:ind w:left="709" w:hanging="425"/>
        <w:contextualSpacing w:val="0"/>
        <w:rPr>
          <w:noProof/>
        </w:rPr>
      </w:pPr>
      <w:r w:rsidRPr="00D339B6">
        <w:rPr>
          <w:noProof/>
        </w:rPr>
        <w:t xml:space="preserve">Member States should </w:t>
      </w:r>
      <w:r w:rsidRPr="00D339B6">
        <w:rPr>
          <w:b/>
          <w:bCs/>
          <w:noProof/>
        </w:rPr>
        <w:t>review the current organisation of their asylum offices</w:t>
      </w:r>
      <w:r w:rsidRPr="00D339B6">
        <w:rPr>
          <w:noProof/>
        </w:rPr>
        <w:t xml:space="preserve">, </w:t>
      </w:r>
      <w:r w:rsidR="00C61FBD" w:rsidRPr="00D339B6">
        <w:rPr>
          <w:noProof/>
        </w:rPr>
        <w:t xml:space="preserve">taking into account existing challenges in relation to </w:t>
      </w:r>
      <w:r w:rsidRPr="00D339B6">
        <w:rPr>
          <w:noProof/>
        </w:rPr>
        <w:t>backlogs</w:t>
      </w:r>
      <w:r w:rsidR="00C61FBD" w:rsidRPr="00D339B6">
        <w:rPr>
          <w:noProof/>
        </w:rPr>
        <w:t xml:space="preserve"> </w:t>
      </w:r>
      <w:r w:rsidRPr="00D339B6">
        <w:rPr>
          <w:noProof/>
        </w:rPr>
        <w:t>and average duration of the asylum procedure.</w:t>
      </w:r>
    </w:p>
    <w:p w14:paraId="420DAA74" w14:textId="58B40A3E"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ensure that </w:t>
      </w:r>
      <w:r w:rsidRPr="008F7A7A">
        <w:rPr>
          <w:b/>
          <w:bCs/>
          <w:noProof/>
        </w:rPr>
        <w:t>asylum decisions are issued and notified in accordance with the new requirements</w:t>
      </w:r>
      <w:r w:rsidRPr="003E405D">
        <w:rPr>
          <w:noProof/>
        </w:rPr>
        <w:t>. Member States will also have to incorporate into their administrative procedures</w:t>
      </w:r>
      <w:r w:rsidR="00A76D4E">
        <w:rPr>
          <w:noProof/>
        </w:rPr>
        <w:t>, where applicable,</w:t>
      </w:r>
      <w:r w:rsidRPr="003E405D">
        <w:rPr>
          <w:noProof/>
        </w:rPr>
        <w:t xml:space="preserve"> the </w:t>
      </w:r>
      <w:r w:rsidR="00932BCB">
        <w:rPr>
          <w:noProof/>
        </w:rPr>
        <w:t xml:space="preserve">necessary </w:t>
      </w:r>
      <w:r w:rsidRPr="003E405D">
        <w:rPr>
          <w:noProof/>
        </w:rPr>
        <w:t>elements</w:t>
      </w:r>
      <w:r w:rsidR="00932BCB">
        <w:rPr>
          <w:noProof/>
        </w:rPr>
        <w:t xml:space="preserve"> to </w:t>
      </w:r>
      <w:r w:rsidR="00932BCB" w:rsidRPr="002145FB">
        <w:rPr>
          <w:b/>
          <w:bCs/>
          <w:noProof/>
        </w:rPr>
        <w:t xml:space="preserve">apply the </w:t>
      </w:r>
      <w:r w:rsidR="00932BCB">
        <w:rPr>
          <w:b/>
          <w:bCs/>
          <w:noProof/>
        </w:rPr>
        <w:t xml:space="preserve">safe third country and </w:t>
      </w:r>
      <w:r w:rsidR="00932BCB" w:rsidRPr="002145FB">
        <w:rPr>
          <w:b/>
          <w:bCs/>
          <w:noProof/>
        </w:rPr>
        <w:t>first country of asylum concept</w:t>
      </w:r>
      <w:r w:rsidR="000F43CA">
        <w:rPr>
          <w:b/>
          <w:bCs/>
          <w:noProof/>
        </w:rPr>
        <w:t>s</w:t>
      </w:r>
      <w:r w:rsidR="00932BCB" w:rsidRPr="003E405D">
        <w:rPr>
          <w:noProof/>
        </w:rPr>
        <w:t xml:space="preserve"> </w:t>
      </w:r>
      <w:r w:rsidR="00932BCB">
        <w:rPr>
          <w:noProof/>
        </w:rPr>
        <w:t>and notably the notion of</w:t>
      </w:r>
      <w:r w:rsidR="00556DFF">
        <w:rPr>
          <w:noProof/>
        </w:rPr>
        <w:t xml:space="preserve"> </w:t>
      </w:r>
      <w:r w:rsidRPr="00880DD7">
        <w:rPr>
          <w:b/>
          <w:bCs/>
          <w:noProof/>
        </w:rPr>
        <w:t>‘effective protection’</w:t>
      </w:r>
      <w:r w:rsidRPr="003E405D">
        <w:rPr>
          <w:noProof/>
        </w:rPr>
        <w:t xml:space="preserve">. </w:t>
      </w:r>
      <w:r w:rsidR="00620A65">
        <w:rPr>
          <w:noProof/>
        </w:rPr>
        <w:t xml:space="preserve">They will also have to incorporate the obligation to consider </w:t>
      </w:r>
      <w:r w:rsidR="00620A65" w:rsidRPr="00620A65">
        <w:rPr>
          <w:noProof/>
        </w:rPr>
        <w:t xml:space="preserve">an application as implicitly withdrawn </w:t>
      </w:r>
      <w:r w:rsidR="00620A65">
        <w:rPr>
          <w:noProof/>
        </w:rPr>
        <w:t xml:space="preserve">in the cases foreseen in the Regulation </w:t>
      </w:r>
      <w:r w:rsidR="00620A65" w:rsidRPr="00620A65">
        <w:rPr>
          <w:noProof/>
        </w:rPr>
        <w:t>(the decision being immediate, without a suspension period, unless</w:t>
      </w:r>
      <w:r w:rsidR="00620A65">
        <w:rPr>
          <w:noProof/>
        </w:rPr>
        <w:t xml:space="preserve"> the</w:t>
      </w:r>
      <w:r w:rsidR="00620A65" w:rsidRPr="00620A65">
        <w:rPr>
          <w:noProof/>
        </w:rPr>
        <w:t xml:space="preserve"> M</w:t>
      </w:r>
      <w:r w:rsidR="00620A65">
        <w:rPr>
          <w:noProof/>
        </w:rPr>
        <w:t xml:space="preserve">ember </w:t>
      </w:r>
      <w:r w:rsidR="00620A65" w:rsidRPr="00620A65">
        <w:rPr>
          <w:noProof/>
        </w:rPr>
        <w:t>S</w:t>
      </w:r>
      <w:r w:rsidR="00620A65">
        <w:rPr>
          <w:noProof/>
        </w:rPr>
        <w:t>tate</w:t>
      </w:r>
      <w:r w:rsidR="00620A65" w:rsidRPr="00620A65">
        <w:rPr>
          <w:noProof/>
        </w:rPr>
        <w:t xml:space="preserve"> provide</w:t>
      </w:r>
      <w:r w:rsidR="00620A65">
        <w:rPr>
          <w:noProof/>
        </w:rPr>
        <w:t>s</w:t>
      </w:r>
      <w:r w:rsidR="00620A65" w:rsidRPr="00620A65">
        <w:rPr>
          <w:noProof/>
        </w:rPr>
        <w:t xml:space="preserve"> otherwise</w:t>
      </w:r>
      <w:r w:rsidR="00620A65">
        <w:rPr>
          <w:noProof/>
        </w:rPr>
        <w:t>).</w:t>
      </w:r>
      <w:r w:rsidR="00620A65" w:rsidRPr="00620A65">
        <w:rPr>
          <w:noProof/>
        </w:rPr>
        <w:t xml:space="preserve"> </w:t>
      </w:r>
      <w:r w:rsidRPr="003E405D">
        <w:rPr>
          <w:noProof/>
        </w:rPr>
        <w:t xml:space="preserve">They will also have to incorporate in their decision-making procedures the obligation to </w:t>
      </w:r>
      <w:r w:rsidRPr="00880DD7">
        <w:rPr>
          <w:b/>
          <w:bCs/>
          <w:noProof/>
        </w:rPr>
        <w:t>assess</w:t>
      </w:r>
      <w:r w:rsidRPr="00880DD7">
        <w:rPr>
          <w:b/>
          <w:bCs/>
          <w:noProof/>
          <w:szCs w:val="24"/>
        </w:rPr>
        <w:t xml:space="preserve"> an internal protection alternative</w:t>
      </w:r>
      <w:r w:rsidRPr="00C12801">
        <w:rPr>
          <w:noProof/>
          <w:szCs w:val="24"/>
        </w:rPr>
        <w:t xml:space="preserve"> and </w:t>
      </w:r>
      <w:r>
        <w:rPr>
          <w:noProof/>
          <w:szCs w:val="24"/>
        </w:rPr>
        <w:t xml:space="preserve">the </w:t>
      </w:r>
      <w:r w:rsidRPr="00880DD7">
        <w:rPr>
          <w:b/>
          <w:bCs/>
          <w:noProof/>
          <w:szCs w:val="24"/>
        </w:rPr>
        <w:t>obligation to withdraw the international protection status where certain criminal acts</w:t>
      </w:r>
      <w:r w:rsidRPr="00C12801">
        <w:rPr>
          <w:noProof/>
          <w:szCs w:val="24"/>
        </w:rPr>
        <w:t xml:space="preserve"> have been committed or the person otherwise poses a security threat</w:t>
      </w:r>
      <w:r>
        <w:rPr>
          <w:noProof/>
          <w:szCs w:val="24"/>
        </w:rPr>
        <w:t>.</w:t>
      </w:r>
    </w:p>
    <w:p w14:paraId="2150FDAF" w14:textId="77777777" w:rsidR="006B25DA" w:rsidRPr="00884E34" w:rsidRDefault="006B25DA" w:rsidP="002740E8">
      <w:pPr>
        <w:pStyle w:val="ListParagraph"/>
        <w:numPr>
          <w:ilvl w:val="0"/>
          <w:numId w:val="28"/>
        </w:numPr>
        <w:spacing w:after="120"/>
        <w:ind w:left="709" w:hanging="425"/>
        <w:rPr>
          <w:noProof/>
        </w:rPr>
      </w:pPr>
      <w:r>
        <w:rPr>
          <w:noProof/>
        </w:rPr>
        <w:t xml:space="preserve">Member States should </w:t>
      </w:r>
      <w:r w:rsidRPr="00880DD7">
        <w:rPr>
          <w:b/>
          <w:bCs/>
          <w:noProof/>
        </w:rPr>
        <w:t>raise awareness about the EUAA Country of Origin</w:t>
      </w:r>
      <w:r>
        <w:rPr>
          <w:noProof/>
        </w:rPr>
        <w:t xml:space="preserve"> </w:t>
      </w:r>
      <w:r w:rsidRPr="00880DD7">
        <w:rPr>
          <w:b/>
          <w:bCs/>
          <w:noProof/>
        </w:rPr>
        <w:t>Information and Country Guidance</w:t>
      </w:r>
      <w:r>
        <w:rPr>
          <w:noProof/>
        </w:rPr>
        <w:t xml:space="preserve"> and they will have to ensure that these products are taken into account by the asylum case workers including in order to support a solid assessment of the mandatory internal protection alternative. </w:t>
      </w:r>
      <w:r w:rsidRPr="00884E34">
        <w:rPr>
          <w:noProof/>
        </w:rPr>
        <w:t xml:space="preserve">Member States should also raise awareness about the EUAA Country of Origin Information and Country Guidance among judges. </w:t>
      </w:r>
    </w:p>
    <w:p w14:paraId="3B20D860" w14:textId="77777777" w:rsidR="006B25DA" w:rsidRPr="00C12801" w:rsidRDefault="006B25DA" w:rsidP="006B25DA">
      <w:pPr>
        <w:spacing w:after="120"/>
        <w:rPr>
          <w:i/>
          <w:iCs/>
          <w:noProof/>
        </w:rPr>
      </w:pPr>
      <w:r w:rsidRPr="00C12801">
        <w:rPr>
          <w:i/>
          <w:iCs/>
          <w:noProof/>
        </w:rPr>
        <w:t>Capacities (human resources, infrastructure, and equipment)</w:t>
      </w:r>
    </w:p>
    <w:p w14:paraId="76199E62" w14:textId="552F2ADE" w:rsidR="006B25DA" w:rsidRPr="003E405D" w:rsidRDefault="006B25DA" w:rsidP="002740E8">
      <w:pPr>
        <w:pStyle w:val="ListParagraph"/>
        <w:numPr>
          <w:ilvl w:val="0"/>
          <w:numId w:val="28"/>
        </w:numPr>
        <w:spacing w:after="120"/>
        <w:ind w:left="709" w:hanging="425"/>
        <w:contextualSpacing w:val="0"/>
        <w:rPr>
          <w:noProof/>
        </w:rPr>
      </w:pPr>
      <w:r>
        <w:rPr>
          <w:noProof/>
        </w:rPr>
        <w:t xml:space="preserve">Member States will have to </w:t>
      </w:r>
      <w:r w:rsidRPr="00880DD7">
        <w:rPr>
          <w:noProof/>
        </w:rPr>
        <w:t>ensure sufficient competent</w:t>
      </w:r>
      <w:r w:rsidRPr="00880DD7" w:rsidDel="00392AE4">
        <w:rPr>
          <w:noProof/>
        </w:rPr>
        <w:t xml:space="preserve"> </w:t>
      </w:r>
      <w:r w:rsidRPr="00880DD7">
        <w:rPr>
          <w:noProof/>
        </w:rPr>
        <w:t>staff (asylum case workers, interpreters, etc.), taking into</w:t>
      </w:r>
      <w:r w:rsidRPr="003E405D">
        <w:rPr>
          <w:noProof/>
        </w:rPr>
        <w:t xml:space="preserve"> account current shortcomings, backlogs and the average length of the asylum procedure as well as new obligations. They </w:t>
      </w:r>
      <w:r w:rsidR="00391E30">
        <w:rPr>
          <w:noProof/>
        </w:rPr>
        <w:t xml:space="preserve">will </w:t>
      </w:r>
      <w:r w:rsidRPr="003E405D">
        <w:rPr>
          <w:noProof/>
        </w:rPr>
        <w:t>have to ensure that the training imparted includes core parts of the European Asylum Curriculum.</w:t>
      </w:r>
    </w:p>
    <w:p w14:paraId="4FDE08B1" w14:textId="77777777" w:rsidR="006B25DA" w:rsidRPr="00C12801" w:rsidRDefault="006B25DA" w:rsidP="002740E8">
      <w:pPr>
        <w:pStyle w:val="ListParagraph"/>
        <w:numPr>
          <w:ilvl w:val="0"/>
          <w:numId w:val="28"/>
        </w:numPr>
        <w:spacing w:after="120"/>
        <w:ind w:left="709" w:hanging="425"/>
        <w:contextualSpacing w:val="0"/>
        <w:rPr>
          <w:noProof/>
        </w:rPr>
      </w:pPr>
      <w:r w:rsidRPr="003E405D">
        <w:rPr>
          <w:noProof/>
        </w:rPr>
        <w:t>Member states will have to ensure that asylum offices are adequately equipped (with Eurodac machines, etc.) to be able to perform their tasks efficiently within the new timelines and in compliance with new</w:t>
      </w:r>
      <w:r>
        <w:rPr>
          <w:noProof/>
        </w:rPr>
        <w:t xml:space="preserve"> obligations.</w:t>
      </w:r>
    </w:p>
    <w:p w14:paraId="14004825" w14:textId="5AE7F926" w:rsidR="006B25DA" w:rsidRPr="00C12801" w:rsidRDefault="006B25DA" w:rsidP="006B25DA">
      <w:pPr>
        <w:spacing w:after="120"/>
        <w:rPr>
          <w:b/>
          <w:bCs/>
          <w:noProof/>
        </w:rPr>
      </w:pPr>
      <w:r w:rsidRPr="00C12801">
        <w:rPr>
          <w:b/>
          <w:bCs/>
          <w:noProof/>
        </w:rPr>
        <w:t>Commission</w:t>
      </w:r>
    </w:p>
    <w:p w14:paraId="033386E9" w14:textId="77777777" w:rsidR="00556DFF" w:rsidRDefault="00556DFF" w:rsidP="006B25DA">
      <w:pPr>
        <w:spacing w:after="120"/>
        <w:rPr>
          <w:i/>
          <w:iCs/>
          <w:noProof/>
        </w:rPr>
      </w:pPr>
      <w:r>
        <w:rPr>
          <w:i/>
          <w:iCs/>
          <w:noProof/>
        </w:rPr>
        <w:t>Legal obligation</w:t>
      </w:r>
    </w:p>
    <w:p w14:paraId="0B0D96A3" w14:textId="58FFBBF5" w:rsidR="00831F55" w:rsidRPr="00C12801" w:rsidRDefault="00831F55" w:rsidP="00831F55">
      <w:pPr>
        <w:pStyle w:val="ListParagraph"/>
        <w:numPr>
          <w:ilvl w:val="0"/>
          <w:numId w:val="29"/>
        </w:numPr>
        <w:spacing w:after="120"/>
        <w:ind w:left="709"/>
        <w:rPr>
          <w:noProof/>
        </w:rPr>
      </w:pPr>
      <w:r>
        <w:rPr>
          <w:noProof/>
        </w:rPr>
        <w:t>Commission will review the safe third country concept by 12 June 2025 and where appropriate propose any targeted amendments.</w:t>
      </w:r>
    </w:p>
    <w:p w14:paraId="69DC5EBF" w14:textId="77777777" w:rsidR="006B25DA" w:rsidRPr="00C12801" w:rsidRDefault="006B25DA" w:rsidP="006B25DA">
      <w:pPr>
        <w:spacing w:after="120"/>
        <w:rPr>
          <w:i/>
          <w:iCs/>
          <w:noProof/>
        </w:rPr>
      </w:pPr>
      <w:r w:rsidRPr="00C12801">
        <w:rPr>
          <w:i/>
          <w:iCs/>
          <w:noProof/>
        </w:rPr>
        <w:t>Practical support</w:t>
      </w:r>
    </w:p>
    <w:p w14:paraId="307091FE" w14:textId="30DBD6B0" w:rsidR="005836D7" w:rsidRDefault="006B25DA" w:rsidP="00336ADC">
      <w:pPr>
        <w:pStyle w:val="ListParagraph"/>
        <w:numPr>
          <w:ilvl w:val="0"/>
          <w:numId w:val="29"/>
        </w:numPr>
        <w:spacing w:after="120"/>
        <w:ind w:left="709"/>
        <w:rPr>
          <w:noProof/>
        </w:rPr>
      </w:pPr>
      <w:r w:rsidRPr="00C12801">
        <w:rPr>
          <w:noProof/>
        </w:rPr>
        <w:t xml:space="preserve">The Commission will organise </w:t>
      </w:r>
      <w:r>
        <w:rPr>
          <w:noProof/>
        </w:rPr>
        <w:t xml:space="preserve">meetings of </w:t>
      </w:r>
      <w:r w:rsidRPr="00C12801">
        <w:rPr>
          <w:noProof/>
        </w:rPr>
        <w:t xml:space="preserve">the </w:t>
      </w:r>
      <w:r>
        <w:rPr>
          <w:noProof/>
        </w:rPr>
        <w:t xml:space="preserve">expert groups on </w:t>
      </w:r>
      <w:r w:rsidRPr="00C12801">
        <w:rPr>
          <w:noProof/>
        </w:rPr>
        <w:t xml:space="preserve">Asylum Processes and Qualification </w:t>
      </w:r>
      <w:r>
        <w:rPr>
          <w:noProof/>
        </w:rPr>
        <w:t xml:space="preserve">(‘Asylum Processes </w:t>
      </w:r>
      <w:r w:rsidRPr="00C12801">
        <w:rPr>
          <w:noProof/>
        </w:rPr>
        <w:t>Contact Committee</w:t>
      </w:r>
      <w:r>
        <w:rPr>
          <w:noProof/>
        </w:rPr>
        <w:t>’ and ‘Qualification Contact Committee’)</w:t>
      </w:r>
      <w:r w:rsidR="00710917">
        <w:rPr>
          <w:rStyle w:val="FootnoteReference"/>
          <w:noProof/>
        </w:rPr>
        <w:footnoteReference w:id="24"/>
      </w:r>
      <w:r>
        <w:rPr>
          <w:noProof/>
        </w:rPr>
        <w:t xml:space="preserve"> </w:t>
      </w:r>
      <w:r w:rsidRPr="00C12801">
        <w:rPr>
          <w:noProof/>
        </w:rPr>
        <w:t xml:space="preserve">to </w:t>
      </w:r>
      <w:r>
        <w:rPr>
          <w:noProof/>
        </w:rPr>
        <w:t xml:space="preserve">facilitate the correct application of the legal framework, including by </w:t>
      </w:r>
      <w:r w:rsidRPr="00C12801">
        <w:rPr>
          <w:noProof/>
        </w:rPr>
        <w:t>clarify the meaning of some provisions</w:t>
      </w:r>
      <w:r>
        <w:rPr>
          <w:noProof/>
        </w:rPr>
        <w:t>,</w:t>
      </w:r>
      <w:r w:rsidRPr="00C12801">
        <w:rPr>
          <w:noProof/>
        </w:rPr>
        <w:t xml:space="preserve"> and identify the areas that would require further attention. The Commission will </w:t>
      </w:r>
      <w:r>
        <w:rPr>
          <w:noProof/>
        </w:rPr>
        <w:t>aim</w:t>
      </w:r>
      <w:r w:rsidRPr="00C12801">
        <w:rPr>
          <w:noProof/>
        </w:rPr>
        <w:t xml:space="preserve"> for joint Contact Committees to cover all procedural aspects under both the Asylum Procedure Regulation and the Qualification Regulation. The Commission will also help coordinate the identification and dissemination of good practices.</w:t>
      </w:r>
    </w:p>
    <w:p w14:paraId="1836C44E" w14:textId="77777777" w:rsidR="006B25DA" w:rsidRPr="00C12801" w:rsidRDefault="006B25DA" w:rsidP="006B25DA">
      <w:pPr>
        <w:spacing w:after="120"/>
        <w:rPr>
          <w:i/>
          <w:iCs/>
          <w:noProof/>
        </w:rPr>
      </w:pPr>
      <w:r w:rsidRPr="00C12801">
        <w:rPr>
          <w:b/>
          <w:bCs/>
          <w:noProof/>
        </w:rPr>
        <w:t>EU Agencies</w:t>
      </w:r>
    </w:p>
    <w:p w14:paraId="0815B018" w14:textId="77777777" w:rsidR="006B25DA" w:rsidRPr="00C12801" w:rsidRDefault="006B25DA" w:rsidP="006B25DA">
      <w:pPr>
        <w:spacing w:after="120"/>
        <w:rPr>
          <w:i/>
          <w:iCs/>
          <w:noProof/>
        </w:rPr>
      </w:pPr>
      <w:r w:rsidRPr="00C12801">
        <w:rPr>
          <w:i/>
          <w:iCs/>
          <w:noProof/>
        </w:rPr>
        <w:t>Practical support</w:t>
      </w:r>
    </w:p>
    <w:p w14:paraId="43112E55" w14:textId="0E473B37" w:rsidR="006B25DA" w:rsidRPr="00C12801" w:rsidRDefault="006B25DA" w:rsidP="002740E8">
      <w:pPr>
        <w:pStyle w:val="ListParagraph"/>
        <w:numPr>
          <w:ilvl w:val="0"/>
          <w:numId w:val="28"/>
        </w:numPr>
        <w:spacing w:after="120"/>
        <w:ind w:left="709" w:hanging="425"/>
        <w:contextualSpacing w:val="0"/>
        <w:rPr>
          <w:noProof/>
        </w:rPr>
      </w:pPr>
      <w:r>
        <w:rPr>
          <w:noProof/>
        </w:rPr>
        <w:t xml:space="preserve">The EUAA will establish a </w:t>
      </w:r>
      <w:r w:rsidRPr="00336ADC">
        <w:rPr>
          <w:b/>
          <w:bCs/>
          <w:noProof/>
        </w:rPr>
        <w:t>network of units of responsible national authorities and will update all the information and training materials</w:t>
      </w:r>
      <w:r>
        <w:rPr>
          <w:noProof/>
        </w:rPr>
        <w:t xml:space="preserve"> as well as guidance documents, and if </w:t>
      </w:r>
      <w:r w:rsidR="003A07F3">
        <w:rPr>
          <w:noProof/>
        </w:rPr>
        <w:t>necessary,</w:t>
      </w:r>
      <w:r>
        <w:rPr>
          <w:noProof/>
        </w:rPr>
        <w:t xml:space="preserve"> indicators, that should be considered during the whole decision-making process (including for courts and tribunals). </w:t>
      </w:r>
    </w:p>
    <w:p w14:paraId="052B53C4" w14:textId="1C01A6FB" w:rsidR="006B25DA" w:rsidRDefault="006B25DA" w:rsidP="002740E8">
      <w:pPr>
        <w:pStyle w:val="ListParagraph"/>
        <w:numPr>
          <w:ilvl w:val="0"/>
          <w:numId w:val="28"/>
        </w:numPr>
        <w:spacing w:after="120"/>
        <w:ind w:left="709" w:hanging="425"/>
        <w:contextualSpacing w:val="0"/>
        <w:rPr>
          <w:noProof/>
        </w:rPr>
      </w:pPr>
      <w:r>
        <w:rPr>
          <w:noProof/>
        </w:rPr>
        <w:t xml:space="preserve">The EUAA will </w:t>
      </w:r>
      <w:r w:rsidRPr="00336ADC">
        <w:rPr>
          <w:b/>
          <w:bCs/>
          <w:noProof/>
        </w:rPr>
        <w:t xml:space="preserve">continue providing Country of Origin Information (COI) and Country </w:t>
      </w:r>
      <w:r w:rsidR="00392AE4">
        <w:rPr>
          <w:b/>
          <w:bCs/>
          <w:noProof/>
        </w:rPr>
        <w:t>G</w:t>
      </w:r>
      <w:r w:rsidRPr="00336ADC">
        <w:rPr>
          <w:b/>
          <w:bCs/>
          <w:noProof/>
        </w:rPr>
        <w:t>uidance</w:t>
      </w:r>
      <w:r>
        <w:rPr>
          <w:noProof/>
        </w:rPr>
        <w:t xml:space="preserve"> to all national administrative and judicial authorities and adjust existing data bases such as the Early Warning and Preparedness System to the new frameworks.</w:t>
      </w:r>
    </w:p>
    <w:p w14:paraId="68FADF17" w14:textId="6A92CD7B" w:rsidR="00E92C6D" w:rsidRDefault="00655CA0" w:rsidP="002740E8">
      <w:pPr>
        <w:pStyle w:val="ListParagraph"/>
        <w:numPr>
          <w:ilvl w:val="0"/>
          <w:numId w:val="28"/>
        </w:numPr>
        <w:spacing w:after="120"/>
        <w:ind w:left="709" w:hanging="425"/>
        <w:contextualSpacing w:val="0"/>
        <w:rPr>
          <w:noProof/>
        </w:rPr>
      </w:pPr>
      <w:r w:rsidRPr="00D339B6">
        <w:rPr>
          <w:noProof/>
        </w:rPr>
        <w:t>Upon the Commission’s request, t</w:t>
      </w:r>
      <w:r w:rsidR="00B10D7B" w:rsidRPr="00D339B6">
        <w:rPr>
          <w:noProof/>
        </w:rPr>
        <w:t xml:space="preserve">he EUAA </w:t>
      </w:r>
      <w:r w:rsidRPr="00D339B6">
        <w:rPr>
          <w:noProof/>
        </w:rPr>
        <w:t xml:space="preserve">will </w:t>
      </w:r>
      <w:r w:rsidR="00237AB8" w:rsidRPr="00D339B6">
        <w:rPr>
          <w:noProof/>
        </w:rPr>
        <w:t xml:space="preserve">provide </w:t>
      </w:r>
      <w:r w:rsidRPr="00D339B6">
        <w:rPr>
          <w:noProof/>
        </w:rPr>
        <w:t xml:space="preserve">the Commission with </w:t>
      </w:r>
      <w:r w:rsidR="00237AB8" w:rsidRPr="00D339B6">
        <w:rPr>
          <w:noProof/>
        </w:rPr>
        <w:t>information and analysis on specific third countr</w:t>
      </w:r>
      <w:r w:rsidR="005E5C67" w:rsidRPr="00D339B6">
        <w:rPr>
          <w:noProof/>
        </w:rPr>
        <w:t>ies which could be considered for designation as safe third countries at Union level.</w:t>
      </w:r>
    </w:p>
    <w:p w14:paraId="1EF77EC1" w14:textId="77777777" w:rsidR="00D339B6" w:rsidRDefault="00D339B6" w:rsidP="00D339B6">
      <w:pPr>
        <w:spacing w:after="120"/>
        <w:rPr>
          <w:noProof/>
        </w:rPr>
      </w:pPr>
    </w:p>
    <w:p w14:paraId="0396927D" w14:textId="77777777" w:rsidR="00D339B6" w:rsidRDefault="00D339B6" w:rsidP="00D339B6">
      <w:pPr>
        <w:spacing w:after="120"/>
        <w:rPr>
          <w:noProof/>
        </w:rPr>
      </w:pPr>
    </w:p>
    <w:tbl>
      <w:tblPr>
        <w:tblStyle w:val="TableGrid"/>
        <w:tblW w:w="5000" w:type="pct"/>
        <w:tblLook w:val="04A0" w:firstRow="1" w:lastRow="0" w:firstColumn="1" w:lastColumn="0" w:noHBand="0" w:noVBand="1"/>
      </w:tblPr>
      <w:tblGrid>
        <w:gridCol w:w="8834"/>
      </w:tblGrid>
      <w:tr w:rsidR="006B25DA" w14:paraId="6565AC8D" w14:textId="77777777">
        <w:tc>
          <w:tcPr>
            <w:tcW w:w="5000" w:type="pct"/>
          </w:tcPr>
          <w:p w14:paraId="6A39345B" w14:textId="77777777" w:rsidR="006B25DA" w:rsidRPr="00C73649" w:rsidRDefault="006B25DA">
            <w:pPr>
              <w:tabs>
                <w:tab w:val="num" w:pos="1332"/>
              </w:tabs>
              <w:spacing w:after="120"/>
              <w:rPr>
                <w:b/>
                <w:bCs/>
                <w:i/>
                <w:iCs/>
                <w:noProof/>
                <w:u w:val="single"/>
              </w:rPr>
            </w:pPr>
            <w:r w:rsidRPr="00C73649">
              <w:rPr>
                <w:b/>
                <w:i/>
                <w:noProof/>
                <w:szCs w:val="24"/>
                <w:u w:val="single"/>
              </w:rPr>
              <w:t>Key milestones to consider:</w:t>
            </w:r>
          </w:p>
          <w:p w14:paraId="2F9A8311" w14:textId="5284BBE4" w:rsidR="006B25DA" w:rsidRPr="00C73649" w:rsidRDefault="006B25DA" w:rsidP="006B25DA">
            <w:pPr>
              <w:pStyle w:val="ListDash1"/>
              <w:tabs>
                <w:tab w:val="clear" w:pos="765"/>
                <w:tab w:val="num" w:pos="283"/>
              </w:tabs>
              <w:spacing w:after="120"/>
              <w:ind w:left="284" w:hanging="284"/>
              <w:rPr>
                <w:noProof/>
              </w:rPr>
            </w:pPr>
            <w:r>
              <w:rPr>
                <w:noProof/>
              </w:rPr>
              <w:t xml:space="preserve">By 12 June 2025, </w:t>
            </w:r>
            <w:r w:rsidR="00B830C9">
              <w:rPr>
                <w:noProof/>
              </w:rPr>
              <w:t xml:space="preserve">the </w:t>
            </w:r>
            <w:r>
              <w:rPr>
                <w:noProof/>
              </w:rPr>
              <w:t>Commission shall review the safe third country concept</w:t>
            </w:r>
            <w:r w:rsidR="00B830C9">
              <w:rPr>
                <w:noProof/>
              </w:rPr>
              <w:t xml:space="preserve"> and where appropriate propose any </w:t>
            </w:r>
            <w:r w:rsidR="00757872">
              <w:rPr>
                <w:noProof/>
              </w:rPr>
              <w:t>targeted amendments</w:t>
            </w:r>
            <w:r>
              <w:rPr>
                <w:noProof/>
              </w:rPr>
              <w:t>.</w:t>
            </w:r>
          </w:p>
          <w:p w14:paraId="55A2EE41" w14:textId="77777777" w:rsidR="006B25DA" w:rsidRPr="00C73649" w:rsidRDefault="006B25DA" w:rsidP="006B25DA">
            <w:pPr>
              <w:pStyle w:val="ListDash1"/>
              <w:tabs>
                <w:tab w:val="clear" w:pos="765"/>
                <w:tab w:val="num" w:pos="283"/>
              </w:tabs>
              <w:spacing w:after="120"/>
              <w:ind w:left="284" w:hanging="284"/>
              <w:rPr>
                <w:noProof/>
              </w:rPr>
            </w:pPr>
            <w:r w:rsidRPr="00C73649">
              <w:rPr>
                <w:noProof/>
              </w:rPr>
              <w:t>By 12 June 2026, Member States shall notify the Commission of the authorities responsible for receiving applications, registering applications and lodging applications under the Asylum Procedure Regulation.</w:t>
            </w:r>
          </w:p>
          <w:p w14:paraId="669B0D9A" w14:textId="77777777" w:rsidR="006B25DA" w:rsidRDefault="006B25DA" w:rsidP="006B25DA">
            <w:pPr>
              <w:pStyle w:val="ListDash1"/>
              <w:tabs>
                <w:tab w:val="clear" w:pos="765"/>
                <w:tab w:val="num" w:pos="283"/>
              </w:tabs>
              <w:spacing w:after="120"/>
              <w:ind w:left="284" w:hanging="284"/>
              <w:rPr>
                <w:noProof/>
              </w:rPr>
            </w:pPr>
            <w:r>
              <w:rPr>
                <w:noProof/>
              </w:rPr>
              <w:t>By 12 June 2026, Member States shall appoint a national contact point for the purposes of the Qualification Regulation and communicate its address to the Commission. The Commission shall communicate that information to the other Member States.</w:t>
            </w:r>
          </w:p>
        </w:tc>
      </w:tr>
    </w:tbl>
    <w:p w14:paraId="089994BD" w14:textId="77777777" w:rsidR="006B25DA" w:rsidRDefault="006B25DA" w:rsidP="006B25DA">
      <w:pPr>
        <w:spacing w:after="0"/>
        <w:jc w:val="left"/>
        <w:rPr>
          <w:b/>
          <w:bCs/>
          <w:noProof/>
        </w:rPr>
      </w:pPr>
      <w:r>
        <w:rPr>
          <w:b/>
          <w:bCs/>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C12801" w14:paraId="626D1F35" w14:textId="77777777">
        <w:trPr>
          <w:trHeight w:val="572"/>
        </w:trPr>
        <w:tc>
          <w:tcPr>
            <w:tcW w:w="1302" w:type="dxa"/>
            <w:vMerge w:val="restart"/>
            <w:tcBorders>
              <w:right w:val="single" w:sz="4" w:space="0" w:color="FFFFFF" w:themeColor="background1"/>
            </w:tcBorders>
          </w:tcPr>
          <w:p w14:paraId="06EBBF46" w14:textId="4B3474CB" w:rsidR="006B25DA" w:rsidRPr="00C12801" w:rsidRDefault="00A2365E">
            <w:pPr>
              <w:pStyle w:val="Text1"/>
              <w:spacing w:before="120" w:after="120"/>
              <w:ind w:left="0"/>
              <w:jc w:val="center"/>
              <w:rPr>
                <w:noProof/>
              </w:rPr>
            </w:pPr>
            <w:r>
              <w:rPr>
                <w:noProof/>
              </w:rPr>
              <w:pict w14:anchorId="74B40A93">
                <v:group id="Group 48" o:spid="_x0000_s2057" style="position:absolute;left:0;text-align:left;margin-left:5.3pt;margin-top:5.4pt;width:52.15pt;height:52.15pt;z-index:251658243" coordsize="15897,15897">
                  <v:shape id="Graphic 49" o:spid="_x0000_s2058"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">
                    <v:imagedata r:id="rId28" o:title=""/>
                  </v:shape>
                  <v:shape id="Graphic 50" o:spid="_x0000_s2059" type="#_x0000_t75" style="position:absolute;left:4210;top:3913;width:7477;height:7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">
                    <v:imagedata r:id="rId29" o:title=""/>
                  </v:shape>
                </v:group>
              </w:pict>
            </w:r>
          </w:p>
        </w:tc>
        <w:tc>
          <w:tcPr>
            <w:tcW w:w="7345" w:type="dxa"/>
            <w:tcBorders>
              <w:left w:val="single" w:sz="4" w:space="0" w:color="FFFFFF" w:themeColor="background1"/>
              <w:bottom w:val="single" w:sz="4" w:space="0" w:color="FFFFFF" w:themeColor="background1"/>
            </w:tcBorders>
          </w:tcPr>
          <w:p w14:paraId="1D15A524" w14:textId="77777777" w:rsidR="006B25DA" w:rsidRPr="00C12801" w:rsidRDefault="006B25DA">
            <w:pPr>
              <w:pStyle w:val="Text1"/>
              <w:spacing w:before="60" w:after="120"/>
              <w:ind w:left="36"/>
              <w:rPr>
                <w:rFonts w:eastAsia="EC Square Sans Pro"/>
                <w:b/>
                <w:bCs/>
                <w:noProof/>
                <w:u w:val="single"/>
              </w:rPr>
            </w:pPr>
            <w:r w:rsidRPr="00C12801">
              <w:rPr>
                <w:rFonts w:eastAsia="EC Square Sans Pro"/>
                <w:b/>
                <w:bCs/>
                <w:noProof/>
                <w:u w:val="single"/>
              </w:rPr>
              <w:t>BUILDING BLOCK 5</w:t>
            </w:r>
          </w:p>
        </w:tc>
      </w:tr>
      <w:tr w:rsidR="006B25DA" w:rsidRPr="00C12801" w14:paraId="32F5E5F9" w14:textId="77777777">
        <w:trPr>
          <w:trHeight w:val="675"/>
        </w:trPr>
        <w:tc>
          <w:tcPr>
            <w:tcW w:w="1302" w:type="dxa"/>
            <w:vMerge/>
            <w:tcBorders>
              <w:right w:val="single" w:sz="4" w:space="0" w:color="FFFFFF" w:themeColor="background1"/>
            </w:tcBorders>
          </w:tcPr>
          <w:p w14:paraId="0F5318E3"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01EE6DC6" w14:textId="77777777" w:rsidR="006B25DA" w:rsidRPr="00C12801" w:rsidRDefault="006B25DA">
            <w:pPr>
              <w:pStyle w:val="Text1"/>
              <w:spacing w:before="60" w:after="120"/>
              <w:ind w:left="36"/>
              <w:rPr>
                <w:rFonts w:eastAsia="EC Square Sans Pro"/>
                <w:b/>
                <w:bCs/>
                <w:noProof/>
              </w:rPr>
            </w:pPr>
            <w:r w:rsidRPr="00C12801">
              <w:rPr>
                <w:rFonts w:eastAsia="EC Square Sans Pro"/>
                <w:b/>
                <w:bCs/>
                <w:noProof/>
              </w:rPr>
              <w:t>Efficient and fair return procedures</w:t>
            </w:r>
          </w:p>
        </w:tc>
      </w:tr>
    </w:tbl>
    <w:p w14:paraId="1E845F46" w14:textId="47A3A36B" w:rsidR="006B25DA" w:rsidRPr="00C12801" w:rsidRDefault="006B25DA" w:rsidP="006B25DA">
      <w:pPr>
        <w:spacing w:before="120" w:after="120"/>
        <w:rPr>
          <w:noProof/>
        </w:rPr>
      </w:pPr>
      <w:r w:rsidRPr="00C12801">
        <w:rPr>
          <w:noProof/>
        </w:rPr>
        <w:t>The EU</w:t>
      </w:r>
      <w:r>
        <w:rPr>
          <w:noProof/>
        </w:rPr>
        <w:t>’s</w:t>
      </w:r>
      <w:r w:rsidRPr="00C12801">
        <w:rPr>
          <w:noProof/>
        </w:rPr>
        <w:t xml:space="preserve"> migration policy can only be </w:t>
      </w:r>
      <w:r>
        <w:rPr>
          <w:noProof/>
        </w:rPr>
        <w:t>sustainable</w:t>
      </w:r>
      <w:r w:rsidRPr="00C12801">
        <w:rPr>
          <w:noProof/>
        </w:rPr>
        <w:t xml:space="preserve"> if those who do not have </w:t>
      </w:r>
      <w:r>
        <w:rPr>
          <w:noProof/>
        </w:rPr>
        <w:t>the</w:t>
      </w:r>
      <w:r w:rsidRPr="00C12801">
        <w:rPr>
          <w:noProof/>
        </w:rPr>
        <w:t xml:space="preserve"> right to stay in the EU are effectively returned. This building block </w:t>
      </w:r>
      <w:r>
        <w:rPr>
          <w:noProof/>
        </w:rPr>
        <w:t>enumerates</w:t>
      </w:r>
      <w:r w:rsidRPr="00C12801">
        <w:rPr>
          <w:noProof/>
        </w:rPr>
        <w:t xml:space="preserve"> further steps towards a common EU system for return</w:t>
      </w:r>
      <w:r w:rsidR="00302E1D">
        <w:rPr>
          <w:noProof/>
        </w:rPr>
        <w:t>s</w:t>
      </w:r>
      <w:r w:rsidRPr="00C12801">
        <w:rPr>
          <w:noProof/>
        </w:rPr>
        <w:t xml:space="preserve">, </w:t>
      </w:r>
      <w:r>
        <w:rPr>
          <w:noProof/>
        </w:rPr>
        <w:t>in which</w:t>
      </w:r>
      <w:r w:rsidRPr="00C12801">
        <w:rPr>
          <w:noProof/>
        </w:rPr>
        <w:t xml:space="preserve"> returnees are incentivised to cooperate, to remain available throughout the process and to return</w:t>
      </w:r>
      <w:r w:rsidR="001A4645">
        <w:rPr>
          <w:noProof/>
        </w:rPr>
        <w:t>,</w:t>
      </w:r>
      <w:r w:rsidRPr="00C12801">
        <w:rPr>
          <w:noProof/>
        </w:rPr>
        <w:t xml:space="preserve"> </w:t>
      </w:r>
      <w:r>
        <w:rPr>
          <w:noProof/>
        </w:rPr>
        <w:t>whenever</w:t>
      </w:r>
      <w:r w:rsidRPr="00C12801">
        <w:rPr>
          <w:noProof/>
        </w:rPr>
        <w:t xml:space="preserve"> possible voluntarily. The measures </w:t>
      </w:r>
      <w:r>
        <w:rPr>
          <w:noProof/>
        </w:rPr>
        <w:t xml:space="preserve">aimed at incentivising voluntary returns </w:t>
      </w:r>
      <w:r w:rsidRPr="00C12801">
        <w:rPr>
          <w:noProof/>
        </w:rPr>
        <w:t xml:space="preserve">should complement credible and well-functioning forced returns. Member States </w:t>
      </w:r>
      <w:r>
        <w:rPr>
          <w:noProof/>
        </w:rPr>
        <w:t xml:space="preserve">should also be </w:t>
      </w:r>
      <w:r w:rsidRPr="00C12801">
        <w:rPr>
          <w:noProof/>
        </w:rPr>
        <w:t>equipped with tools and procedures that allow efficient internal management and enhanced cooperation and information sharing with other Member States in view of a more effective return process.</w:t>
      </w:r>
    </w:p>
    <w:p w14:paraId="5747B46E" w14:textId="5DB75FC8" w:rsidR="006B25DA" w:rsidRPr="00C12801" w:rsidRDefault="006B25DA" w:rsidP="006B25DA">
      <w:pPr>
        <w:spacing w:after="120"/>
        <w:rPr>
          <w:noProof/>
        </w:rPr>
      </w:pPr>
      <w:r w:rsidRPr="00C12801">
        <w:rPr>
          <w:noProof/>
        </w:rPr>
        <w:t xml:space="preserve">To close the loopholes between the asylum and return procedure, the Asylum Procedure Regulation obliges Member States </w:t>
      </w:r>
      <w:r w:rsidRPr="00336ADC">
        <w:rPr>
          <w:b/>
          <w:bCs/>
          <w:noProof/>
        </w:rPr>
        <w:t>to ensure that every applicant issued with a negative asylum decision also receives a return decision at the same time or shortly thereafter.</w:t>
      </w:r>
      <w:r w:rsidRPr="00C12801">
        <w:rPr>
          <w:noProof/>
        </w:rPr>
        <w:t xml:space="preserve"> The two decisions will </w:t>
      </w:r>
      <w:r>
        <w:rPr>
          <w:noProof/>
        </w:rPr>
        <w:t xml:space="preserve">have to </w:t>
      </w:r>
      <w:r w:rsidRPr="00C12801">
        <w:rPr>
          <w:noProof/>
        </w:rPr>
        <w:t xml:space="preserve">be </w:t>
      </w:r>
      <w:r>
        <w:rPr>
          <w:noProof/>
        </w:rPr>
        <w:t>appealed</w:t>
      </w:r>
      <w:r w:rsidRPr="00C12801">
        <w:rPr>
          <w:noProof/>
        </w:rPr>
        <w:t xml:space="preserve"> jointly</w:t>
      </w:r>
      <w:r>
        <w:rPr>
          <w:noProof/>
        </w:rPr>
        <w:t xml:space="preserve"> before the same court or tribunal, </w:t>
      </w:r>
      <w:r w:rsidR="00DC0F01">
        <w:rPr>
          <w:noProof/>
        </w:rPr>
        <w:t xml:space="preserve">in the </w:t>
      </w:r>
      <w:r>
        <w:rPr>
          <w:noProof/>
        </w:rPr>
        <w:t xml:space="preserve">same judicial proceedings, and same timelines if the return decision is taken as part of the related negative asylum decision. </w:t>
      </w:r>
      <w:r w:rsidRPr="00C12801">
        <w:rPr>
          <w:noProof/>
        </w:rPr>
        <w:t>If the return decision is issued separately, it may be appealed separately but along the same timelines</w:t>
      </w:r>
      <w:r>
        <w:rPr>
          <w:rStyle w:val="FootnoteReference"/>
          <w:noProof/>
        </w:rPr>
        <w:footnoteReference w:id="25"/>
      </w:r>
      <w:r w:rsidRPr="00C12801">
        <w:rPr>
          <w:noProof/>
        </w:rPr>
        <w:t>.</w:t>
      </w:r>
      <w:r>
        <w:rPr>
          <w:noProof/>
        </w:rPr>
        <w:t xml:space="preserve"> </w:t>
      </w:r>
      <w:r w:rsidRPr="00336ADC">
        <w:rPr>
          <w:b/>
          <w:bCs/>
          <w:noProof/>
        </w:rPr>
        <w:t>Reinforced rules will be applicable to those attempting to delay the procedures through appeals or subsequent asylum applications for the sole purpose of hampering return from the Union</w:t>
      </w:r>
      <w:r w:rsidRPr="00C12801">
        <w:rPr>
          <w:noProof/>
        </w:rPr>
        <w:t>.</w:t>
      </w:r>
    </w:p>
    <w:p w14:paraId="74E1BC0B" w14:textId="241D1FED" w:rsidR="006B25DA" w:rsidRPr="00C12801" w:rsidRDefault="006B25DA" w:rsidP="006B25DA">
      <w:pPr>
        <w:spacing w:after="120"/>
        <w:rPr>
          <w:noProof/>
        </w:rPr>
      </w:pPr>
      <w:r w:rsidRPr="00C12801">
        <w:rPr>
          <w:noProof/>
        </w:rPr>
        <w:t xml:space="preserve">While some Member States have centralised the management of actors involved in the return process under one authority, other Member States have established working arrangements between different actors and authorities to improve the efficiency </w:t>
      </w:r>
      <w:r>
        <w:rPr>
          <w:noProof/>
        </w:rPr>
        <w:t xml:space="preserve">and </w:t>
      </w:r>
      <w:r w:rsidRPr="003E405D">
        <w:rPr>
          <w:noProof/>
        </w:rPr>
        <w:t>sustainability of the return</w:t>
      </w:r>
      <w:r w:rsidRPr="00C12801">
        <w:rPr>
          <w:noProof/>
        </w:rPr>
        <w:t xml:space="preserve"> process.</w:t>
      </w:r>
    </w:p>
    <w:p w14:paraId="12F7FB45" w14:textId="5EE25B57" w:rsidR="006B25DA" w:rsidRPr="00C12801" w:rsidRDefault="00C92579" w:rsidP="006B25DA">
      <w:pPr>
        <w:spacing w:after="120"/>
        <w:rPr>
          <w:noProof/>
        </w:rPr>
      </w:pPr>
      <w:r>
        <w:rPr>
          <w:noProof/>
        </w:rPr>
        <w:t xml:space="preserve">There are </w:t>
      </w:r>
      <w:r w:rsidR="006B25DA">
        <w:rPr>
          <w:noProof/>
        </w:rPr>
        <w:t>19</w:t>
      </w:r>
      <w:r w:rsidR="006B25DA" w:rsidRPr="00C12801">
        <w:rPr>
          <w:noProof/>
        </w:rPr>
        <w:t xml:space="preserve"> Member States </w:t>
      </w:r>
      <w:r>
        <w:rPr>
          <w:noProof/>
        </w:rPr>
        <w:t xml:space="preserve">that </w:t>
      </w:r>
      <w:r w:rsidR="006B25DA" w:rsidRPr="00C12801">
        <w:rPr>
          <w:noProof/>
        </w:rPr>
        <w:t xml:space="preserve">already </w:t>
      </w:r>
      <w:r w:rsidR="006B25DA">
        <w:rPr>
          <w:noProof/>
        </w:rPr>
        <w:t>issue</w:t>
      </w:r>
      <w:r w:rsidR="006B25DA" w:rsidRPr="00C12801">
        <w:rPr>
          <w:noProof/>
        </w:rPr>
        <w:t xml:space="preserve"> negative asylum decisions together with return decisions</w:t>
      </w:r>
      <w:r w:rsidR="000E724C">
        <w:rPr>
          <w:noProof/>
        </w:rPr>
        <w:t>,</w:t>
      </w:r>
      <w:r w:rsidRPr="00C12801">
        <w:rPr>
          <w:noProof/>
        </w:rPr>
        <w:t xml:space="preserve"> </w:t>
      </w:r>
      <w:r w:rsidR="006B25DA" w:rsidRPr="00C12801">
        <w:rPr>
          <w:noProof/>
        </w:rPr>
        <w:t xml:space="preserve">some as part of the same act and others as two separate acts but </w:t>
      </w:r>
      <w:r w:rsidR="006B25DA">
        <w:rPr>
          <w:noProof/>
        </w:rPr>
        <w:t xml:space="preserve">still </w:t>
      </w:r>
      <w:r w:rsidR="006B25DA" w:rsidRPr="00C12801">
        <w:rPr>
          <w:noProof/>
        </w:rPr>
        <w:t xml:space="preserve">at the same time. Five Member States already have digitalised return case management IT-systems, and 11 Member States are in the process of developing </w:t>
      </w:r>
      <w:r w:rsidR="006B25DA">
        <w:rPr>
          <w:noProof/>
        </w:rPr>
        <w:t>one</w:t>
      </w:r>
      <w:r w:rsidR="006B25DA" w:rsidRPr="00C12801">
        <w:rPr>
          <w:noProof/>
        </w:rPr>
        <w:t xml:space="preserve"> based on the </w:t>
      </w:r>
      <w:r w:rsidR="006B25DA">
        <w:rPr>
          <w:noProof/>
        </w:rPr>
        <w:t>Return Case Management</w:t>
      </w:r>
      <w:r w:rsidR="006B25DA" w:rsidRPr="00C12801">
        <w:rPr>
          <w:noProof/>
        </w:rPr>
        <w:t xml:space="preserve"> model</w:t>
      </w:r>
      <w:r w:rsidR="006B25DA">
        <w:rPr>
          <w:noProof/>
        </w:rPr>
        <w:t xml:space="preserve"> (RECAMAS) developed by Frontex</w:t>
      </w:r>
      <w:r w:rsidR="006B25DA" w:rsidRPr="00C12801">
        <w:rPr>
          <w:noProof/>
        </w:rPr>
        <w:t xml:space="preserve">. EU-funded Readmission Case Management Systems facilitate the readmission procedures with </w:t>
      </w:r>
      <w:r>
        <w:rPr>
          <w:noProof/>
        </w:rPr>
        <w:t xml:space="preserve">some </w:t>
      </w:r>
      <w:r w:rsidR="006B25DA" w:rsidRPr="00C12801">
        <w:rPr>
          <w:noProof/>
        </w:rPr>
        <w:t>third countries</w:t>
      </w:r>
      <w:r w:rsidR="006B25DA">
        <w:rPr>
          <w:noProof/>
        </w:rPr>
        <w:t xml:space="preserve"> to which most Member States are connected</w:t>
      </w:r>
      <w:r w:rsidR="006B25DA" w:rsidRPr="00C12801">
        <w:rPr>
          <w:noProof/>
        </w:rPr>
        <w:t>.</w:t>
      </w:r>
    </w:p>
    <w:p w14:paraId="4E6F308D" w14:textId="70518EE5" w:rsidR="006B25DA" w:rsidRPr="00C12801" w:rsidRDefault="006B25DA" w:rsidP="006B25DA">
      <w:pPr>
        <w:spacing w:after="120"/>
        <w:rPr>
          <w:noProof/>
        </w:rPr>
      </w:pPr>
      <w:r>
        <w:rPr>
          <w:noProof/>
        </w:rPr>
        <w:t>In addition, many actors at national level are involved in the return process and cooperation is key for an efficient process. T</w:t>
      </w:r>
      <w:r w:rsidRPr="00C12801">
        <w:rPr>
          <w:noProof/>
        </w:rPr>
        <w:t xml:space="preserve">he ongoing thematic Schengen evaluation in the area of return </w:t>
      </w:r>
      <w:r>
        <w:rPr>
          <w:noProof/>
        </w:rPr>
        <w:t>for an effective EU system for returns is in particular looking at how to bridge gaps between actors in the return process.</w:t>
      </w:r>
      <w:r w:rsidRPr="00C12801">
        <w:rPr>
          <w:noProof/>
        </w:rPr>
        <w:t xml:space="preserve"> </w:t>
      </w:r>
      <w:r>
        <w:rPr>
          <w:noProof/>
        </w:rPr>
        <w:t>T</w:t>
      </w:r>
      <w:r w:rsidRPr="00C12801">
        <w:rPr>
          <w:noProof/>
        </w:rPr>
        <w:t>he results of the evaluation (including</w:t>
      </w:r>
      <w:r>
        <w:rPr>
          <w:noProof/>
        </w:rPr>
        <w:t xml:space="preserve"> </w:t>
      </w:r>
      <w:r w:rsidRPr="00C12801">
        <w:rPr>
          <w:noProof/>
        </w:rPr>
        <w:t xml:space="preserve">the best practices) </w:t>
      </w:r>
      <w:r w:rsidRPr="008C708B">
        <w:rPr>
          <w:noProof/>
        </w:rPr>
        <w:t>should</w:t>
      </w:r>
      <w:r w:rsidRPr="00C12801">
        <w:rPr>
          <w:b/>
          <w:bCs/>
          <w:noProof/>
        </w:rPr>
        <w:t xml:space="preserve"> </w:t>
      </w:r>
      <w:r w:rsidRPr="00C12801">
        <w:rPr>
          <w:noProof/>
        </w:rPr>
        <w:t>be considered as relevant when implementing the elements of the Pact relat</w:t>
      </w:r>
      <w:r>
        <w:rPr>
          <w:noProof/>
        </w:rPr>
        <w:t>ed</w:t>
      </w:r>
      <w:r w:rsidRPr="00C12801">
        <w:rPr>
          <w:noProof/>
        </w:rPr>
        <w:t xml:space="preserve"> to more efficient and fair return procedures across Europe</w:t>
      </w:r>
      <w:r w:rsidR="00091A24">
        <w:rPr>
          <w:rStyle w:val="FootnoteReference"/>
          <w:noProof/>
        </w:rPr>
        <w:footnoteReference w:id="26"/>
      </w:r>
      <w:r w:rsidR="000E724C">
        <w:rPr>
          <w:noProof/>
        </w:rPr>
        <w:t>.</w:t>
      </w:r>
    </w:p>
    <w:p w14:paraId="1AA66AB1" w14:textId="74B4FD90" w:rsidR="006B25DA" w:rsidRPr="00C12801" w:rsidRDefault="006B25DA" w:rsidP="006B25DA">
      <w:pPr>
        <w:spacing w:after="120"/>
        <w:rPr>
          <w:noProof/>
        </w:rPr>
      </w:pPr>
      <w:r w:rsidRPr="00D339B6">
        <w:rPr>
          <w:noProof/>
        </w:rPr>
        <w:t>Voluntary return, underpinned by credible forced return</w:t>
      </w:r>
      <w:r w:rsidR="00E84F79">
        <w:rPr>
          <w:noProof/>
        </w:rPr>
        <w:t>,</w:t>
      </w:r>
      <w:r w:rsidR="009C5797" w:rsidRPr="00D339B6">
        <w:rPr>
          <w:noProof/>
        </w:rPr>
        <w:t xml:space="preserve"> together with reintegration</w:t>
      </w:r>
      <w:r w:rsidRPr="00D339B6">
        <w:rPr>
          <w:noProof/>
        </w:rPr>
        <w:t xml:space="preserve">, constitutes the more sustainable, cost-effective and humane/dignified way to carry out returns and should continue to be preferred. </w:t>
      </w:r>
      <w:r w:rsidR="00002716">
        <w:rPr>
          <w:noProof/>
        </w:rPr>
        <w:t>I</w:t>
      </w:r>
      <w:r w:rsidRPr="00C12801">
        <w:rPr>
          <w:noProof/>
        </w:rPr>
        <w:t>t is important to reinforce incentives to voluntary return and provide coherent reintegration support, including using the Frontex-led EU Reintegration Programme. Currently 25 out of 31 Member States and Schengen Associated Countries are participating and using the Frontex EU Reintegration Programme.</w:t>
      </w:r>
    </w:p>
    <w:p w14:paraId="7D57B721" w14:textId="3FDA23D3" w:rsidR="006B25DA" w:rsidRPr="00C12801" w:rsidRDefault="006B25DA" w:rsidP="006B25DA">
      <w:pPr>
        <w:spacing w:after="120"/>
        <w:rPr>
          <w:noProof/>
        </w:rPr>
      </w:pPr>
      <w:r>
        <w:rPr>
          <w:noProof/>
        </w:rPr>
        <w:t>In this context</w:t>
      </w:r>
      <w:r w:rsidRPr="00C12801">
        <w:rPr>
          <w:noProof/>
        </w:rPr>
        <w:t xml:space="preserve">, the following actions </w:t>
      </w:r>
      <w:r>
        <w:rPr>
          <w:noProof/>
        </w:rPr>
        <w:t>should</w:t>
      </w:r>
      <w:r w:rsidRPr="00C12801">
        <w:rPr>
          <w:noProof/>
        </w:rPr>
        <w:t xml:space="preserve"> be taken</w:t>
      </w:r>
      <w:r w:rsidRPr="00A04B5D">
        <w:rPr>
          <w:noProof/>
        </w:rPr>
        <w:t xml:space="preserve"> </w:t>
      </w:r>
      <w:r>
        <w:rPr>
          <w:noProof/>
        </w:rPr>
        <w:t>to ensure the effective implementation of this building block</w:t>
      </w:r>
      <w:r w:rsidRPr="00C12801">
        <w:rPr>
          <w:noProof/>
        </w:rPr>
        <w:t>:</w:t>
      </w:r>
    </w:p>
    <w:p w14:paraId="29195AFC" w14:textId="77777777" w:rsidR="006B25DA" w:rsidRPr="00C12801" w:rsidRDefault="006B25DA" w:rsidP="006B25DA">
      <w:pPr>
        <w:spacing w:after="120"/>
        <w:rPr>
          <w:b/>
          <w:bCs/>
          <w:noProof/>
        </w:rPr>
      </w:pPr>
      <w:r w:rsidRPr="00C12801">
        <w:rPr>
          <w:b/>
          <w:bCs/>
          <w:noProof/>
        </w:rPr>
        <w:t>Member States</w:t>
      </w:r>
    </w:p>
    <w:p w14:paraId="4CC441E6" w14:textId="77777777" w:rsidR="006B25DA" w:rsidRPr="00C12801" w:rsidRDefault="006B25DA" w:rsidP="006B25DA">
      <w:pPr>
        <w:spacing w:after="120"/>
        <w:rPr>
          <w:i/>
          <w:iCs/>
          <w:noProof/>
        </w:rPr>
      </w:pPr>
      <w:r w:rsidRPr="00C12801">
        <w:rPr>
          <w:i/>
          <w:iCs/>
          <w:noProof/>
        </w:rPr>
        <w:t>Legislation</w:t>
      </w:r>
    </w:p>
    <w:p w14:paraId="2020F1EB"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336ADC">
        <w:rPr>
          <w:b/>
          <w:bCs/>
          <w:noProof/>
        </w:rPr>
        <w:t>review and adapt the national regulatory frameworks</w:t>
      </w:r>
      <w:r>
        <w:rPr>
          <w:noProof/>
        </w:rPr>
        <w:t xml:space="preserve"> as required.</w:t>
      </w:r>
    </w:p>
    <w:p w14:paraId="2AED8449" w14:textId="77777777" w:rsidR="006B25DA" w:rsidRDefault="006B25DA" w:rsidP="002740E8">
      <w:pPr>
        <w:pStyle w:val="ListParagraph"/>
        <w:numPr>
          <w:ilvl w:val="0"/>
          <w:numId w:val="28"/>
        </w:numPr>
        <w:spacing w:after="120"/>
        <w:ind w:left="709" w:hanging="425"/>
        <w:contextualSpacing w:val="0"/>
        <w:rPr>
          <w:noProof/>
        </w:rPr>
      </w:pPr>
      <w:r>
        <w:rPr>
          <w:noProof/>
        </w:rPr>
        <w:t xml:space="preserve">Member States will have to </w:t>
      </w:r>
      <w:r w:rsidRPr="00336ADC">
        <w:rPr>
          <w:b/>
          <w:bCs/>
          <w:noProof/>
        </w:rPr>
        <w:t>ensure that the return decision is issued as part of the negative asylum decision or, if it is issued as a separate act, that the return decision is issued at the same time</w:t>
      </w:r>
      <w:r>
        <w:rPr>
          <w:noProof/>
        </w:rPr>
        <w:t xml:space="preserve"> as the asylum decision or soon after that one. </w:t>
      </w:r>
    </w:p>
    <w:p w14:paraId="74F8BC08" w14:textId="77777777" w:rsidR="006B25DA" w:rsidRPr="003A3CA2" w:rsidRDefault="006B25DA" w:rsidP="002740E8">
      <w:pPr>
        <w:pStyle w:val="ListParagraph"/>
        <w:numPr>
          <w:ilvl w:val="0"/>
          <w:numId w:val="28"/>
        </w:numPr>
        <w:spacing w:after="120"/>
        <w:ind w:left="709" w:hanging="425"/>
        <w:rPr>
          <w:noProof/>
        </w:rPr>
      </w:pPr>
      <w:r>
        <w:rPr>
          <w:noProof/>
        </w:rPr>
        <w:t xml:space="preserve">Member States will also have to </w:t>
      </w:r>
      <w:r w:rsidRPr="00336ADC">
        <w:rPr>
          <w:b/>
          <w:bCs/>
          <w:noProof/>
        </w:rPr>
        <w:t>ensure that appeals against negative asylum decisions and the return decision are handled jointly or within the timelines</w:t>
      </w:r>
      <w:r>
        <w:rPr>
          <w:noProof/>
        </w:rPr>
        <w:t xml:space="preserve"> provided for in the Asylum Procedure Regulation. For example, Member States could set up joint time limits for both in the legislation.</w:t>
      </w:r>
    </w:p>
    <w:p w14:paraId="0552851B" w14:textId="77777777" w:rsidR="006B25DA" w:rsidRPr="00C12801" w:rsidRDefault="006B25DA" w:rsidP="006B25DA">
      <w:pPr>
        <w:spacing w:after="120"/>
        <w:rPr>
          <w:i/>
          <w:iCs/>
          <w:noProof/>
        </w:rPr>
      </w:pPr>
      <w:r>
        <w:rPr>
          <w:i/>
          <w:iCs/>
          <w:noProof/>
        </w:rPr>
        <w:t>Organisation</w:t>
      </w:r>
      <w:r w:rsidRPr="00C12801">
        <w:rPr>
          <w:i/>
          <w:iCs/>
          <w:noProof/>
        </w:rPr>
        <w:t xml:space="preserve"> and administrative processes</w:t>
      </w:r>
    </w:p>
    <w:p w14:paraId="49C91C93" w14:textId="5A9812A1"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336ADC">
        <w:rPr>
          <w:b/>
          <w:bCs/>
          <w:noProof/>
        </w:rPr>
        <w:t>review their internal procedures to establish a clear process and workflow</w:t>
      </w:r>
      <w:r>
        <w:rPr>
          <w:noProof/>
        </w:rPr>
        <w:t xml:space="preserve"> on how cases are managed to ensure a seamless process between the issuance of a negative asylum decision and the return decision, ranging from the moment the person no longer has a right to stay in the EU to the return decision, to a readmission request to a third country and then the voluntary/forced return and provision of reintegration support. Member States should also </w:t>
      </w:r>
      <w:r w:rsidRPr="00336ADC">
        <w:rPr>
          <w:b/>
          <w:bCs/>
          <w:noProof/>
        </w:rPr>
        <w:t>set up structures that guarantee that appeals against negative asylum decisions and the return decision are handled jointly or within the timelines</w:t>
      </w:r>
      <w:r>
        <w:rPr>
          <w:noProof/>
        </w:rPr>
        <w:t xml:space="preserve"> provided for in the Asylum Procedure Regulation. </w:t>
      </w:r>
    </w:p>
    <w:p w14:paraId="4359FCFB" w14:textId="50E3443F"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t>
      </w:r>
      <w:r w:rsidR="00DB6A1F">
        <w:rPr>
          <w:noProof/>
        </w:rPr>
        <w:t xml:space="preserve">are encouraged to </w:t>
      </w:r>
      <w:r w:rsidRPr="00336ADC">
        <w:rPr>
          <w:b/>
          <w:bCs/>
          <w:noProof/>
        </w:rPr>
        <w:t>take active steps to establish a modern and performing IT return case management system</w:t>
      </w:r>
      <w:r>
        <w:rPr>
          <w:noProof/>
        </w:rPr>
        <w:t xml:space="preserve"> which provides for </w:t>
      </w:r>
      <w:r w:rsidRPr="003E405D">
        <w:rPr>
          <w:noProof/>
        </w:rPr>
        <w:t xml:space="preserve">information processing and checks that reflect the legislative and administrative changes and workflow requirements. Use of the existing Return Case Management System and of </w:t>
      </w:r>
      <w:r w:rsidR="009A1FE4">
        <w:rPr>
          <w:noProof/>
        </w:rPr>
        <w:t xml:space="preserve">the </w:t>
      </w:r>
      <w:r w:rsidRPr="003E405D">
        <w:rPr>
          <w:noProof/>
        </w:rPr>
        <w:t>Reintegration Assistance Tools should also be supported and widened.</w:t>
      </w:r>
      <w:r>
        <w:rPr>
          <w:noProof/>
        </w:rPr>
        <w:t xml:space="preserve"> </w:t>
      </w:r>
    </w:p>
    <w:p w14:paraId="6E4B1142" w14:textId="77777777" w:rsidR="006B25DA" w:rsidRPr="00C12801" w:rsidRDefault="006B25DA" w:rsidP="006B25DA">
      <w:pPr>
        <w:spacing w:after="120"/>
        <w:rPr>
          <w:i/>
          <w:iCs/>
          <w:noProof/>
        </w:rPr>
      </w:pPr>
      <w:r w:rsidRPr="00C12801">
        <w:rPr>
          <w:i/>
          <w:iCs/>
          <w:noProof/>
        </w:rPr>
        <w:t>Capacities (human resources, infrastructure, and equipment)</w:t>
      </w:r>
    </w:p>
    <w:p w14:paraId="50E1F647"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336ADC">
        <w:rPr>
          <w:b/>
          <w:bCs/>
          <w:noProof/>
        </w:rPr>
        <w:t xml:space="preserve">review both infrastructure requirements and staffing capacity </w:t>
      </w:r>
      <w:r>
        <w:rPr>
          <w:noProof/>
        </w:rPr>
        <w:t>to be able to provide for the effective measures ensuring the availability of the returnee throughout the procedure to prevent the risk of absconding, including where relevant through the application of alternatives to detention.</w:t>
      </w:r>
    </w:p>
    <w:p w14:paraId="07B1F1D1"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should provide </w:t>
      </w:r>
      <w:r w:rsidRPr="00336ADC">
        <w:rPr>
          <w:b/>
          <w:bCs/>
          <w:noProof/>
        </w:rPr>
        <w:t>capacity to reinforce return counselling</w:t>
      </w:r>
      <w:r>
        <w:rPr>
          <w:noProof/>
        </w:rPr>
        <w:t xml:space="preserve"> to ensure that those who need to be returned are swiftly accompanied throughout the process.</w:t>
      </w:r>
    </w:p>
    <w:p w14:paraId="5096813E"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336ADC">
        <w:rPr>
          <w:b/>
          <w:bCs/>
          <w:noProof/>
        </w:rPr>
        <w:t>reinforce incentives to voluntary return and streamline reintegration support</w:t>
      </w:r>
      <w:r>
        <w:rPr>
          <w:noProof/>
        </w:rPr>
        <w:t xml:space="preserve">, in close cooperation with Frontex. </w:t>
      </w:r>
    </w:p>
    <w:p w14:paraId="38E908B5" w14:textId="7440B115" w:rsidR="006B25DA" w:rsidRPr="00C12801" w:rsidRDefault="006B25DA" w:rsidP="006B25DA">
      <w:pPr>
        <w:spacing w:after="120"/>
        <w:rPr>
          <w:b/>
          <w:bCs/>
          <w:noProof/>
        </w:rPr>
      </w:pPr>
      <w:r w:rsidRPr="00C12801">
        <w:rPr>
          <w:b/>
          <w:bCs/>
          <w:noProof/>
        </w:rPr>
        <w:t xml:space="preserve">Commission </w:t>
      </w:r>
    </w:p>
    <w:p w14:paraId="5EFFD1C8" w14:textId="77777777" w:rsidR="006B25DA" w:rsidRPr="00C12801" w:rsidRDefault="006B25DA" w:rsidP="006B25DA">
      <w:pPr>
        <w:spacing w:after="120"/>
        <w:rPr>
          <w:i/>
          <w:iCs/>
          <w:noProof/>
        </w:rPr>
      </w:pPr>
      <w:r w:rsidRPr="00C12801">
        <w:rPr>
          <w:i/>
          <w:iCs/>
          <w:noProof/>
        </w:rPr>
        <w:t>Practical support</w:t>
      </w:r>
    </w:p>
    <w:p w14:paraId="171FD12E" w14:textId="1AFA1B20" w:rsidR="006B25DA" w:rsidRPr="00C12801" w:rsidRDefault="006B25DA" w:rsidP="00336ADC">
      <w:pPr>
        <w:pStyle w:val="ListParagraph"/>
        <w:numPr>
          <w:ilvl w:val="0"/>
          <w:numId w:val="28"/>
        </w:numPr>
        <w:spacing w:after="120"/>
        <w:ind w:left="709" w:hanging="425"/>
        <w:contextualSpacing w:val="0"/>
        <w:rPr>
          <w:noProof/>
        </w:rPr>
      </w:pPr>
      <w:r>
        <w:rPr>
          <w:noProof/>
        </w:rPr>
        <w:t xml:space="preserve">The </w:t>
      </w:r>
      <w:r w:rsidRPr="00336ADC">
        <w:rPr>
          <w:b/>
          <w:bCs/>
          <w:noProof/>
        </w:rPr>
        <w:t>Return Coordinator</w:t>
      </w:r>
      <w:r>
        <w:rPr>
          <w:noProof/>
        </w:rPr>
        <w:t xml:space="preserve"> will play a key role in the follow-up to specifically identified challenges in the area of return and by fostering efficiency gains, internal coherence, and cooperation among Member States. The Return </w:t>
      </w:r>
      <w:r w:rsidR="00F04279">
        <w:rPr>
          <w:noProof/>
        </w:rPr>
        <w:t xml:space="preserve">Coordinator </w:t>
      </w:r>
      <w:r>
        <w:rPr>
          <w:noProof/>
        </w:rPr>
        <w:t xml:space="preserve">will do so through </w:t>
      </w:r>
      <w:r w:rsidR="00F04279" w:rsidRPr="00336ADC">
        <w:rPr>
          <w:b/>
          <w:bCs/>
          <w:noProof/>
        </w:rPr>
        <w:t>t</w:t>
      </w:r>
      <w:r w:rsidRPr="00336ADC">
        <w:rPr>
          <w:b/>
          <w:bCs/>
          <w:noProof/>
        </w:rPr>
        <w:t>argeted return actions</w:t>
      </w:r>
      <w:r>
        <w:rPr>
          <w:noProof/>
        </w:rPr>
        <w:t xml:space="preserve"> building on the work already launched to improve joint planning of flights and identification missions including to optimise the use of Frontex support, exchange practices and experience on the joint issuance of negative asylum decisions and return decisions and cooperation on return of returnees posing a security threat.</w:t>
      </w:r>
      <w:r w:rsidR="006F362A">
        <w:rPr>
          <w:noProof/>
        </w:rPr>
        <w:t xml:space="preserve"> The </w:t>
      </w:r>
      <w:r w:rsidR="00380919">
        <w:rPr>
          <w:noProof/>
        </w:rPr>
        <w:t xml:space="preserve">High-Level Network on return and Frontex </w:t>
      </w:r>
      <w:r w:rsidR="002624A3">
        <w:rPr>
          <w:noProof/>
        </w:rPr>
        <w:t>will also support these efforts.</w:t>
      </w:r>
    </w:p>
    <w:p w14:paraId="3AA89E4A" w14:textId="66F7C4C0" w:rsidR="006B25DA" w:rsidRPr="003A3CA2" w:rsidRDefault="006B25DA" w:rsidP="00336ADC">
      <w:pPr>
        <w:pStyle w:val="ListParagraph"/>
        <w:numPr>
          <w:ilvl w:val="0"/>
          <w:numId w:val="28"/>
        </w:numPr>
        <w:spacing w:after="120"/>
        <w:ind w:left="709" w:hanging="425"/>
        <w:contextualSpacing w:val="0"/>
        <w:rPr>
          <w:noProof/>
        </w:rPr>
      </w:pPr>
      <w:r>
        <w:rPr>
          <w:noProof/>
        </w:rPr>
        <w:t xml:space="preserve">The Commission will work with Member States to enhance the practical implementation of the Team Europe approach and </w:t>
      </w:r>
      <w:r w:rsidRPr="00336ADC">
        <w:rPr>
          <w:b/>
          <w:bCs/>
          <w:noProof/>
        </w:rPr>
        <w:t>strengthen third countries’ effective cooperation on readmission</w:t>
      </w:r>
      <w:r>
        <w:rPr>
          <w:noProof/>
        </w:rPr>
        <w:t>, using all leverages and incentives at their disposal such as the follow up to the Article 25a of the Visa Code mechanism that links visa and readmission cooperation</w:t>
      </w:r>
      <w:r w:rsidR="0007388B">
        <w:rPr>
          <w:noProof/>
        </w:rPr>
        <w:t>,</w:t>
      </w:r>
      <w:r>
        <w:rPr>
          <w:noProof/>
        </w:rPr>
        <w:t xml:space="preserve"> described in section 5 below</w:t>
      </w:r>
      <w:r w:rsidR="0007388B">
        <w:rPr>
          <w:noProof/>
        </w:rPr>
        <w:t>,</w:t>
      </w:r>
      <w:r>
        <w:rPr>
          <w:noProof/>
        </w:rPr>
        <w:t xml:space="preserve"> as well as trade, visa, development, and other policies.</w:t>
      </w:r>
    </w:p>
    <w:p w14:paraId="71CD48C8" w14:textId="77777777" w:rsidR="006B25DA" w:rsidRPr="00496871" w:rsidRDefault="006B25DA" w:rsidP="00336ADC">
      <w:pPr>
        <w:pStyle w:val="ListParagraph"/>
        <w:numPr>
          <w:ilvl w:val="0"/>
          <w:numId w:val="28"/>
        </w:numPr>
        <w:spacing w:after="120"/>
        <w:ind w:left="709" w:hanging="425"/>
        <w:contextualSpacing w:val="0"/>
        <w:rPr>
          <w:i/>
          <w:noProof/>
        </w:rPr>
      </w:pPr>
      <w:r>
        <w:rPr>
          <w:noProof/>
        </w:rPr>
        <w:t xml:space="preserve">The Commission will </w:t>
      </w:r>
      <w:r w:rsidRPr="00336ADC">
        <w:rPr>
          <w:b/>
          <w:bCs/>
          <w:noProof/>
        </w:rPr>
        <w:t>develop general orientations on digitalisation of the EU return system</w:t>
      </w:r>
      <w:r>
        <w:rPr>
          <w:noProof/>
        </w:rPr>
        <w:t xml:space="preserve"> with a holistic approach to all the elements of the Pact implementation.</w:t>
      </w:r>
    </w:p>
    <w:p w14:paraId="6B6E20EE" w14:textId="77777777" w:rsidR="006B25DA" w:rsidRPr="00C12801" w:rsidRDefault="006B25DA" w:rsidP="006B25DA">
      <w:pPr>
        <w:spacing w:after="120"/>
        <w:rPr>
          <w:b/>
          <w:bCs/>
          <w:noProof/>
        </w:rPr>
      </w:pPr>
      <w:r w:rsidRPr="00C12801">
        <w:rPr>
          <w:b/>
          <w:bCs/>
          <w:noProof/>
        </w:rPr>
        <w:t>EU Agencies</w:t>
      </w:r>
    </w:p>
    <w:p w14:paraId="7AF24976" w14:textId="77777777" w:rsidR="006B25DA" w:rsidRPr="00C12801" w:rsidRDefault="006B25DA" w:rsidP="006B25DA">
      <w:pPr>
        <w:spacing w:after="120"/>
        <w:rPr>
          <w:i/>
          <w:iCs/>
          <w:noProof/>
        </w:rPr>
      </w:pPr>
      <w:r w:rsidRPr="00C12801">
        <w:rPr>
          <w:i/>
          <w:iCs/>
          <w:noProof/>
        </w:rPr>
        <w:t>Practical support</w:t>
      </w:r>
    </w:p>
    <w:p w14:paraId="3539D32F" w14:textId="46887B77" w:rsidR="00F04279" w:rsidRDefault="006B25DA" w:rsidP="001228CD">
      <w:pPr>
        <w:pStyle w:val="ListParagraph"/>
        <w:numPr>
          <w:ilvl w:val="0"/>
          <w:numId w:val="30"/>
        </w:numPr>
        <w:spacing w:after="80"/>
        <w:ind w:left="714" w:hanging="357"/>
        <w:contextualSpacing w:val="0"/>
        <w:rPr>
          <w:noProof/>
        </w:rPr>
      </w:pPr>
      <w:r w:rsidRPr="003A3CA2">
        <w:rPr>
          <w:bCs/>
          <w:noProof/>
        </w:rPr>
        <w:t>Frontex</w:t>
      </w:r>
      <w:r>
        <w:rPr>
          <w:noProof/>
        </w:rPr>
        <w:t xml:space="preserve">, in close cooperation with the Commission and the Return Coordinator, </w:t>
      </w:r>
      <w:r w:rsidRPr="00C12801">
        <w:rPr>
          <w:noProof/>
        </w:rPr>
        <w:t xml:space="preserve">will play a key role in the implementation of this building block by supporting Member States in all phases of the return process. Reinforcing and making full use of Frontex support for identification, return operations </w:t>
      </w:r>
      <w:r w:rsidRPr="003E405D">
        <w:rPr>
          <w:noProof/>
        </w:rPr>
        <w:t>and sustainable reintegration support will be critical.</w:t>
      </w:r>
    </w:p>
    <w:p w14:paraId="3BF92F93" w14:textId="02D0CC50" w:rsidR="006B25DA" w:rsidRPr="00C12801" w:rsidRDefault="005E3EED" w:rsidP="001228CD">
      <w:pPr>
        <w:pStyle w:val="ListParagraph"/>
        <w:numPr>
          <w:ilvl w:val="0"/>
          <w:numId w:val="30"/>
        </w:numPr>
        <w:spacing w:after="80"/>
        <w:ind w:left="714" w:hanging="357"/>
        <w:rPr>
          <w:noProof/>
        </w:rPr>
      </w:pPr>
      <w:r>
        <w:rPr>
          <w:noProof/>
        </w:rPr>
        <w:t>A</w:t>
      </w:r>
      <w:r w:rsidRPr="00C12801">
        <w:rPr>
          <w:noProof/>
        </w:rPr>
        <w:t xml:space="preserve"> predictable coordination system within Frontex, based on joint planning of Member States’ use of Frontex support</w:t>
      </w:r>
      <w:r>
        <w:rPr>
          <w:noProof/>
        </w:rPr>
        <w:t>,</w:t>
      </w:r>
      <w:r w:rsidRPr="00C12801">
        <w:rPr>
          <w:noProof/>
        </w:rPr>
        <w:t xml:space="preserve"> should allow </w:t>
      </w:r>
      <w:r>
        <w:rPr>
          <w:noProof/>
        </w:rPr>
        <w:t xml:space="preserve">for a </w:t>
      </w:r>
      <w:r w:rsidRPr="00C12801">
        <w:rPr>
          <w:noProof/>
        </w:rPr>
        <w:t>better pooling of resources during all phases of return</w:t>
      </w:r>
      <w:r>
        <w:rPr>
          <w:noProof/>
        </w:rPr>
        <w:t>. This system should build</w:t>
      </w:r>
      <w:r w:rsidR="005F0618">
        <w:rPr>
          <w:noProof/>
        </w:rPr>
        <w:t xml:space="preserve"> </w:t>
      </w:r>
      <w:r w:rsidR="006B25DA" w:rsidRPr="003E405D">
        <w:rPr>
          <w:noProof/>
        </w:rPr>
        <w:t xml:space="preserve">on the work on </w:t>
      </w:r>
      <w:r w:rsidR="00F04279">
        <w:rPr>
          <w:noProof/>
        </w:rPr>
        <w:t>t</w:t>
      </w:r>
      <w:r w:rsidR="006B25DA" w:rsidRPr="003E405D">
        <w:rPr>
          <w:noProof/>
        </w:rPr>
        <w:t>argeted return</w:t>
      </w:r>
      <w:r w:rsidR="006B25DA">
        <w:rPr>
          <w:noProof/>
        </w:rPr>
        <w:t xml:space="preserve"> actions</w:t>
      </w:r>
      <w:r w:rsidR="00F04279">
        <w:rPr>
          <w:noProof/>
        </w:rPr>
        <w:t>,</w:t>
      </w:r>
      <w:r w:rsidR="006B25DA">
        <w:rPr>
          <w:noProof/>
        </w:rPr>
        <w:t xml:space="preserve"> focusing on strengthening coherence, coordination, efficiency gains and exchange of best practices between and within Member States, </w:t>
      </w:r>
      <w:r w:rsidR="006B25DA" w:rsidRPr="00C12801">
        <w:rPr>
          <w:noProof/>
        </w:rPr>
        <w:t>under the steer of the Return Coordinator</w:t>
      </w:r>
      <w:r>
        <w:rPr>
          <w:noProof/>
        </w:rPr>
        <w:t>.</w:t>
      </w:r>
    </w:p>
    <w:tbl>
      <w:tblPr>
        <w:tblStyle w:val="TableGrid"/>
        <w:tblW w:w="5000" w:type="pct"/>
        <w:tblLook w:val="04A0" w:firstRow="1" w:lastRow="0" w:firstColumn="1" w:lastColumn="0" w:noHBand="0" w:noVBand="1"/>
      </w:tblPr>
      <w:tblGrid>
        <w:gridCol w:w="108"/>
        <w:gridCol w:w="1300"/>
        <w:gridCol w:w="7348"/>
        <w:gridCol w:w="78"/>
      </w:tblGrid>
      <w:tr w:rsidR="006B25DA" w14:paraId="7ADB39A6" w14:textId="77777777">
        <w:tc>
          <w:tcPr>
            <w:tcW w:w="5000" w:type="pct"/>
            <w:gridSpan w:val="4"/>
          </w:tcPr>
          <w:p w14:paraId="61A2F00B" w14:textId="77777777" w:rsidR="006B25DA" w:rsidRPr="00C73649" w:rsidRDefault="006B25DA">
            <w:pPr>
              <w:tabs>
                <w:tab w:val="num" w:pos="1332"/>
              </w:tabs>
              <w:spacing w:after="120"/>
              <w:rPr>
                <w:b/>
                <w:i/>
                <w:noProof/>
                <w:u w:val="single"/>
              </w:rPr>
            </w:pPr>
            <w:r w:rsidRPr="5303ADCC">
              <w:rPr>
                <w:b/>
                <w:i/>
                <w:noProof/>
                <w:u w:val="single"/>
              </w:rPr>
              <w:t>Key milestones to consider:</w:t>
            </w:r>
          </w:p>
          <w:p w14:paraId="42DFC770" w14:textId="77777777" w:rsidR="006B25DA" w:rsidRPr="00C73649" w:rsidRDefault="006B25DA" w:rsidP="001228CD">
            <w:pPr>
              <w:pStyle w:val="ListDash1"/>
              <w:tabs>
                <w:tab w:val="clear" w:pos="765"/>
                <w:tab w:val="num" w:pos="283"/>
              </w:tabs>
              <w:spacing w:after="80"/>
              <w:ind w:left="284" w:hanging="284"/>
              <w:rPr>
                <w:noProof/>
              </w:rPr>
            </w:pPr>
            <w:r>
              <w:rPr>
                <w:noProof/>
              </w:rPr>
              <w:t>By end of 2024, all Member States should actively use the Frontex EU Reintegration Programme.</w:t>
            </w:r>
          </w:p>
          <w:p w14:paraId="1DF2EDAE" w14:textId="77777777" w:rsidR="006B25DA" w:rsidRPr="00C73649" w:rsidRDefault="006B25DA" w:rsidP="001228CD">
            <w:pPr>
              <w:pStyle w:val="ListDash1"/>
              <w:tabs>
                <w:tab w:val="clear" w:pos="765"/>
                <w:tab w:val="num" w:pos="283"/>
              </w:tabs>
              <w:spacing w:after="80"/>
              <w:ind w:left="284" w:hanging="284"/>
              <w:rPr>
                <w:noProof/>
              </w:rPr>
            </w:pPr>
            <w:r>
              <w:rPr>
                <w:noProof/>
              </w:rPr>
              <w:t>By January 2025, Frontex, working closely with the Commission and Member States, will set up a comprehensive planning system, focused on key priority third countries.</w:t>
            </w:r>
          </w:p>
          <w:p w14:paraId="0B94E576" w14:textId="77777777" w:rsidR="006B25DA" w:rsidRPr="00B12866" w:rsidRDefault="006B25DA" w:rsidP="001228CD">
            <w:pPr>
              <w:pStyle w:val="ListDash1"/>
              <w:tabs>
                <w:tab w:val="clear" w:pos="765"/>
                <w:tab w:val="num" w:pos="283"/>
              </w:tabs>
              <w:spacing w:after="80"/>
              <w:ind w:left="284" w:hanging="284"/>
              <w:rPr>
                <w:noProof/>
              </w:rPr>
            </w:pPr>
            <w:r>
              <w:rPr>
                <w:noProof/>
              </w:rPr>
              <w:t>By June 2025, the Return Coordinator will develop as a ‘targeted action’ a manual to guide actors involved in return within Member States to be linked through an efficient workflow.</w:t>
            </w:r>
          </w:p>
          <w:p w14:paraId="6A338AA6" w14:textId="77777777" w:rsidR="006B25DA" w:rsidRPr="00B12866" w:rsidRDefault="006B25DA" w:rsidP="001228CD">
            <w:pPr>
              <w:pStyle w:val="ListDash1"/>
              <w:tabs>
                <w:tab w:val="clear" w:pos="765"/>
                <w:tab w:val="num" w:pos="283"/>
              </w:tabs>
              <w:spacing w:after="80"/>
              <w:ind w:left="284" w:hanging="284"/>
              <w:rPr>
                <w:noProof/>
              </w:rPr>
            </w:pPr>
            <w:r>
              <w:rPr>
                <w:noProof/>
              </w:rPr>
              <w:t>In 2025, the Commission will set up mechanisms to support those Member States that are not yet issuing return decisions alongside negative asylum decisions to develop capacities to do so.</w:t>
            </w:r>
          </w:p>
          <w:p w14:paraId="565AF7A4" w14:textId="5B994499" w:rsidR="006B25DA" w:rsidRDefault="006B25DA" w:rsidP="001228CD">
            <w:pPr>
              <w:pStyle w:val="ListDash1"/>
              <w:tabs>
                <w:tab w:val="clear" w:pos="765"/>
                <w:tab w:val="num" w:pos="283"/>
              </w:tabs>
              <w:spacing w:after="80"/>
              <w:ind w:left="284" w:hanging="284"/>
              <w:rPr>
                <w:noProof/>
              </w:rPr>
            </w:pPr>
            <w:r w:rsidRPr="00C23F77">
              <w:rPr>
                <w:noProof/>
              </w:rPr>
              <w:t xml:space="preserve">By </w:t>
            </w:r>
            <w:r w:rsidR="00EF1693" w:rsidRPr="001228CD">
              <w:rPr>
                <w:noProof/>
              </w:rPr>
              <w:t>mid-</w:t>
            </w:r>
            <w:r w:rsidRPr="00C23F77">
              <w:rPr>
                <w:noProof/>
              </w:rPr>
              <w:t>2026,</w:t>
            </w:r>
            <w:r>
              <w:rPr>
                <w:noProof/>
              </w:rPr>
              <w:t xml:space="preserve"> based on Frontex’s gap analysis, Frontex will assist Member States to put in place an IT return case management system.</w:t>
            </w:r>
            <w:r w:rsidR="009555D5">
              <w:rPr>
                <w:noProof/>
              </w:rPr>
              <w:t xml:space="preserve"> </w:t>
            </w:r>
          </w:p>
        </w:tc>
      </w:tr>
      <w:tr w:rsidR="006B25DA" w:rsidRPr="00C12801" w14:paraId="59E4DA12" w14:textId="77777777">
        <w:trPr>
          <w:gridBefore w:val="1"/>
          <w:gridAfter w:val="1"/>
          <w:wBefore w:w="108" w:type="dxa"/>
          <w:wAfter w:w="79" w:type="dxa"/>
          <w:trHeight w:val="572"/>
        </w:trPr>
        <w:tc>
          <w:tcPr>
            <w:tcW w:w="1302" w:type="dxa"/>
            <w:vMerge w:val="restart"/>
            <w:tcBorders>
              <w:right w:val="single" w:sz="4" w:space="0" w:color="FFFFFF" w:themeColor="background1"/>
            </w:tcBorders>
          </w:tcPr>
          <w:p w14:paraId="6AD66ABC" w14:textId="77777777" w:rsidR="006B25DA" w:rsidRPr="00C12801" w:rsidRDefault="00A2365E">
            <w:pPr>
              <w:pStyle w:val="Text1"/>
              <w:spacing w:before="120" w:after="120"/>
              <w:ind w:left="0"/>
              <w:jc w:val="center"/>
              <w:rPr>
                <w:noProof/>
              </w:rPr>
            </w:pPr>
            <w:r>
              <w:rPr>
                <w:noProof/>
              </w:rPr>
              <w:pict w14:anchorId="3A06A615">
                <v:group id="Group 33" o:spid="_x0000_s2060" style="position:absolute;left:0;text-align:left;margin-left:.75pt;margin-top:4.85pt;width:52.15pt;height:52.15pt;z-index:251658244;mso-position-horizontal-relative:text;mso-position-vertical-relative:text" coordsize="15897,15897">
                  <v:shape id="Graphic 34" o:spid="_x0000_s2061"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">
                    <v:imagedata r:id="rId30" o:title=""/>
                  </v:shape>
                  <v:shape id="Freeform: Shape 19" o:spid="_x0000_s2062" style="position:absolute;left:8266;top:3531;width:4114;height:4464;visibility:visible;mso-wrap-style:square;v-text-anchor:middle" coordsize="411370,44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" path="m336848,197013v346,3807,692,7786,1038,11592c338924,221927,340135,235767,342038,249089v2595,18858,5363,38408,692,60034c339616,324694,336328,340091,333041,355489r-4325,20069c325948,388361,315740,399260,302592,403239v-12457,3807,-25778,693,-35121,-8304c257610,385766,253630,371752,256572,357738r8996,-43079c266433,310853,266606,307047,266433,303068l133736,435765v-7094,7093,-16436,10554,-25606,10554c98961,446319,89618,442685,82525,435765v-3460,-3460,-6228,-7612,-7958,-12111l72837,425385v-6748,6920,-15917,10553,-25606,10553c37543,435938,28373,432132,21626,425385v-14187,-14187,-14187,-37197,,-51211l23356,372444v-4498,-1730,-8650,-4498,-12110,-7958c4498,357738,692,348569,692,338880v,-9688,3806,-18858,10554,-25605l22664,301857v-4498,-1731,-8650,-4499,-12110,-7959c3806,287151,,278154,,268466v,-9689,3806,-19204,10727,-25951l145846,107395c164185,89056,188060,77811,213665,75215l285118,3244v4325,-4325,11246,-4325,15571,c305014,7569,305014,14489,300689,18815l225603,93900v-1903,1903,-4498,3115,-7093,3115c196711,98399,176123,107741,160725,123139l25605,258258v-2768,2769,-4325,6402,-4152,10381c21453,272445,22837,275905,25605,278500v2595,2596,6229,4153,10035,4153c39792,283172,43079,281269,45674,278673r83909,-83909c133909,190439,140829,190439,145154,194764v4325,4325,4325,11246,,15571l61418,294071v,,,,,c61418,294071,61418,294071,61245,294244l26470,329019v-5536,5536,-5536,14533,,20242c32007,354797,41176,354797,46712,349261l148095,247878v4325,-4325,11246,-4325,15571,c167991,252203,167991,259123,163666,263449l37024,390091v-5536,5536,-5536,14533,,20242c42387,415696,51903,415696,57266,410333l183908,283691v4325,-4326,11246,-4326,15571,c203804,288016,203804,294936,199479,299261l98269,400471v,,,,,173c95501,403412,94117,406873,94117,410679v,3806,1384,7439,4152,10207c103805,426423,112975,426423,118511,420886l264011,275213v5017,-5536,15398,-3806,18339,3114c282350,278327,282350,278500,282350,278500v6055,12976,7958,27509,4844,41176l278198,362582v-1384,6402,346,12803,4498,16782c287540,384036,292730,383690,296190,382651v5537,-1730,9862,-6228,11073,-11245l311588,351337v3287,-15398,6575,-30796,9689,-46366c325083,286978,322834,270196,320239,252376v-1903,-13841,-3114,-28027,-4325,-41695c315394,205145,315048,199782,314529,193726v,-3114,1038,-6228,3288,-8477l392556,110682v4325,-4325,11246,-4325,15571,c412452,115007,412452,121928,408127,126253r-71107,70933l336848,197013xe" fillcolor="white [3212]" stroked="f" strokeweight="0">
                    <v:stroke joinstyle="miter"/>
                    <v:path arrowok="t" o:connecttype="custom" o:connectlocs="336848,197013;337886,208605;342038,249089;342730,309123;333041,355489;328716,375558;302592,403239;267471,394935;256572,357738;265568,314659;266433,303068;133736,435765;108130,446319;82525,435765;74567,423654;72837,425385;47231,435938;21626,425385;21626,374174;23356,372444;11246,364486;692,338880;11246,313275;22664,301857;10554,293898;0,268466;10727,242515;145846,107395;213665,75215;285118,3244;300689,3244;300689,18815;225603,93900;218510,97015;160725,123139;25605,258258;21453,268639;25605,278500;35640,282653;45674,278673;129583,194764;145154,194764;145154,210335;61418,294071;61418,294071;61245,294244;26470,329019;26470,349261;46712,349261;148095,247878;163666,247878;163666,263449;37024,390091;37024,410333;57266,410333;183908,283691;199479,283691;199479,299261;98269,400471;98269,400644;94117,410679;98269,420886;118511,420886;264011,275213;282350,278327;282350,278500;287194,319676;278198,362582;282696,379364;296190,382651;307263,371406;311588,351337;321277,304971;320239,252376;315914,210681;314529,193726;317817,185249;392556,110682;408127,110682;408127,126253;337020,197186" o:connectangles="0,0,0,0,0,0,0,0,0,0,0,0,0,0,0,0,0,0,0,0,0,0,0,0,0,0,0,0,0,0,0,0,0,0,0,0,0,0,0,0,0,0,0,0,0,0,0,0,0,0,0,0,0,0,0,0,0,0,0,0,0,0,0,0,0,0,0,0,0,0,0,0,0,0,0,0,0,0,0,0,0"/>
                  </v:shape>
                  <v:shape id="Freeform: Shape 20" o:spid="_x0000_s2063" style="position:absolute;left:7912;top:8424;width:4466;height:4119;visibility:visible;mso-wrap-style:square;v-text-anchor:middle" coordsize="446578,41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" path="m22924,75086l21021,73183c14273,66435,10467,57266,10467,47577v,-9688,3806,-18858,10554,-25605c35207,7785,58217,7785,72231,21972r1730,1730c75691,19204,78459,15052,81920,11419v13667,-13668,37542,-13668,51210,l144549,22837v1730,-4498,4498,-8650,7958,-12284c159254,3806,168251,,177939,v10035,,19204,3806,25952,10727l339010,145846v18339,18339,29585,42214,32180,67819l443334,285810v4325,4325,4325,11246,,15571c441258,303457,438317,304668,435549,304668v-2768,,-5536,-1038,-7786,-3287l352678,226295v-1903,-1903,-3114,-4498,-3287,-7093c348007,197403,338837,176815,323266,161417l188147,26297v-2768,-2768,-6402,-4152,-10381,-4152c173960,21626,170500,23529,167905,26297v-2595,2595,-4152,6229,-4152,10035c163753,40138,165137,43771,167905,46539r83909,83909c256139,134774,256139,141694,251814,146019v-2076,2076,-5017,3287,-7786,3287c241260,149306,238319,148268,236243,146019l152507,62283v,,,,,c152507,62283,152507,62110,152334,62110l117559,27335v-5536,-5536,-14705,-5536,-20242,c91781,32872,91781,42041,97317,47577l198700,148960v4325,4325,4325,11246,,15571c194375,168856,187455,168856,183129,164531l56487,37889v-5536,-5536,-14705,-5536,-20242,c33650,40484,32093,44117,32093,47923v,3807,1384,7440,4152,10035l162887,184600v4326,4325,4326,11246,,15571c160811,202247,157870,203458,155102,203458v-2768,,-5536,-1038,-7785,-3287l46107,98961v,,,,-173,c40397,93425,31055,93598,25865,98961v-5536,5536,-5536,14706,,20242l171538,264703v2249,2076,3633,5017,3633,8131c175171,277333,172576,281312,168424,283042v,,,,-173,c155275,289097,140742,290827,127075,287886l84169,278890v-6402,-1384,-12803,346,-16782,4498c62716,288232,63062,293422,64100,296882v1730,5537,6228,9862,11245,10900l95414,312107v15398,3287,30796,6575,46366,9689c159773,325602,176555,323353,194375,320758v13841,-1903,28027,-3114,41695,-4326c241606,315913,247143,315567,253025,315048v3114,,6228,1038,8477,3288l336069,393075v4325,4325,4325,11246,,15571c333993,410722,331052,411933,328284,411933v-2769,,-5710,-1038,-7786,-3287l249565,337540v-3806,346,-7786,692,-11592,1038c224651,339616,210811,340827,197489,342730v-18858,2595,-38408,5363,-60034,692c122058,340308,106487,337020,91089,333733l71020,329408c58217,326640,47318,316432,43339,303284v-3807,-12630,-692,-25778,8304,-35121c60812,258302,74826,254322,88840,257264r42906,8996c135552,267125,139358,267471,143338,267125l10640,134428v-14187,-14187,-14187,-37197,,-51384c14100,79584,18425,76989,22924,75259e" fillcolor="white [3212]" stroked="f" strokeweight="0">
                    <v:stroke joinstyle="miter"/>
                    <v:path arrowok="t" o:connecttype="custom" o:connectlocs="22924,75086;21021,73183;10467,47577;21021,21972;72231,21972;73961,23702;81920,11419;133130,11419;144549,22837;152507,10553;177939,0;203891,10727;339010,145846;371190,213665;443334,285810;443334,301381;435549,304668;427763,301381;352678,226295;349391,219202;323266,161417;188147,26297;177766,22145;167905,26297;163753,36332;167905,46539;251814,130448;251814,146019;244028,149306;236243,146019;152507,62283;152507,62283;152334,62110;117559,27335;97317,27335;97317,47577;198700,148960;198700,164531;183129,164531;56487,37889;36245,37889;32093,47923;36245,57958;162887,184600;162887,200171;155102,203458;147317,200171;46107,98961;45934,98961;25865,98961;25865,119203;171538,264703;175171,272834;168424,283042;168251,283042;127075,287886;84169,278890;67387,283388;64100,296882;75345,307782;95414,312107;141780,321796;194375,320758;236070,316432;253025,315048;261502,318336;336069,393075;336069,408646;328284,411933;320498,408646;249565,337540;237973,338578;197489,342730;137455,343422;91089,333733;71020,329408;43339,303284;51643,268163;88840,257264;131746,266260;143338,267125;10640,134428;10640,83044;22924,75259" o:connectangles="0,0,0,0,0,0,0,0,0,0,0,0,0,0,0,0,0,0,0,0,0,0,0,0,0,0,0,0,0,0,0,0,0,0,0,0,0,0,0,0,0,0,0,0,0,0,0,0,0,0,0,0,0,0,0,0,0,0,0,0,0,0,0,0,0,0,0,0,0,0,0,0,0,0,0,0,0,0,0,0,0,0,0,0"/>
                  </v:shape>
                  <v:shape id="Freeform: Shape 21" o:spid="_x0000_s2064" style="position:absolute;left:3362;top:8078;width:4120;height:4467;visibility:visible;mso-wrap-style:square;v-text-anchor:middle" coordsize="412062,44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" path="m74869,249392v-346,-3806,-692,-7786,-1038,-11592c72793,224478,71582,210638,69679,197316v-2595,-18858,-5363,-38408,-692,-60034c72101,121711,75388,106314,78676,90916l83001,70847c85769,58044,95976,47145,109125,43166v12457,-3807,25778,-692,35121,8304c154107,60639,158086,74653,155145,88667r-8996,43079c145284,135552,145111,139358,145284,143338l277981,10640v14187,-14187,37197,-14187,51384,c332825,14100,335593,18252,337323,22751r1730,-1730c352721,7353,376596,7353,390264,21021v14187,14186,14187,37196,,51210l388361,74134v4498,1730,8823,4325,12283,7786c407392,88667,411198,97836,411198,107525v,9688,-3806,18858,-10554,25605l389226,144549v4498,1730,8650,4498,12283,7958c408257,159081,412063,168251,412063,177939v,9689,-3806,19204,-10727,25951l266217,339010v-18339,18339,-42214,29585,-67820,32180l126253,443334v-2076,2076,-5017,3287,-7785,3287c115699,446621,112758,445583,110682,443334v-4325,-4325,-4325,-11245,,-15571l185768,352678v1903,-1903,4498,-3114,7093,-3114c214660,348180,235248,338837,250646,323439l385766,188320v2768,-2768,4325,-6402,4152,-10381c389918,174133,388534,170673,385766,168078v-2595,-2595,-6229,-4153,-10035,-4153l375731,163925v-3806,,-7439,1558,-10207,4153l281615,251987v-2077,2076,-5018,3287,-7786,3287c271061,255274,268293,254236,266044,251987v-4325,-4325,-4325,-11246,,-15571l349780,152680v,,,,,c349780,152680,349953,152680,349953,152507r34775,-34775c390264,112196,390264,103200,384728,97490v-5537,-5536,-14706,-5536,-20242,l263103,198873v-2076,2076,-5018,3287,-7786,3287c252549,202160,249608,201122,247532,198873v-4325,-4325,-4325,-11245,,-15571l374174,56660v5536,-5536,5536,-14532,,-20242c368811,31055,359295,31055,353932,36418l227290,163060v-4325,4326,-11246,4326,-15571,c207394,158735,207394,151815,211719,147490l312929,46280v,,,,,-173c315697,43339,317081,39878,317081,36072v,-3806,-1384,-7439,-4152,-10207c307393,20328,298223,20328,292687,25865l147187,171538v-5017,5536,-15398,3806,-18339,-3114c128848,168424,128848,168251,128848,168251v-6055,-12976,-7958,-27509,-4844,-41176l133000,84169v1384,-6402,-346,-12803,-4498,-16782c123658,62716,118468,63062,115007,64100v-5536,1730,-9861,6228,-10899,11245l99783,95414v-3288,15398,-6575,30796,-9689,46366c86288,159773,88537,176555,91132,194375v1903,13841,3114,28027,4325,41695c95976,241606,96322,246970,96841,253025v,3114,-1038,6228,-3287,8477l18815,336069v-2076,2076,-5018,3287,-7786,3287c8261,339356,5493,338318,3244,336069v-4325,-4325,-4325,-11246,,-15571l74350,249565r519,-173xe" fillcolor="white [3212]" stroked="f" strokeweight="0">
                    <v:stroke joinstyle="miter"/>
                    <v:path arrowok="t" o:connecttype="custom" o:connectlocs="74869,249392;73831,237800;69679,197316;68987,137282;78676,90916;83001,70847;109125,43166;144246,51470;155145,88667;146149,131746;145284,143338;277981,10640;329365,10640;337323,22751;339053,21021;390264,21021;390264,72231;388361,74134;400644,81920;411198,107525;400644,133130;389226,144549;401509,152507;412063,177939;401336,203890;266217,339010;198397,371190;126253,443334;118468,446621;110682,443334;110682,427763;185768,352678;192861,349564;250646,323439;385766,188320;389918,177939;385766,168078;375731,163925;375731,163925;365524,168078;281615,251987;273829,255274;266044,251987;266044,236416;349780,152680;349780,152680;349953,152507;384728,117732;384728,97490;364486,97490;263103,198873;255317,202160;247532,198873;247532,183302;374174,56660;374174,36418;353932,36418;227290,163060;211719,163060;211719,147490;312929,46280;312929,46107;317081,36072;312929,25865;292687,25865;147187,171538;128848,168424;128848,168251;124004,127075;133000,84169;128502,67387;115007,64100;104108,75345;99783,95414;90094,141780;91132,194375;95457,236070;96841,253025;93554,261502;18815,336069;11029,339356;3244,336069;3244,320498;74350,249565" o:connectangles="0,0,0,0,0,0,0,0,0,0,0,0,0,0,0,0,0,0,0,0,0,0,0,0,0,0,0,0,0,0,0,0,0,0,0,0,0,0,0,0,0,0,0,0,0,0,0,0,0,0,0,0,0,0,0,0,0,0,0,0,0,0,0,0,0,0,0,0,0,0,0,0,0,0,0,0,0,0,0,0,0,0,0,0"/>
                  </v:shape>
                  <v:shape id="Freeform: Shape 22" o:spid="_x0000_s2065" style="position:absolute;left:3367;top:3530;width:4466;height:4119;visibility:visible;mso-wrap-style:square;v-text-anchor:middle" coordsize="446578,4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" path="m374520,389918r-1730,-1730c371060,392686,368292,396838,364832,400298v-6748,6921,-15917,10554,-25606,10554c329538,410852,320368,407046,313621,400298l302203,389053v-1731,4498,-4326,8650,-7959,12283c287497,408084,278500,411890,268812,411890r,c259123,411890,249781,408084,243034,401163l107914,266044c89575,247705,78330,223830,75734,198224l3244,125907v-4325,-4325,-4325,-11246,,-15571c7569,106011,14489,106011,18815,110336r75258,75259c95976,187498,97188,190093,97361,192688v1384,21799,10553,42387,26124,57785l258604,385593v2769,2768,6402,4152,10381,4152c273137,389399,276251,388361,279019,385593v5537,-5364,5537,-14360,519,-19550c279538,366043,279192,365697,279019,365351l195110,281442v-4325,-4326,-4325,-11246,,-15571c199436,261546,206356,261546,210681,265871r83563,83736c294244,349607,294244,349607,294244,349607v,,173,173,346,346l329192,384555v5536,5536,14533,5536,20242,c354970,379018,354970,370022,349434,364313l248051,262930v-4325,-4326,-4325,-11246,,-15571c252376,243034,259296,243034,263622,247359l390264,374001v5536,5536,14706,5536,20242,c413101,371406,414658,367773,414658,363967v,-3807,-1384,-7440,-4152,-10035l283864,227290v-4326,-4325,-4326,-11246,,-15571c288189,207394,295109,207394,299434,211719l400644,312929v,,,,173,c406354,318465,415696,318292,420886,312929v5537,-5536,5537,-14706,,-20242l275386,147014v-2249,-2076,-3633,-5017,-3633,-8131c271753,134384,274348,130405,278500,128675v,,173,,173,c291649,122447,306182,120717,319849,123831r42906,8823c369157,134038,375558,132308,379537,128156v4672,-4844,4326,-10034,3287,-13495c381094,109125,376596,104800,371579,103762l351510,99437c336112,96149,320714,92862,305144,89748v-17993,-3806,-34775,-1557,-52595,1038c238708,92689,224522,93900,210854,94938v-5536,519,-10899,865,-16782,1384c190958,96495,187844,95284,185595,93035l110682,18815v-4325,-4326,-4325,-11246,,-15571c115007,-1081,121928,-1081,126253,3244r70933,71106c200993,74004,204972,73658,208778,73312v13322,-1038,27162,-2249,40484,-4152c268120,66565,287670,63797,309296,68468v15398,3114,30968,6574,46366,9689l375731,82482v12803,2768,23702,12975,27681,26124c407219,121236,404105,134384,395108,143727v-9342,9861,-23183,13840,-37197,10899l314832,145630v-3806,-865,-7612,-1038,-11591,-865l435938,277462v14187,14187,14187,37197,,51384c432478,332306,428326,335074,423827,336804r1731,1730c432305,345455,436111,354451,436111,364140v,9688,-3806,18857,-10553,25605c418464,396838,409295,400298,399952,400298v-9342,,-18512,-3460,-25605,-10553e" fillcolor="white [3212]" stroked="f" strokeweight="0">
                    <v:stroke joinstyle="miter"/>
                    <v:path arrowok="t" o:connecttype="custom" o:connectlocs="374520,389918;372790,388188;364832,400298;339226,410852;313621,400298;302203,389053;294244,401336;268812,411890;268812,411890;243034,401163;107914,266044;75734,198224;3244,125907;3244,110336;18815,110336;94073,185595;97361,192688;123485,250473;258604,385593;268985,389745;279019,385593;279538,366043;279019,365351;195110,281442;195110,265871;210681,265871;294244,349607;294244,349607;294590,349953;329192,384555;349434,384555;349434,364313;248051,262930;248051,247359;263622,247359;390264,374001;410506,374001;414658,363967;410506,353932;283864,227290;283864,211719;299434,211719;400644,312929;400817,312929;420886,312929;420886,292687;275386,147014;271753,138883;278500,128675;278673,128675;319849,123831;362755,132654;379537,128156;382824,114661;371579,103762;351510,99437;305144,89748;252549,90786;210854,94938;194072,96322;185595,93035;110682,18815;110682,3244;126253,3244;197186,74350;208778,73312;249262,69160;309296,68468;355662,78157;375731,82482;403412,108606;395108,143727;357911,154626;314832,145630;303241,144765;435938,277462;435938,328846;423827,336804;425558,338534;436111,364140;425558,389745;399952,400298;374347,389745" o:connectangles="0,0,0,0,0,0,0,0,0,0,0,0,0,0,0,0,0,0,0,0,0,0,0,0,0,0,0,0,0,0,0,0,0,0,0,0,0,0,0,0,0,0,0,0,0,0,0,0,0,0,0,0,0,0,0,0,0,0,0,0,0,0,0,0,0,0,0,0,0,0,0,0,0,0,0,0,0,0,0,0,0,0,0"/>
                  </v:shape>
                </v:group>
              </w:pict>
            </w:r>
          </w:p>
        </w:tc>
        <w:tc>
          <w:tcPr>
            <w:tcW w:w="7345" w:type="dxa"/>
            <w:tcBorders>
              <w:left w:val="single" w:sz="4" w:space="0" w:color="FFFFFF" w:themeColor="background1"/>
              <w:bottom w:val="single" w:sz="4" w:space="0" w:color="FFFFFF" w:themeColor="background1"/>
            </w:tcBorders>
          </w:tcPr>
          <w:p w14:paraId="3EC9AC54" w14:textId="77777777" w:rsidR="006B25DA" w:rsidRPr="00C12801" w:rsidRDefault="006B25DA">
            <w:pPr>
              <w:pStyle w:val="Text1"/>
              <w:spacing w:before="60" w:after="120"/>
              <w:ind w:left="36"/>
              <w:rPr>
                <w:rFonts w:eastAsia="EC Square Sans Pro"/>
                <w:b/>
                <w:bCs/>
                <w:noProof/>
                <w:u w:val="single"/>
              </w:rPr>
            </w:pPr>
            <w:r w:rsidRPr="00C12801">
              <w:rPr>
                <w:rFonts w:eastAsia="EC Square Sans Pro"/>
                <w:b/>
                <w:bCs/>
                <w:noProof/>
                <w:u w:val="single"/>
              </w:rPr>
              <w:t>BUILDING BLOCK 6</w:t>
            </w:r>
          </w:p>
        </w:tc>
      </w:tr>
      <w:tr w:rsidR="006B25DA" w:rsidRPr="00C12801" w14:paraId="5E917FE7" w14:textId="77777777">
        <w:trPr>
          <w:gridBefore w:val="1"/>
          <w:gridAfter w:val="1"/>
          <w:wBefore w:w="108" w:type="dxa"/>
          <w:wAfter w:w="79" w:type="dxa"/>
          <w:trHeight w:val="675"/>
        </w:trPr>
        <w:tc>
          <w:tcPr>
            <w:tcW w:w="1302" w:type="dxa"/>
            <w:vMerge/>
            <w:tcBorders>
              <w:right w:val="single" w:sz="4" w:space="0" w:color="FFFFFF" w:themeColor="background1"/>
            </w:tcBorders>
          </w:tcPr>
          <w:p w14:paraId="3B8ED049"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70D96200" w14:textId="2BDB0B2F" w:rsidR="006B25DA" w:rsidRPr="00C12801" w:rsidRDefault="006B25DA">
            <w:pPr>
              <w:pStyle w:val="Text1"/>
              <w:spacing w:before="60" w:after="120"/>
              <w:ind w:left="36"/>
              <w:rPr>
                <w:rFonts w:eastAsia="EC Square Sans Pro"/>
                <w:b/>
                <w:bCs/>
                <w:noProof/>
              </w:rPr>
            </w:pPr>
            <w:r w:rsidRPr="00C12801">
              <w:rPr>
                <w:rFonts w:eastAsia="EC Square Sans Pro"/>
                <w:b/>
                <w:bCs/>
                <w:noProof/>
              </w:rPr>
              <w:t xml:space="preserve">A fair and efficient system: making the new responsibility rules work </w:t>
            </w:r>
          </w:p>
        </w:tc>
      </w:tr>
    </w:tbl>
    <w:p w14:paraId="0EE49BF6" w14:textId="77777777" w:rsidR="006B25DA" w:rsidRPr="00C12801" w:rsidRDefault="006B25DA" w:rsidP="006B25DA">
      <w:pPr>
        <w:spacing w:before="120" w:after="120"/>
        <w:rPr>
          <w:noProof/>
        </w:rPr>
      </w:pPr>
      <w:r w:rsidRPr="00C12801">
        <w:rPr>
          <w:noProof/>
        </w:rPr>
        <w:t>Establishing effective and stable responsibility-sharing across the Union and reducing incentives for secondary movement</w:t>
      </w:r>
      <w:r>
        <w:rPr>
          <w:noProof/>
        </w:rPr>
        <w:t>s</w:t>
      </w:r>
      <w:r w:rsidRPr="00C12801">
        <w:rPr>
          <w:noProof/>
        </w:rPr>
        <w:t xml:space="preserve"> is one of the top priorities of the Pact and an essential element to build trust among Member States.</w:t>
      </w:r>
    </w:p>
    <w:p w14:paraId="733FD414" w14:textId="5E707BB7" w:rsidR="006B25DA" w:rsidRPr="00C12801" w:rsidRDefault="006B25DA" w:rsidP="006B25DA">
      <w:pPr>
        <w:spacing w:after="120"/>
        <w:rPr>
          <w:noProof/>
        </w:rPr>
      </w:pPr>
      <w:r w:rsidRPr="00C12801">
        <w:rPr>
          <w:noProof/>
        </w:rPr>
        <w:t>Today, the Dublin III Regulation</w:t>
      </w:r>
      <w:r>
        <w:rPr>
          <w:rStyle w:val="FootnoteReference"/>
          <w:noProof/>
        </w:rPr>
        <w:footnoteReference w:id="27"/>
      </w:r>
      <w:r w:rsidRPr="00C12801">
        <w:rPr>
          <w:noProof/>
        </w:rPr>
        <w:t xml:space="preserve"> establishes the criteria and mechanisms for determining which Member State is responsible for examining an application for international protection. If applicant</w:t>
      </w:r>
      <w:r>
        <w:rPr>
          <w:noProof/>
        </w:rPr>
        <w:t>s</w:t>
      </w:r>
      <w:r w:rsidRPr="00C12801">
        <w:rPr>
          <w:noProof/>
        </w:rPr>
        <w:t xml:space="preserve"> for international protection </w:t>
      </w:r>
      <w:r>
        <w:rPr>
          <w:noProof/>
        </w:rPr>
        <w:t>are</w:t>
      </w:r>
      <w:r w:rsidRPr="00C12801">
        <w:rPr>
          <w:noProof/>
        </w:rPr>
        <w:t xml:space="preserve"> not present in the Member State </w:t>
      </w:r>
      <w:r>
        <w:rPr>
          <w:noProof/>
        </w:rPr>
        <w:t>responsible</w:t>
      </w:r>
      <w:r w:rsidR="00500E9D">
        <w:rPr>
          <w:noProof/>
        </w:rPr>
        <w:t xml:space="preserve"> for examining their application</w:t>
      </w:r>
      <w:r w:rsidRPr="00C12801">
        <w:rPr>
          <w:noProof/>
        </w:rPr>
        <w:t xml:space="preserve">, </w:t>
      </w:r>
      <w:r>
        <w:rPr>
          <w:noProof/>
        </w:rPr>
        <w:t>they</w:t>
      </w:r>
      <w:r w:rsidRPr="00C12801">
        <w:rPr>
          <w:noProof/>
        </w:rPr>
        <w:t xml:space="preserve"> must be transferred to that Member State. There have been important challenges to the implementation of the Dublin Regulation, especially with regard to carrying out transfers.</w:t>
      </w:r>
    </w:p>
    <w:p w14:paraId="72B7E771" w14:textId="77777777" w:rsidR="006B25DA" w:rsidRPr="00C12801" w:rsidRDefault="006B25DA" w:rsidP="006B25DA">
      <w:pPr>
        <w:spacing w:after="120"/>
        <w:rPr>
          <w:noProof/>
        </w:rPr>
      </w:pPr>
      <w:r w:rsidRPr="00C12801">
        <w:rPr>
          <w:noProof/>
        </w:rPr>
        <w:t>The newly adopted Asylum and Migration Management Regulation</w:t>
      </w:r>
      <w:r>
        <w:rPr>
          <w:noProof/>
        </w:rPr>
        <w:t xml:space="preserve"> (AMMR)</w:t>
      </w:r>
      <w:r w:rsidRPr="00C12801">
        <w:rPr>
          <w:noProof/>
        </w:rPr>
        <w:t xml:space="preserve"> reform</w:t>
      </w:r>
      <w:r>
        <w:rPr>
          <w:noProof/>
        </w:rPr>
        <w:t>s</w:t>
      </w:r>
      <w:r w:rsidRPr="00C12801">
        <w:rPr>
          <w:noProof/>
        </w:rPr>
        <w:t xml:space="preserve"> the Dublin system, </w:t>
      </w:r>
      <w:r>
        <w:rPr>
          <w:noProof/>
        </w:rPr>
        <w:t xml:space="preserve">by </w:t>
      </w:r>
      <w:r w:rsidRPr="00C12801">
        <w:rPr>
          <w:noProof/>
        </w:rPr>
        <w:t xml:space="preserve">introducing fairer and more efficient responsibility rules. The correct application </w:t>
      </w:r>
      <w:r>
        <w:rPr>
          <w:noProof/>
        </w:rPr>
        <w:t>of the new rules</w:t>
      </w:r>
      <w:r w:rsidRPr="00C12801">
        <w:rPr>
          <w:noProof/>
        </w:rPr>
        <w:t xml:space="preserve"> is fundamental for the effective functioning of </w:t>
      </w:r>
      <w:r>
        <w:rPr>
          <w:noProof/>
        </w:rPr>
        <w:t>Europe’s a</w:t>
      </w:r>
      <w:r w:rsidRPr="00C12801">
        <w:rPr>
          <w:noProof/>
        </w:rPr>
        <w:t xml:space="preserve">sylum system, and for ensuring solidarity among Member States. Ensuring systematic and swift transfers to the Member State responsible </w:t>
      </w:r>
      <w:r>
        <w:rPr>
          <w:noProof/>
        </w:rPr>
        <w:t xml:space="preserve">will help </w:t>
      </w:r>
      <w:r w:rsidRPr="00C12801">
        <w:rPr>
          <w:noProof/>
        </w:rPr>
        <w:t xml:space="preserve">to </w:t>
      </w:r>
      <w:r>
        <w:rPr>
          <w:noProof/>
        </w:rPr>
        <w:t>address ‘</w:t>
      </w:r>
      <w:r w:rsidRPr="00C12801">
        <w:rPr>
          <w:noProof/>
        </w:rPr>
        <w:t>asylum shopping</w:t>
      </w:r>
      <w:r>
        <w:rPr>
          <w:noProof/>
        </w:rPr>
        <w:t>’ and in turn discourage irregular arrivals and reduce some of the factors that incentivise people to move between Member States</w:t>
      </w:r>
      <w:r w:rsidRPr="001131C9">
        <w:rPr>
          <w:noProof/>
        </w:rPr>
        <w:t xml:space="preserve"> </w:t>
      </w:r>
      <w:r>
        <w:rPr>
          <w:noProof/>
        </w:rPr>
        <w:t>in an unauthorised manner</w:t>
      </w:r>
      <w:r w:rsidRPr="00C12801">
        <w:rPr>
          <w:noProof/>
        </w:rPr>
        <w:t xml:space="preserve">. </w:t>
      </w:r>
    </w:p>
    <w:p w14:paraId="54BEF61F" w14:textId="3D331A04" w:rsidR="00500E9D" w:rsidRDefault="006B25DA" w:rsidP="006B25DA">
      <w:pPr>
        <w:spacing w:after="120"/>
        <w:rPr>
          <w:noProof/>
        </w:rPr>
      </w:pPr>
      <w:r w:rsidRPr="00C12801">
        <w:rPr>
          <w:noProof/>
        </w:rPr>
        <w:t xml:space="preserve">In this process, overcoming current deficiencies </w:t>
      </w:r>
      <w:r>
        <w:rPr>
          <w:noProof/>
        </w:rPr>
        <w:t>swiftly will be key</w:t>
      </w:r>
      <w:r w:rsidRPr="00C12801">
        <w:rPr>
          <w:noProof/>
        </w:rPr>
        <w:t xml:space="preserve">. The new rules on responsibility are a significant evolution from the current system. </w:t>
      </w:r>
      <w:r>
        <w:rPr>
          <w:noProof/>
        </w:rPr>
        <w:t>For example, the Asylum Migration Management Regulation introduces a new responsibility criterion based on diplomas</w:t>
      </w:r>
      <w:r w:rsidR="009058A4">
        <w:rPr>
          <w:noProof/>
        </w:rPr>
        <w:t xml:space="preserve"> and qualifications</w:t>
      </w:r>
      <w:r>
        <w:rPr>
          <w:noProof/>
        </w:rPr>
        <w:t xml:space="preserve"> and makes responsibility more stable by prolonging, as a rule, the timelines for shift and cessation of responsibility. At the same time, it reinforces the family criteria, including by introducing a new obligation to prioritise family cases. </w:t>
      </w:r>
    </w:p>
    <w:p w14:paraId="1436D4B6" w14:textId="1C4705CE" w:rsidR="006B25DA" w:rsidRDefault="00500E9D" w:rsidP="006B25DA">
      <w:pPr>
        <w:spacing w:after="120"/>
        <w:rPr>
          <w:noProof/>
        </w:rPr>
      </w:pPr>
      <w:r>
        <w:rPr>
          <w:noProof/>
        </w:rPr>
        <w:t xml:space="preserve">The new Regulation </w:t>
      </w:r>
      <w:r w:rsidR="006B25DA">
        <w:rPr>
          <w:noProof/>
        </w:rPr>
        <w:t xml:space="preserve">makes procedures more </w:t>
      </w:r>
      <w:r>
        <w:rPr>
          <w:noProof/>
        </w:rPr>
        <w:t xml:space="preserve">efficient </w:t>
      </w:r>
      <w:r w:rsidR="006B25DA">
        <w:rPr>
          <w:noProof/>
        </w:rPr>
        <w:t>by shortening deadlines and by transforming the take back procedure into a notification. There are also new obligations for applicants to reduce abuses to the system (such as the obligation to apply in the Member State of first entry) and for the Member State to react in case of secondary movements (such as an obligation to cover only the applicant’s basic needs in case of absconding) or if the applicant poses a security threat. These are balanced with new guarantees for applicants</w:t>
      </w:r>
      <w:r w:rsidR="006B25DA">
        <w:rPr>
          <w:rStyle w:val="FootnoteReference"/>
          <w:noProof/>
        </w:rPr>
        <w:footnoteReference w:id="28"/>
      </w:r>
      <w:r w:rsidR="006B25DA">
        <w:rPr>
          <w:noProof/>
        </w:rPr>
        <w:t xml:space="preserve">. </w:t>
      </w:r>
    </w:p>
    <w:p w14:paraId="168B0AEF" w14:textId="6BB68002" w:rsidR="006B25DA" w:rsidRPr="00C12801" w:rsidRDefault="006B25DA" w:rsidP="006B25DA">
      <w:pPr>
        <w:spacing w:after="120"/>
        <w:rPr>
          <w:noProof/>
        </w:rPr>
      </w:pPr>
      <w:r w:rsidRPr="00C12801">
        <w:rPr>
          <w:noProof/>
        </w:rPr>
        <w:t>The Commission Staff Working Document entitled “The Dublin Roadmap in action- Enhancing the effectiveness of the Dublin III Regulation: identifying good practices in the Member States”</w:t>
      </w:r>
      <w:r w:rsidR="007A653B">
        <w:rPr>
          <w:rStyle w:val="FootnoteReference"/>
          <w:noProof/>
        </w:rPr>
        <w:footnoteReference w:id="29"/>
      </w:r>
      <w:r w:rsidR="00496D40">
        <w:rPr>
          <w:noProof/>
        </w:rPr>
        <w:t xml:space="preserve"> </w:t>
      </w:r>
      <w:r>
        <w:rPr>
          <w:noProof/>
        </w:rPr>
        <w:t>identifies practices</w:t>
      </w:r>
      <w:r w:rsidRPr="00C12801">
        <w:rPr>
          <w:noProof/>
        </w:rPr>
        <w:t xml:space="preserve"> that c</w:t>
      </w:r>
      <w:r>
        <w:rPr>
          <w:noProof/>
        </w:rPr>
        <w:t>an help Member States</w:t>
      </w:r>
      <w:r w:rsidRPr="00C12801">
        <w:rPr>
          <w:noProof/>
        </w:rPr>
        <w:t xml:space="preserve"> </w:t>
      </w:r>
      <w:r>
        <w:rPr>
          <w:noProof/>
        </w:rPr>
        <w:t>in tackling</w:t>
      </w:r>
      <w:r w:rsidRPr="00C12801">
        <w:rPr>
          <w:noProof/>
        </w:rPr>
        <w:t xml:space="preserve"> </w:t>
      </w:r>
      <w:r>
        <w:rPr>
          <w:noProof/>
        </w:rPr>
        <w:t xml:space="preserve">some of the </w:t>
      </w:r>
      <w:r w:rsidRPr="00C12801">
        <w:rPr>
          <w:noProof/>
        </w:rPr>
        <w:t>existing challenges</w:t>
      </w:r>
      <w:r>
        <w:rPr>
          <w:noProof/>
        </w:rPr>
        <w:t xml:space="preserve"> of </w:t>
      </w:r>
      <w:r w:rsidRPr="00C12801">
        <w:rPr>
          <w:noProof/>
        </w:rPr>
        <w:t>the current system</w:t>
      </w:r>
      <w:r>
        <w:rPr>
          <w:noProof/>
        </w:rPr>
        <w:t>, as we transition towards the new one</w:t>
      </w:r>
      <w:r w:rsidRPr="00C12801">
        <w:rPr>
          <w:noProof/>
        </w:rPr>
        <w:t>.</w:t>
      </w:r>
    </w:p>
    <w:p w14:paraId="6F2F2ADE" w14:textId="77777777" w:rsidR="006B25DA" w:rsidRPr="00C12801" w:rsidRDefault="006B25DA" w:rsidP="006B25DA">
      <w:pPr>
        <w:spacing w:after="120"/>
        <w:rPr>
          <w:noProof/>
        </w:rPr>
      </w:pPr>
      <w:r w:rsidRPr="00C12801">
        <w:rPr>
          <w:noProof/>
        </w:rPr>
        <w:t>To successfully move from the Dublin III system to the Asylum and Migration Management Regulation</w:t>
      </w:r>
      <w:r w:rsidRPr="00C12801" w:rsidDel="009A44D4">
        <w:rPr>
          <w:noProof/>
        </w:rPr>
        <w:t xml:space="preserve"> </w:t>
      </w:r>
      <w:r w:rsidRPr="00C12801">
        <w:rPr>
          <w:noProof/>
        </w:rPr>
        <w:t xml:space="preserve">legal and operational standards, the following action </w:t>
      </w:r>
      <w:r>
        <w:rPr>
          <w:noProof/>
        </w:rPr>
        <w:t>should be taken</w:t>
      </w:r>
      <w:r w:rsidRPr="00C12801">
        <w:rPr>
          <w:noProof/>
        </w:rPr>
        <w:t xml:space="preserve">: </w:t>
      </w:r>
    </w:p>
    <w:p w14:paraId="7F8C81C1" w14:textId="77777777" w:rsidR="006B25DA" w:rsidRPr="00C12801" w:rsidRDefault="006B25DA" w:rsidP="006B25DA">
      <w:pPr>
        <w:spacing w:after="120"/>
        <w:rPr>
          <w:b/>
          <w:bCs/>
          <w:noProof/>
        </w:rPr>
      </w:pPr>
      <w:r w:rsidRPr="00C12801">
        <w:rPr>
          <w:b/>
          <w:bCs/>
          <w:noProof/>
        </w:rPr>
        <w:t>Member States</w:t>
      </w:r>
    </w:p>
    <w:p w14:paraId="4C5AB3BC" w14:textId="77777777" w:rsidR="006B25DA" w:rsidRPr="00C12801" w:rsidRDefault="006B25DA" w:rsidP="006B25DA">
      <w:pPr>
        <w:spacing w:after="120"/>
        <w:rPr>
          <w:i/>
          <w:iCs/>
          <w:noProof/>
        </w:rPr>
      </w:pPr>
      <w:r w:rsidRPr="00C12801">
        <w:rPr>
          <w:i/>
          <w:iCs/>
          <w:noProof/>
        </w:rPr>
        <w:t>Legislation</w:t>
      </w:r>
    </w:p>
    <w:p w14:paraId="4EAE1F6B" w14:textId="5359B434" w:rsidR="006B25DA" w:rsidRPr="00C12801" w:rsidRDefault="006B25DA" w:rsidP="002740E8">
      <w:pPr>
        <w:pStyle w:val="ListParagraph"/>
        <w:numPr>
          <w:ilvl w:val="0"/>
          <w:numId w:val="28"/>
        </w:numPr>
        <w:spacing w:after="120"/>
        <w:ind w:left="709" w:hanging="425"/>
        <w:contextualSpacing w:val="0"/>
        <w:rPr>
          <w:noProof/>
        </w:rPr>
      </w:pPr>
      <w:r w:rsidRPr="00C12801">
        <w:rPr>
          <w:noProof/>
        </w:rPr>
        <w:t xml:space="preserve">Member States </w:t>
      </w:r>
      <w:r>
        <w:rPr>
          <w:noProof/>
        </w:rPr>
        <w:t xml:space="preserve">should </w:t>
      </w:r>
      <w:r w:rsidRPr="00E64E68">
        <w:rPr>
          <w:b/>
          <w:bCs/>
          <w:noProof/>
        </w:rPr>
        <w:t>review and adjust as necessary their national regulatory frameworks</w:t>
      </w:r>
      <w:r>
        <w:rPr>
          <w:noProof/>
        </w:rPr>
        <w:t xml:space="preserve"> </w:t>
      </w:r>
      <w:r w:rsidRPr="00C12801">
        <w:rPr>
          <w:noProof/>
        </w:rPr>
        <w:t xml:space="preserve">to ensure </w:t>
      </w:r>
      <w:r>
        <w:rPr>
          <w:noProof/>
        </w:rPr>
        <w:t xml:space="preserve">effective application of the Asylum Migration Management Regulation. Among others, Member States </w:t>
      </w:r>
      <w:r w:rsidR="00391E30">
        <w:rPr>
          <w:noProof/>
        </w:rPr>
        <w:t xml:space="preserve">will </w:t>
      </w:r>
      <w:r>
        <w:rPr>
          <w:noProof/>
        </w:rPr>
        <w:t>have to pay particular attention to</w:t>
      </w:r>
      <w:r w:rsidRPr="00C12801">
        <w:rPr>
          <w:noProof/>
        </w:rPr>
        <w:t xml:space="preserve"> </w:t>
      </w:r>
      <w:r w:rsidRPr="007A653B">
        <w:rPr>
          <w:noProof/>
        </w:rPr>
        <w:t>effective</w:t>
      </w:r>
      <w:r>
        <w:rPr>
          <w:noProof/>
        </w:rPr>
        <w:t xml:space="preserve"> </w:t>
      </w:r>
      <w:r w:rsidRPr="00C12801">
        <w:rPr>
          <w:noProof/>
        </w:rPr>
        <w:t>remedies</w:t>
      </w:r>
      <w:r>
        <w:rPr>
          <w:rStyle w:val="FootnoteReference"/>
          <w:noProof/>
        </w:rPr>
        <w:footnoteReference w:id="30"/>
      </w:r>
      <w:r w:rsidRPr="00C12801">
        <w:rPr>
          <w:noProof/>
        </w:rPr>
        <w:t xml:space="preserve">, </w:t>
      </w:r>
      <w:r>
        <w:rPr>
          <w:noProof/>
        </w:rPr>
        <w:t xml:space="preserve">non-entitlement </w:t>
      </w:r>
      <w:r w:rsidRPr="00C12801">
        <w:rPr>
          <w:noProof/>
        </w:rPr>
        <w:t xml:space="preserve">to reception conditions </w:t>
      </w:r>
      <w:r>
        <w:rPr>
          <w:noProof/>
        </w:rPr>
        <w:t xml:space="preserve">in case of absconding, </w:t>
      </w:r>
      <w:r w:rsidRPr="00C12801">
        <w:rPr>
          <w:noProof/>
        </w:rPr>
        <w:t>and alignment with the new timelines under the different procedures.</w:t>
      </w:r>
    </w:p>
    <w:p w14:paraId="08F829D6" w14:textId="77777777" w:rsidR="006B25DA" w:rsidRPr="00C12801" w:rsidRDefault="006B25DA" w:rsidP="006B25DA">
      <w:pPr>
        <w:spacing w:after="120"/>
        <w:rPr>
          <w:i/>
          <w:iCs/>
          <w:noProof/>
        </w:rPr>
      </w:pPr>
      <w:r>
        <w:rPr>
          <w:i/>
          <w:iCs/>
          <w:noProof/>
        </w:rPr>
        <w:t>Organisation</w:t>
      </w:r>
      <w:r w:rsidRPr="00C12801">
        <w:rPr>
          <w:i/>
          <w:iCs/>
          <w:noProof/>
        </w:rPr>
        <w:t xml:space="preserve"> and administrative processes</w:t>
      </w:r>
    </w:p>
    <w:p w14:paraId="3369A1AD" w14:textId="27FBAB6E"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E64E68">
        <w:rPr>
          <w:b/>
          <w:bCs/>
          <w:noProof/>
        </w:rPr>
        <w:t>review and where needed adjust the structure and functioning of the national Dublin units</w:t>
      </w:r>
      <w:r>
        <w:rPr>
          <w:noProof/>
        </w:rPr>
        <w:t>. This includes reviewing the Dublin units’ working methods and updating standard operating procedures to implement the new procedures (namely take back notifications, relocations, and responsibility offsets as well as the continuation of responsibility determination in the absence of the applicant) and to comply with the shorter timelines for all procedures.</w:t>
      </w:r>
    </w:p>
    <w:p w14:paraId="766C46C1" w14:textId="12729A61" w:rsidR="006B25DA"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E64E68">
        <w:rPr>
          <w:b/>
          <w:bCs/>
          <w:noProof/>
        </w:rPr>
        <w:t>develop coordination structures and working methods between their Dublin units and other authorities</w:t>
      </w:r>
      <w:r>
        <w:rPr>
          <w:noProof/>
        </w:rPr>
        <w:t xml:space="preserve"> to ensure the effective application of the new rules. This includes for example developing specific methods of cooperation with the screening and law</w:t>
      </w:r>
      <w:r w:rsidR="00500E9D">
        <w:rPr>
          <w:noProof/>
        </w:rPr>
        <w:t xml:space="preserve"> </w:t>
      </w:r>
      <w:r>
        <w:rPr>
          <w:noProof/>
        </w:rPr>
        <w:t xml:space="preserve">enforcement authorities (e.g., to cover the outcome of the security check during the screening, or the exchange of security-relevant information before a transfer is carried out) and reception authorities (monitoring the presence in the accommodation, etc.). </w:t>
      </w:r>
    </w:p>
    <w:p w14:paraId="32E3634F" w14:textId="07E08DB4" w:rsidR="006B25DA" w:rsidRPr="00C12801" w:rsidRDefault="006B25DA" w:rsidP="006B25DA">
      <w:pPr>
        <w:pStyle w:val="ListParagraph"/>
        <w:spacing w:after="120"/>
        <w:ind w:left="709"/>
        <w:contextualSpacing w:val="0"/>
        <w:rPr>
          <w:noProof/>
        </w:rPr>
      </w:pPr>
      <w:r>
        <w:rPr>
          <w:noProof/>
        </w:rPr>
        <w:t xml:space="preserve">For these purposes, Member States should </w:t>
      </w:r>
      <w:r w:rsidRPr="00E64E68">
        <w:rPr>
          <w:b/>
          <w:bCs/>
          <w:noProof/>
        </w:rPr>
        <w:t>consider developing or updating their existing IT case management system</w:t>
      </w:r>
      <w:r>
        <w:rPr>
          <w:noProof/>
        </w:rPr>
        <w:t xml:space="preserve"> to allow for the integration of the </w:t>
      </w:r>
      <w:r w:rsidRPr="00E64E68">
        <w:rPr>
          <w:noProof/>
        </w:rPr>
        <w:t xml:space="preserve">reformed Dublin procedure with the other asylum and reception-related processes. </w:t>
      </w:r>
      <w:r w:rsidR="00E81CE1" w:rsidRPr="00E64E68">
        <w:rPr>
          <w:noProof/>
        </w:rPr>
        <w:t>An</w:t>
      </w:r>
      <w:r w:rsidRPr="00E64E68">
        <w:rPr>
          <w:noProof/>
        </w:rPr>
        <w:t xml:space="preserve"> </w:t>
      </w:r>
      <w:r w:rsidR="00E81CE1" w:rsidRPr="00E64E68">
        <w:rPr>
          <w:noProof/>
        </w:rPr>
        <w:t>integrate</w:t>
      </w:r>
      <w:r w:rsidR="00091A24" w:rsidRPr="00E64E68">
        <w:rPr>
          <w:noProof/>
        </w:rPr>
        <w:t>d</w:t>
      </w:r>
      <w:r w:rsidR="00E81CE1" w:rsidRPr="00E64E68">
        <w:rPr>
          <w:noProof/>
        </w:rPr>
        <w:t xml:space="preserve"> case management system</w:t>
      </w:r>
      <w:r w:rsidRPr="00E64E68">
        <w:rPr>
          <w:noProof/>
        </w:rPr>
        <w:t xml:space="preserve"> will facilitate compliance with the new obligations and increase the efficiency of existing procedures.</w:t>
      </w:r>
      <w:r w:rsidR="005F0618">
        <w:rPr>
          <w:noProof/>
        </w:rPr>
        <w:t xml:space="preserve"> </w:t>
      </w:r>
      <w:r w:rsidR="00091A24" w:rsidRPr="00E64E68">
        <w:rPr>
          <w:rStyle w:val="ui-provider"/>
          <w:noProof/>
        </w:rPr>
        <w:t>It will also ensure a better overview of the different stages of the procedure as well as more effective cooperation and communication among the competent national authorities (e.g., asylum, reception, return, migration</w:t>
      </w:r>
      <w:r w:rsidR="00FB3404">
        <w:rPr>
          <w:rStyle w:val="ui-provider"/>
          <w:noProof/>
        </w:rPr>
        <w:t>,</w:t>
      </w:r>
      <w:r w:rsidR="00091A24" w:rsidRPr="00E64E68">
        <w:rPr>
          <w:rStyle w:val="ui-provider"/>
          <w:noProof/>
        </w:rPr>
        <w:t xml:space="preserve"> and border management). </w:t>
      </w:r>
      <w:r w:rsidRPr="00E64E68">
        <w:rPr>
          <w:noProof/>
        </w:rPr>
        <w:t>Member States should also consider the automation of certain parts of the procedure, including</w:t>
      </w:r>
      <w:r>
        <w:rPr>
          <w:noProof/>
        </w:rPr>
        <w:t xml:space="preserve"> automatic calculation of the applicable timelines, reminders for approaching expiration of timelines or suggestions for next steps in the procedure.</w:t>
      </w:r>
    </w:p>
    <w:p w14:paraId="586597A7" w14:textId="3C61B99D" w:rsidR="006B25DA" w:rsidRDefault="006B25DA" w:rsidP="002740E8">
      <w:pPr>
        <w:pStyle w:val="ListParagraph"/>
        <w:numPr>
          <w:ilvl w:val="0"/>
          <w:numId w:val="28"/>
        </w:numPr>
        <w:spacing w:after="120"/>
        <w:ind w:left="709" w:hanging="425"/>
        <w:contextualSpacing w:val="0"/>
        <w:rPr>
          <w:noProof/>
        </w:rPr>
      </w:pPr>
      <w:r>
        <w:rPr>
          <w:noProof/>
        </w:rPr>
        <w:t xml:space="preserve">Member States are </w:t>
      </w:r>
      <w:r w:rsidRPr="00E64E68">
        <w:rPr>
          <w:b/>
          <w:bCs/>
          <w:noProof/>
        </w:rPr>
        <w:t xml:space="preserve">encouraged to develop an inventory of diplomas and </w:t>
      </w:r>
      <w:r w:rsidR="002A4D42">
        <w:rPr>
          <w:b/>
          <w:bCs/>
          <w:noProof/>
        </w:rPr>
        <w:t xml:space="preserve">other </w:t>
      </w:r>
      <w:r w:rsidRPr="00E64E68">
        <w:rPr>
          <w:b/>
          <w:bCs/>
          <w:noProof/>
        </w:rPr>
        <w:t>qualifications</w:t>
      </w:r>
      <w:r>
        <w:rPr>
          <w:noProof/>
        </w:rPr>
        <w:t xml:space="preserve"> </w:t>
      </w:r>
      <w:r w:rsidRPr="00A27081">
        <w:rPr>
          <w:noProof/>
        </w:rPr>
        <w:t xml:space="preserve">from level </w:t>
      </w:r>
      <w:r w:rsidR="00704CE8">
        <w:rPr>
          <w:noProof/>
        </w:rPr>
        <w:t>two</w:t>
      </w:r>
      <w:r w:rsidRPr="00A27081">
        <w:rPr>
          <w:noProof/>
        </w:rPr>
        <w:t xml:space="preserve"> of the International Standard Classification for Education upwards</w:t>
      </w:r>
      <w:r>
        <w:rPr>
          <w:noProof/>
        </w:rPr>
        <w:t xml:space="preserve"> for the purpose of facilitating the effective application of the new criterion on diplomas</w:t>
      </w:r>
      <w:r w:rsidR="00704CE8">
        <w:rPr>
          <w:noProof/>
        </w:rPr>
        <w:t xml:space="preserve"> and qualifications</w:t>
      </w:r>
      <w:r>
        <w:rPr>
          <w:noProof/>
        </w:rPr>
        <w:t>. This inventory could also include a list of education establishments in the Member States that are entitled to issue such diplomas and qualifications.</w:t>
      </w:r>
    </w:p>
    <w:p w14:paraId="0CFA2C63" w14:textId="77777777" w:rsidR="00924D9A" w:rsidRPr="00C12801" w:rsidRDefault="00924D9A" w:rsidP="00924D9A">
      <w:pPr>
        <w:spacing w:after="120"/>
        <w:rPr>
          <w:noProof/>
        </w:rPr>
      </w:pPr>
    </w:p>
    <w:p w14:paraId="4C77C639"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ensure the </w:t>
      </w:r>
      <w:r w:rsidRPr="00E64E68">
        <w:rPr>
          <w:b/>
          <w:bCs/>
          <w:noProof/>
        </w:rPr>
        <w:t>prioritisation of the family-related cases at every stage of the procedure,</w:t>
      </w:r>
      <w:r>
        <w:rPr>
          <w:noProof/>
        </w:rPr>
        <w:t xml:space="preserve"> for example by developing specific standard operating procedures. Member State should consider cooperation arrangements with organisations entrusted with family tracing.</w:t>
      </w:r>
    </w:p>
    <w:p w14:paraId="29FC4968" w14:textId="77777777" w:rsidR="006B25DA" w:rsidRPr="00C12801" w:rsidRDefault="006B25DA" w:rsidP="006B25DA">
      <w:pPr>
        <w:spacing w:after="120"/>
        <w:rPr>
          <w:i/>
          <w:iCs/>
          <w:noProof/>
        </w:rPr>
      </w:pPr>
      <w:r w:rsidRPr="00C12801">
        <w:rPr>
          <w:i/>
          <w:iCs/>
          <w:noProof/>
        </w:rPr>
        <w:t>Capacities (human resources, infrastructure, and equipment)</w:t>
      </w:r>
    </w:p>
    <w:p w14:paraId="4E98E64F" w14:textId="1ECB0222"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ensure that the competent authorities have the necessary human, material and financial resources to carry out their tasks under the Asylum </w:t>
      </w:r>
      <w:r w:rsidRPr="00E64E68">
        <w:rPr>
          <w:noProof/>
        </w:rPr>
        <w:t>Migration Management Regulation, including sufficient and adequately trained staff. In this context, Member States should review and if necessary, increase the capacity of national Dublin Units to carry out all their tasks within the new shorter time limits.</w:t>
      </w:r>
      <w:r w:rsidR="00926BB4" w:rsidRPr="00E64E68">
        <w:rPr>
          <w:noProof/>
        </w:rPr>
        <w:t xml:space="preserve"> </w:t>
      </w:r>
      <w:r w:rsidRPr="00E64E68">
        <w:rPr>
          <w:noProof/>
        </w:rPr>
        <w:t>Member States will also have to ensure sufficient capacity to ensure the effective implementation of transfer decisions by, for example, limiting absconding</w:t>
      </w:r>
      <w:r w:rsidRPr="00E64E68">
        <w:rPr>
          <w:rStyle w:val="FootnoteReference"/>
          <w:noProof/>
        </w:rPr>
        <w:footnoteReference w:id="31"/>
      </w:r>
      <w:r w:rsidRPr="00E64E68">
        <w:rPr>
          <w:noProof/>
        </w:rPr>
        <w:t>, improving communication</w:t>
      </w:r>
      <w:r w:rsidRPr="00C12801">
        <w:rPr>
          <w:noProof/>
        </w:rPr>
        <w:t xml:space="preserve"> between Member States, increasing flexibility in the responsible Member State and support</w:t>
      </w:r>
      <w:r>
        <w:rPr>
          <w:noProof/>
        </w:rPr>
        <w:t>ing</w:t>
      </w:r>
      <w:r w:rsidRPr="00C12801">
        <w:rPr>
          <w:noProof/>
        </w:rPr>
        <w:t xml:space="preserve"> the transferring Member State</w:t>
      </w:r>
      <w:r>
        <w:rPr>
          <w:rStyle w:val="FootnoteReference"/>
          <w:noProof/>
        </w:rPr>
        <w:footnoteReference w:id="32"/>
      </w:r>
      <w:r w:rsidRPr="00C12801">
        <w:rPr>
          <w:noProof/>
        </w:rPr>
        <w:t>. This requires human resources and the necessary logistics, including for example dedicated facilities for Dublin transfers.</w:t>
      </w:r>
    </w:p>
    <w:p w14:paraId="5AC84222" w14:textId="77777777" w:rsidR="006B25DA" w:rsidRPr="00C12801" w:rsidRDefault="006B25DA" w:rsidP="002740E8">
      <w:pPr>
        <w:pStyle w:val="ListParagraph"/>
        <w:numPr>
          <w:ilvl w:val="0"/>
          <w:numId w:val="28"/>
        </w:numPr>
        <w:spacing w:after="120"/>
        <w:ind w:left="709" w:hanging="425"/>
        <w:contextualSpacing w:val="0"/>
        <w:rPr>
          <w:noProof/>
        </w:rPr>
      </w:pPr>
      <w:r>
        <w:rPr>
          <w:noProof/>
        </w:rPr>
        <w:t>Member States need to ensure that DubliNet is updated nationally so that DubliNet remains operational and allows for the exchange of all information required under the Asylum Migration Management Regulation.</w:t>
      </w:r>
    </w:p>
    <w:p w14:paraId="4F9DFF99" w14:textId="77777777" w:rsidR="006B25DA" w:rsidRPr="00C12801" w:rsidRDefault="006B25DA" w:rsidP="006B25DA">
      <w:pPr>
        <w:spacing w:after="120"/>
        <w:rPr>
          <w:b/>
          <w:bCs/>
          <w:noProof/>
        </w:rPr>
      </w:pPr>
      <w:r w:rsidRPr="00C12801">
        <w:rPr>
          <w:b/>
          <w:bCs/>
          <w:noProof/>
        </w:rPr>
        <w:t>Commission</w:t>
      </w:r>
    </w:p>
    <w:p w14:paraId="7B6363F9" w14:textId="77777777" w:rsidR="006B25DA" w:rsidRPr="00C12801" w:rsidRDefault="006B25DA" w:rsidP="006B25DA">
      <w:pPr>
        <w:spacing w:after="120"/>
        <w:rPr>
          <w:i/>
          <w:iCs/>
          <w:noProof/>
        </w:rPr>
      </w:pPr>
      <w:r w:rsidRPr="00C12801">
        <w:rPr>
          <w:i/>
          <w:iCs/>
          <w:noProof/>
        </w:rPr>
        <w:t>Legal obligation</w:t>
      </w:r>
    </w:p>
    <w:p w14:paraId="2EFF4E08" w14:textId="77777777" w:rsidR="006B25DA" w:rsidRPr="00C12801" w:rsidRDefault="006B25DA" w:rsidP="002740E8">
      <w:pPr>
        <w:pStyle w:val="ListParagraph"/>
        <w:numPr>
          <w:ilvl w:val="0"/>
          <w:numId w:val="33"/>
        </w:numPr>
        <w:spacing w:after="120"/>
        <w:ind w:left="714" w:hanging="357"/>
        <w:contextualSpacing w:val="0"/>
        <w:rPr>
          <w:noProof/>
        </w:rPr>
      </w:pPr>
      <w:r w:rsidRPr="00C12801">
        <w:rPr>
          <w:noProof/>
        </w:rPr>
        <w:t xml:space="preserve">The </w:t>
      </w:r>
      <w:r w:rsidRPr="003A3CA2">
        <w:rPr>
          <w:noProof/>
        </w:rPr>
        <w:t>Commission</w:t>
      </w:r>
      <w:r w:rsidRPr="00C12801">
        <w:rPr>
          <w:b/>
          <w:bCs/>
          <w:noProof/>
        </w:rPr>
        <w:t xml:space="preserve"> </w:t>
      </w:r>
      <w:r w:rsidRPr="00C12801">
        <w:rPr>
          <w:noProof/>
        </w:rPr>
        <w:t xml:space="preserve">will </w:t>
      </w:r>
      <w:r>
        <w:rPr>
          <w:noProof/>
        </w:rPr>
        <w:t>convene by September 2024</w:t>
      </w:r>
      <w:r w:rsidRPr="00C12801">
        <w:rPr>
          <w:noProof/>
        </w:rPr>
        <w:t xml:space="preserve"> the new </w:t>
      </w:r>
      <w:r w:rsidRPr="00E64E68">
        <w:rPr>
          <w:b/>
          <w:bCs/>
          <w:noProof/>
        </w:rPr>
        <w:t>Asylum Migration Management Regulation regulatory committee</w:t>
      </w:r>
      <w:r>
        <w:rPr>
          <w:noProof/>
        </w:rPr>
        <w:t xml:space="preserve"> to adopt the implementing acts required under the Regulation</w:t>
      </w:r>
      <w:r w:rsidRPr="00C12801">
        <w:rPr>
          <w:noProof/>
        </w:rPr>
        <w:t>.</w:t>
      </w:r>
    </w:p>
    <w:p w14:paraId="13614514" w14:textId="336302E3" w:rsidR="006B25DA" w:rsidRPr="00C12801" w:rsidRDefault="006B25DA" w:rsidP="002740E8">
      <w:pPr>
        <w:pStyle w:val="ListParagraph"/>
        <w:numPr>
          <w:ilvl w:val="0"/>
          <w:numId w:val="33"/>
        </w:numPr>
        <w:spacing w:after="120"/>
        <w:rPr>
          <w:noProof/>
        </w:rPr>
      </w:pPr>
      <w:r w:rsidRPr="00C12801">
        <w:rPr>
          <w:noProof/>
        </w:rPr>
        <w:t xml:space="preserve">The Commission will </w:t>
      </w:r>
      <w:r w:rsidRPr="00E64E68">
        <w:rPr>
          <w:b/>
          <w:bCs/>
          <w:noProof/>
        </w:rPr>
        <w:t>adopt the implementing rules</w:t>
      </w:r>
      <w:r w:rsidRPr="00C12801">
        <w:rPr>
          <w:noProof/>
        </w:rPr>
        <w:t xml:space="preserve"> necessary for the functioning of the AMMR, replacing Commission Regulation 1560/2003 (‘the Dublin Implementing Rules</w:t>
      </w:r>
      <w:r>
        <w:rPr>
          <w:noProof/>
        </w:rPr>
        <w:t>’</w:t>
      </w:r>
      <w:r w:rsidRPr="00C12801">
        <w:rPr>
          <w:noProof/>
        </w:rPr>
        <w:t>)</w:t>
      </w:r>
      <w:r>
        <w:rPr>
          <w:rStyle w:val="FootnoteReference"/>
          <w:noProof/>
        </w:rPr>
        <w:footnoteReference w:id="33"/>
      </w:r>
      <w:r w:rsidRPr="00C12801">
        <w:rPr>
          <w:noProof/>
        </w:rPr>
        <w:t>.</w:t>
      </w:r>
    </w:p>
    <w:p w14:paraId="15A3BE46" w14:textId="77777777" w:rsidR="006B25DA" w:rsidRPr="00C12801" w:rsidRDefault="006B25DA" w:rsidP="006B25DA">
      <w:pPr>
        <w:spacing w:after="120"/>
        <w:rPr>
          <w:i/>
          <w:iCs/>
          <w:noProof/>
        </w:rPr>
      </w:pPr>
      <w:r w:rsidRPr="00C12801">
        <w:rPr>
          <w:i/>
          <w:iCs/>
          <w:noProof/>
        </w:rPr>
        <w:t>Practical support</w:t>
      </w:r>
    </w:p>
    <w:p w14:paraId="45C74B23" w14:textId="77777777" w:rsidR="006B25DA" w:rsidRPr="003A3CA2" w:rsidRDefault="006B25DA" w:rsidP="002740E8">
      <w:pPr>
        <w:pStyle w:val="ListParagraph"/>
        <w:numPr>
          <w:ilvl w:val="0"/>
          <w:numId w:val="28"/>
        </w:numPr>
        <w:spacing w:after="120"/>
        <w:ind w:left="709" w:hanging="425"/>
        <w:contextualSpacing w:val="0"/>
        <w:rPr>
          <w:noProof/>
        </w:rPr>
      </w:pPr>
      <w:r>
        <w:rPr>
          <w:noProof/>
        </w:rPr>
        <w:t xml:space="preserve">The Commission, working with the EUAA, will organise meetings of the </w:t>
      </w:r>
      <w:r w:rsidRPr="00E64E68">
        <w:rPr>
          <w:b/>
          <w:bCs/>
          <w:noProof/>
        </w:rPr>
        <w:t>Dublin expert group (the ‘Dublin Contact Committee’)</w:t>
      </w:r>
      <w:r>
        <w:rPr>
          <w:noProof/>
        </w:rPr>
        <w:t xml:space="preserve"> to facilitate the correct application of the new provisions (including by clarifying the meaning of some provisions), identify </w:t>
      </w:r>
      <w:r w:rsidRPr="00C12801">
        <w:rPr>
          <w:noProof/>
        </w:rPr>
        <w:t>the areas that would require further attention in the transition period</w:t>
      </w:r>
      <w:r>
        <w:rPr>
          <w:noProof/>
        </w:rPr>
        <w:t>,</w:t>
      </w:r>
      <w:r w:rsidDel="0092719C">
        <w:rPr>
          <w:noProof/>
        </w:rPr>
        <w:t xml:space="preserve"> </w:t>
      </w:r>
      <w:r>
        <w:rPr>
          <w:noProof/>
        </w:rPr>
        <w:t>and develop guidance where needed. It will strive to organise these meetings back-to-back with the EUAA Dublin Network, which focuses more on operational challenges.</w:t>
      </w:r>
    </w:p>
    <w:p w14:paraId="099A510A" w14:textId="77777777" w:rsidR="006B25DA" w:rsidRPr="003A3CA2" w:rsidRDefault="006B25DA" w:rsidP="001228CD">
      <w:pPr>
        <w:pStyle w:val="ListParagraph"/>
        <w:widowControl w:val="0"/>
        <w:numPr>
          <w:ilvl w:val="0"/>
          <w:numId w:val="28"/>
        </w:numPr>
        <w:spacing w:after="120"/>
        <w:ind w:left="709" w:hanging="425"/>
        <w:contextualSpacing w:val="0"/>
        <w:rPr>
          <w:noProof/>
        </w:rPr>
      </w:pPr>
      <w:r>
        <w:rPr>
          <w:noProof/>
        </w:rPr>
        <w:t xml:space="preserve">The Commission, working with eu-LISA and the Member States, foresees a </w:t>
      </w:r>
      <w:r w:rsidRPr="00E64E68">
        <w:rPr>
          <w:b/>
          <w:bCs/>
          <w:noProof/>
        </w:rPr>
        <w:t>phased upgrade of DubliNet</w:t>
      </w:r>
      <w:r>
        <w:rPr>
          <w:noProof/>
        </w:rPr>
        <w:t xml:space="preserve"> to adapt it to the new legal framework and the needs of the national Dublin units.</w:t>
      </w:r>
    </w:p>
    <w:p w14:paraId="274FE730" w14:textId="191BC11E" w:rsidR="00B44C04" w:rsidRPr="00924D9A" w:rsidRDefault="00011B99" w:rsidP="006B25DA">
      <w:pPr>
        <w:pStyle w:val="ListParagraph"/>
        <w:numPr>
          <w:ilvl w:val="0"/>
          <w:numId w:val="28"/>
        </w:numPr>
        <w:spacing w:after="120"/>
        <w:ind w:left="709" w:hanging="425"/>
        <w:contextualSpacing w:val="0"/>
        <w:rPr>
          <w:noProof/>
        </w:rPr>
      </w:pPr>
      <w:r>
        <w:rPr>
          <w:noProof/>
        </w:rPr>
        <w:t xml:space="preserve">The Commission will support </w:t>
      </w:r>
      <w:r w:rsidR="00AD2C4B">
        <w:rPr>
          <w:noProof/>
        </w:rPr>
        <w:t>a common structure</w:t>
      </w:r>
      <w:r>
        <w:rPr>
          <w:noProof/>
        </w:rPr>
        <w:t xml:space="preserve"> of inventories for diplomas and </w:t>
      </w:r>
      <w:r w:rsidR="00442A24">
        <w:rPr>
          <w:noProof/>
        </w:rPr>
        <w:t xml:space="preserve">other </w:t>
      </w:r>
      <w:r>
        <w:rPr>
          <w:noProof/>
        </w:rPr>
        <w:t xml:space="preserve">qualifications and education establishments, drawing on existing EU databases (such as </w:t>
      </w:r>
      <w:hyperlink r:id="rId31" w:history="1">
        <w:r w:rsidRPr="00B33C75">
          <w:rPr>
            <w:rStyle w:val="Hyperlink"/>
            <w:noProof/>
          </w:rPr>
          <w:t>http://eter-project/com</w:t>
        </w:r>
      </w:hyperlink>
      <w:r>
        <w:rPr>
          <w:noProof/>
        </w:rPr>
        <w:t xml:space="preserve">) and further work </w:t>
      </w:r>
      <w:r w:rsidR="00AD2C4B">
        <w:rPr>
          <w:noProof/>
        </w:rPr>
        <w:t>in the context of the European Qualifications Framework and Europass</w:t>
      </w:r>
      <w:r w:rsidR="0016401F">
        <w:rPr>
          <w:rStyle w:val="FootnoteReference"/>
          <w:noProof/>
        </w:rPr>
        <w:footnoteReference w:id="34"/>
      </w:r>
      <w:r w:rsidR="00AD2C4B">
        <w:rPr>
          <w:noProof/>
        </w:rPr>
        <w:t xml:space="preserve"> </w:t>
      </w:r>
      <w:r>
        <w:rPr>
          <w:noProof/>
        </w:rPr>
        <w:t>relating to interoperability of databases for qualifications</w:t>
      </w:r>
      <w:r w:rsidR="00AD2C4B">
        <w:rPr>
          <w:noProof/>
        </w:rPr>
        <w:t xml:space="preserve">, as well as </w:t>
      </w:r>
      <w:r>
        <w:rPr>
          <w:noProof/>
        </w:rPr>
        <w:t>with the network of national academic recognition centres (ENIC-NARIC network)</w:t>
      </w:r>
      <w:r w:rsidR="00AD2C4B">
        <w:rPr>
          <w:noProof/>
        </w:rPr>
        <w:t>.</w:t>
      </w:r>
    </w:p>
    <w:p w14:paraId="00239F83" w14:textId="77777777" w:rsidR="006B25DA" w:rsidRPr="00C12801" w:rsidRDefault="006B25DA" w:rsidP="006B25DA">
      <w:pPr>
        <w:spacing w:after="120"/>
        <w:rPr>
          <w:b/>
          <w:bCs/>
          <w:noProof/>
        </w:rPr>
      </w:pPr>
      <w:r w:rsidRPr="00C12801">
        <w:rPr>
          <w:b/>
          <w:bCs/>
          <w:noProof/>
        </w:rPr>
        <w:t>EU Agencies</w:t>
      </w:r>
    </w:p>
    <w:p w14:paraId="71AB24E0" w14:textId="77777777" w:rsidR="006B25DA" w:rsidRPr="00C12801" w:rsidRDefault="006B25DA" w:rsidP="006B25DA">
      <w:pPr>
        <w:spacing w:after="120"/>
        <w:rPr>
          <w:i/>
          <w:iCs/>
          <w:noProof/>
        </w:rPr>
      </w:pPr>
      <w:r w:rsidRPr="00C12801">
        <w:rPr>
          <w:i/>
          <w:iCs/>
          <w:noProof/>
        </w:rPr>
        <w:t>Legal obligation</w:t>
      </w:r>
    </w:p>
    <w:p w14:paraId="4DB29FBC"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By April 2025 (ten months after entry into force of the AMMR), the EUAA will </w:t>
      </w:r>
      <w:r w:rsidRPr="00E64E68">
        <w:rPr>
          <w:b/>
          <w:bCs/>
          <w:noProof/>
        </w:rPr>
        <w:t>develop the template for family-related cases and guidelines</w:t>
      </w:r>
      <w:r>
        <w:rPr>
          <w:noProof/>
        </w:rPr>
        <w:t xml:space="preserve"> for </w:t>
      </w:r>
      <w:r w:rsidRPr="00E64E68">
        <w:rPr>
          <w:b/>
          <w:bCs/>
          <w:noProof/>
        </w:rPr>
        <w:t>tracing and identification</w:t>
      </w:r>
      <w:r>
        <w:rPr>
          <w:noProof/>
        </w:rPr>
        <w:t xml:space="preserve"> of family members.</w:t>
      </w:r>
    </w:p>
    <w:p w14:paraId="58A6C8FC" w14:textId="77777777" w:rsidR="006B25DA" w:rsidRPr="00C12801" w:rsidRDefault="006B25DA" w:rsidP="002740E8">
      <w:pPr>
        <w:pStyle w:val="ListParagraph"/>
        <w:numPr>
          <w:ilvl w:val="0"/>
          <w:numId w:val="34"/>
        </w:numPr>
        <w:spacing w:after="120"/>
        <w:rPr>
          <w:noProof/>
        </w:rPr>
      </w:pPr>
      <w:r w:rsidRPr="00C12801">
        <w:rPr>
          <w:noProof/>
        </w:rPr>
        <w:t xml:space="preserve">The EUAA will also, with the support of Member States, </w:t>
      </w:r>
      <w:r w:rsidRPr="00E64E68">
        <w:rPr>
          <w:b/>
          <w:bCs/>
          <w:noProof/>
        </w:rPr>
        <w:t>develop adapted and comprehensive information leaflets and materials</w:t>
      </w:r>
      <w:r w:rsidRPr="00C12801">
        <w:rPr>
          <w:noProof/>
        </w:rPr>
        <w:t xml:space="preserve"> and provide </w:t>
      </w:r>
      <w:r w:rsidRPr="00E64E68">
        <w:rPr>
          <w:b/>
          <w:bCs/>
          <w:noProof/>
        </w:rPr>
        <w:t>guidance on conducting personal interviews by video conference</w:t>
      </w:r>
      <w:r w:rsidRPr="00C12801">
        <w:rPr>
          <w:noProof/>
        </w:rPr>
        <w:t>.</w:t>
      </w:r>
    </w:p>
    <w:p w14:paraId="117955A6" w14:textId="77777777" w:rsidR="006B25DA" w:rsidRPr="00C12801" w:rsidRDefault="006B25DA" w:rsidP="006B25DA">
      <w:pPr>
        <w:spacing w:after="120"/>
        <w:rPr>
          <w:i/>
          <w:iCs/>
          <w:noProof/>
        </w:rPr>
      </w:pPr>
      <w:r w:rsidRPr="00C12801">
        <w:rPr>
          <w:i/>
          <w:iCs/>
          <w:noProof/>
        </w:rPr>
        <w:t>Practical support</w:t>
      </w:r>
    </w:p>
    <w:p w14:paraId="76D77C92" w14:textId="77777777" w:rsidR="006B25DA" w:rsidRPr="00C12801" w:rsidRDefault="006B25DA" w:rsidP="002740E8">
      <w:pPr>
        <w:pStyle w:val="ListParagraph"/>
        <w:numPr>
          <w:ilvl w:val="0"/>
          <w:numId w:val="28"/>
        </w:numPr>
        <w:spacing w:after="120"/>
        <w:ind w:left="709" w:hanging="425"/>
        <w:contextualSpacing w:val="0"/>
        <w:rPr>
          <w:noProof/>
          <w:szCs w:val="24"/>
        </w:rPr>
      </w:pPr>
      <w:r>
        <w:rPr>
          <w:noProof/>
        </w:rPr>
        <w:t xml:space="preserve">The EUAA will </w:t>
      </w:r>
      <w:r w:rsidRPr="00E64E68">
        <w:rPr>
          <w:b/>
          <w:bCs/>
          <w:noProof/>
        </w:rPr>
        <w:t xml:space="preserve">adjust the functioning and scope of its network of Dublin units to reflect the new system </w:t>
      </w:r>
      <w:r>
        <w:rPr>
          <w:noProof/>
        </w:rPr>
        <w:t>and update guidelines supporting the application of the new responsibility rules.</w:t>
      </w:r>
    </w:p>
    <w:p w14:paraId="43D2E0E1" w14:textId="77777777" w:rsidR="006B25DA" w:rsidRPr="00C12801" w:rsidRDefault="006B25DA" w:rsidP="002740E8">
      <w:pPr>
        <w:pStyle w:val="ListParagraph"/>
        <w:numPr>
          <w:ilvl w:val="0"/>
          <w:numId w:val="28"/>
        </w:numPr>
        <w:spacing w:after="120"/>
        <w:ind w:left="709" w:hanging="425"/>
        <w:contextualSpacing w:val="0"/>
        <w:rPr>
          <w:noProof/>
          <w:szCs w:val="24"/>
        </w:rPr>
      </w:pPr>
      <w:r>
        <w:rPr>
          <w:noProof/>
        </w:rPr>
        <w:t xml:space="preserve">eu-LISA will be responsible for the </w:t>
      </w:r>
      <w:r w:rsidRPr="00E64E68">
        <w:rPr>
          <w:b/>
          <w:bCs/>
          <w:noProof/>
        </w:rPr>
        <w:t>technical and operational upgrade of DubliNet</w:t>
      </w:r>
      <w:r>
        <w:rPr>
          <w:noProof/>
        </w:rPr>
        <w:t>. The first phase (priority upgrade) will roll out between mid-2024 and mid-2026 and ensure the adequacy of the DulbiNet forms. It will also provide key technological and security upgrades. The second phase 2026-2028 will continue the automation of processes and the full integration with national systems.</w:t>
      </w:r>
    </w:p>
    <w:tbl>
      <w:tblPr>
        <w:tblStyle w:val="TableGrid"/>
        <w:tblW w:w="5000" w:type="pct"/>
        <w:tblLook w:val="04A0" w:firstRow="1" w:lastRow="0" w:firstColumn="1" w:lastColumn="0" w:noHBand="0" w:noVBand="1"/>
      </w:tblPr>
      <w:tblGrid>
        <w:gridCol w:w="8834"/>
      </w:tblGrid>
      <w:tr w:rsidR="006B25DA" w14:paraId="734F3CDC" w14:textId="77777777">
        <w:tc>
          <w:tcPr>
            <w:tcW w:w="5000" w:type="pct"/>
          </w:tcPr>
          <w:p w14:paraId="0C09EAB0" w14:textId="77777777" w:rsidR="006B25DA" w:rsidRPr="00C73649" w:rsidRDefault="006B25DA">
            <w:pPr>
              <w:spacing w:after="120"/>
              <w:rPr>
                <w:b/>
                <w:bCs/>
                <w:noProof/>
                <w:szCs w:val="24"/>
                <w:u w:val="single"/>
              </w:rPr>
            </w:pPr>
            <w:r w:rsidRPr="008C708B">
              <w:rPr>
                <w:b/>
                <w:bCs/>
                <w:i/>
                <w:iCs/>
                <w:noProof/>
                <w:szCs w:val="24"/>
                <w:u w:val="single"/>
              </w:rPr>
              <w:t>Key milestones to consider:</w:t>
            </w:r>
          </w:p>
          <w:p w14:paraId="737D1855" w14:textId="77777777" w:rsidR="006B25DA" w:rsidRPr="00C73649" w:rsidRDefault="006B25DA" w:rsidP="006B25DA">
            <w:pPr>
              <w:pStyle w:val="ListDash1"/>
              <w:tabs>
                <w:tab w:val="clear" w:pos="765"/>
                <w:tab w:val="num" w:pos="283"/>
              </w:tabs>
              <w:spacing w:after="120"/>
              <w:ind w:left="284" w:hanging="284"/>
              <w:rPr>
                <w:noProof/>
              </w:rPr>
            </w:pPr>
            <w:r>
              <w:rPr>
                <w:noProof/>
              </w:rPr>
              <w:t>By September 2024, the Commission will convene the AMMR Regulatory Committee.</w:t>
            </w:r>
          </w:p>
          <w:p w14:paraId="211B7023" w14:textId="77777777" w:rsidR="006B25DA" w:rsidRPr="00C12801" w:rsidRDefault="006B25DA" w:rsidP="006B25DA">
            <w:pPr>
              <w:pStyle w:val="ListDash1"/>
              <w:tabs>
                <w:tab w:val="clear" w:pos="765"/>
                <w:tab w:val="num" w:pos="283"/>
              </w:tabs>
              <w:spacing w:after="120"/>
              <w:ind w:left="284" w:hanging="284"/>
              <w:rPr>
                <w:noProof/>
              </w:rPr>
            </w:pPr>
            <w:r>
              <w:rPr>
                <w:noProof/>
              </w:rPr>
              <w:t xml:space="preserve">By 12 June 2025, the Commission will aim to adopt the implementing acts replacing the Dublin Implementing Rules. </w:t>
            </w:r>
          </w:p>
          <w:p w14:paraId="34A9C0EA" w14:textId="77777777" w:rsidR="006B25DA" w:rsidRPr="00C12801" w:rsidRDefault="006B25DA" w:rsidP="006B25DA">
            <w:pPr>
              <w:pStyle w:val="ListDash1"/>
              <w:tabs>
                <w:tab w:val="clear" w:pos="765"/>
                <w:tab w:val="num" w:pos="283"/>
              </w:tabs>
              <w:spacing w:after="120"/>
              <w:ind w:left="284" w:hanging="284"/>
              <w:rPr>
                <w:noProof/>
              </w:rPr>
            </w:pPr>
            <w:r>
              <w:rPr>
                <w:noProof/>
              </w:rPr>
              <w:t xml:space="preserve">By 12 June 2025, the Commission will aim to adopt the delegated acts required by the Asylum Migration Management Regulation. </w:t>
            </w:r>
          </w:p>
          <w:p w14:paraId="6F5A8E72" w14:textId="77777777" w:rsidR="006B25DA" w:rsidRPr="00C12801" w:rsidRDefault="006B25DA" w:rsidP="006B25DA">
            <w:pPr>
              <w:pStyle w:val="ListDash1"/>
              <w:tabs>
                <w:tab w:val="clear" w:pos="765"/>
                <w:tab w:val="num" w:pos="283"/>
              </w:tabs>
              <w:spacing w:after="120"/>
              <w:ind w:left="284" w:hanging="284"/>
              <w:rPr>
                <w:noProof/>
              </w:rPr>
            </w:pPr>
            <w:r>
              <w:rPr>
                <w:noProof/>
              </w:rPr>
              <w:t>By September 2024, the Commission will issue a concept note on the gradual upgrade of DubliNet.</w:t>
            </w:r>
          </w:p>
          <w:p w14:paraId="0017A986" w14:textId="6BF9B559" w:rsidR="006B25DA" w:rsidRPr="00C12801" w:rsidRDefault="006B25DA" w:rsidP="006B25DA">
            <w:pPr>
              <w:pStyle w:val="ListDash1"/>
              <w:tabs>
                <w:tab w:val="clear" w:pos="765"/>
                <w:tab w:val="num" w:pos="283"/>
              </w:tabs>
              <w:spacing w:after="120"/>
              <w:ind w:left="284" w:hanging="284"/>
              <w:rPr>
                <w:noProof/>
              </w:rPr>
            </w:pPr>
            <w:r>
              <w:rPr>
                <w:noProof/>
              </w:rPr>
              <w:t>By April 2025, EUAA will develop the template for family-related cases and guidelines for the tracing and identification of family members.</w:t>
            </w:r>
          </w:p>
          <w:p w14:paraId="26CF21C5" w14:textId="77777777" w:rsidR="006B25DA" w:rsidRPr="00C73649" w:rsidRDefault="006B25DA" w:rsidP="006B25DA">
            <w:pPr>
              <w:pStyle w:val="ListDash1"/>
              <w:tabs>
                <w:tab w:val="clear" w:pos="765"/>
                <w:tab w:val="num" w:pos="283"/>
              </w:tabs>
              <w:spacing w:after="120"/>
              <w:ind w:left="284" w:hanging="284"/>
              <w:rPr>
                <w:noProof/>
              </w:rPr>
            </w:pPr>
            <w:r>
              <w:rPr>
                <w:noProof/>
              </w:rPr>
              <w:t>By 12 March 2026, Member States should notify to the Commission the competent authorities responsible for fulfilling the obligations under the Asylum Migration Management Regulation. Soon after, the Commission shall publish a consolidated list of these authorities.</w:t>
            </w:r>
          </w:p>
        </w:tc>
      </w:tr>
    </w:tbl>
    <w:p w14:paraId="41DEB789" w14:textId="77777777" w:rsidR="006B25DA" w:rsidRPr="00C12801" w:rsidRDefault="006B25DA" w:rsidP="006B25DA">
      <w:pPr>
        <w:rPr>
          <w:noProof/>
        </w:rPr>
      </w:pPr>
      <w:r w:rsidRPr="00C12801">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C12801" w14:paraId="1351D80E" w14:textId="77777777">
        <w:trPr>
          <w:trHeight w:val="572"/>
        </w:trPr>
        <w:tc>
          <w:tcPr>
            <w:tcW w:w="1302" w:type="dxa"/>
            <w:vMerge w:val="restart"/>
            <w:tcBorders>
              <w:right w:val="single" w:sz="4" w:space="0" w:color="FFFFFF" w:themeColor="background1"/>
            </w:tcBorders>
          </w:tcPr>
          <w:p w14:paraId="1833E71A" w14:textId="77777777" w:rsidR="006B25DA" w:rsidRPr="00C12801" w:rsidRDefault="00A2365E">
            <w:pPr>
              <w:pStyle w:val="Text1"/>
              <w:spacing w:before="120" w:after="120"/>
              <w:ind w:left="0"/>
              <w:jc w:val="center"/>
              <w:rPr>
                <w:noProof/>
              </w:rPr>
            </w:pPr>
            <w:r>
              <w:rPr>
                <w:noProof/>
              </w:rPr>
              <w:pict w14:anchorId="2C1E570F">
                <v:group id="Group 51" o:spid="_x0000_s2066" style="position:absolute;left:0;text-align:left;margin-left:.1pt;margin-top:5.15pt;width:52.15pt;height:52.15pt;z-index:251658245" coordsize="15897,15897">
                  <v:shape id="Graphic 52" o:spid="_x0000_s2067"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">
                    <v:imagedata r:id="rId32" o:title=""/>
                  </v:shape>
                  <v:shape id="Graphic 53" o:spid="_x0000_s2068" type="#_x0000_t75" style="position:absolute;left:3226;top:5099;width:9934;height:7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">
                    <v:imagedata r:id="rId33" o:title=""/>
                  </v:shape>
                </v:group>
              </w:pict>
            </w:r>
          </w:p>
        </w:tc>
        <w:tc>
          <w:tcPr>
            <w:tcW w:w="7345" w:type="dxa"/>
            <w:tcBorders>
              <w:left w:val="single" w:sz="4" w:space="0" w:color="FFFFFF" w:themeColor="background1"/>
              <w:bottom w:val="single" w:sz="4" w:space="0" w:color="FFFFFF" w:themeColor="background1"/>
            </w:tcBorders>
          </w:tcPr>
          <w:p w14:paraId="1A358C3E" w14:textId="77777777" w:rsidR="006B25DA" w:rsidRPr="00C12801" w:rsidRDefault="006B25DA">
            <w:pPr>
              <w:pStyle w:val="Text1"/>
              <w:spacing w:before="60" w:after="120"/>
              <w:ind w:left="36"/>
              <w:rPr>
                <w:rFonts w:eastAsia="EC Square Sans Pro"/>
                <w:b/>
                <w:bCs/>
                <w:noProof/>
                <w:u w:val="single"/>
              </w:rPr>
            </w:pPr>
            <w:r w:rsidRPr="00C12801">
              <w:rPr>
                <w:rFonts w:eastAsia="EC Square Sans Pro"/>
                <w:b/>
                <w:bCs/>
                <w:noProof/>
                <w:u w:val="single"/>
              </w:rPr>
              <w:t>BUILDING BLOCK 7</w:t>
            </w:r>
          </w:p>
        </w:tc>
      </w:tr>
      <w:tr w:rsidR="006B25DA" w:rsidRPr="00C12801" w14:paraId="01565855" w14:textId="77777777">
        <w:trPr>
          <w:trHeight w:val="675"/>
        </w:trPr>
        <w:tc>
          <w:tcPr>
            <w:tcW w:w="1302" w:type="dxa"/>
            <w:vMerge/>
            <w:tcBorders>
              <w:right w:val="single" w:sz="4" w:space="0" w:color="FFFFFF" w:themeColor="background1"/>
            </w:tcBorders>
          </w:tcPr>
          <w:p w14:paraId="45DA4709"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61E3F5B7" w14:textId="77777777" w:rsidR="006B25DA" w:rsidRPr="00C12801" w:rsidRDefault="006B25DA">
            <w:pPr>
              <w:pStyle w:val="Text1"/>
              <w:spacing w:before="60" w:after="120"/>
              <w:ind w:left="36"/>
              <w:rPr>
                <w:rFonts w:eastAsia="EC Square Sans Pro"/>
                <w:b/>
                <w:bCs/>
                <w:noProof/>
              </w:rPr>
            </w:pPr>
            <w:r w:rsidRPr="00C12801">
              <w:rPr>
                <w:rFonts w:eastAsia="EC Square Sans Pro"/>
                <w:b/>
                <w:bCs/>
                <w:noProof/>
              </w:rPr>
              <w:t>Making solidarity work</w:t>
            </w:r>
          </w:p>
        </w:tc>
      </w:tr>
    </w:tbl>
    <w:p w14:paraId="6887691A" w14:textId="300E130F" w:rsidR="006B25DA" w:rsidRPr="00C12801" w:rsidRDefault="006B25DA" w:rsidP="006B25DA">
      <w:pPr>
        <w:spacing w:before="120" w:after="120"/>
        <w:rPr>
          <w:noProof/>
        </w:rPr>
      </w:pPr>
      <w:r w:rsidRPr="00C12801">
        <w:rPr>
          <w:noProof/>
          <w:szCs w:val="24"/>
        </w:rPr>
        <w:t xml:space="preserve">Solidarity is a fundamental principle of the EU enshrined in Article 80 of the TFEU. </w:t>
      </w:r>
      <w:r w:rsidRPr="00C12801">
        <w:rPr>
          <w:noProof/>
        </w:rPr>
        <w:t xml:space="preserve">For the first time, the Union will have a </w:t>
      </w:r>
      <w:r w:rsidRPr="00355D64">
        <w:rPr>
          <w:b/>
          <w:bCs/>
          <w:noProof/>
        </w:rPr>
        <w:t>permanent, legally-binding but flexible solidarity mechanism</w:t>
      </w:r>
      <w:r w:rsidRPr="007E10C1">
        <w:rPr>
          <w:noProof/>
        </w:rPr>
        <w:t xml:space="preserve"> </w:t>
      </w:r>
      <w:r>
        <w:rPr>
          <w:noProof/>
        </w:rPr>
        <w:t>t</w:t>
      </w:r>
      <w:r w:rsidRPr="00C12801">
        <w:rPr>
          <w:noProof/>
        </w:rPr>
        <w:t xml:space="preserve">o ensure that no Member State is left </w:t>
      </w:r>
      <w:r w:rsidRPr="007A653B">
        <w:rPr>
          <w:noProof/>
        </w:rPr>
        <w:t>alone when under pressure. It is</w:t>
      </w:r>
      <w:r w:rsidRPr="00C12801">
        <w:rPr>
          <w:noProof/>
        </w:rPr>
        <w:t xml:space="preserve"> the counterpart of the enhanced responsibility rules described in building blocks </w:t>
      </w:r>
      <w:r w:rsidR="008D7731">
        <w:rPr>
          <w:noProof/>
        </w:rPr>
        <w:t xml:space="preserve">2 </w:t>
      </w:r>
      <w:r w:rsidRPr="00C12801">
        <w:rPr>
          <w:noProof/>
        </w:rPr>
        <w:t xml:space="preserve">and </w:t>
      </w:r>
      <w:r w:rsidR="008D7731">
        <w:rPr>
          <w:noProof/>
        </w:rPr>
        <w:t>6</w:t>
      </w:r>
      <w:r>
        <w:rPr>
          <w:noProof/>
        </w:rPr>
        <w:t>.</w:t>
      </w:r>
      <w:r w:rsidRPr="00C12801">
        <w:rPr>
          <w:noProof/>
        </w:rPr>
        <w:t xml:space="preserve"> </w:t>
      </w:r>
    </w:p>
    <w:p w14:paraId="44ECB927" w14:textId="160AD7BE" w:rsidR="00B44C04" w:rsidRPr="00C12801" w:rsidRDefault="006B25DA" w:rsidP="006B25DA">
      <w:pPr>
        <w:spacing w:after="120"/>
        <w:rPr>
          <w:noProof/>
        </w:rPr>
      </w:pPr>
      <w:r w:rsidRPr="00C12801">
        <w:rPr>
          <w:noProof/>
        </w:rPr>
        <w:t xml:space="preserve">The Asylum Migration Management Regulation introduces </w:t>
      </w:r>
      <w:r>
        <w:rPr>
          <w:noProof/>
        </w:rPr>
        <w:t xml:space="preserve">a </w:t>
      </w:r>
      <w:r w:rsidRPr="00355D64">
        <w:rPr>
          <w:b/>
          <w:bCs/>
          <w:noProof/>
        </w:rPr>
        <w:t>solidarity mechanism with minimum thresholds of 30 000 relocations</w:t>
      </w:r>
      <w:r w:rsidRPr="00C12801">
        <w:rPr>
          <w:noProof/>
        </w:rPr>
        <w:t xml:space="preserve"> </w:t>
      </w:r>
      <w:r>
        <w:rPr>
          <w:noProof/>
        </w:rPr>
        <w:t>and</w:t>
      </w:r>
      <w:r w:rsidRPr="00C12801">
        <w:rPr>
          <w:noProof/>
        </w:rPr>
        <w:t xml:space="preserve"> </w:t>
      </w:r>
      <w:r w:rsidRPr="00355D64">
        <w:rPr>
          <w:b/>
          <w:bCs/>
          <w:noProof/>
        </w:rPr>
        <w:t>EUR 600 million of financial support at Union level</w:t>
      </w:r>
      <w:r>
        <w:rPr>
          <w:noProof/>
        </w:rPr>
        <w:t xml:space="preserve"> that the Commission </w:t>
      </w:r>
      <w:r w:rsidR="008C7ECE">
        <w:rPr>
          <w:noProof/>
        </w:rPr>
        <w:t>must</w:t>
      </w:r>
      <w:r>
        <w:rPr>
          <w:noProof/>
        </w:rPr>
        <w:t xml:space="preserve"> respect when calculating the needs for the year</w:t>
      </w:r>
      <w:r w:rsidRPr="00C12801">
        <w:rPr>
          <w:noProof/>
        </w:rPr>
        <w:t>.</w:t>
      </w:r>
      <w:r w:rsidRPr="00045B03">
        <w:rPr>
          <w:noProof/>
        </w:rPr>
        <w:t xml:space="preserve"> </w:t>
      </w:r>
      <w:r w:rsidRPr="00C12801">
        <w:rPr>
          <w:noProof/>
        </w:rPr>
        <w:t xml:space="preserve">All Member States will </w:t>
      </w:r>
      <w:r w:rsidR="008C7ECE">
        <w:rPr>
          <w:noProof/>
        </w:rPr>
        <w:t xml:space="preserve">need </w:t>
      </w:r>
      <w:r>
        <w:rPr>
          <w:noProof/>
        </w:rPr>
        <w:t xml:space="preserve">to </w:t>
      </w:r>
      <w:r w:rsidRPr="00C12801">
        <w:rPr>
          <w:noProof/>
        </w:rPr>
        <w:t xml:space="preserve">participate </w:t>
      </w:r>
      <w:r w:rsidR="008C7ECE">
        <w:rPr>
          <w:noProof/>
        </w:rPr>
        <w:t>but they</w:t>
      </w:r>
      <w:r w:rsidR="008C7ECE" w:rsidRPr="00C12801">
        <w:rPr>
          <w:noProof/>
        </w:rPr>
        <w:t xml:space="preserve"> </w:t>
      </w:r>
      <w:r w:rsidRPr="00C12801">
        <w:rPr>
          <w:noProof/>
        </w:rPr>
        <w:t>will be able to choose their solidarity measures between relocations, financial solidarity, or alternative measures (staff or in-kind support).</w:t>
      </w:r>
      <w:r w:rsidR="00B44C04">
        <w:rPr>
          <w:noProof/>
        </w:rPr>
        <w:t xml:space="preserve"> The </w:t>
      </w:r>
      <w:r w:rsidR="00B44C04" w:rsidRPr="00C12801">
        <w:rPr>
          <w:noProof/>
        </w:rPr>
        <w:t>Asylum Migration Management Regulation</w:t>
      </w:r>
      <w:r w:rsidR="00B44C04">
        <w:rPr>
          <w:noProof/>
        </w:rPr>
        <w:t xml:space="preserve"> foresees th</w:t>
      </w:r>
      <w:r w:rsidR="00101CB5">
        <w:rPr>
          <w:noProof/>
        </w:rPr>
        <w:t xml:space="preserve">e establishment of the </w:t>
      </w:r>
      <w:r w:rsidR="00B44C04">
        <w:rPr>
          <w:noProof/>
        </w:rPr>
        <w:t xml:space="preserve">High-Level </w:t>
      </w:r>
      <w:r w:rsidR="000107BB">
        <w:rPr>
          <w:noProof/>
        </w:rPr>
        <w:t xml:space="preserve">EU </w:t>
      </w:r>
      <w:r w:rsidR="00B44C04">
        <w:rPr>
          <w:noProof/>
        </w:rPr>
        <w:t>Solidarity Forum</w:t>
      </w:r>
      <w:r w:rsidR="00C7326A">
        <w:rPr>
          <w:noProof/>
        </w:rPr>
        <w:t xml:space="preserve"> </w:t>
      </w:r>
      <w:r w:rsidR="000B015D">
        <w:rPr>
          <w:noProof/>
        </w:rPr>
        <w:t xml:space="preserve">chaired by the Member State holding the presidency of the </w:t>
      </w:r>
      <w:r w:rsidR="00C7326A">
        <w:rPr>
          <w:noProof/>
        </w:rPr>
        <w:t>Council</w:t>
      </w:r>
      <w:r w:rsidR="00626A1C">
        <w:rPr>
          <w:noProof/>
        </w:rPr>
        <w:t>, where the pledging should take place,</w:t>
      </w:r>
      <w:r w:rsidR="000B015D">
        <w:rPr>
          <w:noProof/>
        </w:rPr>
        <w:t xml:space="preserve"> and of the </w:t>
      </w:r>
      <w:r w:rsidR="00B44C04">
        <w:rPr>
          <w:noProof/>
        </w:rPr>
        <w:t xml:space="preserve">Technical-level </w:t>
      </w:r>
      <w:r w:rsidR="00331EAA">
        <w:rPr>
          <w:noProof/>
        </w:rPr>
        <w:t xml:space="preserve">EU </w:t>
      </w:r>
      <w:r w:rsidR="00B44C04">
        <w:rPr>
          <w:noProof/>
        </w:rPr>
        <w:t>Solidarity Forum</w:t>
      </w:r>
      <w:r w:rsidR="00C7326A">
        <w:rPr>
          <w:noProof/>
        </w:rPr>
        <w:t xml:space="preserve">, chaired by the Solidarity Coordinator, </w:t>
      </w:r>
      <w:r w:rsidR="00626A1C">
        <w:rPr>
          <w:noProof/>
        </w:rPr>
        <w:t xml:space="preserve">which </w:t>
      </w:r>
      <w:r w:rsidR="00C7326A">
        <w:rPr>
          <w:noProof/>
        </w:rPr>
        <w:t xml:space="preserve">will be responsible for the operationalisation of the </w:t>
      </w:r>
      <w:r w:rsidR="00626A1C">
        <w:rPr>
          <w:noProof/>
        </w:rPr>
        <w:t xml:space="preserve">Annual </w:t>
      </w:r>
      <w:r w:rsidR="00C7326A">
        <w:rPr>
          <w:noProof/>
        </w:rPr>
        <w:t xml:space="preserve">Solidarity Pool </w:t>
      </w:r>
      <w:r w:rsidR="00626A1C">
        <w:rPr>
          <w:noProof/>
        </w:rPr>
        <w:t xml:space="preserve">set out </w:t>
      </w:r>
      <w:r w:rsidR="0074645A">
        <w:rPr>
          <w:noProof/>
        </w:rPr>
        <w:t>in the annual</w:t>
      </w:r>
      <w:r w:rsidR="00626A1C">
        <w:rPr>
          <w:noProof/>
        </w:rPr>
        <w:t xml:space="preserve"> Council implementing act.</w:t>
      </w:r>
    </w:p>
    <w:p w14:paraId="51D5D9B1" w14:textId="00AE7001" w:rsidR="006B25DA" w:rsidRDefault="009B485A" w:rsidP="006B25DA">
      <w:pPr>
        <w:pStyle w:val="Caption"/>
        <w:spacing w:before="0" w:after="120"/>
        <w:rPr>
          <w:b/>
          <w:noProof/>
        </w:rPr>
      </w:pPr>
      <w:r>
        <w:rPr>
          <w:noProof/>
          <w:lang w:eastAsia="en-GB"/>
        </w:rPr>
        <w:drawing>
          <wp:anchor distT="0" distB="0" distL="114300" distR="114300" simplePos="0" relativeHeight="251658247" behindDoc="0" locked="0" layoutInCell="1" allowOverlap="1" wp14:anchorId="6247873D" wp14:editId="6CBBF5C4">
            <wp:simplePos x="0" y="0"/>
            <wp:positionH relativeFrom="column">
              <wp:posOffset>-299407</wp:posOffset>
            </wp:positionH>
            <wp:positionV relativeFrom="page">
              <wp:posOffset>4567621</wp:posOffset>
            </wp:positionV>
            <wp:extent cx="6380480" cy="2395855"/>
            <wp:effectExtent l="0" t="0" r="0" b="0"/>
            <wp:wrapThrough wrapText="bothSides">
              <wp:wrapPolygon edited="0">
                <wp:start x="11028" y="0"/>
                <wp:lineTo x="1096" y="687"/>
                <wp:lineTo x="580" y="859"/>
                <wp:lineTo x="580" y="3950"/>
                <wp:lineTo x="4708" y="5496"/>
                <wp:lineTo x="7610" y="5496"/>
                <wp:lineTo x="451" y="7213"/>
                <wp:lineTo x="451" y="9274"/>
                <wp:lineTo x="7094" y="10992"/>
                <wp:lineTo x="322" y="11164"/>
                <wp:lineTo x="64" y="11335"/>
                <wp:lineTo x="64" y="20953"/>
                <wp:lineTo x="10576" y="21468"/>
                <wp:lineTo x="11737" y="21468"/>
                <wp:lineTo x="17348" y="21297"/>
                <wp:lineTo x="21282" y="20438"/>
                <wp:lineTo x="21346" y="17862"/>
                <wp:lineTo x="20314" y="17518"/>
                <wp:lineTo x="14575" y="16488"/>
                <wp:lineTo x="19025" y="16316"/>
                <wp:lineTo x="20959" y="15457"/>
                <wp:lineTo x="20701" y="13740"/>
                <wp:lineTo x="19670" y="10992"/>
                <wp:lineTo x="20572" y="10992"/>
                <wp:lineTo x="21153" y="9790"/>
                <wp:lineTo x="21217" y="7385"/>
                <wp:lineTo x="19670" y="6698"/>
                <wp:lineTo x="14704" y="5496"/>
                <wp:lineTo x="16187" y="5496"/>
                <wp:lineTo x="20508" y="3435"/>
                <wp:lineTo x="20443" y="2748"/>
                <wp:lineTo x="20830" y="1546"/>
                <wp:lineTo x="19283" y="1202"/>
                <wp:lineTo x="11286" y="0"/>
                <wp:lineTo x="110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0480" cy="2395855"/>
                    </a:xfrm>
                    <a:prstGeom prst="rect">
                      <a:avLst/>
                    </a:prstGeom>
                    <a:noFill/>
                  </pic:spPr>
                </pic:pic>
              </a:graphicData>
            </a:graphic>
            <wp14:sizeRelH relativeFrom="page">
              <wp14:pctWidth>0</wp14:pctWidth>
            </wp14:sizeRelH>
            <wp14:sizeRelV relativeFrom="page">
              <wp14:pctHeight>0</wp14:pctHeight>
            </wp14:sizeRelV>
          </wp:anchor>
        </w:drawing>
      </w:r>
      <w:r w:rsidR="006B25DA" w:rsidRPr="00C12801">
        <w:rPr>
          <w:b/>
          <w:noProof/>
        </w:rPr>
        <w:t xml:space="preserve">Figure 3: The annual </w:t>
      </w:r>
      <w:r w:rsidR="00F3758E">
        <w:rPr>
          <w:b/>
          <w:noProof/>
        </w:rPr>
        <w:t xml:space="preserve">migration management </w:t>
      </w:r>
      <w:r w:rsidR="006B25DA" w:rsidRPr="00C12801">
        <w:rPr>
          <w:b/>
          <w:noProof/>
        </w:rPr>
        <w:t xml:space="preserve"> cycle</w:t>
      </w:r>
    </w:p>
    <w:p w14:paraId="7306BA86" w14:textId="4ABE46C9" w:rsidR="009B485A" w:rsidRDefault="009B485A" w:rsidP="006B25DA">
      <w:pPr>
        <w:spacing w:after="120"/>
        <w:rPr>
          <w:noProof/>
        </w:rPr>
      </w:pPr>
    </w:p>
    <w:p w14:paraId="68A7CA20" w14:textId="77777777" w:rsidR="009B485A" w:rsidRDefault="009B485A" w:rsidP="006B25DA">
      <w:pPr>
        <w:spacing w:after="120"/>
        <w:rPr>
          <w:noProof/>
        </w:rPr>
      </w:pPr>
    </w:p>
    <w:p w14:paraId="5D1AD0F3" w14:textId="00556F9F" w:rsidR="006B25DA" w:rsidRDefault="006B25DA" w:rsidP="006B25DA">
      <w:pPr>
        <w:spacing w:after="120"/>
        <w:rPr>
          <w:noProof/>
        </w:rPr>
      </w:pPr>
      <w:r w:rsidRPr="00C12801">
        <w:rPr>
          <w:noProof/>
        </w:rPr>
        <w:t>Many of the actions required to implement the annual solidarity cycle need to be put in place at Union level. The Commission</w:t>
      </w:r>
      <w:r w:rsidRPr="00C12801">
        <w:rPr>
          <w:bCs/>
          <w:noProof/>
        </w:rPr>
        <w:t xml:space="preserve"> will take the</w:t>
      </w:r>
      <w:r>
        <w:rPr>
          <w:bCs/>
          <w:noProof/>
        </w:rPr>
        <w:t xml:space="preserve"> corresponding</w:t>
      </w:r>
      <w:r w:rsidRPr="00C12801">
        <w:rPr>
          <w:bCs/>
          <w:noProof/>
        </w:rPr>
        <w:t xml:space="preserve"> steps </w:t>
      </w:r>
      <w:r>
        <w:rPr>
          <w:bCs/>
          <w:noProof/>
        </w:rPr>
        <w:t xml:space="preserve">that are necessary for </w:t>
      </w:r>
      <w:r w:rsidRPr="00C12801">
        <w:rPr>
          <w:bCs/>
          <w:noProof/>
        </w:rPr>
        <w:t>the first</w:t>
      </w:r>
      <w:r w:rsidRPr="00C12801">
        <w:rPr>
          <w:noProof/>
        </w:rPr>
        <w:t xml:space="preserve"> </w:t>
      </w:r>
      <w:r w:rsidRPr="00355D64">
        <w:rPr>
          <w:b/>
          <w:bCs/>
          <w:noProof/>
        </w:rPr>
        <w:t xml:space="preserve">annual </w:t>
      </w:r>
      <w:r w:rsidR="006E2B19">
        <w:rPr>
          <w:b/>
          <w:bCs/>
          <w:noProof/>
        </w:rPr>
        <w:t>migration management</w:t>
      </w:r>
      <w:r w:rsidR="006E2B19" w:rsidRPr="00355D64">
        <w:rPr>
          <w:b/>
          <w:bCs/>
          <w:noProof/>
        </w:rPr>
        <w:t xml:space="preserve"> </w:t>
      </w:r>
      <w:r w:rsidRPr="00355D64">
        <w:rPr>
          <w:b/>
          <w:bCs/>
          <w:noProof/>
        </w:rPr>
        <w:t>cycle</w:t>
      </w:r>
      <w:r w:rsidR="008C7ECE">
        <w:rPr>
          <w:b/>
          <w:bCs/>
          <w:noProof/>
        </w:rPr>
        <w:t>,</w:t>
      </w:r>
      <w:r w:rsidRPr="00C12801">
        <w:rPr>
          <w:noProof/>
        </w:rPr>
        <w:t xml:space="preserve"> and </w:t>
      </w:r>
      <w:r w:rsidR="008C7ECE">
        <w:rPr>
          <w:noProof/>
        </w:rPr>
        <w:t xml:space="preserve">it </w:t>
      </w:r>
      <w:r w:rsidRPr="00C12801">
        <w:rPr>
          <w:noProof/>
        </w:rPr>
        <w:t>take</w:t>
      </w:r>
      <w:r w:rsidR="00355D64">
        <w:rPr>
          <w:noProof/>
        </w:rPr>
        <w:t>s</w:t>
      </w:r>
      <w:r w:rsidRPr="00C12801">
        <w:rPr>
          <w:noProof/>
        </w:rPr>
        <w:t xml:space="preserve"> all necessary legal, administrative, and operational measures to ensure that each step of the annual cycle works smoothly, including </w:t>
      </w:r>
      <w:r w:rsidRPr="00C12801">
        <w:rPr>
          <w:bCs/>
          <w:noProof/>
        </w:rPr>
        <w:t>operationalis</w:t>
      </w:r>
      <w:r>
        <w:rPr>
          <w:bCs/>
          <w:noProof/>
        </w:rPr>
        <w:t>ing</w:t>
      </w:r>
      <w:r w:rsidRPr="00C12801">
        <w:rPr>
          <w:bCs/>
          <w:noProof/>
        </w:rPr>
        <w:t xml:space="preserve"> the </w:t>
      </w:r>
      <w:r>
        <w:rPr>
          <w:bCs/>
          <w:noProof/>
        </w:rPr>
        <w:t xml:space="preserve">first </w:t>
      </w:r>
      <w:r w:rsidR="00C368B5">
        <w:rPr>
          <w:bCs/>
          <w:noProof/>
        </w:rPr>
        <w:t xml:space="preserve">Annual </w:t>
      </w:r>
      <w:r w:rsidR="00C368B5">
        <w:rPr>
          <w:b/>
          <w:noProof/>
        </w:rPr>
        <w:t>S</w:t>
      </w:r>
      <w:r w:rsidRPr="00355D64">
        <w:rPr>
          <w:b/>
          <w:noProof/>
        </w:rPr>
        <w:t xml:space="preserve">olidarity </w:t>
      </w:r>
      <w:r w:rsidR="00C368B5">
        <w:rPr>
          <w:b/>
          <w:noProof/>
        </w:rPr>
        <w:t>P</w:t>
      </w:r>
      <w:r w:rsidRPr="00355D64">
        <w:rPr>
          <w:b/>
          <w:noProof/>
        </w:rPr>
        <w:t>ool that the Council has to adopt at the end of 2025</w:t>
      </w:r>
      <w:r w:rsidRPr="00C12801">
        <w:rPr>
          <w:noProof/>
        </w:rPr>
        <w:t>.</w:t>
      </w:r>
    </w:p>
    <w:p w14:paraId="68CEF156" w14:textId="034B05E9" w:rsidR="006B25DA" w:rsidRPr="00C12801" w:rsidRDefault="006B25DA" w:rsidP="006B25DA">
      <w:pPr>
        <w:pStyle w:val="BodyText"/>
        <w:spacing w:after="120"/>
        <w:jc w:val="both"/>
        <w:rPr>
          <w:rFonts w:ascii="Times New Roman" w:hAnsi="Times New Roman" w:cs="Times New Roman"/>
          <w:i w:val="0"/>
          <w:iCs w:val="0"/>
          <w:noProof/>
          <w:lang w:val="en-GB"/>
        </w:rPr>
      </w:pPr>
      <w:r>
        <w:rPr>
          <w:rFonts w:ascii="Times New Roman" w:hAnsi="Times New Roman" w:cs="Times New Roman"/>
          <w:i w:val="0"/>
          <w:iCs w:val="0"/>
          <w:noProof/>
          <w:lang w:val="en-GB"/>
        </w:rPr>
        <w:t>Actions</w:t>
      </w:r>
      <w:r w:rsidRPr="00C12801">
        <w:rPr>
          <w:rFonts w:ascii="Times New Roman" w:hAnsi="Times New Roman" w:cs="Times New Roman"/>
          <w:i w:val="0"/>
          <w:iCs w:val="0"/>
          <w:noProof/>
          <w:lang w:val="en-GB"/>
        </w:rPr>
        <w:t xml:space="preserve"> </w:t>
      </w:r>
      <w:r>
        <w:rPr>
          <w:rFonts w:ascii="Times New Roman" w:hAnsi="Times New Roman" w:cs="Times New Roman"/>
          <w:i w:val="0"/>
          <w:iCs w:val="0"/>
          <w:noProof/>
          <w:lang w:val="en-GB"/>
        </w:rPr>
        <w:t>are also needed</w:t>
      </w:r>
      <w:r w:rsidRPr="00C12801">
        <w:rPr>
          <w:rFonts w:ascii="Times New Roman" w:hAnsi="Times New Roman" w:cs="Times New Roman"/>
          <w:i w:val="0"/>
          <w:iCs w:val="0"/>
          <w:noProof/>
          <w:lang w:val="en-GB"/>
        </w:rPr>
        <w:t xml:space="preserve"> at </w:t>
      </w:r>
      <w:r w:rsidRPr="00355D64">
        <w:rPr>
          <w:rFonts w:ascii="Times New Roman" w:hAnsi="Times New Roman" w:cs="Times New Roman"/>
          <w:b/>
          <w:bCs/>
          <w:i w:val="0"/>
          <w:iCs w:val="0"/>
          <w:noProof/>
          <w:lang w:val="en-GB"/>
        </w:rPr>
        <w:t>national level</w:t>
      </w:r>
      <w:r w:rsidRPr="00C12801">
        <w:rPr>
          <w:rFonts w:ascii="Times New Roman" w:hAnsi="Times New Roman" w:cs="Times New Roman"/>
          <w:i w:val="0"/>
          <w:iCs w:val="0"/>
          <w:noProof/>
          <w:lang w:val="en-GB"/>
        </w:rPr>
        <w:t>. As for many of the previous building blocks, the Commission and Member States can leverage existing practices</w:t>
      </w:r>
      <w:r w:rsidR="008C7ECE">
        <w:rPr>
          <w:rFonts w:ascii="Times New Roman" w:hAnsi="Times New Roman" w:cs="Times New Roman"/>
          <w:i w:val="0"/>
          <w:iCs w:val="0"/>
          <w:noProof/>
          <w:lang w:val="en-GB"/>
        </w:rPr>
        <w:t>,</w:t>
      </w:r>
      <w:r w:rsidRPr="00C12801">
        <w:rPr>
          <w:rFonts w:ascii="Times New Roman" w:hAnsi="Times New Roman" w:cs="Times New Roman"/>
          <w:i w:val="0"/>
          <w:iCs w:val="0"/>
          <w:noProof/>
          <w:lang w:val="en-GB"/>
        </w:rPr>
        <w:t xml:space="preserve"> building on the experience so far </w:t>
      </w:r>
      <w:r w:rsidR="008C7ECE">
        <w:rPr>
          <w:rFonts w:ascii="Times New Roman" w:hAnsi="Times New Roman" w:cs="Times New Roman"/>
          <w:i w:val="0"/>
          <w:iCs w:val="0"/>
          <w:noProof/>
          <w:lang w:val="en-GB"/>
        </w:rPr>
        <w:t>of</w:t>
      </w:r>
      <w:r w:rsidR="008C7ECE" w:rsidRPr="00C12801">
        <w:rPr>
          <w:rFonts w:ascii="Times New Roman" w:hAnsi="Times New Roman" w:cs="Times New Roman"/>
          <w:i w:val="0"/>
          <w:iCs w:val="0"/>
          <w:noProof/>
          <w:lang w:val="en-GB"/>
        </w:rPr>
        <w:t xml:space="preserve"> </w:t>
      </w:r>
      <w:r w:rsidRPr="00355D64">
        <w:rPr>
          <w:rFonts w:ascii="Times New Roman" w:hAnsi="Times New Roman" w:cs="Times New Roman"/>
          <w:noProof/>
          <w:lang w:val="en-GB"/>
        </w:rPr>
        <w:t>ad</w:t>
      </w:r>
      <w:r w:rsidR="008C7ECE" w:rsidRPr="00355D64">
        <w:rPr>
          <w:rFonts w:ascii="Times New Roman" w:hAnsi="Times New Roman" w:cs="Times New Roman"/>
          <w:noProof/>
          <w:lang w:val="en-GB"/>
        </w:rPr>
        <w:t xml:space="preserve"> </w:t>
      </w:r>
      <w:r w:rsidRPr="00355D64">
        <w:rPr>
          <w:rFonts w:ascii="Times New Roman" w:hAnsi="Times New Roman" w:cs="Times New Roman"/>
          <w:noProof/>
          <w:lang w:val="en-GB"/>
        </w:rPr>
        <w:t>hoc</w:t>
      </w:r>
      <w:r w:rsidRPr="00C12801">
        <w:rPr>
          <w:rFonts w:ascii="Times New Roman" w:hAnsi="Times New Roman" w:cs="Times New Roman"/>
          <w:i w:val="0"/>
          <w:iCs w:val="0"/>
          <w:noProof/>
          <w:lang w:val="en-GB"/>
        </w:rPr>
        <w:t xml:space="preserve"> solidarity mechanism</w:t>
      </w:r>
      <w:r>
        <w:rPr>
          <w:rFonts w:ascii="Times New Roman" w:hAnsi="Times New Roman" w:cs="Times New Roman"/>
          <w:i w:val="0"/>
          <w:iCs w:val="0"/>
          <w:noProof/>
          <w:lang w:val="en-GB"/>
        </w:rPr>
        <w:t>s</w:t>
      </w:r>
      <w:r w:rsidRPr="00C12801">
        <w:rPr>
          <w:rFonts w:ascii="Times New Roman" w:hAnsi="Times New Roman" w:cs="Times New Roman"/>
          <w:i w:val="0"/>
          <w:iCs w:val="0"/>
          <w:noProof/>
          <w:lang w:val="en-GB"/>
        </w:rPr>
        <w:t xml:space="preserve">. </w:t>
      </w:r>
      <w:r>
        <w:rPr>
          <w:rFonts w:ascii="Times New Roman" w:hAnsi="Times New Roman" w:cs="Times New Roman"/>
          <w:i w:val="0"/>
          <w:iCs w:val="0"/>
          <w:noProof/>
          <w:lang w:val="en-GB"/>
        </w:rPr>
        <w:t>T</w:t>
      </w:r>
      <w:r w:rsidRPr="00C12801">
        <w:rPr>
          <w:rFonts w:ascii="Times New Roman" w:eastAsia="Times New Roman" w:hAnsi="Times New Roman" w:cs="Times New Roman"/>
          <w:i w:val="0"/>
          <w:iCs w:val="0"/>
          <w:noProof/>
          <w:lang w:val="en-GB"/>
        </w:rPr>
        <w:t xml:space="preserve">he </w:t>
      </w:r>
      <w:r>
        <w:rPr>
          <w:rFonts w:ascii="Times New Roman" w:eastAsia="Times New Roman" w:hAnsi="Times New Roman" w:cs="Times New Roman"/>
          <w:i w:val="0"/>
          <w:iCs w:val="0"/>
          <w:noProof/>
          <w:lang w:val="en-GB"/>
        </w:rPr>
        <w:t xml:space="preserve">implementation </w:t>
      </w:r>
      <w:r w:rsidR="008C7ECE">
        <w:rPr>
          <w:rFonts w:ascii="Times New Roman" w:eastAsia="Times New Roman" w:hAnsi="Times New Roman" w:cs="Times New Roman"/>
          <w:i w:val="0"/>
          <w:iCs w:val="0"/>
          <w:noProof/>
          <w:lang w:val="en-GB"/>
        </w:rPr>
        <w:t>of</w:t>
      </w:r>
      <w:r w:rsidRPr="00C12801">
        <w:rPr>
          <w:rFonts w:ascii="Times New Roman" w:eastAsia="Times New Roman" w:hAnsi="Times New Roman" w:cs="Times New Roman"/>
          <w:i w:val="0"/>
          <w:iCs w:val="0"/>
          <w:noProof/>
          <w:lang w:val="en-GB"/>
        </w:rPr>
        <w:t xml:space="preserve"> the Voluntary Solidarity Mechanism since 2022</w:t>
      </w:r>
      <w:r w:rsidRPr="008C708B">
        <w:rPr>
          <w:rStyle w:val="FootnoteReference"/>
          <w:rFonts w:ascii="Times New Roman" w:hAnsi="Times New Roman" w:cs="Times New Roman"/>
          <w:i w:val="0"/>
          <w:iCs w:val="0"/>
          <w:noProof/>
        </w:rPr>
        <w:footnoteReference w:id="35"/>
      </w:r>
      <w:r w:rsidR="008C7ECE">
        <w:rPr>
          <w:rFonts w:ascii="Times New Roman" w:eastAsia="Times New Roman" w:hAnsi="Times New Roman" w:cs="Times New Roman"/>
          <w:i w:val="0"/>
          <w:iCs w:val="0"/>
          <w:noProof/>
          <w:lang w:val="en-GB"/>
        </w:rPr>
        <w:t>,</w:t>
      </w:r>
      <w:r w:rsidRPr="00C12801">
        <w:rPr>
          <w:rFonts w:ascii="Times New Roman" w:eastAsia="Times New Roman" w:hAnsi="Times New Roman" w:cs="Times New Roman"/>
          <w:i w:val="0"/>
          <w:iCs w:val="0"/>
          <w:noProof/>
          <w:lang w:val="en-GB"/>
        </w:rPr>
        <w:t xml:space="preserve"> </w:t>
      </w:r>
      <w:r>
        <w:rPr>
          <w:rFonts w:ascii="Times New Roman" w:eastAsia="Times New Roman" w:hAnsi="Times New Roman" w:cs="Times New Roman"/>
          <w:i w:val="0"/>
          <w:iCs w:val="0"/>
          <w:noProof/>
          <w:lang w:val="en-GB"/>
        </w:rPr>
        <w:t>in particular</w:t>
      </w:r>
      <w:r w:rsidR="008C7ECE">
        <w:rPr>
          <w:rFonts w:ascii="Times New Roman" w:eastAsia="Times New Roman" w:hAnsi="Times New Roman" w:cs="Times New Roman"/>
          <w:i w:val="0"/>
          <w:iCs w:val="0"/>
          <w:noProof/>
          <w:lang w:val="en-GB"/>
        </w:rPr>
        <w:t>,</w:t>
      </w:r>
      <w:r>
        <w:rPr>
          <w:rFonts w:ascii="Times New Roman" w:eastAsia="Times New Roman" w:hAnsi="Times New Roman" w:cs="Times New Roman"/>
          <w:i w:val="0"/>
          <w:iCs w:val="0"/>
          <w:noProof/>
          <w:lang w:val="en-GB"/>
        </w:rPr>
        <w:t xml:space="preserve"> constitute</w:t>
      </w:r>
      <w:r w:rsidR="008C7ECE">
        <w:rPr>
          <w:rFonts w:ascii="Times New Roman" w:eastAsia="Times New Roman" w:hAnsi="Times New Roman" w:cs="Times New Roman"/>
          <w:i w:val="0"/>
          <w:iCs w:val="0"/>
          <w:noProof/>
          <w:lang w:val="en-GB"/>
        </w:rPr>
        <w:t>s</w:t>
      </w:r>
      <w:r>
        <w:rPr>
          <w:rFonts w:ascii="Times New Roman" w:eastAsia="Times New Roman" w:hAnsi="Times New Roman" w:cs="Times New Roman"/>
          <w:i w:val="0"/>
          <w:iCs w:val="0"/>
          <w:noProof/>
          <w:lang w:val="en-GB"/>
        </w:rPr>
        <w:t xml:space="preserve"> </w:t>
      </w:r>
      <w:r w:rsidR="008C7ECE">
        <w:rPr>
          <w:rFonts w:ascii="Times New Roman" w:eastAsia="Times New Roman" w:hAnsi="Times New Roman" w:cs="Times New Roman"/>
          <w:i w:val="0"/>
          <w:iCs w:val="0"/>
          <w:noProof/>
          <w:lang w:val="en-GB"/>
        </w:rPr>
        <w:t xml:space="preserve">a </w:t>
      </w:r>
      <w:r>
        <w:rPr>
          <w:rFonts w:ascii="Times New Roman" w:eastAsia="Times New Roman" w:hAnsi="Times New Roman" w:cs="Times New Roman"/>
          <w:i w:val="0"/>
          <w:iCs w:val="0"/>
          <w:noProof/>
          <w:lang w:val="en-GB"/>
        </w:rPr>
        <w:t>source of inspiration for</w:t>
      </w:r>
      <w:r w:rsidRPr="00C12801">
        <w:rPr>
          <w:rFonts w:ascii="Times New Roman" w:eastAsia="Times New Roman" w:hAnsi="Times New Roman" w:cs="Times New Roman"/>
          <w:i w:val="0"/>
          <w:iCs w:val="0"/>
          <w:noProof/>
          <w:lang w:val="en-GB"/>
        </w:rPr>
        <w:t xml:space="preserve"> the Commission and Member States </w:t>
      </w:r>
      <w:r>
        <w:rPr>
          <w:rFonts w:ascii="Times New Roman" w:eastAsia="Times New Roman" w:hAnsi="Times New Roman" w:cs="Times New Roman"/>
          <w:i w:val="0"/>
          <w:iCs w:val="0"/>
          <w:noProof/>
          <w:lang w:val="en-GB"/>
        </w:rPr>
        <w:t>concerning</w:t>
      </w:r>
      <w:r w:rsidRPr="00C12801">
        <w:rPr>
          <w:rFonts w:ascii="Times New Roman" w:eastAsia="Times New Roman" w:hAnsi="Times New Roman" w:cs="Times New Roman"/>
          <w:i w:val="0"/>
          <w:iCs w:val="0"/>
          <w:noProof/>
          <w:lang w:val="en-GB"/>
        </w:rPr>
        <w:t xml:space="preserve"> practices, practical experiences and lessons learnt on how to implement the principle of solidarity – both for relocations of </w:t>
      </w:r>
      <w:r>
        <w:rPr>
          <w:rFonts w:ascii="Times New Roman" w:eastAsia="Times New Roman" w:hAnsi="Times New Roman" w:cs="Times New Roman"/>
          <w:i w:val="0"/>
          <w:iCs w:val="0"/>
          <w:noProof/>
          <w:lang w:val="en-GB"/>
        </w:rPr>
        <w:t>applicants for international protection</w:t>
      </w:r>
      <w:r w:rsidRPr="00C12801">
        <w:rPr>
          <w:rFonts w:ascii="Times New Roman" w:eastAsia="Times New Roman" w:hAnsi="Times New Roman" w:cs="Times New Roman"/>
          <w:i w:val="0"/>
          <w:iCs w:val="0"/>
          <w:noProof/>
          <w:lang w:val="en-GB"/>
        </w:rPr>
        <w:t xml:space="preserve"> as well as financial solidarity.</w:t>
      </w:r>
      <w:r w:rsidRPr="00C12801">
        <w:rPr>
          <w:rFonts w:ascii="Times New Roman" w:hAnsi="Times New Roman" w:cs="Times New Roman"/>
          <w:i w:val="0"/>
          <w:iCs w:val="0"/>
          <w:noProof/>
          <w:lang w:val="en-GB"/>
        </w:rPr>
        <w:t xml:space="preserve"> These experiences and investments should </w:t>
      </w:r>
      <w:r>
        <w:rPr>
          <w:rFonts w:ascii="Times New Roman" w:hAnsi="Times New Roman" w:cs="Times New Roman"/>
          <w:i w:val="0"/>
          <w:iCs w:val="0"/>
          <w:noProof/>
          <w:lang w:val="en-GB"/>
        </w:rPr>
        <w:t>be taken</w:t>
      </w:r>
      <w:r w:rsidRPr="00C12801">
        <w:rPr>
          <w:rFonts w:ascii="Times New Roman" w:hAnsi="Times New Roman" w:cs="Times New Roman"/>
          <w:i w:val="0"/>
          <w:iCs w:val="0"/>
          <w:noProof/>
          <w:lang w:val="en-GB"/>
        </w:rPr>
        <w:t xml:space="preserve"> into consideration when operationalising the obligations under this building block.</w:t>
      </w:r>
    </w:p>
    <w:p w14:paraId="660D6222" w14:textId="77777777" w:rsidR="006B25DA" w:rsidRPr="00C12801" w:rsidRDefault="006B25DA" w:rsidP="006B25DA">
      <w:pPr>
        <w:spacing w:after="120"/>
        <w:rPr>
          <w:noProof/>
        </w:rPr>
      </w:pPr>
      <w:r>
        <w:rPr>
          <w:noProof/>
        </w:rPr>
        <w:t>In this context</w:t>
      </w:r>
      <w:r w:rsidRPr="00C12801">
        <w:rPr>
          <w:noProof/>
        </w:rPr>
        <w:t xml:space="preserve">, the following actions </w:t>
      </w:r>
      <w:r>
        <w:rPr>
          <w:noProof/>
        </w:rPr>
        <w:t>should</w:t>
      </w:r>
      <w:r w:rsidRPr="00C12801">
        <w:rPr>
          <w:noProof/>
        </w:rPr>
        <w:t xml:space="preserve"> be taken</w:t>
      </w:r>
      <w:r w:rsidRPr="00A04B5D">
        <w:rPr>
          <w:noProof/>
        </w:rPr>
        <w:t xml:space="preserve"> </w:t>
      </w:r>
      <w:r>
        <w:rPr>
          <w:noProof/>
        </w:rPr>
        <w:t>to ensure the effective implementation of this building block</w:t>
      </w:r>
      <w:r w:rsidRPr="00C12801">
        <w:rPr>
          <w:noProof/>
        </w:rPr>
        <w:t>:</w:t>
      </w:r>
    </w:p>
    <w:p w14:paraId="3CFE4E6F" w14:textId="77777777" w:rsidR="006B25DA" w:rsidRPr="00C12801" w:rsidRDefault="006B25DA" w:rsidP="006B25DA">
      <w:pPr>
        <w:spacing w:after="120"/>
        <w:rPr>
          <w:b/>
          <w:bCs/>
          <w:noProof/>
        </w:rPr>
      </w:pPr>
      <w:r w:rsidRPr="00C12801">
        <w:rPr>
          <w:b/>
          <w:bCs/>
          <w:noProof/>
        </w:rPr>
        <w:t>Member States</w:t>
      </w:r>
    </w:p>
    <w:p w14:paraId="0313C009" w14:textId="77777777" w:rsidR="006B25DA" w:rsidRPr="00C12801" w:rsidRDefault="006B25DA" w:rsidP="006B25DA">
      <w:pPr>
        <w:spacing w:after="120"/>
        <w:rPr>
          <w:rStyle w:val="normaltextrun"/>
          <w:i/>
          <w:iCs/>
          <w:noProof/>
        </w:rPr>
      </w:pPr>
      <w:r w:rsidRPr="00C12801">
        <w:rPr>
          <w:i/>
          <w:iCs/>
          <w:noProof/>
        </w:rPr>
        <w:t>Legislation</w:t>
      </w:r>
    </w:p>
    <w:p w14:paraId="27BAC63A" w14:textId="77777777" w:rsidR="006B25DA" w:rsidRPr="00C12801" w:rsidRDefault="006B25DA" w:rsidP="002740E8">
      <w:pPr>
        <w:pStyle w:val="ListParagraph"/>
        <w:numPr>
          <w:ilvl w:val="0"/>
          <w:numId w:val="35"/>
        </w:numPr>
        <w:spacing w:after="120"/>
        <w:rPr>
          <w:i/>
          <w:iCs/>
          <w:noProof/>
        </w:rPr>
      </w:pPr>
      <w:r w:rsidRPr="00C12801">
        <w:rPr>
          <w:noProof/>
        </w:rPr>
        <w:t xml:space="preserve">Member States </w:t>
      </w:r>
      <w:r>
        <w:rPr>
          <w:noProof/>
        </w:rPr>
        <w:t>should</w:t>
      </w:r>
      <w:r w:rsidRPr="00C12801">
        <w:rPr>
          <w:noProof/>
        </w:rPr>
        <w:t xml:space="preserve"> </w:t>
      </w:r>
      <w:r w:rsidRPr="00E64E68">
        <w:rPr>
          <w:b/>
          <w:bCs/>
          <w:noProof/>
        </w:rPr>
        <w:t>review their national regulatory frameworks</w:t>
      </w:r>
      <w:r w:rsidRPr="00C12801">
        <w:rPr>
          <w:noProof/>
        </w:rPr>
        <w:t xml:space="preserve"> and adjust </w:t>
      </w:r>
      <w:r>
        <w:rPr>
          <w:noProof/>
        </w:rPr>
        <w:t xml:space="preserve">them </w:t>
      </w:r>
      <w:r w:rsidRPr="00C12801">
        <w:rPr>
          <w:noProof/>
        </w:rPr>
        <w:t>as needed</w:t>
      </w:r>
      <w:r>
        <w:rPr>
          <w:noProof/>
        </w:rPr>
        <w:t xml:space="preserve"> to ensure the effective application of the Asylum Migration Management Regulation</w:t>
      </w:r>
      <w:r w:rsidRPr="00C12801">
        <w:rPr>
          <w:noProof/>
        </w:rPr>
        <w:t>.</w:t>
      </w:r>
    </w:p>
    <w:p w14:paraId="43537850" w14:textId="77777777" w:rsidR="006B25DA" w:rsidRPr="00C12801" w:rsidRDefault="006B25DA" w:rsidP="006B25DA">
      <w:pPr>
        <w:spacing w:after="120"/>
        <w:rPr>
          <w:i/>
          <w:iCs/>
          <w:noProof/>
        </w:rPr>
      </w:pPr>
      <w:r>
        <w:rPr>
          <w:i/>
          <w:iCs/>
          <w:noProof/>
        </w:rPr>
        <w:t>Organisation</w:t>
      </w:r>
      <w:r w:rsidRPr="00C12801">
        <w:rPr>
          <w:i/>
          <w:iCs/>
          <w:noProof/>
        </w:rPr>
        <w:t xml:space="preserve"> and administrative processes</w:t>
      </w:r>
    </w:p>
    <w:p w14:paraId="743B6C5A" w14:textId="3FF9AEFB"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establish the </w:t>
      </w:r>
      <w:r w:rsidRPr="004D4E03">
        <w:rPr>
          <w:noProof/>
        </w:rPr>
        <w:t>necessary decision-making procedures and structures</w:t>
      </w:r>
      <w:r w:rsidRPr="00E64E68">
        <w:rPr>
          <w:b/>
          <w:bCs/>
          <w:noProof/>
        </w:rPr>
        <w:t xml:space="preserve"> </w:t>
      </w:r>
      <w:r>
        <w:rPr>
          <w:noProof/>
        </w:rPr>
        <w:t xml:space="preserve">for participating in the annual </w:t>
      </w:r>
      <w:r w:rsidR="00E31DDA">
        <w:rPr>
          <w:noProof/>
        </w:rPr>
        <w:t xml:space="preserve">migration management </w:t>
      </w:r>
      <w:r>
        <w:rPr>
          <w:noProof/>
        </w:rPr>
        <w:t xml:space="preserve">cycle, for example by appointing a </w:t>
      </w:r>
      <w:r w:rsidRPr="00E64E68">
        <w:rPr>
          <w:b/>
          <w:bCs/>
          <w:noProof/>
        </w:rPr>
        <w:t>national coordinator</w:t>
      </w:r>
      <w:r>
        <w:rPr>
          <w:noProof/>
        </w:rPr>
        <w:t xml:space="preserve"> and setting up a </w:t>
      </w:r>
      <w:r w:rsidRPr="00E64E68">
        <w:rPr>
          <w:b/>
          <w:bCs/>
          <w:noProof/>
        </w:rPr>
        <w:t>national coordination mechanism</w:t>
      </w:r>
      <w:r>
        <w:rPr>
          <w:noProof/>
        </w:rPr>
        <w:t xml:space="preserve">. In particular, Member States will have to define the internal process for choosing how they want to contribute to solidarity and timely pledging at the </w:t>
      </w:r>
      <w:r w:rsidRPr="00E64E68">
        <w:rPr>
          <w:b/>
          <w:bCs/>
          <w:noProof/>
        </w:rPr>
        <w:t xml:space="preserve">High-Level </w:t>
      </w:r>
      <w:r w:rsidR="00331EAA">
        <w:rPr>
          <w:b/>
          <w:bCs/>
          <w:noProof/>
        </w:rPr>
        <w:t xml:space="preserve">EU </w:t>
      </w:r>
      <w:r w:rsidRPr="00E64E68">
        <w:rPr>
          <w:b/>
          <w:bCs/>
          <w:noProof/>
        </w:rPr>
        <w:t>Solidarity Forum</w:t>
      </w:r>
      <w:r>
        <w:rPr>
          <w:noProof/>
        </w:rPr>
        <w:t>. National-level consultation will also feed into the Commission consultation process that precedes the adoption of the Commission proposal for a Council implementing act.</w:t>
      </w:r>
    </w:p>
    <w:p w14:paraId="26B8A9FD" w14:textId="175CB163"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also need </w:t>
      </w:r>
      <w:r w:rsidR="00141274">
        <w:rPr>
          <w:noProof/>
        </w:rPr>
        <w:t xml:space="preserve">processes </w:t>
      </w:r>
      <w:r>
        <w:rPr>
          <w:noProof/>
        </w:rPr>
        <w:t xml:space="preserve">to </w:t>
      </w:r>
      <w:r w:rsidRPr="00E64E68">
        <w:rPr>
          <w:b/>
          <w:bCs/>
          <w:noProof/>
        </w:rPr>
        <w:t>collect and transmit the required information and data to the Commission</w:t>
      </w:r>
      <w:r>
        <w:rPr>
          <w:noProof/>
        </w:rPr>
        <w:t xml:space="preserve"> for the preparation of the </w:t>
      </w:r>
      <w:r w:rsidR="00331EAA">
        <w:rPr>
          <w:noProof/>
        </w:rPr>
        <w:t xml:space="preserve">European </w:t>
      </w:r>
      <w:r>
        <w:rPr>
          <w:noProof/>
        </w:rPr>
        <w:t>Annual Asylum and Migration Report within the time limits foreseen in the Regulation (reporting due by 1 June and an update by 1 September from 2025 onwards). For this purpose, Member State</w:t>
      </w:r>
      <w:r w:rsidR="004D4E03">
        <w:rPr>
          <w:noProof/>
        </w:rPr>
        <w:t>s</w:t>
      </w:r>
      <w:r>
        <w:rPr>
          <w:noProof/>
        </w:rPr>
        <w:t xml:space="preserve"> should develop the necessary standard operating procedures and coordination structures.</w:t>
      </w:r>
    </w:p>
    <w:p w14:paraId="155E1AF7" w14:textId="6127D5BC"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that opt for or benefit from relocation </w:t>
      </w:r>
      <w:r w:rsidR="00391E30">
        <w:rPr>
          <w:noProof/>
        </w:rPr>
        <w:t xml:space="preserve">will </w:t>
      </w:r>
      <w:r w:rsidR="004D4E03">
        <w:rPr>
          <w:noProof/>
        </w:rPr>
        <w:t xml:space="preserve">need </w:t>
      </w:r>
      <w:r>
        <w:rPr>
          <w:noProof/>
        </w:rPr>
        <w:t xml:space="preserve">to comply with the 1.5-month time limit </w:t>
      </w:r>
      <w:r w:rsidR="00781D6A">
        <w:rPr>
          <w:noProof/>
        </w:rPr>
        <w:t xml:space="preserve">to complete the relocation process </w:t>
      </w:r>
      <w:r>
        <w:rPr>
          <w:noProof/>
        </w:rPr>
        <w:t xml:space="preserve">(which starts running from the transmission </w:t>
      </w:r>
      <w:r w:rsidR="00C21CC1">
        <w:rPr>
          <w:noProof/>
        </w:rPr>
        <w:t>of the relevant information</w:t>
      </w:r>
      <w:r>
        <w:rPr>
          <w:noProof/>
        </w:rPr>
        <w:t xml:space="preserve"> to the Member State of relocation) set </w:t>
      </w:r>
      <w:r w:rsidR="00B81B77">
        <w:rPr>
          <w:noProof/>
        </w:rPr>
        <w:t xml:space="preserve">out </w:t>
      </w:r>
      <w:r>
        <w:rPr>
          <w:noProof/>
        </w:rPr>
        <w:t xml:space="preserve">in the Regulation. For this purpose, </w:t>
      </w:r>
      <w:r w:rsidRPr="003E031E">
        <w:rPr>
          <w:noProof/>
        </w:rPr>
        <w:t>Member States</w:t>
      </w:r>
      <w:r w:rsidRPr="008C708B" w:rsidDel="0092719C">
        <w:rPr>
          <w:noProof/>
        </w:rPr>
        <w:t xml:space="preserve"> </w:t>
      </w:r>
      <w:r w:rsidRPr="003E031E">
        <w:rPr>
          <w:noProof/>
        </w:rPr>
        <w:t>should</w:t>
      </w:r>
      <w:r>
        <w:rPr>
          <w:noProof/>
        </w:rPr>
        <w:t xml:space="preserve"> establish standard operating procedures and internal workflows. These workflows </w:t>
      </w:r>
      <w:r w:rsidR="00391E30">
        <w:rPr>
          <w:noProof/>
        </w:rPr>
        <w:t xml:space="preserve">will </w:t>
      </w:r>
      <w:r>
        <w:rPr>
          <w:noProof/>
        </w:rPr>
        <w:t xml:space="preserve">need to cover identification of persons eligible for relocation through the examination of all relevant factors, such as the existence of meaningful links between the person concerned and the Member State of relocation, and information on the procedures as well as ensure the best interests of the child and related safeguards. These procedures </w:t>
      </w:r>
      <w:r w:rsidR="00391E30">
        <w:rPr>
          <w:noProof/>
        </w:rPr>
        <w:t xml:space="preserve">will </w:t>
      </w:r>
      <w:r>
        <w:rPr>
          <w:noProof/>
        </w:rPr>
        <w:t xml:space="preserve">also need to cover security checks and the transfer of security-related information by the benefiting Member States, and where relevant the security verification by the Member State of relocation. </w:t>
      </w:r>
    </w:p>
    <w:p w14:paraId="563D3737" w14:textId="77777777" w:rsidR="006B25DA" w:rsidRPr="00C12801" w:rsidRDefault="006B25DA" w:rsidP="00E64E68">
      <w:pPr>
        <w:keepNext/>
        <w:spacing w:after="120"/>
        <w:rPr>
          <w:i/>
          <w:iCs/>
          <w:noProof/>
        </w:rPr>
      </w:pPr>
      <w:r w:rsidRPr="00C12801">
        <w:rPr>
          <w:i/>
          <w:iCs/>
          <w:noProof/>
        </w:rPr>
        <w:t>Capacities (human resources, infrastructure, and equipment)</w:t>
      </w:r>
    </w:p>
    <w:p w14:paraId="057C2FBF" w14:textId="68BAA47B" w:rsidR="006B25DA" w:rsidRPr="00C12801" w:rsidRDefault="006B25DA" w:rsidP="00E64E68">
      <w:pPr>
        <w:pStyle w:val="ListParagraph"/>
        <w:keepNext/>
        <w:numPr>
          <w:ilvl w:val="0"/>
          <w:numId w:val="28"/>
        </w:numPr>
        <w:spacing w:after="120"/>
        <w:ind w:left="709" w:hanging="425"/>
        <w:contextualSpacing w:val="0"/>
        <w:rPr>
          <w:noProof/>
        </w:rPr>
      </w:pPr>
      <w:r>
        <w:rPr>
          <w:noProof/>
        </w:rPr>
        <w:t xml:space="preserve">Member States and EU Agencies will need to ensure the </w:t>
      </w:r>
      <w:r w:rsidRPr="00E64E68">
        <w:rPr>
          <w:b/>
          <w:bCs/>
          <w:noProof/>
        </w:rPr>
        <w:t>necessary resources to provide quality and timely inputs</w:t>
      </w:r>
      <w:r>
        <w:rPr>
          <w:noProof/>
        </w:rPr>
        <w:t xml:space="preserve"> for the </w:t>
      </w:r>
      <w:r w:rsidR="0031120B">
        <w:rPr>
          <w:noProof/>
        </w:rPr>
        <w:t xml:space="preserve">European </w:t>
      </w:r>
      <w:r>
        <w:rPr>
          <w:noProof/>
        </w:rPr>
        <w:t>Annual Asylum and Migration Report – reporting due by 1 June and an update by 1 September from 2025 onwards – including participation in the key Blueprint Network</w:t>
      </w:r>
      <w:r w:rsidR="008A0715">
        <w:rPr>
          <w:rStyle w:val="FootnoteReference"/>
          <w:noProof/>
        </w:rPr>
        <w:footnoteReference w:id="36"/>
      </w:r>
      <w:r>
        <w:rPr>
          <w:noProof/>
        </w:rPr>
        <w:t xml:space="preserve"> meetings in July and September from 2025 onwards.</w:t>
      </w:r>
    </w:p>
    <w:p w14:paraId="0840620B" w14:textId="20DE27E8" w:rsidR="006B25DA" w:rsidRPr="00C12801" w:rsidRDefault="006B25DA" w:rsidP="002740E8">
      <w:pPr>
        <w:pStyle w:val="ListParagraph"/>
        <w:numPr>
          <w:ilvl w:val="0"/>
          <w:numId w:val="28"/>
        </w:numPr>
        <w:spacing w:after="120"/>
        <w:ind w:left="709" w:hanging="425"/>
        <w:contextualSpacing w:val="0"/>
        <w:rPr>
          <w:noProof/>
        </w:rPr>
      </w:pPr>
      <w:r w:rsidRPr="007A653B">
        <w:rPr>
          <w:noProof/>
        </w:rPr>
        <w:t xml:space="preserve">Member States will have to </w:t>
      </w:r>
      <w:r w:rsidRPr="00E64E68">
        <w:rPr>
          <w:b/>
          <w:bCs/>
          <w:noProof/>
        </w:rPr>
        <w:t>develop the necessary capacity to identify their solidarity needs</w:t>
      </w:r>
      <w:r w:rsidRPr="007A653B">
        <w:rPr>
          <w:noProof/>
        </w:rPr>
        <w:t xml:space="preserve"> and specific actions for support through the financial contributions or in-kind support, to submit them to the Technical-Level </w:t>
      </w:r>
      <w:r w:rsidR="0031120B">
        <w:rPr>
          <w:noProof/>
        </w:rPr>
        <w:t xml:space="preserve">EU Solidarity </w:t>
      </w:r>
      <w:r w:rsidRPr="007A653B">
        <w:rPr>
          <w:noProof/>
        </w:rPr>
        <w:t>Forum and subsequently ensure absorption of any s</w:t>
      </w:r>
      <w:r>
        <w:rPr>
          <w:noProof/>
        </w:rPr>
        <w:t>uch financial or in-kind contribution effectively.</w:t>
      </w:r>
    </w:p>
    <w:p w14:paraId="28FE078E" w14:textId="2E259DCA" w:rsidR="006B25DA" w:rsidRPr="003A3CA2" w:rsidRDefault="006B25DA" w:rsidP="002740E8">
      <w:pPr>
        <w:pStyle w:val="ListParagraph"/>
        <w:numPr>
          <w:ilvl w:val="0"/>
          <w:numId w:val="28"/>
        </w:numPr>
        <w:spacing w:after="120"/>
        <w:ind w:left="709" w:hanging="425"/>
        <w:contextualSpacing w:val="0"/>
        <w:rPr>
          <w:noProof/>
        </w:rPr>
      </w:pPr>
      <w:r>
        <w:rPr>
          <w:noProof/>
        </w:rPr>
        <w:t xml:space="preserve">Both </w:t>
      </w:r>
      <w:r w:rsidRPr="00E64E68">
        <w:rPr>
          <w:b/>
          <w:bCs/>
          <w:noProof/>
        </w:rPr>
        <w:t xml:space="preserve">benefiting and contributing Member States will </w:t>
      </w:r>
      <w:r w:rsidR="0023727D" w:rsidRPr="00E64E68">
        <w:rPr>
          <w:b/>
          <w:bCs/>
          <w:noProof/>
        </w:rPr>
        <w:t xml:space="preserve">need </w:t>
      </w:r>
      <w:r w:rsidRPr="00E64E68">
        <w:rPr>
          <w:b/>
          <w:bCs/>
          <w:noProof/>
        </w:rPr>
        <w:t>to ensure the necessary capacity to implement relocations</w:t>
      </w:r>
      <w:r>
        <w:rPr>
          <w:noProof/>
        </w:rPr>
        <w:t xml:space="preserve"> (see previous building block 6 as well) if they opt for or benefit from this measure. This means ensuring the </w:t>
      </w:r>
      <w:r w:rsidRPr="0078511D">
        <w:rPr>
          <w:noProof/>
        </w:rPr>
        <w:t xml:space="preserve">necessary </w:t>
      </w:r>
      <w:r>
        <w:rPr>
          <w:noProof/>
        </w:rPr>
        <w:t>resources and sufficient competent personnel, including in the Dublin units and for any additional security checks; building the necessary infrastructure and procuring the equipment required to implement relocations within the required time limit. Member States should ensure coverage through a case management system as well as transport and reception capacity, including relocation hubs and (remote) interview facilities.</w:t>
      </w:r>
    </w:p>
    <w:p w14:paraId="02E25E3C" w14:textId="77777777" w:rsidR="00894A01" w:rsidRPr="00C12801" w:rsidRDefault="00894A01" w:rsidP="00894A01">
      <w:pPr>
        <w:spacing w:after="120"/>
        <w:rPr>
          <w:b/>
          <w:bCs/>
          <w:noProof/>
        </w:rPr>
      </w:pPr>
      <w:r w:rsidRPr="00C12801">
        <w:rPr>
          <w:b/>
          <w:bCs/>
          <w:noProof/>
        </w:rPr>
        <w:t xml:space="preserve">Commission </w:t>
      </w:r>
    </w:p>
    <w:p w14:paraId="4145E80F" w14:textId="77777777" w:rsidR="00894A01" w:rsidRPr="00C12801" w:rsidRDefault="00894A01" w:rsidP="00894A01">
      <w:pPr>
        <w:spacing w:after="120"/>
        <w:rPr>
          <w:i/>
          <w:iCs/>
          <w:noProof/>
        </w:rPr>
      </w:pPr>
      <w:r w:rsidRPr="00C12801">
        <w:rPr>
          <w:i/>
          <w:iCs/>
          <w:noProof/>
        </w:rPr>
        <w:t xml:space="preserve">Legal obligation </w:t>
      </w:r>
    </w:p>
    <w:p w14:paraId="31E44D23" w14:textId="5A5B42F5" w:rsidR="00894A01" w:rsidRPr="00C12801" w:rsidRDefault="00894A01" w:rsidP="00894A01">
      <w:pPr>
        <w:pStyle w:val="ListParagraph"/>
        <w:numPr>
          <w:ilvl w:val="0"/>
          <w:numId w:val="28"/>
        </w:numPr>
        <w:spacing w:after="120"/>
        <w:ind w:left="709" w:hanging="425"/>
        <w:contextualSpacing w:val="0"/>
        <w:rPr>
          <w:noProof/>
        </w:rPr>
      </w:pPr>
      <w:r>
        <w:rPr>
          <w:noProof/>
        </w:rPr>
        <w:t xml:space="preserve">The Commission will adopt the </w:t>
      </w:r>
      <w:r w:rsidRPr="00E64E68">
        <w:rPr>
          <w:b/>
          <w:bCs/>
          <w:noProof/>
        </w:rPr>
        <w:t xml:space="preserve">first </w:t>
      </w:r>
      <w:r w:rsidR="00B104B6">
        <w:rPr>
          <w:b/>
          <w:bCs/>
          <w:noProof/>
        </w:rPr>
        <w:t xml:space="preserve">European </w:t>
      </w:r>
      <w:r w:rsidRPr="00E64E68">
        <w:rPr>
          <w:b/>
          <w:bCs/>
          <w:noProof/>
        </w:rPr>
        <w:t>Annual Asylum and Migration Report</w:t>
      </w:r>
      <w:r>
        <w:rPr>
          <w:noProof/>
        </w:rPr>
        <w:t xml:space="preserve"> by 15 October 2025, based on quantitative and qualitative data and information provided by the Member States and Union Agencies. This will build a situational picture of the area of migration and asylum and serve as an early warning and awareness tool.</w:t>
      </w:r>
    </w:p>
    <w:p w14:paraId="1E6FFF59" w14:textId="24F5959B" w:rsidR="00894A01" w:rsidRPr="00C12801" w:rsidRDefault="00894A01" w:rsidP="00894A01">
      <w:pPr>
        <w:pStyle w:val="ListParagraph"/>
        <w:numPr>
          <w:ilvl w:val="0"/>
          <w:numId w:val="28"/>
        </w:numPr>
        <w:spacing w:after="120"/>
        <w:ind w:left="709" w:hanging="425"/>
        <w:contextualSpacing w:val="0"/>
        <w:rPr>
          <w:noProof/>
        </w:rPr>
      </w:pPr>
      <w:r>
        <w:rPr>
          <w:noProof/>
        </w:rPr>
        <w:t xml:space="preserve">By 15 October 2025, the Commission will also adopt the </w:t>
      </w:r>
      <w:r w:rsidRPr="00E64E68">
        <w:rPr>
          <w:b/>
          <w:bCs/>
          <w:noProof/>
        </w:rPr>
        <w:t xml:space="preserve">first Commission </w:t>
      </w:r>
      <w:r w:rsidR="00C21CC1">
        <w:rPr>
          <w:b/>
          <w:bCs/>
          <w:noProof/>
        </w:rPr>
        <w:t>i</w:t>
      </w:r>
      <w:r>
        <w:rPr>
          <w:b/>
          <w:bCs/>
          <w:noProof/>
        </w:rPr>
        <w:t xml:space="preserve">mplementing </w:t>
      </w:r>
      <w:r w:rsidR="00C21CC1">
        <w:rPr>
          <w:b/>
          <w:bCs/>
          <w:noProof/>
        </w:rPr>
        <w:t>act</w:t>
      </w:r>
      <w:r w:rsidRPr="00E64E68">
        <w:rPr>
          <w:b/>
          <w:bCs/>
          <w:noProof/>
        </w:rPr>
        <w:t xml:space="preserve"> establishing which Member States are under migratory pressure, at risk of migratory pressure or facing a significant migratory situation</w:t>
      </w:r>
      <w:r>
        <w:rPr>
          <w:noProof/>
        </w:rPr>
        <w:t xml:space="preserve"> as well as the first </w:t>
      </w:r>
      <w:r w:rsidRPr="00E64E68">
        <w:rPr>
          <w:b/>
          <w:bCs/>
          <w:noProof/>
        </w:rPr>
        <w:t xml:space="preserve">Commission proposal for a Council implementing act setting up the </w:t>
      </w:r>
      <w:r w:rsidR="00012204">
        <w:rPr>
          <w:b/>
          <w:bCs/>
          <w:noProof/>
        </w:rPr>
        <w:t>A</w:t>
      </w:r>
      <w:r w:rsidRPr="00E64E68">
        <w:rPr>
          <w:b/>
          <w:bCs/>
          <w:noProof/>
        </w:rPr>
        <w:t xml:space="preserve">nnual </w:t>
      </w:r>
      <w:r w:rsidR="00012204">
        <w:rPr>
          <w:b/>
          <w:bCs/>
          <w:noProof/>
        </w:rPr>
        <w:t>S</w:t>
      </w:r>
      <w:r w:rsidRPr="00E64E68">
        <w:rPr>
          <w:b/>
          <w:bCs/>
          <w:noProof/>
        </w:rPr>
        <w:t xml:space="preserve">olidarity </w:t>
      </w:r>
      <w:r w:rsidR="00012204">
        <w:rPr>
          <w:b/>
          <w:bCs/>
          <w:noProof/>
        </w:rPr>
        <w:t>P</w:t>
      </w:r>
      <w:r w:rsidRPr="00E64E68">
        <w:rPr>
          <w:b/>
          <w:bCs/>
          <w:noProof/>
        </w:rPr>
        <w:t>ool</w:t>
      </w:r>
      <w:r>
        <w:rPr>
          <w:noProof/>
        </w:rPr>
        <w:t>.</w:t>
      </w:r>
    </w:p>
    <w:p w14:paraId="49A3C5AF" w14:textId="4C101027" w:rsidR="00894A01" w:rsidRPr="00C12801" w:rsidRDefault="00894A01" w:rsidP="00894A01">
      <w:pPr>
        <w:pStyle w:val="ListParagraph"/>
        <w:numPr>
          <w:ilvl w:val="0"/>
          <w:numId w:val="28"/>
        </w:numPr>
        <w:spacing w:after="120"/>
        <w:ind w:left="709" w:hanging="425"/>
        <w:contextualSpacing w:val="0"/>
        <w:rPr>
          <w:noProof/>
        </w:rPr>
      </w:pPr>
      <w:r>
        <w:rPr>
          <w:noProof/>
        </w:rPr>
        <w:t xml:space="preserve">The Commission will appoint the first </w:t>
      </w:r>
      <w:r w:rsidRPr="00E64E68">
        <w:rPr>
          <w:b/>
          <w:bCs/>
          <w:noProof/>
        </w:rPr>
        <w:t>Solidarity Coordinator</w:t>
      </w:r>
      <w:r>
        <w:rPr>
          <w:noProof/>
        </w:rPr>
        <w:t xml:space="preserve">, who will establish and convene the </w:t>
      </w:r>
      <w:r w:rsidRPr="00E64E68">
        <w:rPr>
          <w:b/>
          <w:bCs/>
          <w:noProof/>
        </w:rPr>
        <w:t xml:space="preserve">Technical-Level </w:t>
      </w:r>
      <w:r w:rsidR="00B6649B">
        <w:rPr>
          <w:b/>
          <w:bCs/>
          <w:noProof/>
        </w:rPr>
        <w:t xml:space="preserve">EU </w:t>
      </w:r>
      <w:r w:rsidRPr="00E64E68">
        <w:rPr>
          <w:b/>
          <w:bCs/>
          <w:noProof/>
        </w:rPr>
        <w:t>Solidarity Forum</w:t>
      </w:r>
      <w:r>
        <w:rPr>
          <w:noProof/>
        </w:rPr>
        <w:t xml:space="preserve">. The existing Solidarity Platform-Pact </w:t>
      </w:r>
      <w:r w:rsidR="00ED02F5" w:rsidRPr="001228CD">
        <w:rPr>
          <w:noProof/>
        </w:rPr>
        <w:t>will</w:t>
      </w:r>
      <w:r w:rsidRPr="00ED02F5">
        <w:rPr>
          <w:noProof/>
        </w:rPr>
        <w:t xml:space="preserve"> transition towards</w:t>
      </w:r>
      <w:r>
        <w:rPr>
          <w:noProof/>
        </w:rPr>
        <w:t xml:space="preserve"> becoming the Technical-Level Solidarity Forum.</w:t>
      </w:r>
    </w:p>
    <w:p w14:paraId="2AE3A7F0" w14:textId="13F506B0" w:rsidR="00894A01" w:rsidRPr="003A3CA2" w:rsidRDefault="00894A01" w:rsidP="00894A01">
      <w:pPr>
        <w:pStyle w:val="ListParagraph"/>
        <w:numPr>
          <w:ilvl w:val="0"/>
          <w:numId w:val="28"/>
        </w:numPr>
        <w:spacing w:after="120"/>
        <w:ind w:left="709" w:hanging="425"/>
        <w:contextualSpacing w:val="0"/>
        <w:rPr>
          <w:noProof/>
        </w:rPr>
      </w:pPr>
      <w:r>
        <w:rPr>
          <w:noProof/>
        </w:rPr>
        <w:t xml:space="preserve">The Commission will convene the </w:t>
      </w:r>
      <w:r w:rsidRPr="00E64E68">
        <w:rPr>
          <w:b/>
          <w:bCs/>
          <w:noProof/>
        </w:rPr>
        <w:t>AMMR Regulatory Committee</w:t>
      </w:r>
      <w:r>
        <w:rPr>
          <w:noProof/>
        </w:rPr>
        <w:t xml:space="preserve"> (see building block 6) and adopt the </w:t>
      </w:r>
      <w:r w:rsidRPr="00E64E68">
        <w:rPr>
          <w:b/>
          <w:bCs/>
          <w:noProof/>
        </w:rPr>
        <w:t>two implementing acts related to the functioning of solidarity</w:t>
      </w:r>
      <w:r>
        <w:rPr>
          <w:noProof/>
        </w:rPr>
        <w:t>. The first one is on the uniform conditions for the preparation and submission of information and documents for the purpose of relocation, including related to security checks. The second is on the rules for the operation of the financial contributions.</w:t>
      </w:r>
    </w:p>
    <w:p w14:paraId="3E4C07E5" w14:textId="1AFF40E2" w:rsidR="005E1511" w:rsidRPr="003A3CA2" w:rsidRDefault="00894A01" w:rsidP="005E1511">
      <w:pPr>
        <w:pStyle w:val="ListParagraph"/>
        <w:numPr>
          <w:ilvl w:val="0"/>
          <w:numId w:val="28"/>
        </w:numPr>
        <w:spacing w:after="120"/>
        <w:ind w:left="709" w:hanging="425"/>
        <w:contextualSpacing w:val="0"/>
        <w:rPr>
          <w:noProof/>
        </w:rPr>
      </w:pPr>
      <w:r>
        <w:rPr>
          <w:noProof/>
        </w:rPr>
        <w:t>In cooperation with the EUAA, the Commission will also provide for tools to identify and match the persons to be relocated with the contributing Member State to ensure compliance with the obligation of the benefiting Member State to take into account the existence of meaningful links between the person concerned and the Member State of relocation, also in view of the reasonable preferences expressed by that Member State.</w:t>
      </w:r>
    </w:p>
    <w:p w14:paraId="0EF656F7" w14:textId="77777777" w:rsidR="00894A01" w:rsidRPr="00C12801" w:rsidRDefault="00894A01" w:rsidP="00894A01">
      <w:pPr>
        <w:spacing w:after="120"/>
        <w:rPr>
          <w:i/>
          <w:iCs/>
          <w:noProof/>
        </w:rPr>
      </w:pPr>
      <w:r w:rsidRPr="00C12801">
        <w:rPr>
          <w:i/>
          <w:iCs/>
          <w:noProof/>
        </w:rPr>
        <w:t>Practical support</w:t>
      </w:r>
    </w:p>
    <w:p w14:paraId="1B72FB34" w14:textId="602FFF25" w:rsidR="00894A01" w:rsidRPr="00C12801" w:rsidRDefault="00894A01" w:rsidP="00894A01">
      <w:pPr>
        <w:pStyle w:val="ListParagraph"/>
        <w:numPr>
          <w:ilvl w:val="0"/>
          <w:numId w:val="28"/>
        </w:numPr>
        <w:spacing w:after="120"/>
        <w:ind w:left="709" w:hanging="425"/>
        <w:contextualSpacing w:val="0"/>
        <w:rPr>
          <w:noProof/>
        </w:rPr>
      </w:pPr>
      <w:r>
        <w:rPr>
          <w:noProof/>
        </w:rPr>
        <w:t xml:space="preserve">The Commission will carry out a </w:t>
      </w:r>
      <w:r w:rsidRPr="00E64E68">
        <w:rPr>
          <w:b/>
          <w:bCs/>
          <w:noProof/>
        </w:rPr>
        <w:t xml:space="preserve">test (dry-run) of the </w:t>
      </w:r>
      <w:r w:rsidR="00E316B5">
        <w:rPr>
          <w:b/>
          <w:bCs/>
          <w:noProof/>
        </w:rPr>
        <w:t xml:space="preserve">European </w:t>
      </w:r>
      <w:r w:rsidRPr="00E64E68">
        <w:rPr>
          <w:b/>
          <w:bCs/>
          <w:noProof/>
        </w:rPr>
        <w:t xml:space="preserve">Annual Asylum and Migration Report in 2024 </w:t>
      </w:r>
      <w:r>
        <w:rPr>
          <w:noProof/>
        </w:rPr>
        <w:t xml:space="preserve">to anticipate and address any possible gaps in data and information and shortcomings in the process. To ensure critical consolidation of the required data and analysis-sharing, the Commission will make full use of the </w:t>
      </w:r>
      <w:r w:rsidRPr="00E64E68">
        <w:rPr>
          <w:b/>
          <w:bCs/>
          <w:noProof/>
        </w:rPr>
        <w:t>Blueprint Network</w:t>
      </w:r>
      <w:r>
        <w:rPr>
          <w:noProof/>
        </w:rPr>
        <w:t xml:space="preserve">. </w:t>
      </w:r>
    </w:p>
    <w:p w14:paraId="251BB995" w14:textId="77777777" w:rsidR="00894A01" w:rsidRDefault="00894A01" w:rsidP="00894A01">
      <w:pPr>
        <w:pStyle w:val="ListParagraph"/>
        <w:numPr>
          <w:ilvl w:val="0"/>
          <w:numId w:val="28"/>
        </w:numPr>
        <w:spacing w:after="120"/>
        <w:ind w:left="709" w:hanging="425"/>
        <w:contextualSpacing w:val="0"/>
        <w:rPr>
          <w:noProof/>
        </w:rPr>
      </w:pPr>
      <w:r>
        <w:rPr>
          <w:noProof/>
        </w:rPr>
        <w:t xml:space="preserve">The Commission, working with the EUAA, will organise a </w:t>
      </w:r>
      <w:r w:rsidRPr="00E64E68">
        <w:rPr>
          <w:b/>
          <w:bCs/>
          <w:noProof/>
        </w:rPr>
        <w:t>series of Commission expert meetings</w:t>
      </w:r>
      <w:r>
        <w:rPr>
          <w:noProof/>
        </w:rPr>
        <w:t xml:space="preserve"> (the extended ‘Dublin Contact Committee’) to facilitate the correct application (including by clarifying the meaning of some provisions) of the new system, identify </w:t>
      </w:r>
      <w:r w:rsidRPr="00C12801">
        <w:rPr>
          <w:noProof/>
        </w:rPr>
        <w:t>the areas that would require further attention in the transition period</w:t>
      </w:r>
      <w:r>
        <w:rPr>
          <w:noProof/>
        </w:rPr>
        <w:t>, and coordinate the identification and dissemination of good practices.</w:t>
      </w:r>
    </w:p>
    <w:p w14:paraId="347497F8" w14:textId="77777777" w:rsidR="006B25DA" w:rsidRPr="00C12801" w:rsidRDefault="006B25DA" w:rsidP="006B25DA">
      <w:pPr>
        <w:spacing w:after="120"/>
        <w:rPr>
          <w:b/>
          <w:bCs/>
          <w:noProof/>
        </w:rPr>
      </w:pPr>
      <w:r w:rsidRPr="00C12801">
        <w:rPr>
          <w:b/>
          <w:bCs/>
          <w:noProof/>
        </w:rPr>
        <w:t>EU Agencies</w:t>
      </w:r>
    </w:p>
    <w:p w14:paraId="77F6E693" w14:textId="77777777" w:rsidR="006B25DA" w:rsidRPr="00C12801" w:rsidRDefault="006B25DA" w:rsidP="006B25DA">
      <w:pPr>
        <w:spacing w:after="120"/>
        <w:rPr>
          <w:i/>
          <w:iCs/>
          <w:noProof/>
        </w:rPr>
      </w:pPr>
      <w:r w:rsidRPr="00C12801">
        <w:rPr>
          <w:i/>
          <w:iCs/>
          <w:noProof/>
        </w:rPr>
        <w:t>Legal obligation</w:t>
      </w:r>
    </w:p>
    <w:p w14:paraId="55F87B4E" w14:textId="47F6F74C" w:rsidR="006B25DA" w:rsidRPr="003A3CA2" w:rsidRDefault="006B25DA" w:rsidP="002740E8">
      <w:pPr>
        <w:pStyle w:val="ListParagraph"/>
        <w:numPr>
          <w:ilvl w:val="0"/>
          <w:numId w:val="28"/>
        </w:numPr>
        <w:spacing w:after="120"/>
        <w:ind w:left="709" w:hanging="425"/>
        <w:contextualSpacing w:val="0"/>
        <w:rPr>
          <w:noProof/>
        </w:rPr>
      </w:pPr>
      <w:r>
        <w:rPr>
          <w:noProof/>
        </w:rPr>
        <w:t xml:space="preserve">The EUAA, Frontex, Europol and FRA will have to gather relevant data and information from the Member States and provide their inputs to the Commission for the preparation of the </w:t>
      </w:r>
      <w:r w:rsidR="00893717">
        <w:rPr>
          <w:noProof/>
        </w:rPr>
        <w:t xml:space="preserve">European </w:t>
      </w:r>
      <w:r>
        <w:rPr>
          <w:noProof/>
        </w:rPr>
        <w:t>Annual Asylum and Migration Report within the time limits foreseen in the Regulation.</w:t>
      </w:r>
    </w:p>
    <w:p w14:paraId="389F3A60" w14:textId="77777777" w:rsidR="006B25DA" w:rsidRPr="00C12801" w:rsidRDefault="006B25DA" w:rsidP="006B25DA">
      <w:pPr>
        <w:spacing w:after="120"/>
        <w:rPr>
          <w:i/>
          <w:iCs/>
          <w:noProof/>
        </w:rPr>
      </w:pPr>
      <w:r w:rsidRPr="00C12801">
        <w:rPr>
          <w:i/>
          <w:iCs/>
          <w:noProof/>
        </w:rPr>
        <w:t>Practical support</w:t>
      </w:r>
    </w:p>
    <w:p w14:paraId="4F8F42F3" w14:textId="77777777" w:rsidR="006B25DA" w:rsidRPr="00EA67B5" w:rsidRDefault="006B25DA" w:rsidP="002740E8">
      <w:pPr>
        <w:pStyle w:val="ListParagraph"/>
        <w:numPr>
          <w:ilvl w:val="0"/>
          <w:numId w:val="28"/>
        </w:numPr>
        <w:spacing w:after="120"/>
        <w:ind w:left="709" w:hanging="425"/>
        <w:contextualSpacing w:val="0"/>
        <w:rPr>
          <w:noProof/>
        </w:rPr>
      </w:pPr>
      <w:r>
        <w:rPr>
          <w:noProof/>
        </w:rPr>
        <w:t>The EUAA will prepare templates and operating procedures for solidarity pledges and contributions.</w:t>
      </w:r>
    </w:p>
    <w:tbl>
      <w:tblPr>
        <w:tblStyle w:val="TableGrid"/>
        <w:tblW w:w="5000" w:type="pct"/>
        <w:tblLook w:val="04A0" w:firstRow="1" w:lastRow="0" w:firstColumn="1" w:lastColumn="0" w:noHBand="0" w:noVBand="1"/>
      </w:tblPr>
      <w:tblGrid>
        <w:gridCol w:w="8834"/>
      </w:tblGrid>
      <w:tr w:rsidR="006B25DA" w14:paraId="1E1F8FDF" w14:textId="77777777">
        <w:tc>
          <w:tcPr>
            <w:tcW w:w="5000" w:type="pct"/>
          </w:tcPr>
          <w:p w14:paraId="46084875" w14:textId="77777777" w:rsidR="006B25DA" w:rsidRPr="00373E18" w:rsidRDefault="006B25DA">
            <w:pPr>
              <w:spacing w:after="120"/>
              <w:rPr>
                <w:b/>
                <w:bCs/>
                <w:i/>
                <w:iCs/>
                <w:noProof/>
                <w:u w:val="single"/>
              </w:rPr>
            </w:pPr>
            <w:r w:rsidRPr="00373E18">
              <w:rPr>
                <w:b/>
                <w:bCs/>
                <w:i/>
                <w:iCs/>
                <w:noProof/>
                <w:u w:val="single"/>
              </w:rPr>
              <w:t>Key milestones to consider</w:t>
            </w:r>
            <w:r>
              <w:rPr>
                <w:b/>
                <w:bCs/>
                <w:i/>
                <w:iCs/>
                <w:noProof/>
                <w:u w:val="single"/>
              </w:rPr>
              <w:t>:</w:t>
            </w:r>
          </w:p>
          <w:p w14:paraId="46D084B9" w14:textId="4585978E" w:rsidR="006B25DA" w:rsidRPr="00373E18" w:rsidRDefault="006B25DA" w:rsidP="006B25DA">
            <w:pPr>
              <w:pStyle w:val="ListDash1"/>
              <w:tabs>
                <w:tab w:val="clear" w:pos="765"/>
                <w:tab w:val="num" w:pos="283"/>
              </w:tabs>
              <w:spacing w:after="120"/>
              <w:ind w:left="284" w:hanging="284"/>
              <w:rPr>
                <w:noProof/>
              </w:rPr>
            </w:pPr>
            <w:r>
              <w:rPr>
                <w:noProof/>
              </w:rPr>
              <w:t xml:space="preserve">By 30 October 2024, the Commission will conclude the dry-run for the </w:t>
            </w:r>
            <w:r w:rsidR="00893717">
              <w:rPr>
                <w:noProof/>
              </w:rPr>
              <w:t xml:space="preserve">European </w:t>
            </w:r>
            <w:r>
              <w:rPr>
                <w:noProof/>
              </w:rPr>
              <w:t>Annual Asylum and Migration Report and present the results to the EU mechanism for preparedness and management of crisis related to migration.</w:t>
            </w:r>
          </w:p>
          <w:p w14:paraId="48808D57" w14:textId="3A0E40F7" w:rsidR="006B25DA" w:rsidRPr="00C12801" w:rsidRDefault="006B25DA" w:rsidP="006B25DA">
            <w:pPr>
              <w:pStyle w:val="ListDash1"/>
              <w:tabs>
                <w:tab w:val="clear" w:pos="765"/>
                <w:tab w:val="num" w:pos="283"/>
              </w:tabs>
              <w:spacing w:after="120"/>
              <w:ind w:left="284" w:hanging="284"/>
              <w:rPr>
                <w:noProof/>
              </w:rPr>
            </w:pPr>
            <w:r>
              <w:rPr>
                <w:noProof/>
              </w:rPr>
              <w:t xml:space="preserve">By </w:t>
            </w:r>
            <w:r w:rsidR="0023727D">
              <w:rPr>
                <w:noProof/>
              </w:rPr>
              <w:t xml:space="preserve">the beginning of </w:t>
            </w:r>
            <w:r>
              <w:rPr>
                <w:noProof/>
              </w:rPr>
              <w:t>2025, the Commission will appoint the Solidarity Coordinator and provide for the necessary resources to effectively carry out the tasks.</w:t>
            </w:r>
          </w:p>
          <w:p w14:paraId="06BB1E2C" w14:textId="3EF4D2C4" w:rsidR="006B25DA" w:rsidRPr="00373E18" w:rsidRDefault="006B25DA" w:rsidP="00D17885">
            <w:pPr>
              <w:pStyle w:val="ListDash1"/>
              <w:tabs>
                <w:tab w:val="clear" w:pos="765"/>
                <w:tab w:val="num" w:pos="283"/>
              </w:tabs>
              <w:spacing w:after="120"/>
              <w:ind w:left="284" w:hanging="284"/>
              <w:rPr>
                <w:noProof/>
              </w:rPr>
            </w:pPr>
            <w:r w:rsidRPr="00373E18">
              <w:rPr>
                <w:noProof/>
              </w:rPr>
              <w:t>By</w:t>
            </w:r>
            <w:r w:rsidR="006957A7">
              <w:rPr>
                <w:noProof/>
              </w:rPr>
              <w:t xml:space="preserve"> </w:t>
            </w:r>
            <w:r w:rsidR="004638BA">
              <w:rPr>
                <w:noProof/>
              </w:rPr>
              <w:t xml:space="preserve">early </w:t>
            </w:r>
            <w:r w:rsidR="00D17885">
              <w:rPr>
                <w:noProof/>
              </w:rPr>
              <w:t xml:space="preserve">May </w:t>
            </w:r>
            <w:r w:rsidRPr="00373E18">
              <w:rPr>
                <w:noProof/>
              </w:rPr>
              <w:t xml:space="preserve">2025, the Commission </w:t>
            </w:r>
            <w:r w:rsidR="00496D40">
              <w:rPr>
                <w:noProof/>
              </w:rPr>
              <w:t xml:space="preserve">will </w:t>
            </w:r>
            <w:r w:rsidR="004638BA">
              <w:rPr>
                <w:noProof/>
              </w:rPr>
              <w:t>request</w:t>
            </w:r>
            <w:r w:rsidR="004638BA" w:rsidRPr="00373E18">
              <w:rPr>
                <w:noProof/>
              </w:rPr>
              <w:t xml:space="preserve"> </w:t>
            </w:r>
            <w:r w:rsidR="004638BA">
              <w:rPr>
                <w:noProof/>
              </w:rPr>
              <w:t xml:space="preserve">Member States and EU Agencies the necessary information with a view to starting </w:t>
            </w:r>
            <w:r w:rsidRPr="00373E18">
              <w:rPr>
                <w:noProof/>
              </w:rPr>
              <w:t xml:space="preserve">the first annual </w:t>
            </w:r>
            <w:r w:rsidR="000C7820">
              <w:rPr>
                <w:noProof/>
              </w:rPr>
              <w:t>migration management</w:t>
            </w:r>
            <w:r w:rsidR="00F256CA">
              <w:rPr>
                <w:noProof/>
              </w:rPr>
              <w:t xml:space="preserve"> </w:t>
            </w:r>
            <w:r w:rsidRPr="00373E18">
              <w:rPr>
                <w:noProof/>
              </w:rPr>
              <w:t>cycle</w:t>
            </w:r>
            <w:r w:rsidR="004638BA">
              <w:rPr>
                <w:noProof/>
              </w:rPr>
              <w:t xml:space="preserve"> on 1 June 2025</w:t>
            </w:r>
            <w:r w:rsidRPr="00373E18">
              <w:rPr>
                <w:noProof/>
              </w:rPr>
              <w:t>.</w:t>
            </w:r>
          </w:p>
          <w:p w14:paraId="5381301C" w14:textId="178E80A6" w:rsidR="006B25DA" w:rsidRDefault="006B25DA" w:rsidP="006B25DA">
            <w:pPr>
              <w:pStyle w:val="ListDash1"/>
              <w:tabs>
                <w:tab w:val="clear" w:pos="765"/>
                <w:tab w:val="num" w:pos="283"/>
              </w:tabs>
              <w:spacing w:after="120"/>
              <w:ind w:left="284" w:hanging="284"/>
              <w:rPr>
                <w:noProof/>
              </w:rPr>
            </w:pPr>
            <w:r w:rsidRPr="00A843AA">
              <w:rPr>
                <w:noProof/>
              </w:rPr>
              <w:t xml:space="preserve">By </w:t>
            </w:r>
            <w:r w:rsidR="006461F7" w:rsidRPr="00A843AA">
              <w:rPr>
                <w:noProof/>
              </w:rPr>
              <w:t>12 June 2025</w:t>
            </w:r>
            <w:r w:rsidRPr="00A843AA">
              <w:rPr>
                <w:noProof/>
              </w:rPr>
              <w:t>,</w:t>
            </w:r>
            <w:r w:rsidRPr="008C708B">
              <w:rPr>
                <w:noProof/>
              </w:rPr>
              <w:t xml:space="preserve"> </w:t>
            </w:r>
            <w:r>
              <w:rPr>
                <w:noProof/>
              </w:rPr>
              <w:t xml:space="preserve">the Commission will aim to adopt the </w:t>
            </w:r>
            <w:r w:rsidR="00893717">
              <w:rPr>
                <w:noProof/>
              </w:rPr>
              <w:t xml:space="preserve">two </w:t>
            </w:r>
            <w:r>
              <w:rPr>
                <w:noProof/>
              </w:rPr>
              <w:t>implementing acts foreseen in relation to solidarity (for relocation and financial contributions respectively).</w:t>
            </w:r>
          </w:p>
        </w:tc>
      </w:tr>
    </w:tbl>
    <w:p w14:paraId="3BDF0E7E" w14:textId="77777777" w:rsidR="006B25DA" w:rsidRPr="00C12801" w:rsidRDefault="006B25DA" w:rsidP="006B25DA">
      <w:pPr>
        <w:rPr>
          <w:noProof/>
        </w:rPr>
      </w:pPr>
      <w:r w:rsidRPr="00C12801">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C12801" w14:paraId="094CB302" w14:textId="77777777">
        <w:trPr>
          <w:trHeight w:val="572"/>
        </w:trPr>
        <w:tc>
          <w:tcPr>
            <w:tcW w:w="1302" w:type="dxa"/>
            <w:vMerge w:val="restart"/>
            <w:tcBorders>
              <w:right w:val="single" w:sz="4" w:space="0" w:color="FFFFFF" w:themeColor="background1"/>
            </w:tcBorders>
          </w:tcPr>
          <w:p w14:paraId="773BBF41" w14:textId="77777777" w:rsidR="006B25DA" w:rsidRPr="00C12801" w:rsidRDefault="00A2365E">
            <w:pPr>
              <w:pStyle w:val="Text1"/>
              <w:spacing w:before="120" w:after="120"/>
              <w:ind w:left="0"/>
              <w:rPr>
                <w:noProof/>
              </w:rPr>
            </w:pPr>
            <w:r>
              <w:rPr>
                <w:noProof/>
              </w:rPr>
              <w:pict w14:anchorId="22FEB5B7">
                <v:group id="Group 155" o:spid="_x0000_s2069" style="position:absolute;left:0;text-align:left;margin-left:1pt;margin-top:4.2pt;width:52.15pt;height:52.15pt;z-index:251658246" coordsize="9331,9331">
                  <v:shape id="Graphic 150" o:spid="_x0000_s2070" type="#_x0000_t75" style="position:absolute;width:9331;height:93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">
                    <v:imagedata r:id="rId35" o:title=""/>
                  </v:shape>
                  <v:shape id="Graphic 152" o:spid="_x0000_s2071" type="#_x0000_t75" style="position:absolute;left:2323;top:2407;width:4250;height:3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">
                    <v:imagedata r:id="rId36" o:title=""/>
                  </v:shape>
                </v:group>
              </w:pict>
            </w:r>
          </w:p>
        </w:tc>
        <w:tc>
          <w:tcPr>
            <w:tcW w:w="7345" w:type="dxa"/>
            <w:tcBorders>
              <w:left w:val="single" w:sz="4" w:space="0" w:color="FFFFFF" w:themeColor="background1"/>
              <w:bottom w:val="single" w:sz="4" w:space="0" w:color="FFFFFF" w:themeColor="background1"/>
            </w:tcBorders>
          </w:tcPr>
          <w:p w14:paraId="4A250564" w14:textId="77777777" w:rsidR="006B25DA" w:rsidRPr="00C12801" w:rsidRDefault="006B25DA">
            <w:pPr>
              <w:pStyle w:val="Text1"/>
              <w:spacing w:before="60" w:after="120"/>
              <w:ind w:left="36"/>
              <w:rPr>
                <w:rFonts w:eastAsia="EC Square Sans Pro"/>
                <w:b/>
                <w:bCs/>
                <w:noProof/>
                <w:u w:val="single"/>
              </w:rPr>
            </w:pPr>
            <w:r w:rsidRPr="00C12801">
              <w:rPr>
                <w:rFonts w:eastAsia="EC Square Sans Pro"/>
                <w:b/>
                <w:bCs/>
                <w:noProof/>
                <w:u w:val="single"/>
              </w:rPr>
              <w:t>BUILDING BLOCK 8</w:t>
            </w:r>
          </w:p>
        </w:tc>
      </w:tr>
      <w:tr w:rsidR="006B25DA" w:rsidRPr="00C12801" w14:paraId="3CD0977A" w14:textId="77777777">
        <w:trPr>
          <w:trHeight w:val="675"/>
        </w:trPr>
        <w:tc>
          <w:tcPr>
            <w:tcW w:w="1302" w:type="dxa"/>
            <w:vMerge/>
            <w:tcBorders>
              <w:right w:val="single" w:sz="4" w:space="0" w:color="FFFFFF" w:themeColor="background1"/>
            </w:tcBorders>
          </w:tcPr>
          <w:p w14:paraId="5E7C19DC"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59F8E75C" w14:textId="7501D381" w:rsidR="006B25DA" w:rsidRPr="00C12801" w:rsidRDefault="006B25DA">
            <w:pPr>
              <w:pStyle w:val="Text1"/>
              <w:ind w:left="0"/>
              <w:rPr>
                <w:b/>
                <w:bCs/>
                <w:noProof/>
              </w:rPr>
            </w:pPr>
            <w:r w:rsidRPr="00C12801">
              <w:rPr>
                <w:b/>
                <w:bCs/>
                <w:noProof/>
              </w:rPr>
              <w:t>Preparedness</w:t>
            </w:r>
            <w:r w:rsidR="00E94219">
              <w:rPr>
                <w:b/>
                <w:bCs/>
                <w:noProof/>
              </w:rPr>
              <w:t>,</w:t>
            </w:r>
            <w:r w:rsidRPr="00C12801">
              <w:rPr>
                <w:b/>
                <w:bCs/>
                <w:noProof/>
              </w:rPr>
              <w:t xml:space="preserve"> Contingency </w:t>
            </w:r>
            <w:r w:rsidRPr="003A3CA2">
              <w:rPr>
                <w:b/>
                <w:bCs/>
                <w:noProof/>
              </w:rPr>
              <w:t>Planning and Crisis response</w:t>
            </w:r>
          </w:p>
        </w:tc>
      </w:tr>
    </w:tbl>
    <w:p w14:paraId="2950021B" w14:textId="6A237174" w:rsidR="006B25DA" w:rsidRDefault="006B25DA">
      <w:pPr>
        <w:spacing w:before="120" w:after="80"/>
        <w:rPr>
          <w:noProof/>
        </w:rPr>
      </w:pPr>
      <w:r w:rsidRPr="00C12801">
        <w:rPr>
          <w:noProof/>
        </w:rPr>
        <w:t xml:space="preserve">To better respond to future challenges, the new legislative framework includes several new </w:t>
      </w:r>
      <w:r>
        <w:rPr>
          <w:noProof/>
        </w:rPr>
        <w:t xml:space="preserve">and complementary </w:t>
      </w:r>
      <w:r w:rsidRPr="00C12801">
        <w:rPr>
          <w:noProof/>
        </w:rPr>
        <w:t>measures to ensure preparedness</w:t>
      </w:r>
      <w:r w:rsidR="00E94219">
        <w:rPr>
          <w:noProof/>
        </w:rPr>
        <w:t>,</w:t>
      </w:r>
      <w:r w:rsidRPr="00C12801">
        <w:rPr>
          <w:noProof/>
        </w:rPr>
        <w:t xml:space="preserve"> contingency planning </w:t>
      </w:r>
      <w:r w:rsidR="00E94219">
        <w:rPr>
          <w:noProof/>
        </w:rPr>
        <w:t xml:space="preserve">and crisis response </w:t>
      </w:r>
      <w:r w:rsidRPr="00C12801">
        <w:rPr>
          <w:noProof/>
        </w:rPr>
        <w:t xml:space="preserve">across the EU. This should </w:t>
      </w:r>
      <w:r>
        <w:rPr>
          <w:noProof/>
        </w:rPr>
        <w:t>help build</w:t>
      </w:r>
      <w:r w:rsidRPr="00C12801">
        <w:rPr>
          <w:noProof/>
        </w:rPr>
        <w:t xml:space="preserve"> </w:t>
      </w:r>
      <w:r w:rsidR="00E94219">
        <w:rPr>
          <w:noProof/>
        </w:rPr>
        <w:t>more</w:t>
      </w:r>
      <w:r w:rsidRPr="00C12801">
        <w:rPr>
          <w:noProof/>
        </w:rPr>
        <w:t xml:space="preserve"> resilience to the evolution of migratory situations as well as reduce the risks of situations of crisis. </w:t>
      </w:r>
    </w:p>
    <w:p w14:paraId="7D6D9707" w14:textId="2AB3C5E3" w:rsidR="006B25DA" w:rsidRDefault="00E94219">
      <w:pPr>
        <w:spacing w:after="80"/>
        <w:rPr>
          <w:noProof/>
          <w:lang w:val="en-IE"/>
        </w:rPr>
      </w:pPr>
      <w:r>
        <w:rPr>
          <w:noProof/>
        </w:rPr>
        <w:t>The level of p</w:t>
      </w:r>
      <w:r w:rsidR="006B25DA">
        <w:rPr>
          <w:noProof/>
        </w:rPr>
        <w:t>reparedness and contingency planning are</w:t>
      </w:r>
      <w:r>
        <w:rPr>
          <w:noProof/>
        </w:rPr>
        <w:t xml:space="preserve"> important</w:t>
      </w:r>
      <w:r w:rsidR="006B25DA">
        <w:rPr>
          <w:noProof/>
        </w:rPr>
        <w:t xml:space="preserve"> elements to consider a Member State as </w:t>
      </w:r>
      <w:r w:rsidR="001233EC">
        <w:rPr>
          <w:noProof/>
        </w:rPr>
        <w:t>‘</w:t>
      </w:r>
      <w:r w:rsidR="006B25DA">
        <w:rPr>
          <w:noProof/>
        </w:rPr>
        <w:t>well</w:t>
      </w:r>
      <w:r w:rsidR="00EB49A1">
        <w:rPr>
          <w:noProof/>
        </w:rPr>
        <w:t>-</w:t>
      </w:r>
      <w:r w:rsidR="006B25DA">
        <w:rPr>
          <w:noProof/>
        </w:rPr>
        <w:t>prepared</w:t>
      </w:r>
      <w:r w:rsidR="001233EC">
        <w:rPr>
          <w:noProof/>
        </w:rPr>
        <w:t>’</w:t>
      </w:r>
      <w:r w:rsidR="006B25DA">
        <w:rPr>
          <w:noProof/>
        </w:rPr>
        <w:t>. They are closely linked to maintaining adequate reception systems across the EU (see building block 3) and thus essential for a proper functioning of the responsibility obligations (see building block 6). A Member State cannot be considered</w:t>
      </w:r>
      <w:r>
        <w:rPr>
          <w:noProof/>
        </w:rPr>
        <w:t xml:space="preserve"> as</w:t>
      </w:r>
      <w:r w:rsidR="006B25DA">
        <w:rPr>
          <w:noProof/>
        </w:rPr>
        <w:t xml:space="preserve"> well</w:t>
      </w:r>
      <w:r w:rsidR="00EB49A1">
        <w:rPr>
          <w:noProof/>
        </w:rPr>
        <w:t>-</w:t>
      </w:r>
      <w:r w:rsidR="006B25DA">
        <w:rPr>
          <w:noProof/>
        </w:rPr>
        <w:t xml:space="preserve">prepared if contingency planning is </w:t>
      </w:r>
      <w:r>
        <w:rPr>
          <w:noProof/>
        </w:rPr>
        <w:t xml:space="preserve">not </w:t>
      </w:r>
      <w:r w:rsidR="006B25DA">
        <w:rPr>
          <w:noProof/>
        </w:rPr>
        <w:t xml:space="preserve">in place, which in turn </w:t>
      </w:r>
      <w:r>
        <w:rPr>
          <w:noProof/>
        </w:rPr>
        <w:t xml:space="preserve">may have </w:t>
      </w:r>
      <w:r w:rsidR="006B25DA">
        <w:rPr>
          <w:noProof/>
        </w:rPr>
        <w:t xml:space="preserve">an impact on the possibility for the Member State to benefit from solidarity or deductions </w:t>
      </w:r>
      <w:r w:rsidR="00EB49A1">
        <w:rPr>
          <w:noProof/>
        </w:rPr>
        <w:t xml:space="preserve">from </w:t>
      </w:r>
      <w:r w:rsidR="006B25DA">
        <w:rPr>
          <w:noProof/>
        </w:rPr>
        <w:t xml:space="preserve">solidarity contributions (building block 7). </w:t>
      </w:r>
      <w:r w:rsidR="006B25DA" w:rsidRPr="042014EA">
        <w:rPr>
          <w:noProof/>
          <w:lang w:val="en-IE"/>
        </w:rPr>
        <w:t>In this sense, the European Annual Asylum and Migration Report, as the first step of the annual migration management cycle, will have to include information about the level of preparedness in the Union and in the Member States. Preparedness and contingency planning will also support a rapid, efficient, and coordinated response in case of a migration crisis</w:t>
      </w:r>
      <w:r w:rsidR="005707EA">
        <w:rPr>
          <w:noProof/>
          <w:lang w:val="en-IE"/>
        </w:rPr>
        <w:t xml:space="preserve">, </w:t>
      </w:r>
      <w:r w:rsidR="00DF2387">
        <w:rPr>
          <w:noProof/>
          <w:lang w:val="en-IE"/>
        </w:rPr>
        <w:t>taking into account geograp</w:t>
      </w:r>
      <w:r w:rsidR="00FD1215">
        <w:rPr>
          <w:noProof/>
          <w:lang w:val="en-IE"/>
        </w:rPr>
        <w:t xml:space="preserve">hic specificities, including </w:t>
      </w:r>
      <w:r w:rsidR="005707EA">
        <w:rPr>
          <w:noProof/>
          <w:lang w:val="en-IE"/>
        </w:rPr>
        <w:t>border regions</w:t>
      </w:r>
      <w:r w:rsidR="006B25DA" w:rsidRPr="042014EA">
        <w:rPr>
          <w:noProof/>
          <w:lang w:val="en-IE"/>
        </w:rPr>
        <w:t>.</w:t>
      </w:r>
    </w:p>
    <w:p w14:paraId="4F7C710E" w14:textId="77777777" w:rsidR="001233EC" w:rsidRDefault="006B25DA">
      <w:pPr>
        <w:spacing w:after="80"/>
        <w:rPr>
          <w:noProof/>
          <w:lang w:val="en-IE"/>
        </w:rPr>
      </w:pPr>
      <w:r>
        <w:rPr>
          <w:noProof/>
        </w:rPr>
        <w:t>Preparedness entails the allocation of the</w:t>
      </w:r>
      <w:r w:rsidRPr="006E41AA">
        <w:rPr>
          <w:noProof/>
        </w:rPr>
        <w:t xml:space="preserve"> </w:t>
      </w:r>
      <w:r w:rsidRPr="006E41AA">
        <w:rPr>
          <w:noProof/>
          <w:lang w:val="en-IE"/>
        </w:rPr>
        <w:t xml:space="preserve">necessary </w:t>
      </w:r>
      <w:r w:rsidRPr="00BB0651">
        <w:rPr>
          <w:noProof/>
          <w:lang w:val="en-IE"/>
        </w:rPr>
        <w:t>human, material and financial resources and infrastructure</w:t>
      </w:r>
      <w:r w:rsidRPr="006E41AA">
        <w:rPr>
          <w:noProof/>
          <w:lang w:val="en-IE"/>
        </w:rPr>
        <w:t xml:space="preserve"> to guarantee the functioning of the asylum and migration systems, as well as </w:t>
      </w:r>
      <w:r w:rsidRPr="00BB0651">
        <w:rPr>
          <w:noProof/>
          <w:lang w:val="en-IE"/>
        </w:rPr>
        <w:t>coordination</w:t>
      </w:r>
      <w:r w:rsidRPr="006E41AA">
        <w:rPr>
          <w:noProof/>
          <w:lang w:val="en-IE"/>
        </w:rPr>
        <w:t xml:space="preserve"> </w:t>
      </w:r>
      <w:r>
        <w:rPr>
          <w:noProof/>
          <w:lang w:val="en-IE"/>
        </w:rPr>
        <w:t>among relevant authorities, at national and EU level</w:t>
      </w:r>
      <w:r w:rsidRPr="006E41AA">
        <w:rPr>
          <w:noProof/>
          <w:lang w:val="en-IE"/>
        </w:rPr>
        <w:t xml:space="preserve">. </w:t>
      </w:r>
    </w:p>
    <w:p w14:paraId="7047E3D9" w14:textId="00BF424C" w:rsidR="006B25DA" w:rsidRDefault="006B25DA">
      <w:pPr>
        <w:spacing w:after="80"/>
        <w:rPr>
          <w:noProof/>
        </w:rPr>
      </w:pPr>
      <w:r>
        <w:rPr>
          <w:noProof/>
          <w:lang w:val="en-IE"/>
        </w:rPr>
        <w:t>Contingency planning</w:t>
      </w:r>
      <w:r w:rsidR="008D5867">
        <w:rPr>
          <w:noProof/>
          <w:lang w:val="en-IE"/>
        </w:rPr>
        <w:t xml:space="preserve"> as mandated by the Reception Conditions Directive</w:t>
      </w:r>
      <w:r>
        <w:rPr>
          <w:noProof/>
          <w:lang w:val="en-IE"/>
        </w:rPr>
        <w:t xml:space="preserve"> is part of preparedness. Th</w:t>
      </w:r>
      <w:r w:rsidR="008D5867">
        <w:rPr>
          <w:noProof/>
          <w:lang w:val="en-IE"/>
        </w:rPr>
        <w:t>is</w:t>
      </w:r>
      <w:r>
        <w:rPr>
          <w:noProof/>
          <w:lang w:val="en-IE"/>
        </w:rPr>
        <w:t xml:space="preserve"> contingency planning aims at building and maintaining more resilient reception systems</w:t>
      </w:r>
      <w:r>
        <w:rPr>
          <w:noProof/>
        </w:rPr>
        <w:t xml:space="preserve"> </w:t>
      </w:r>
      <w:r w:rsidRPr="008424E8">
        <w:rPr>
          <w:noProof/>
        </w:rPr>
        <w:t>across the EU</w:t>
      </w:r>
      <w:r>
        <w:rPr>
          <w:noProof/>
        </w:rPr>
        <w:t xml:space="preserve"> that are able to function efficiently, including in crisis situations. For this reason, it is crucial that these contingency plans also cover asylum</w:t>
      </w:r>
      <w:r w:rsidR="00A20653">
        <w:rPr>
          <w:noProof/>
        </w:rPr>
        <w:t xml:space="preserve"> procedures</w:t>
      </w:r>
      <w:r>
        <w:rPr>
          <w:noProof/>
        </w:rPr>
        <w:t xml:space="preserve"> (see building block 4). If there are no contingency measures to process asylum applications, the strain on reception systems in situations of pressure or crisis would only worsen. Encompassing asylum</w:t>
      </w:r>
      <w:r w:rsidR="001E1AD0">
        <w:rPr>
          <w:noProof/>
        </w:rPr>
        <w:t xml:space="preserve"> procedures</w:t>
      </w:r>
      <w:r>
        <w:rPr>
          <w:noProof/>
        </w:rPr>
        <w:t xml:space="preserve"> in the reception contingency plans required under the recast Reception Conditions Directive will also facilitate synergies among the different actors involved and ensure processes are streamlined and </w:t>
      </w:r>
      <w:r w:rsidR="00E94219">
        <w:rPr>
          <w:noProof/>
        </w:rPr>
        <w:t xml:space="preserve">that the necessary </w:t>
      </w:r>
      <w:r>
        <w:rPr>
          <w:noProof/>
        </w:rPr>
        <w:t>measures</w:t>
      </w:r>
      <w:r w:rsidR="00E94219">
        <w:rPr>
          <w:noProof/>
        </w:rPr>
        <w:t xml:space="preserve"> are</w:t>
      </w:r>
      <w:r>
        <w:rPr>
          <w:noProof/>
        </w:rPr>
        <w:t xml:space="preserve"> in place</w:t>
      </w:r>
      <w:r w:rsidR="00E94219">
        <w:rPr>
          <w:noProof/>
        </w:rPr>
        <w:t xml:space="preserve">. </w:t>
      </w:r>
      <w:r>
        <w:rPr>
          <w:noProof/>
        </w:rPr>
        <w:t xml:space="preserve">These contingency plans </w:t>
      </w:r>
      <w:r w:rsidR="00E94219">
        <w:rPr>
          <w:noProof/>
        </w:rPr>
        <w:t>must</w:t>
      </w:r>
      <w:r>
        <w:rPr>
          <w:noProof/>
        </w:rPr>
        <w:t xml:space="preserve"> be regularly assessed and reviewed (at least every three years). </w:t>
      </w:r>
    </w:p>
    <w:p w14:paraId="10FCE2DD" w14:textId="77777777" w:rsidR="006B25DA" w:rsidRPr="00BB0651" w:rsidRDefault="006B25DA">
      <w:pPr>
        <w:spacing w:after="80"/>
        <w:rPr>
          <w:noProof/>
        </w:rPr>
      </w:pPr>
      <w:r>
        <w:rPr>
          <w:noProof/>
        </w:rPr>
        <w:t xml:space="preserve">At the same time, while broader in scope, the national strategies to be prepared under the Asylum Migration Management Regulation should encompass </w:t>
      </w:r>
      <w:r>
        <w:rPr>
          <w:noProof/>
          <w:lang w:val="en-IE"/>
        </w:rPr>
        <w:t>the newly introduced obligations on contingency planning in a consistent and complementary manner with existing obligations on border management and return (see building blocks 2 and 5).</w:t>
      </w:r>
      <w:r>
        <w:rPr>
          <w:b/>
          <w:bCs/>
          <w:noProof/>
          <w:lang w:val="en-IE"/>
        </w:rPr>
        <w:t xml:space="preserve"> </w:t>
      </w:r>
    </w:p>
    <w:p w14:paraId="5097E278" w14:textId="2DC071F7" w:rsidR="006B25DA" w:rsidRDefault="006B25DA">
      <w:pPr>
        <w:spacing w:after="80"/>
        <w:rPr>
          <w:noProof/>
        </w:rPr>
      </w:pPr>
      <w:r>
        <w:rPr>
          <w:noProof/>
          <w:lang w:val="en-IE"/>
        </w:rPr>
        <w:t>Operationally, t</w:t>
      </w:r>
      <w:r w:rsidRPr="00F85488">
        <w:rPr>
          <w:noProof/>
        </w:rPr>
        <w:t xml:space="preserve">he </w:t>
      </w:r>
      <w:r>
        <w:rPr>
          <w:noProof/>
        </w:rPr>
        <w:t>EU mechanism for p</w:t>
      </w:r>
      <w:r w:rsidRPr="00F85488">
        <w:rPr>
          <w:noProof/>
        </w:rPr>
        <w:t xml:space="preserve">reparedness and </w:t>
      </w:r>
      <w:r>
        <w:rPr>
          <w:noProof/>
        </w:rPr>
        <w:t>management of c</w:t>
      </w:r>
      <w:r w:rsidRPr="00F85488">
        <w:rPr>
          <w:noProof/>
        </w:rPr>
        <w:t xml:space="preserve">risis </w:t>
      </w:r>
      <w:r>
        <w:rPr>
          <w:noProof/>
        </w:rPr>
        <w:t xml:space="preserve">related to </w:t>
      </w:r>
      <w:r w:rsidR="00242C97">
        <w:rPr>
          <w:noProof/>
        </w:rPr>
        <w:t>m</w:t>
      </w:r>
      <w:r>
        <w:rPr>
          <w:noProof/>
        </w:rPr>
        <w:t xml:space="preserve">igration (the Migration Preparedness and Crisis </w:t>
      </w:r>
      <w:r w:rsidRPr="00F85488">
        <w:rPr>
          <w:noProof/>
        </w:rPr>
        <w:t>Blueprint</w:t>
      </w:r>
      <w:r>
        <w:rPr>
          <w:noProof/>
        </w:rPr>
        <w:t>)</w:t>
      </w:r>
      <w:r w:rsidRPr="00BE6717">
        <w:rPr>
          <w:noProof/>
        </w:rPr>
        <w:t xml:space="preserve"> in its two stages (monitoring and preparedness</w:t>
      </w:r>
      <w:r w:rsidR="00242C97">
        <w:rPr>
          <w:noProof/>
        </w:rPr>
        <w:t>,</w:t>
      </w:r>
      <w:r w:rsidRPr="00BE6717">
        <w:rPr>
          <w:noProof/>
        </w:rPr>
        <w:t xml:space="preserve"> on the one hand and crisis management</w:t>
      </w:r>
      <w:r w:rsidR="00242C97">
        <w:rPr>
          <w:noProof/>
        </w:rPr>
        <w:t>,</w:t>
      </w:r>
      <w:r w:rsidRPr="00BE6717">
        <w:rPr>
          <w:noProof/>
        </w:rPr>
        <w:t xml:space="preserve"> on the other)</w:t>
      </w:r>
      <w:r>
        <w:rPr>
          <w:noProof/>
        </w:rPr>
        <w:t xml:space="preserve"> </w:t>
      </w:r>
      <w:r w:rsidRPr="00F85488">
        <w:rPr>
          <w:noProof/>
        </w:rPr>
        <w:t>provide</w:t>
      </w:r>
      <w:r>
        <w:rPr>
          <w:noProof/>
        </w:rPr>
        <w:t>s, through the Blueprint Network, a participatory</w:t>
      </w:r>
      <w:r w:rsidRPr="00F85488">
        <w:rPr>
          <w:noProof/>
        </w:rPr>
        <w:t xml:space="preserve"> framework for monitoring and anticipatin</w:t>
      </w:r>
      <w:r>
        <w:rPr>
          <w:noProof/>
        </w:rPr>
        <w:t>g</w:t>
      </w:r>
      <w:r w:rsidRPr="00F85488">
        <w:rPr>
          <w:noProof/>
        </w:rPr>
        <w:t xml:space="preserve"> migration flows and migration situations, building resilience as well as organising a coordinated response to a migration </w:t>
      </w:r>
      <w:r>
        <w:rPr>
          <w:noProof/>
        </w:rPr>
        <w:t>crisis</w:t>
      </w:r>
      <w:r w:rsidRPr="00F85488">
        <w:rPr>
          <w:noProof/>
        </w:rPr>
        <w:t>.</w:t>
      </w:r>
      <w:r>
        <w:rPr>
          <w:noProof/>
        </w:rPr>
        <w:t xml:space="preserve"> EU agencies also have a key role in offering targeted support as well as monitoring preparedness and contingency planning, in line with their respective mandates. </w:t>
      </w:r>
    </w:p>
    <w:p w14:paraId="6DD7F98C" w14:textId="4AE0CE19" w:rsidR="006B25DA" w:rsidRPr="00C12801" w:rsidRDefault="006B25DA">
      <w:pPr>
        <w:spacing w:after="80"/>
        <w:rPr>
          <w:noProof/>
        </w:rPr>
      </w:pPr>
      <w:r>
        <w:rPr>
          <w:noProof/>
          <w:lang w:val="en-IE"/>
        </w:rPr>
        <w:t xml:space="preserve">Work under this building block also feeds into the development of a </w:t>
      </w:r>
      <w:r w:rsidRPr="00E64E68">
        <w:rPr>
          <w:b/>
          <w:bCs/>
          <w:noProof/>
          <w:lang w:val="en-IE"/>
        </w:rPr>
        <w:t xml:space="preserve">cross-sectoral, </w:t>
      </w:r>
      <w:r w:rsidRPr="00E64E68">
        <w:rPr>
          <w:b/>
          <w:bCs/>
          <w:noProof/>
        </w:rPr>
        <w:t>all-hazards and whole-of-society approach</w:t>
      </w:r>
      <w:r>
        <w:rPr>
          <w:noProof/>
        </w:rPr>
        <w:t xml:space="preserve"> </w:t>
      </w:r>
      <w:r w:rsidRPr="00E64E68">
        <w:rPr>
          <w:b/>
          <w:bCs/>
          <w:noProof/>
        </w:rPr>
        <w:t>to preparedness and crisis response</w:t>
      </w:r>
      <w:r>
        <w:rPr>
          <w:noProof/>
        </w:rPr>
        <w:t xml:space="preserve"> at EU level</w:t>
      </w:r>
      <w:r w:rsidR="00496D40">
        <w:rPr>
          <w:noProof/>
        </w:rPr>
        <w:t>,</w:t>
      </w:r>
      <w:r>
        <w:rPr>
          <w:noProof/>
        </w:rPr>
        <w:t xml:space="preserve"> based on the March 2024 European Council </w:t>
      </w:r>
      <w:r w:rsidR="00242C97">
        <w:rPr>
          <w:noProof/>
        </w:rPr>
        <w:t>C</w:t>
      </w:r>
      <w:r>
        <w:rPr>
          <w:noProof/>
        </w:rPr>
        <w:t xml:space="preserve">onclusions. </w:t>
      </w:r>
    </w:p>
    <w:p w14:paraId="118D558A" w14:textId="77777777" w:rsidR="006B25DA" w:rsidRPr="00C12801" w:rsidRDefault="006B25DA">
      <w:pPr>
        <w:spacing w:after="80"/>
        <w:rPr>
          <w:noProof/>
        </w:rPr>
      </w:pPr>
      <w:r>
        <w:rPr>
          <w:noProof/>
        </w:rPr>
        <w:t>In this context</w:t>
      </w:r>
      <w:r w:rsidRPr="00C12801">
        <w:rPr>
          <w:noProof/>
        </w:rPr>
        <w:t xml:space="preserve">, the following actions </w:t>
      </w:r>
      <w:r>
        <w:rPr>
          <w:noProof/>
        </w:rPr>
        <w:t>should</w:t>
      </w:r>
      <w:r w:rsidRPr="00C12801">
        <w:rPr>
          <w:noProof/>
        </w:rPr>
        <w:t xml:space="preserve"> be taken</w:t>
      </w:r>
      <w:r w:rsidRPr="00A04B5D">
        <w:rPr>
          <w:noProof/>
        </w:rPr>
        <w:t xml:space="preserve"> </w:t>
      </w:r>
      <w:r>
        <w:rPr>
          <w:noProof/>
        </w:rPr>
        <w:t>to ensure the effective implementation of this building block</w:t>
      </w:r>
      <w:r w:rsidRPr="00C12801">
        <w:rPr>
          <w:noProof/>
        </w:rPr>
        <w:t>:</w:t>
      </w:r>
    </w:p>
    <w:p w14:paraId="76175556" w14:textId="77777777" w:rsidR="006B25DA" w:rsidRPr="00C12801" w:rsidRDefault="006B25DA">
      <w:pPr>
        <w:spacing w:after="80"/>
        <w:rPr>
          <w:noProof/>
        </w:rPr>
      </w:pPr>
      <w:r w:rsidRPr="00C12801">
        <w:rPr>
          <w:b/>
          <w:noProof/>
        </w:rPr>
        <w:t>Member States</w:t>
      </w:r>
      <w:r w:rsidRPr="00C12801">
        <w:rPr>
          <w:noProof/>
        </w:rPr>
        <w:t xml:space="preserve"> </w:t>
      </w:r>
    </w:p>
    <w:p w14:paraId="7831CC02" w14:textId="77777777" w:rsidR="006B25DA" w:rsidRPr="00C12801" w:rsidRDefault="006B25DA">
      <w:pPr>
        <w:spacing w:after="80"/>
        <w:rPr>
          <w:i/>
          <w:iCs/>
          <w:noProof/>
        </w:rPr>
      </w:pPr>
      <w:r w:rsidRPr="00C12801">
        <w:rPr>
          <w:i/>
          <w:iCs/>
          <w:noProof/>
        </w:rPr>
        <w:t>Legislation</w:t>
      </w:r>
    </w:p>
    <w:p w14:paraId="296C6E07" w14:textId="77777777" w:rsidR="006B25DA" w:rsidRPr="00C12801" w:rsidRDefault="006B25DA">
      <w:pPr>
        <w:pStyle w:val="ListParagraph"/>
        <w:numPr>
          <w:ilvl w:val="0"/>
          <w:numId w:val="38"/>
        </w:numPr>
        <w:spacing w:after="80"/>
        <w:ind w:hanging="436"/>
        <w:rPr>
          <w:i/>
          <w:iCs/>
          <w:noProof/>
        </w:rPr>
      </w:pPr>
      <w:r w:rsidRPr="00C12801">
        <w:rPr>
          <w:noProof/>
        </w:rPr>
        <w:t xml:space="preserve">Member States </w:t>
      </w:r>
      <w:r>
        <w:rPr>
          <w:noProof/>
        </w:rPr>
        <w:t>should</w:t>
      </w:r>
      <w:r w:rsidRPr="00C12801">
        <w:rPr>
          <w:noProof/>
        </w:rPr>
        <w:t xml:space="preserve"> </w:t>
      </w:r>
      <w:r w:rsidRPr="00E64E68">
        <w:rPr>
          <w:b/>
          <w:bCs/>
          <w:noProof/>
        </w:rPr>
        <w:t>review their national regulatory frameworks</w:t>
      </w:r>
      <w:r w:rsidRPr="00C12801">
        <w:rPr>
          <w:noProof/>
        </w:rPr>
        <w:t xml:space="preserve"> and adjust as needed.</w:t>
      </w:r>
      <w:r>
        <w:rPr>
          <w:noProof/>
        </w:rPr>
        <w:t xml:space="preserve"> Member States, in particular, will have to transpose the relevant provisions of the Reception Conditions Directive related to contingency planning.</w:t>
      </w:r>
    </w:p>
    <w:p w14:paraId="3FC5BB6A" w14:textId="77777777" w:rsidR="006B25DA" w:rsidRPr="00C12801" w:rsidRDefault="006B25DA">
      <w:pPr>
        <w:spacing w:after="80"/>
        <w:ind w:left="426" w:hanging="426"/>
        <w:rPr>
          <w:i/>
          <w:iCs/>
          <w:noProof/>
        </w:rPr>
      </w:pPr>
      <w:r>
        <w:rPr>
          <w:i/>
          <w:iCs/>
          <w:noProof/>
        </w:rPr>
        <w:t>Organisation</w:t>
      </w:r>
      <w:r w:rsidRPr="00C12801">
        <w:rPr>
          <w:i/>
          <w:iCs/>
          <w:noProof/>
        </w:rPr>
        <w:t xml:space="preserve"> and administrative processes</w:t>
      </w:r>
    </w:p>
    <w:p w14:paraId="1FB3A62E" w14:textId="77777777" w:rsidR="006B25DA" w:rsidRPr="00C12801" w:rsidRDefault="006B25DA">
      <w:pPr>
        <w:pStyle w:val="ListParagraph"/>
        <w:numPr>
          <w:ilvl w:val="0"/>
          <w:numId w:val="28"/>
        </w:numPr>
        <w:spacing w:after="80"/>
        <w:ind w:left="709" w:hanging="425"/>
        <w:contextualSpacing w:val="0"/>
        <w:rPr>
          <w:noProof/>
        </w:rPr>
      </w:pPr>
      <w:r>
        <w:rPr>
          <w:noProof/>
        </w:rPr>
        <w:t xml:space="preserve">Member States will have to develop by April 2025 (within ten months of entry into force of the new Reception Conditions Directive) </w:t>
      </w:r>
      <w:r w:rsidRPr="00E64E68">
        <w:rPr>
          <w:b/>
          <w:bCs/>
          <w:noProof/>
        </w:rPr>
        <w:t>national contingency plans on reception</w:t>
      </w:r>
      <w:r>
        <w:rPr>
          <w:noProof/>
        </w:rPr>
        <w:t xml:space="preserve"> (and asylum), using the newly developed EUAA template.</w:t>
      </w:r>
    </w:p>
    <w:p w14:paraId="49FAEFED" w14:textId="501ED254" w:rsidR="006B25DA" w:rsidRPr="00C12801" w:rsidRDefault="006B25DA">
      <w:pPr>
        <w:pStyle w:val="ListParagraph"/>
        <w:numPr>
          <w:ilvl w:val="0"/>
          <w:numId w:val="28"/>
        </w:numPr>
        <w:spacing w:after="80"/>
        <w:ind w:left="709" w:hanging="425"/>
        <w:contextualSpacing w:val="0"/>
        <w:rPr>
          <w:noProof/>
        </w:rPr>
      </w:pPr>
      <w:r>
        <w:rPr>
          <w:noProof/>
        </w:rPr>
        <w:t>Member States should make the necessary administrative arrangements to support the design, adoption, implementation</w:t>
      </w:r>
      <w:r w:rsidR="00242C97">
        <w:rPr>
          <w:noProof/>
        </w:rPr>
        <w:t>,</w:t>
      </w:r>
      <w:r>
        <w:rPr>
          <w:noProof/>
        </w:rPr>
        <w:t xml:space="preserve"> and </w:t>
      </w:r>
      <w:r w:rsidRPr="00E64E68">
        <w:rPr>
          <w:b/>
          <w:bCs/>
          <w:noProof/>
        </w:rPr>
        <w:t>regular review of comprehensive contingency plans on migration and asylum</w:t>
      </w:r>
      <w:r>
        <w:rPr>
          <w:noProof/>
        </w:rPr>
        <w:t>. This could include the set-up of inter-ministerial coordination structures that bring together the work strands covering different contingency plans under different legal basis (borders, reception, asylum, etc.).</w:t>
      </w:r>
    </w:p>
    <w:p w14:paraId="3AD3404C" w14:textId="4CC90968" w:rsidR="006B25DA" w:rsidRPr="00C12801" w:rsidRDefault="006B25DA">
      <w:pPr>
        <w:pStyle w:val="ListParagraph"/>
        <w:numPr>
          <w:ilvl w:val="0"/>
          <w:numId w:val="28"/>
        </w:numPr>
        <w:spacing w:after="80"/>
        <w:ind w:left="709" w:hanging="425"/>
        <w:contextualSpacing w:val="0"/>
        <w:rPr>
          <w:noProof/>
        </w:rPr>
      </w:pPr>
      <w:r>
        <w:rPr>
          <w:noProof/>
        </w:rPr>
        <w:t xml:space="preserve">Member States will also have to ensure that relevant </w:t>
      </w:r>
      <w:r w:rsidRPr="00E64E68">
        <w:rPr>
          <w:b/>
          <w:bCs/>
          <w:noProof/>
        </w:rPr>
        <w:t>information on preparedness is collected and shared</w:t>
      </w:r>
      <w:r>
        <w:rPr>
          <w:noProof/>
        </w:rPr>
        <w:t xml:space="preserve"> as relevant within the time limits of the Asylum Migration Management Regulation for the purposes of the preparation of the </w:t>
      </w:r>
      <w:r w:rsidR="00867880">
        <w:rPr>
          <w:noProof/>
        </w:rPr>
        <w:t xml:space="preserve">European </w:t>
      </w:r>
      <w:r>
        <w:rPr>
          <w:noProof/>
        </w:rPr>
        <w:t>Annual Asylum and Migration Report (see building block 7).</w:t>
      </w:r>
    </w:p>
    <w:p w14:paraId="55567E59" w14:textId="77777777" w:rsidR="006B25DA" w:rsidRPr="00C12801" w:rsidRDefault="006B25DA">
      <w:pPr>
        <w:spacing w:after="80"/>
        <w:rPr>
          <w:i/>
          <w:iCs/>
          <w:noProof/>
        </w:rPr>
      </w:pPr>
      <w:r w:rsidRPr="00C12801">
        <w:rPr>
          <w:i/>
          <w:iCs/>
          <w:noProof/>
        </w:rPr>
        <w:t xml:space="preserve">Capacities </w:t>
      </w:r>
      <w:r w:rsidRPr="00C12801">
        <w:rPr>
          <w:i/>
          <w:noProof/>
        </w:rPr>
        <w:t>(human resources, infrastructure, and equipment)</w:t>
      </w:r>
      <w:r w:rsidRPr="00C12801" w:rsidDel="0056403A">
        <w:rPr>
          <w:i/>
          <w:iCs/>
          <w:noProof/>
        </w:rPr>
        <w:t xml:space="preserve"> </w:t>
      </w:r>
    </w:p>
    <w:p w14:paraId="7239F4E5" w14:textId="77777777" w:rsidR="006B25DA" w:rsidRPr="00C12801" w:rsidRDefault="006B25DA">
      <w:pPr>
        <w:pStyle w:val="ListParagraph"/>
        <w:numPr>
          <w:ilvl w:val="0"/>
          <w:numId w:val="28"/>
        </w:numPr>
        <w:spacing w:after="80"/>
        <w:ind w:left="709" w:hanging="425"/>
        <w:contextualSpacing w:val="0"/>
        <w:rPr>
          <w:noProof/>
        </w:rPr>
      </w:pPr>
      <w:r>
        <w:rPr>
          <w:noProof/>
        </w:rPr>
        <w:t xml:space="preserve">Member States are invited to </w:t>
      </w:r>
      <w:r w:rsidRPr="00E64E68">
        <w:rPr>
          <w:b/>
          <w:bCs/>
          <w:noProof/>
        </w:rPr>
        <w:t>conduct systemic reviews to support operational preparedness and contingency planning</w:t>
      </w:r>
      <w:r>
        <w:rPr>
          <w:noProof/>
        </w:rPr>
        <w:t xml:space="preserve"> to be able to effectively upscale and downscale relevant capacity levels in case of need. Member States should therefore consider resources needed, for instance in terms of trained staff, IT, and other equipment, as well as reception, logistics and wider infrastructures.</w:t>
      </w:r>
    </w:p>
    <w:p w14:paraId="3474E9DB" w14:textId="77777777" w:rsidR="006B25DA" w:rsidRPr="00CD6161" w:rsidRDefault="006B25DA">
      <w:pPr>
        <w:spacing w:after="80"/>
        <w:rPr>
          <w:noProof/>
        </w:rPr>
      </w:pPr>
      <w:r w:rsidRPr="00CD6161">
        <w:rPr>
          <w:b/>
          <w:noProof/>
        </w:rPr>
        <w:t>Commission</w:t>
      </w:r>
    </w:p>
    <w:p w14:paraId="043C495C" w14:textId="77777777" w:rsidR="006B25DA" w:rsidRPr="003A3CA2" w:rsidRDefault="006B25DA">
      <w:pPr>
        <w:spacing w:after="80"/>
        <w:rPr>
          <w:i/>
          <w:noProof/>
          <w:highlight w:val="yellow"/>
        </w:rPr>
      </w:pPr>
      <w:r w:rsidRPr="00CD6161">
        <w:rPr>
          <w:i/>
          <w:noProof/>
        </w:rPr>
        <w:t>Practical Support</w:t>
      </w:r>
    </w:p>
    <w:p w14:paraId="17D6F6E3" w14:textId="77777777" w:rsidR="006B25DA" w:rsidRPr="003A3CA2" w:rsidRDefault="006B25DA">
      <w:pPr>
        <w:pStyle w:val="ListParagraph"/>
        <w:numPr>
          <w:ilvl w:val="0"/>
          <w:numId w:val="28"/>
        </w:numPr>
        <w:spacing w:after="80"/>
        <w:ind w:left="709" w:hanging="425"/>
        <w:contextualSpacing w:val="0"/>
        <w:rPr>
          <w:noProof/>
        </w:rPr>
      </w:pPr>
      <w:r>
        <w:rPr>
          <w:noProof/>
        </w:rPr>
        <w:t xml:space="preserve">The Commission and the EUAA will support Member States in </w:t>
      </w:r>
      <w:r w:rsidRPr="00E64E68">
        <w:rPr>
          <w:b/>
          <w:bCs/>
          <w:noProof/>
        </w:rPr>
        <w:t>drafting and reviewing their national contingency plans on reception and asylum</w:t>
      </w:r>
      <w:r>
        <w:rPr>
          <w:noProof/>
        </w:rPr>
        <w:t>, when requested by the Member States, and facilitate the exchange of best practices and knowledge through the EU mechanism for preparedness and management of crises related to migration.</w:t>
      </w:r>
    </w:p>
    <w:p w14:paraId="2CCA193D" w14:textId="77777777" w:rsidR="006B25DA" w:rsidRPr="00C12801" w:rsidRDefault="006B25DA">
      <w:pPr>
        <w:spacing w:after="80"/>
        <w:rPr>
          <w:i/>
          <w:iCs/>
          <w:noProof/>
        </w:rPr>
      </w:pPr>
      <w:r w:rsidRPr="00C12801">
        <w:rPr>
          <w:i/>
          <w:iCs/>
          <w:noProof/>
        </w:rPr>
        <w:t>Legal Obligation</w:t>
      </w:r>
    </w:p>
    <w:p w14:paraId="3293C1FB" w14:textId="1BB7C831" w:rsidR="00242C97" w:rsidRDefault="006B25DA">
      <w:pPr>
        <w:pStyle w:val="ListParagraph"/>
        <w:numPr>
          <w:ilvl w:val="0"/>
          <w:numId w:val="28"/>
        </w:numPr>
        <w:spacing w:after="80"/>
        <w:ind w:left="709" w:hanging="425"/>
        <w:contextualSpacing w:val="0"/>
        <w:rPr>
          <w:noProof/>
        </w:rPr>
      </w:pPr>
      <w:r>
        <w:rPr>
          <w:noProof/>
        </w:rPr>
        <w:t xml:space="preserve">The EUAA will develop a </w:t>
      </w:r>
      <w:r w:rsidRPr="00E64E68">
        <w:rPr>
          <w:b/>
          <w:bCs/>
          <w:noProof/>
        </w:rPr>
        <w:t>template for the national contingency plans on reception and asylum</w:t>
      </w:r>
      <w:r>
        <w:rPr>
          <w:noProof/>
        </w:rPr>
        <w:t>, currently foreseen for the fourth quarter of 2024 and provide support to Member States in developing and reviewing their contingency plans, when requested by the Member States.</w:t>
      </w:r>
    </w:p>
    <w:p w14:paraId="75DD548B" w14:textId="77777777" w:rsidR="009B273F" w:rsidRDefault="009B273F" w:rsidP="009B485A">
      <w:pPr>
        <w:spacing w:after="120"/>
        <w:rPr>
          <w:noProof/>
        </w:rPr>
      </w:pPr>
    </w:p>
    <w:tbl>
      <w:tblPr>
        <w:tblStyle w:val="TableGrid"/>
        <w:tblW w:w="5000" w:type="pct"/>
        <w:tblLook w:val="04A0" w:firstRow="1" w:lastRow="0" w:firstColumn="1" w:lastColumn="0" w:noHBand="0" w:noVBand="1"/>
      </w:tblPr>
      <w:tblGrid>
        <w:gridCol w:w="8834"/>
      </w:tblGrid>
      <w:tr w:rsidR="006B25DA" w14:paraId="48F0C100" w14:textId="77777777">
        <w:tc>
          <w:tcPr>
            <w:tcW w:w="5000" w:type="pct"/>
          </w:tcPr>
          <w:p w14:paraId="3A9BE749" w14:textId="77777777" w:rsidR="006B25DA" w:rsidRPr="00373E18" w:rsidRDefault="006B25DA">
            <w:pPr>
              <w:spacing w:after="120"/>
              <w:rPr>
                <w:b/>
                <w:bCs/>
                <w:i/>
                <w:iCs/>
                <w:noProof/>
                <w:u w:val="single"/>
              </w:rPr>
            </w:pPr>
            <w:r w:rsidRPr="00373E18">
              <w:rPr>
                <w:b/>
                <w:bCs/>
                <w:i/>
                <w:iCs/>
                <w:noProof/>
                <w:u w:val="single"/>
              </w:rPr>
              <w:t>Key milestones to consider:</w:t>
            </w:r>
          </w:p>
          <w:p w14:paraId="0A04BA3C" w14:textId="77777777" w:rsidR="006B25DA" w:rsidRPr="00C12801" w:rsidRDefault="006B25DA" w:rsidP="006B25DA">
            <w:pPr>
              <w:pStyle w:val="ListDash1"/>
              <w:tabs>
                <w:tab w:val="clear" w:pos="765"/>
                <w:tab w:val="num" w:pos="283"/>
              </w:tabs>
              <w:spacing w:after="120"/>
              <w:ind w:left="284" w:hanging="284"/>
              <w:rPr>
                <w:noProof/>
              </w:rPr>
            </w:pPr>
            <w:r>
              <w:rPr>
                <w:noProof/>
              </w:rPr>
              <w:t xml:space="preserve">By end 2024, EUAA will develop a template for contingency plans. </w:t>
            </w:r>
          </w:p>
          <w:p w14:paraId="726933AF" w14:textId="2D4F65DB" w:rsidR="006B25DA" w:rsidRDefault="006B25DA" w:rsidP="006B25DA">
            <w:pPr>
              <w:pStyle w:val="ListDash1"/>
              <w:tabs>
                <w:tab w:val="clear" w:pos="765"/>
                <w:tab w:val="num" w:pos="283"/>
              </w:tabs>
              <w:spacing w:after="120"/>
              <w:ind w:left="284" w:hanging="284"/>
              <w:rPr>
                <w:noProof/>
              </w:rPr>
            </w:pPr>
            <w:r>
              <w:rPr>
                <w:noProof/>
              </w:rPr>
              <w:t xml:space="preserve">By 12 April 2025, Member States shall adopt their national contingency plans and notify them to the </w:t>
            </w:r>
            <w:r w:rsidR="00242C97">
              <w:rPr>
                <w:noProof/>
              </w:rPr>
              <w:t>EUAA</w:t>
            </w:r>
            <w:r>
              <w:rPr>
                <w:noProof/>
              </w:rPr>
              <w:t>.</w:t>
            </w:r>
          </w:p>
        </w:tc>
      </w:tr>
    </w:tbl>
    <w:p w14:paraId="572903BA" w14:textId="77777777" w:rsidR="006B25DA" w:rsidRPr="00C12801" w:rsidRDefault="006B25DA" w:rsidP="006B25DA">
      <w:pPr>
        <w:rPr>
          <w:noProof/>
        </w:rPr>
      </w:pPr>
      <w:r w:rsidRPr="00C12801">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C12801" w14:paraId="494CE8AD" w14:textId="77777777">
        <w:trPr>
          <w:trHeight w:val="572"/>
        </w:trPr>
        <w:tc>
          <w:tcPr>
            <w:tcW w:w="1302" w:type="dxa"/>
            <w:vMerge w:val="restart"/>
            <w:tcBorders>
              <w:right w:val="single" w:sz="4" w:space="0" w:color="FFFFFF" w:themeColor="background1"/>
            </w:tcBorders>
          </w:tcPr>
          <w:p w14:paraId="5B80D188" w14:textId="77777777" w:rsidR="006B25DA" w:rsidRPr="00C12801" w:rsidRDefault="006B25DA">
            <w:pPr>
              <w:pStyle w:val="Text1"/>
              <w:spacing w:before="120" w:after="120"/>
              <w:ind w:left="0"/>
              <w:jc w:val="center"/>
              <w:rPr>
                <w:noProof/>
              </w:rPr>
            </w:pPr>
            <w:r w:rsidRPr="00C12801">
              <w:rPr>
                <w:noProof/>
                <w:lang w:eastAsia="en-GB"/>
              </w:rPr>
              <w:drawing>
                <wp:inline distT="0" distB="0" distL="0" distR="0" wp14:anchorId="6605E0A5" wp14:editId="01BA7439">
                  <wp:extent cx="662400" cy="66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2400" cy="662400"/>
                          </a:xfrm>
                          <a:prstGeom prst="rect">
                            <a:avLst/>
                          </a:prstGeom>
                          <a:noFill/>
                        </pic:spPr>
                      </pic:pic>
                    </a:graphicData>
                  </a:graphic>
                </wp:inline>
              </w:drawing>
            </w:r>
          </w:p>
        </w:tc>
        <w:tc>
          <w:tcPr>
            <w:tcW w:w="7345" w:type="dxa"/>
            <w:tcBorders>
              <w:left w:val="single" w:sz="4" w:space="0" w:color="FFFFFF" w:themeColor="background1"/>
              <w:bottom w:val="single" w:sz="4" w:space="0" w:color="FFFFFF" w:themeColor="background1"/>
            </w:tcBorders>
          </w:tcPr>
          <w:p w14:paraId="77F33BE0" w14:textId="77777777" w:rsidR="006B25DA" w:rsidRPr="00C12801" w:rsidRDefault="006B25DA">
            <w:pPr>
              <w:pStyle w:val="Text1"/>
              <w:spacing w:before="60" w:after="120"/>
              <w:ind w:left="36"/>
              <w:rPr>
                <w:rFonts w:eastAsia="EC Square Sans Pro"/>
                <w:b/>
                <w:bCs/>
                <w:noProof/>
                <w:u w:val="single"/>
              </w:rPr>
            </w:pPr>
            <w:r w:rsidRPr="00C12801">
              <w:rPr>
                <w:rFonts w:eastAsia="EC Square Sans Pro"/>
                <w:b/>
                <w:bCs/>
                <w:noProof/>
                <w:u w:val="single"/>
              </w:rPr>
              <w:t>BUILDING BLOCK 9</w:t>
            </w:r>
          </w:p>
        </w:tc>
      </w:tr>
      <w:tr w:rsidR="006B25DA" w:rsidRPr="00C12801" w14:paraId="3B05EDCF" w14:textId="77777777">
        <w:trPr>
          <w:trHeight w:val="675"/>
        </w:trPr>
        <w:tc>
          <w:tcPr>
            <w:tcW w:w="1302" w:type="dxa"/>
            <w:vMerge/>
            <w:tcBorders>
              <w:right w:val="single" w:sz="4" w:space="0" w:color="FFFFFF" w:themeColor="background1"/>
            </w:tcBorders>
          </w:tcPr>
          <w:p w14:paraId="268708B2" w14:textId="77777777" w:rsidR="006B25DA" w:rsidRPr="00C12801"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256551F5" w14:textId="77777777" w:rsidR="006B25DA" w:rsidRPr="00C12801" w:rsidRDefault="006B25DA">
            <w:pPr>
              <w:pStyle w:val="Text1"/>
              <w:spacing w:before="60" w:after="120"/>
              <w:ind w:left="0"/>
              <w:rPr>
                <w:b/>
                <w:bCs/>
                <w:noProof/>
              </w:rPr>
            </w:pPr>
            <w:r w:rsidRPr="00C12801">
              <w:rPr>
                <w:b/>
                <w:bCs/>
                <w:noProof/>
              </w:rPr>
              <w:t>New safeguards for applicants</w:t>
            </w:r>
            <w:r>
              <w:rPr>
                <w:b/>
                <w:bCs/>
                <w:noProof/>
              </w:rPr>
              <w:t xml:space="preserve"> for international protection</w:t>
            </w:r>
            <w:r w:rsidRPr="00C12801">
              <w:rPr>
                <w:b/>
                <w:bCs/>
                <w:noProof/>
              </w:rPr>
              <w:t xml:space="preserve"> and vulnerable persons, and increased monitoring of fundamental rights</w:t>
            </w:r>
          </w:p>
        </w:tc>
      </w:tr>
    </w:tbl>
    <w:p w14:paraId="6D80F4D0" w14:textId="77777777" w:rsidR="006B25DA" w:rsidRPr="00C12801" w:rsidRDefault="006B25DA" w:rsidP="006B25DA">
      <w:pPr>
        <w:spacing w:before="120" w:after="120"/>
        <w:rPr>
          <w:noProof/>
        </w:rPr>
      </w:pPr>
      <w:r w:rsidRPr="00C12801">
        <w:rPr>
          <w:noProof/>
        </w:rPr>
        <w:t xml:space="preserve">The Pact sets out and further clarifies </w:t>
      </w:r>
      <w:r w:rsidRPr="00E64E68">
        <w:rPr>
          <w:b/>
          <w:bCs/>
          <w:noProof/>
        </w:rPr>
        <w:t>important safeguards and guarantees for the applicants for international protection and people with specific needs</w:t>
      </w:r>
      <w:r w:rsidRPr="00C12801">
        <w:rPr>
          <w:noProof/>
        </w:rPr>
        <w:t>, particularly minors and families with children or single women and mothers. Across all new legal acts, new and enhanced rights are foreseen. These are brought together in this cross-cutting building block.</w:t>
      </w:r>
    </w:p>
    <w:p w14:paraId="073CCEDF" w14:textId="10E07825" w:rsidR="006B25DA" w:rsidRPr="005E1511" w:rsidRDefault="006B25DA" w:rsidP="006B25DA">
      <w:pPr>
        <w:spacing w:after="120"/>
        <w:rPr>
          <w:noProof/>
        </w:rPr>
      </w:pPr>
      <w:r>
        <w:rPr>
          <w:noProof/>
        </w:rPr>
        <w:t xml:space="preserve">The </w:t>
      </w:r>
      <w:r w:rsidRPr="00E64E68">
        <w:rPr>
          <w:b/>
          <w:bCs/>
          <w:noProof/>
        </w:rPr>
        <w:t>implementation of these rights, safeguards and guarantees serves to protect human dignity and ensure a genuine and effective right to asylum</w:t>
      </w:r>
      <w:r>
        <w:rPr>
          <w:noProof/>
        </w:rPr>
        <w:t>, including for the most vulnerable</w:t>
      </w:r>
      <w:r w:rsidR="00F92BDA">
        <w:rPr>
          <w:noProof/>
        </w:rPr>
        <w:t>,</w:t>
      </w:r>
      <w:r>
        <w:rPr>
          <w:noProof/>
        </w:rPr>
        <w:t xml:space="preserve"> as well as the access to effective </w:t>
      </w:r>
      <w:r w:rsidRPr="00C72CB8">
        <w:rPr>
          <w:noProof/>
        </w:rPr>
        <w:t xml:space="preserve">remedies. These safeguards and guarantees serve to protect fundamental rights in line with the EU Charter. At the same time, </w:t>
      </w:r>
      <w:r w:rsidRPr="005E1511">
        <w:rPr>
          <w:noProof/>
        </w:rPr>
        <w:t xml:space="preserve">they </w:t>
      </w:r>
      <w:r w:rsidR="00C856F4" w:rsidRPr="005E1511">
        <w:rPr>
          <w:noProof/>
        </w:rPr>
        <w:t xml:space="preserve">also </w:t>
      </w:r>
      <w:r w:rsidRPr="005E1511">
        <w:rPr>
          <w:noProof/>
        </w:rPr>
        <w:t>help protect the integrity of procedures across all building blocks</w:t>
      </w:r>
      <w:r w:rsidR="0095605F" w:rsidRPr="005E1511">
        <w:rPr>
          <w:noProof/>
        </w:rPr>
        <w:t>.</w:t>
      </w:r>
    </w:p>
    <w:p w14:paraId="42D8E581" w14:textId="77777777" w:rsidR="006B25DA" w:rsidRPr="005E1511" w:rsidRDefault="006B25DA" w:rsidP="006B25DA">
      <w:pPr>
        <w:pStyle w:val="ListParagraph"/>
        <w:spacing w:after="120"/>
        <w:ind w:left="0"/>
        <w:rPr>
          <w:b/>
          <w:bCs/>
          <w:noProof/>
        </w:rPr>
      </w:pPr>
      <w:r w:rsidRPr="005E1511">
        <w:rPr>
          <w:noProof/>
        </w:rPr>
        <w:t>These rights, safeguards and guarantees can be summarised as follows:</w:t>
      </w:r>
      <w:r w:rsidRPr="005E1511">
        <w:rPr>
          <w:b/>
          <w:bCs/>
          <w:noProof/>
        </w:rPr>
        <w:t xml:space="preserve"> </w:t>
      </w:r>
    </w:p>
    <w:p w14:paraId="15E94AF3" w14:textId="05D7B37D" w:rsidR="006B25DA" w:rsidRPr="00C12801" w:rsidRDefault="00C72CB8" w:rsidP="006B25DA">
      <w:pPr>
        <w:spacing w:after="120"/>
        <w:rPr>
          <w:noProof/>
        </w:rPr>
      </w:pPr>
      <w:r w:rsidRPr="005E1511">
        <w:rPr>
          <w:b/>
          <w:bCs/>
          <w:noProof/>
        </w:rPr>
        <w:t xml:space="preserve">- </w:t>
      </w:r>
      <w:r w:rsidR="006B25DA" w:rsidRPr="005E1511">
        <w:rPr>
          <w:b/>
          <w:bCs/>
          <w:noProof/>
        </w:rPr>
        <w:t>New and strengthened information rights for applicants for international protection</w:t>
      </w:r>
      <w:r w:rsidR="006B25DA" w:rsidRPr="005E1511">
        <w:rPr>
          <w:noProof/>
        </w:rPr>
        <w:t xml:space="preserve"> across </w:t>
      </w:r>
      <w:r w:rsidR="007C5389" w:rsidRPr="005E1511">
        <w:rPr>
          <w:noProof/>
        </w:rPr>
        <w:t xml:space="preserve">the </w:t>
      </w:r>
      <w:r w:rsidR="006B25DA" w:rsidRPr="005E1511">
        <w:rPr>
          <w:noProof/>
        </w:rPr>
        <w:t xml:space="preserve">new legislative acts, so that applicants </w:t>
      </w:r>
      <w:r w:rsidR="005D7355" w:rsidRPr="005E1511">
        <w:rPr>
          <w:noProof/>
        </w:rPr>
        <w:t xml:space="preserve">can </w:t>
      </w:r>
      <w:r w:rsidR="006B25DA" w:rsidRPr="005E1511">
        <w:rPr>
          <w:noProof/>
        </w:rPr>
        <w:t xml:space="preserve">understand their rights and obligations and the consequences of non-compliance with their obligations in a timely manner. </w:t>
      </w:r>
      <w:r w:rsidR="0014614D" w:rsidRPr="005E1511">
        <w:rPr>
          <w:noProof/>
        </w:rPr>
        <w:t xml:space="preserve">The provision of information is necessary for the rules to fight abuse by applicants to be applied. </w:t>
      </w:r>
      <w:r w:rsidR="006B25DA" w:rsidRPr="005E1511">
        <w:rPr>
          <w:noProof/>
        </w:rPr>
        <w:t>Information has to be provided taking into account the specificities of the applicant’s profile</w:t>
      </w:r>
      <w:r w:rsidR="006B25DA" w:rsidRPr="00C72CB8">
        <w:rPr>
          <w:noProof/>
        </w:rPr>
        <w:t>.</w:t>
      </w:r>
    </w:p>
    <w:p w14:paraId="31ED11E3" w14:textId="22689E45" w:rsidR="006B25DA" w:rsidRPr="00C12801" w:rsidRDefault="00C72CB8" w:rsidP="006B25DA">
      <w:pPr>
        <w:spacing w:after="120"/>
        <w:rPr>
          <w:noProof/>
        </w:rPr>
      </w:pPr>
      <w:r>
        <w:rPr>
          <w:b/>
          <w:bCs/>
          <w:noProof/>
        </w:rPr>
        <w:t xml:space="preserve">- </w:t>
      </w:r>
      <w:r w:rsidR="006B25DA" w:rsidRPr="00C12801">
        <w:rPr>
          <w:b/>
          <w:bCs/>
          <w:noProof/>
        </w:rPr>
        <w:t>A new right to free legal counselling for applicants</w:t>
      </w:r>
      <w:r w:rsidR="006B25DA">
        <w:rPr>
          <w:b/>
          <w:bCs/>
          <w:noProof/>
        </w:rPr>
        <w:t xml:space="preserve"> for international protection</w:t>
      </w:r>
      <w:r w:rsidR="006B25DA" w:rsidRPr="00C12801">
        <w:rPr>
          <w:noProof/>
        </w:rPr>
        <w:t xml:space="preserve"> </w:t>
      </w:r>
      <w:r w:rsidR="006B25DA" w:rsidRPr="00E64E68">
        <w:rPr>
          <w:b/>
          <w:bCs/>
          <w:noProof/>
        </w:rPr>
        <w:t>in the administrative phase of the procedure</w:t>
      </w:r>
      <w:r w:rsidR="006B25DA" w:rsidRPr="00C12801">
        <w:rPr>
          <w:noProof/>
        </w:rPr>
        <w:t xml:space="preserve">. This applies to all </w:t>
      </w:r>
      <w:r w:rsidR="007C5389">
        <w:rPr>
          <w:noProof/>
        </w:rPr>
        <w:t xml:space="preserve">administrative </w:t>
      </w:r>
      <w:r w:rsidR="006B25DA" w:rsidRPr="00C12801">
        <w:rPr>
          <w:noProof/>
        </w:rPr>
        <w:t>procedures, including the border procedure and the procedure to determine Member State responsibility for an application</w:t>
      </w:r>
      <w:r w:rsidR="006B25DA">
        <w:rPr>
          <w:noProof/>
        </w:rPr>
        <w:t xml:space="preserve"> for international protection</w:t>
      </w:r>
      <w:r w:rsidR="006B25DA" w:rsidRPr="00C12801">
        <w:rPr>
          <w:noProof/>
        </w:rPr>
        <w:t xml:space="preserve">. </w:t>
      </w:r>
      <w:r w:rsidR="006B25DA">
        <w:rPr>
          <w:noProof/>
        </w:rPr>
        <w:t>A</w:t>
      </w:r>
      <w:r w:rsidR="006B25DA" w:rsidRPr="00C12801">
        <w:rPr>
          <w:noProof/>
        </w:rPr>
        <w:t>ll applicants will continue to have the right to be assisted and represented by a lawyer</w:t>
      </w:r>
      <w:r w:rsidR="00343E3E">
        <w:rPr>
          <w:noProof/>
        </w:rPr>
        <w:t xml:space="preserve"> at the appeal stage.</w:t>
      </w:r>
      <w:r w:rsidR="005F0618">
        <w:rPr>
          <w:noProof/>
        </w:rPr>
        <w:t xml:space="preserve"> </w:t>
      </w:r>
    </w:p>
    <w:p w14:paraId="6ED4017C" w14:textId="13F6D747" w:rsidR="006B25DA" w:rsidRPr="00C72CB8" w:rsidRDefault="00C72CB8" w:rsidP="006B25DA">
      <w:pPr>
        <w:spacing w:after="120"/>
        <w:rPr>
          <w:noProof/>
        </w:rPr>
      </w:pPr>
      <w:r w:rsidRPr="00C72CB8">
        <w:rPr>
          <w:b/>
          <w:bCs/>
          <w:noProof/>
        </w:rPr>
        <w:t xml:space="preserve">- </w:t>
      </w:r>
      <w:r w:rsidR="006B25DA" w:rsidRPr="00C72CB8">
        <w:rPr>
          <w:b/>
          <w:bCs/>
          <w:noProof/>
        </w:rPr>
        <w:t>Earlier identification of vulnerabilities</w:t>
      </w:r>
      <w:r w:rsidR="006B25DA" w:rsidRPr="00C72CB8">
        <w:rPr>
          <w:noProof/>
        </w:rPr>
        <w:t xml:space="preserve"> and special procedural and reception needs with clearer deadlines for first and individual assessments as well as fast follow-up for victims of torture and violence. </w:t>
      </w:r>
    </w:p>
    <w:p w14:paraId="5649F1F3" w14:textId="35ED4ED6" w:rsidR="006B25DA" w:rsidRPr="00C72CB8" w:rsidRDefault="00C72CB8" w:rsidP="006B25DA">
      <w:pPr>
        <w:spacing w:after="120"/>
        <w:rPr>
          <w:noProof/>
        </w:rPr>
      </w:pPr>
      <w:r w:rsidRPr="00C72CB8">
        <w:rPr>
          <w:b/>
          <w:bCs/>
          <w:noProof/>
        </w:rPr>
        <w:t xml:space="preserve">- </w:t>
      </w:r>
      <w:r w:rsidR="006B25DA" w:rsidRPr="00C72CB8">
        <w:rPr>
          <w:b/>
          <w:bCs/>
          <w:noProof/>
        </w:rPr>
        <w:t>Stronger</w:t>
      </w:r>
      <w:r w:rsidR="006B25DA" w:rsidRPr="00C72CB8">
        <w:rPr>
          <w:b/>
          <w:noProof/>
        </w:rPr>
        <w:t xml:space="preserve"> guarantees to </w:t>
      </w:r>
      <w:r w:rsidR="006B25DA" w:rsidRPr="00C72CB8">
        <w:rPr>
          <w:b/>
          <w:bCs/>
          <w:noProof/>
        </w:rPr>
        <w:t xml:space="preserve">ensure that </w:t>
      </w:r>
      <w:r w:rsidR="006B25DA" w:rsidRPr="00A362BC">
        <w:rPr>
          <w:b/>
          <w:bCs/>
          <w:noProof/>
        </w:rPr>
        <w:t>detention</w:t>
      </w:r>
      <w:r w:rsidR="006B25DA" w:rsidRPr="00E64E68">
        <w:rPr>
          <w:b/>
          <w:bCs/>
          <w:noProof/>
        </w:rPr>
        <w:t xml:space="preserve"> is used as a measure of last resort</w:t>
      </w:r>
      <w:r w:rsidR="006B25DA" w:rsidRPr="00C72CB8">
        <w:rPr>
          <w:noProof/>
        </w:rPr>
        <w:t>, following an individualised assessment</w:t>
      </w:r>
      <w:r w:rsidR="00A362BC">
        <w:rPr>
          <w:noProof/>
        </w:rPr>
        <w:t>,</w:t>
      </w:r>
      <w:r w:rsidR="006B25DA" w:rsidRPr="00C72CB8">
        <w:rPr>
          <w:noProof/>
        </w:rPr>
        <w:t xml:space="preserve"> with safeguards where physical or mental health are at serious risk (where the detention of applicants with special reception needs would put their physical and mental health at serious risk, those applicants cannot be detained).</w:t>
      </w:r>
    </w:p>
    <w:p w14:paraId="6DD3D383" w14:textId="476CD171" w:rsidR="006B25DA" w:rsidRDefault="00C72CB8" w:rsidP="006B25DA">
      <w:pPr>
        <w:spacing w:after="120"/>
        <w:rPr>
          <w:noProof/>
        </w:rPr>
      </w:pPr>
      <w:r w:rsidRPr="00C72CB8">
        <w:rPr>
          <w:b/>
          <w:bCs/>
          <w:noProof/>
        </w:rPr>
        <w:t xml:space="preserve">- </w:t>
      </w:r>
      <w:r w:rsidR="006B25DA" w:rsidRPr="00C72CB8">
        <w:rPr>
          <w:b/>
          <w:bCs/>
          <w:noProof/>
        </w:rPr>
        <w:t>New guarantees for minors</w:t>
      </w:r>
      <w:r w:rsidR="000733B6">
        <w:rPr>
          <w:b/>
          <w:bCs/>
          <w:noProof/>
        </w:rPr>
        <w:t>:</w:t>
      </w:r>
      <w:r w:rsidR="006B25DA" w:rsidRPr="00C72CB8" w:rsidDel="00A362BC">
        <w:rPr>
          <w:noProof/>
        </w:rPr>
        <w:t xml:space="preserve"> </w:t>
      </w:r>
      <w:r w:rsidR="000733B6">
        <w:rPr>
          <w:noProof/>
        </w:rPr>
        <w:t>I</w:t>
      </w:r>
      <w:r w:rsidR="006B25DA" w:rsidRPr="00C72CB8">
        <w:rPr>
          <w:noProof/>
        </w:rPr>
        <w:t xml:space="preserve">n the implementation of the Pact, Member States </w:t>
      </w:r>
      <w:r w:rsidR="009D3111">
        <w:rPr>
          <w:noProof/>
        </w:rPr>
        <w:t xml:space="preserve">always </w:t>
      </w:r>
      <w:r w:rsidR="006B25DA" w:rsidRPr="00C72CB8">
        <w:rPr>
          <w:noProof/>
        </w:rPr>
        <w:t xml:space="preserve">have to ensure the centrality of child protection, in particular, that the best interests of the child </w:t>
      </w:r>
      <w:r w:rsidR="005B774D">
        <w:rPr>
          <w:noProof/>
        </w:rPr>
        <w:t>has to</w:t>
      </w:r>
      <w:r w:rsidR="005F0618">
        <w:rPr>
          <w:noProof/>
        </w:rPr>
        <w:t xml:space="preserve"> </w:t>
      </w:r>
      <w:r w:rsidR="00B07E8C">
        <w:rPr>
          <w:noProof/>
        </w:rPr>
        <w:t>be</w:t>
      </w:r>
      <w:r w:rsidR="005F0618">
        <w:rPr>
          <w:noProof/>
        </w:rPr>
        <w:t xml:space="preserve"> </w:t>
      </w:r>
      <w:r w:rsidR="006B25DA" w:rsidRPr="00C72CB8">
        <w:rPr>
          <w:noProof/>
        </w:rPr>
        <w:t xml:space="preserve">the primary consideration for Member States </w:t>
      </w:r>
      <w:r w:rsidR="006B25DA" w:rsidRPr="00C72CB8">
        <w:rPr>
          <w:rStyle w:val="FootnoteReference"/>
          <w:noProof/>
        </w:rPr>
        <w:footnoteReference w:id="37"/>
      </w:r>
      <w:r w:rsidR="006B25DA" w:rsidRPr="00C72CB8">
        <w:rPr>
          <w:noProof/>
        </w:rPr>
        <w:t>.</w:t>
      </w:r>
    </w:p>
    <w:p w14:paraId="38D1E788" w14:textId="50EA10B5" w:rsidR="00BA1708" w:rsidRPr="00C72CB8" w:rsidRDefault="00E6390E" w:rsidP="006B25DA">
      <w:pPr>
        <w:spacing w:after="120"/>
        <w:rPr>
          <w:noProof/>
        </w:rPr>
      </w:pPr>
      <w:r>
        <w:rPr>
          <w:noProof/>
        </w:rPr>
        <w:t>In addition</w:t>
      </w:r>
      <w:r w:rsidR="00E42099">
        <w:rPr>
          <w:noProof/>
        </w:rPr>
        <w:t>,</w:t>
      </w:r>
      <w:r>
        <w:rPr>
          <w:noProof/>
        </w:rPr>
        <w:t xml:space="preserve"> the Pact </w:t>
      </w:r>
      <w:r w:rsidR="00E42099">
        <w:rPr>
          <w:noProof/>
        </w:rPr>
        <w:t>instruments</w:t>
      </w:r>
      <w:r>
        <w:rPr>
          <w:noProof/>
        </w:rPr>
        <w:t xml:space="preserve"> set up new </w:t>
      </w:r>
      <w:r w:rsidR="00A34183">
        <w:rPr>
          <w:noProof/>
        </w:rPr>
        <w:t>guarantees for minors</w:t>
      </w:r>
      <w:r w:rsidR="00BA1708">
        <w:rPr>
          <w:noProof/>
        </w:rPr>
        <w:t xml:space="preserve"> as set out below</w:t>
      </w:r>
      <w:r w:rsidR="00A34183">
        <w:rPr>
          <w:noProof/>
        </w:rPr>
        <w:t xml:space="preserve">. </w:t>
      </w:r>
    </w:p>
    <w:p w14:paraId="064C302B" w14:textId="335C7030" w:rsidR="00C72CB8" w:rsidRPr="00C72CB8" w:rsidRDefault="000E4A89" w:rsidP="006B25DA">
      <w:pPr>
        <w:spacing w:after="120"/>
        <w:rPr>
          <w:noProof/>
        </w:rPr>
      </w:pPr>
      <w:r>
        <w:rPr>
          <w:noProof/>
        </w:rPr>
        <w:t>A</w:t>
      </w:r>
      <w:r w:rsidR="00F82A1D" w:rsidRPr="00C72CB8">
        <w:rPr>
          <w:noProof/>
        </w:rPr>
        <w:t xml:space="preserve"> representative </w:t>
      </w:r>
      <w:r w:rsidR="00F82A1D">
        <w:rPr>
          <w:noProof/>
        </w:rPr>
        <w:t xml:space="preserve">should be appointed swiftly for </w:t>
      </w:r>
      <w:r>
        <w:rPr>
          <w:noProof/>
        </w:rPr>
        <w:t>a</w:t>
      </w:r>
      <w:r w:rsidR="006B25DA" w:rsidRPr="00C72CB8">
        <w:rPr>
          <w:noProof/>
        </w:rPr>
        <w:t>ll unaccompanied minors</w:t>
      </w:r>
      <w:r w:rsidR="005F0618">
        <w:rPr>
          <w:noProof/>
        </w:rPr>
        <w:t xml:space="preserve"> </w:t>
      </w:r>
      <w:r w:rsidR="006B25DA" w:rsidRPr="00C72CB8">
        <w:rPr>
          <w:noProof/>
        </w:rPr>
        <w:t xml:space="preserve">– with reinforced training standards </w:t>
      </w:r>
      <w:r w:rsidR="00E97E0D" w:rsidRPr="00C72CB8">
        <w:rPr>
          <w:noProof/>
        </w:rPr>
        <w:t>–</w:t>
      </w:r>
      <w:r w:rsidR="006B25DA" w:rsidRPr="00C72CB8">
        <w:rPr>
          <w:noProof/>
        </w:rPr>
        <w:t xml:space="preserve"> to ensure</w:t>
      </w:r>
      <w:r w:rsidR="006B25DA">
        <w:rPr>
          <w:noProof/>
        </w:rPr>
        <w:t xml:space="preserve"> the full respect of the </w:t>
      </w:r>
      <w:r w:rsidR="006B25DA" w:rsidRPr="00C12801">
        <w:rPr>
          <w:noProof/>
        </w:rPr>
        <w:t xml:space="preserve">child’s interests, including their well-being (a temporary representative immediately, </w:t>
      </w:r>
      <w:r w:rsidR="000B432F">
        <w:rPr>
          <w:noProof/>
        </w:rPr>
        <w:t>including</w:t>
      </w:r>
      <w:r w:rsidR="002B5021">
        <w:rPr>
          <w:noProof/>
        </w:rPr>
        <w:t xml:space="preserve"> for the </w:t>
      </w:r>
      <w:r w:rsidR="000B432F">
        <w:rPr>
          <w:noProof/>
        </w:rPr>
        <w:t>taking of the fingerprints</w:t>
      </w:r>
      <w:r w:rsidR="00C664DE">
        <w:rPr>
          <w:rStyle w:val="FootnoteReference"/>
          <w:noProof/>
        </w:rPr>
        <w:footnoteReference w:id="38"/>
      </w:r>
      <w:r w:rsidR="000B432F">
        <w:rPr>
          <w:noProof/>
        </w:rPr>
        <w:t xml:space="preserve">, </w:t>
      </w:r>
      <w:r w:rsidR="006B25DA" w:rsidRPr="00C12801">
        <w:rPr>
          <w:noProof/>
        </w:rPr>
        <w:t xml:space="preserve">and a permanent one within 15 days from the making </w:t>
      </w:r>
      <w:r w:rsidR="006B25DA">
        <w:rPr>
          <w:noProof/>
        </w:rPr>
        <w:t xml:space="preserve">of the application </w:t>
      </w:r>
      <w:r w:rsidR="006B25DA" w:rsidRPr="00C12801">
        <w:rPr>
          <w:noProof/>
        </w:rPr>
        <w:t xml:space="preserve">with a ratio of 1 representative for 30 </w:t>
      </w:r>
      <w:r w:rsidR="006B25DA">
        <w:rPr>
          <w:noProof/>
        </w:rPr>
        <w:t>unaccompanied minors)</w:t>
      </w:r>
      <w:r w:rsidR="006B25DA" w:rsidRPr="00C12801">
        <w:rPr>
          <w:noProof/>
        </w:rPr>
        <w:t xml:space="preserve">. </w:t>
      </w:r>
      <w:r w:rsidR="006B25DA">
        <w:rPr>
          <w:noProof/>
        </w:rPr>
        <w:t xml:space="preserve">If the unaccompanied minor becomes a beneficiary of international protection, </w:t>
      </w:r>
      <w:r w:rsidR="00BA267F">
        <w:rPr>
          <w:noProof/>
        </w:rPr>
        <w:t xml:space="preserve">further </w:t>
      </w:r>
      <w:r w:rsidR="006B25DA">
        <w:rPr>
          <w:noProof/>
        </w:rPr>
        <w:t xml:space="preserve">safeguards as regards guardians </w:t>
      </w:r>
      <w:r w:rsidR="006E2867">
        <w:rPr>
          <w:noProof/>
        </w:rPr>
        <w:t xml:space="preserve">apply </w:t>
      </w:r>
      <w:r w:rsidR="006B25DA">
        <w:rPr>
          <w:noProof/>
        </w:rPr>
        <w:t xml:space="preserve">(requirements for guardians, each guardian shall represent a proportionate and limited </w:t>
      </w:r>
      <w:r w:rsidR="006B25DA" w:rsidRPr="00C72CB8">
        <w:rPr>
          <w:noProof/>
        </w:rPr>
        <w:t xml:space="preserve">number of unaccompanied minors, possibility to lodge complaints against the guardian, supervision and monitoring of guardians). </w:t>
      </w:r>
    </w:p>
    <w:p w14:paraId="7266396E" w14:textId="0A31C7E7" w:rsidR="006B25DA" w:rsidRDefault="006B25DA" w:rsidP="006B25DA">
      <w:pPr>
        <w:spacing w:after="120"/>
        <w:rPr>
          <w:noProof/>
        </w:rPr>
      </w:pPr>
      <w:r w:rsidRPr="00C72CB8">
        <w:rPr>
          <w:noProof/>
        </w:rPr>
        <w:t>The Pact also includes reinforced guarantees for unaccompanied minors in relation to the border procedure. They are automatically excluded unless they</w:t>
      </w:r>
      <w:r w:rsidR="006E2867">
        <w:rPr>
          <w:noProof/>
        </w:rPr>
        <w:t>,</w:t>
      </w:r>
      <w:r w:rsidRPr="00C72CB8">
        <w:rPr>
          <w:noProof/>
        </w:rPr>
        <w:t xml:space="preserve"> </w:t>
      </w:r>
      <w:r w:rsidR="00251B36">
        <w:rPr>
          <w:noProof/>
        </w:rPr>
        <w:t>on serious grounds, pose</w:t>
      </w:r>
      <w:r w:rsidRPr="00C72CB8">
        <w:rPr>
          <w:noProof/>
        </w:rPr>
        <w:t xml:space="preserve"> a threat to national security or public order. But in that case, all the procedural and reception rights for unaccompanied minors must apply, including the automatic suspensive effect of the appeal in the case of a rejected asylum application.</w:t>
      </w:r>
    </w:p>
    <w:p w14:paraId="0CF74274" w14:textId="77777777" w:rsidR="00BA267F" w:rsidRDefault="006B25DA" w:rsidP="006B25DA">
      <w:pPr>
        <w:spacing w:after="120"/>
        <w:rPr>
          <w:noProof/>
        </w:rPr>
      </w:pPr>
      <w:r w:rsidRPr="00C72CB8">
        <w:rPr>
          <w:noProof/>
        </w:rPr>
        <w:t xml:space="preserve">For all minors: new provisions to prevent children from going missing (fingerprinting as of the age of 6) and stronger guarantees to ensure alternatives to detention (as children should not be detained as a rule), to take the view of the children into account and to provide child-friendly information. </w:t>
      </w:r>
    </w:p>
    <w:p w14:paraId="4801718E" w14:textId="13C523B3" w:rsidR="00C72CB8" w:rsidRPr="00C72CB8" w:rsidRDefault="006B25DA" w:rsidP="006B25DA">
      <w:pPr>
        <w:spacing w:after="120"/>
        <w:rPr>
          <w:noProof/>
        </w:rPr>
      </w:pPr>
      <w:r w:rsidRPr="00C72CB8">
        <w:rPr>
          <w:noProof/>
        </w:rPr>
        <w:t xml:space="preserve">An obligation for a multidisciplinary approach to age assessment is introduced to minimise the use of intrusive medical examinations which are only to be used if the first multidisciplinary assessment is inconclusive. Access to education has to be ensured as soon as possible for all children and within two months from lodging an asylum application at the latest, while access to healthcare has to match that of minors who are nationals. </w:t>
      </w:r>
    </w:p>
    <w:p w14:paraId="56B62014" w14:textId="6BE13EC2" w:rsidR="006B25DA" w:rsidRPr="00C72CB8" w:rsidRDefault="006B25DA" w:rsidP="006B25DA">
      <w:pPr>
        <w:spacing w:after="120"/>
        <w:rPr>
          <w:noProof/>
        </w:rPr>
      </w:pPr>
      <w:r w:rsidRPr="00C72CB8">
        <w:rPr>
          <w:noProof/>
        </w:rPr>
        <w:t xml:space="preserve">Furthermore, where families with children are subject to the border procedure, the examination of applications of minors and their family members must be given priority and reception facilities for minors and their family members have to be suited to their needs, in full respect of </w:t>
      </w:r>
      <w:r w:rsidR="00BA267F">
        <w:rPr>
          <w:noProof/>
        </w:rPr>
        <w:t xml:space="preserve">the </w:t>
      </w:r>
      <w:r w:rsidRPr="00C72CB8">
        <w:rPr>
          <w:noProof/>
        </w:rPr>
        <w:t>recast Reception Conditions Directive.</w:t>
      </w:r>
    </w:p>
    <w:p w14:paraId="23F9877E" w14:textId="0365C28B" w:rsidR="006B25DA" w:rsidRPr="00C72CB8" w:rsidRDefault="00C72CB8" w:rsidP="006B25DA">
      <w:pPr>
        <w:spacing w:after="120"/>
        <w:rPr>
          <w:noProof/>
        </w:rPr>
      </w:pPr>
      <w:r w:rsidRPr="00C72CB8">
        <w:rPr>
          <w:b/>
          <w:bCs/>
          <w:noProof/>
        </w:rPr>
        <w:t xml:space="preserve">- </w:t>
      </w:r>
      <w:r w:rsidR="006B25DA" w:rsidRPr="00C72CB8">
        <w:rPr>
          <w:b/>
          <w:bCs/>
          <w:noProof/>
        </w:rPr>
        <w:t>Right to remain and right to effective remedy</w:t>
      </w:r>
      <w:r w:rsidR="006B25DA" w:rsidRPr="00C72CB8">
        <w:rPr>
          <w:noProof/>
        </w:rPr>
        <w:t xml:space="preserve">: </w:t>
      </w:r>
      <w:r w:rsidR="00BA267F">
        <w:rPr>
          <w:noProof/>
        </w:rPr>
        <w:t>A</w:t>
      </w:r>
      <w:r w:rsidR="006B25DA" w:rsidRPr="00C72CB8">
        <w:rPr>
          <w:noProof/>
        </w:rPr>
        <w:t xml:space="preserve"> person has the right to remain in the Member States where the application is being processed during the administrative stage of the procedure. The exceptions from this right are clearly framed. In case of a negative decision, a person has </w:t>
      </w:r>
      <w:r w:rsidR="006B25DA" w:rsidRPr="005E1511">
        <w:rPr>
          <w:noProof/>
        </w:rPr>
        <w:t xml:space="preserve">the right to an effective remedy (appeal) that would provide for a full and </w:t>
      </w:r>
      <w:r w:rsidR="006B25DA" w:rsidRPr="005E1511">
        <w:rPr>
          <w:i/>
          <w:noProof/>
        </w:rPr>
        <w:t>ex nunc</w:t>
      </w:r>
      <w:r w:rsidR="006B25DA" w:rsidRPr="005E1511">
        <w:rPr>
          <w:noProof/>
        </w:rPr>
        <w:t xml:space="preserve"> examination of both facts and points of law at least before a court or tribunal of first instance. </w:t>
      </w:r>
      <w:r w:rsidR="00A71F0C" w:rsidRPr="005E1511">
        <w:rPr>
          <w:noProof/>
        </w:rPr>
        <w:t xml:space="preserve">The appeal may entail an automatic suspensive </w:t>
      </w:r>
      <w:r w:rsidR="009E2BA6" w:rsidRPr="005E1511">
        <w:rPr>
          <w:noProof/>
        </w:rPr>
        <w:t>e</w:t>
      </w:r>
      <w:r w:rsidR="00A71F0C" w:rsidRPr="005E1511">
        <w:rPr>
          <w:noProof/>
        </w:rPr>
        <w:t xml:space="preserve">ffect, meaning that the person has the right to remain for the duration of the appeal, with clearly </w:t>
      </w:r>
      <w:r w:rsidR="009E2BA6" w:rsidRPr="005E1511">
        <w:rPr>
          <w:noProof/>
        </w:rPr>
        <w:t>defined</w:t>
      </w:r>
      <w:r w:rsidR="00A71F0C" w:rsidRPr="005E1511">
        <w:rPr>
          <w:noProof/>
        </w:rPr>
        <w:t xml:space="preserve"> exceptions. </w:t>
      </w:r>
      <w:r w:rsidR="009E172F" w:rsidRPr="005E1511">
        <w:rPr>
          <w:noProof/>
        </w:rPr>
        <w:t>One of such exception</w:t>
      </w:r>
      <w:r w:rsidR="009E2BA6" w:rsidRPr="005E1511">
        <w:rPr>
          <w:noProof/>
        </w:rPr>
        <w:t>s</w:t>
      </w:r>
      <w:r w:rsidR="009E172F" w:rsidRPr="005E1511">
        <w:rPr>
          <w:noProof/>
        </w:rPr>
        <w:t xml:space="preserve"> is the border procedure, where as a rule, </w:t>
      </w:r>
      <w:r w:rsidR="006E5E6A" w:rsidRPr="005E1511">
        <w:rPr>
          <w:noProof/>
        </w:rPr>
        <w:t xml:space="preserve">appeals do not have automatic suspensive </w:t>
      </w:r>
      <w:r w:rsidR="000733B6" w:rsidRPr="005E1511">
        <w:rPr>
          <w:noProof/>
        </w:rPr>
        <w:t>effect,</w:t>
      </w:r>
      <w:r w:rsidR="006E5E6A" w:rsidRPr="005E1511">
        <w:rPr>
          <w:noProof/>
        </w:rPr>
        <w:t xml:space="preserve"> but</w:t>
      </w:r>
      <w:r w:rsidR="00A71F0C" w:rsidRPr="005E1511">
        <w:rPr>
          <w:noProof/>
        </w:rPr>
        <w:t xml:space="preserve"> the person has the right to request </w:t>
      </w:r>
      <w:r w:rsidR="009E2BA6" w:rsidRPr="005E1511">
        <w:rPr>
          <w:noProof/>
        </w:rPr>
        <w:t xml:space="preserve">a court or tribunal </w:t>
      </w:r>
      <w:r w:rsidR="00A71F0C" w:rsidRPr="005E1511">
        <w:rPr>
          <w:noProof/>
        </w:rPr>
        <w:t>the right to remain for the duration of the appeal</w:t>
      </w:r>
      <w:r w:rsidR="006B25DA" w:rsidRPr="005E1511">
        <w:rPr>
          <w:noProof/>
        </w:rPr>
        <w:t>.</w:t>
      </w:r>
    </w:p>
    <w:p w14:paraId="36CFB9A7" w14:textId="2DCCCCCD" w:rsidR="006B25DA" w:rsidRDefault="00C72CB8" w:rsidP="006B25DA">
      <w:pPr>
        <w:spacing w:after="120"/>
        <w:rPr>
          <w:noProof/>
        </w:rPr>
      </w:pPr>
      <w:r w:rsidRPr="00C72CB8">
        <w:rPr>
          <w:b/>
          <w:bCs/>
          <w:noProof/>
        </w:rPr>
        <w:t xml:space="preserve">- </w:t>
      </w:r>
      <w:r w:rsidR="006B25DA" w:rsidRPr="00C72CB8">
        <w:rPr>
          <w:b/>
          <w:bCs/>
          <w:noProof/>
        </w:rPr>
        <w:t>Independent mechanism for the monitoring of fundamental rights</w:t>
      </w:r>
      <w:r w:rsidR="006B25DA" w:rsidRPr="00C72CB8">
        <w:rPr>
          <w:noProof/>
        </w:rPr>
        <w:t xml:space="preserve"> during the screening phase and the asylum border procedure. In addition, Member States have to provide for an effective mechanism to investigate allegations of failure to respect fundamental rights to enable victims to access civil or criminal justice. </w:t>
      </w:r>
    </w:p>
    <w:p w14:paraId="5A11FD14" w14:textId="44A1A002" w:rsidR="006B25DA" w:rsidRDefault="006B25DA" w:rsidP="006B25DA">
      <w:pPr>
        <w:spacing w:after="120"/>
        <w:rPr>
          <w:noProof/>
        </w:rPr>
      </w:pPr>
      <w:r>
        <w:rPr>
          <w:noProof/>
        </w:rPr>
        <w:t xml:space="preserve">The national independent monitoring mechanism will have to monitor compliance with Union and international law, as regards access to the asylum procedure, the principle of </w:t>
      </w:r>
      <w:r w:rsidRPr="00E64E68">
        <w:rPr>
          <w:i/>
          <w:iCs/>
          <w:noProof/>
        </w:rPr>
        <w:t>non-refoulement</w:t>
      </w:r>
      <w:r>
        <w:rPr>
          <w:noProof/>
        </w:rPr>
        <w:t>, the best interests of the child and the relevant rules on detention, during screening and the asylum border procedure. It must ensure that substantiated allegations of failure to respect fundamental rights are dealt with effectively and,</w:t>
      </w:r>
      <w:r w:rsidR="005F0618">
        <w:rPr>
          <w:noProof/>
        </w:rPr>
        <w:t xml:space="preserve"> </w:t>
      </w:r>
      <w:r w:rsidR="00BA267F">
        <w:rPr>
          <w:noProof/>
        </w:rPr>
        <w:t xml:space="preserve">that </w:t>
      </w:r>
      <w:r>
        <w:rPr>
          <w:noProof/>
        </w:rPr>
        <w:t>investigations into such allegations</w:t>
      </w:r>
      <w:r w:rsidR="00BA267F">
        <w:rPr>
          <w:noProof/>
        </w:rPr>
        <w:t xml:space="preserve"> are carried out as necessary.</w:t>
      </w:r>
    </w:p>
    <w:p w14:paraId="7F26D80E" w14:textId="7748418E" w:rsidR="006B25DA" w:rsidRPr="005E1511" w:rsidRDefault="006B25DA" w:rsidP="006B25DA">
      <w:pPr>
        <w:spacing w:after="120"/>
        <w:rPr>
          <w:noProof/>
        </w:rPr>
      </w:pPr>
      <w:r>
        <w:rPr>
          <w:noProof/>
        </w:rPr>
        <w:t xml:space="preserve">The independent monitoring mechanism must carry out its tasks based on on-the-spot checks and random and unannounced checks, and enjoy access to all relevant locations, including reception and detention facilities. </w:t>
      </w:r>
      <w:r w:rsidR="00415DA8">
        <w:rPr>
          <w:noProof/>
        </w:rPr>
        <w:t>The monitoring mechanism</w:t>
      </w:r>
      <w:r w:rsidR="005F0618">
        <w:rPr>
          <w:noProof/>
        </w:rPr>
        <w:t xml:space="preserve"> </w:t>
      </w:r>
      <w:r w:rsidR="00415DA8">
        <w:rPr>
          <w:noProof/>
        </w:rPr>
        <w:t xml:space="preserve">may involve </w:t>
      </w:r>
      <w:r>
        <w:rPr>
          <w:noProof/>
        </w:rPr>
        <w:t xml:space="preserve">relevant international and non-governmental </w:t>
      </w:r>
      <w:r w:rsidR="0005471C">
        <w:rPr>
          <w:noProof/>
        </w:rPr>
        <w:t xml:space="preserve">organisations </w:t>
      </w:r>
      <w:r w:rsidR="00415DA8">
        <w:rPr>
          <w:noProof/>
        </w:rPr>
        <w:t>or, in case such organisations are not involved, the independent monitoring mechanism has to establish and maintain close links with them</w:t>
      </w:r>
      <w:r w:rsidR="00415DA8" w:rsidRPr="005E1511">
        <w:rPr>
          <w:noProof/>
        </w:rPr>
        <w:t xml:space="preserve">. The monitoring </w:t>
      </w:r>
      <w:r w:rsidR="00CA3F6A" w:rsidRPr="005E1511">
        <w:rPr>
          <w:noProof/>
        </w:rPr>
        <w:t>bodies</w:t>
      </w:r>
      <w:r w:rsidR="00415DA8" w:rsidRPr="005E1511">
        <w:rPr>
          <w:noProof/>
        </w:rPr>
        <w:t xml:space="preserve"> </w:t>
      </w:r>
      <w:r w:rsidR="0014614D" w:rsidRPr="005E1511">
        <w:rPr>
          <w:noProof/>
        </w:rPr>
        <w:t>have</w:t>
      </w:r>
      <w:r w:rsidR="00415DA8" w:rsidRPr="005E1511">
        <w:rPr>
          <w:noProof/>
        </w:rPr>
        <w:t xml:space="preserve"> </w:t>
      </w:r>
      <w:r w:rsidRPr="005E1511">
        <w:rPr>
          <w:noProof/>
        </w:rPr>
        <w:t>the power to issue annual recommendations to Member States</w:t>
      </w:r>
      <w:r w:rsidR="005F0618">
        <w:rPr>
          <w:noProof/>
        </w:rPr>
        <w:t xml:space="preserve"> </w:t>
      </w:r>
      <w:r w:rsidR="00415DA8" w:rsidRPr="005E1511">
        <w:rPr>
          <w:noProof/>
        </w:rPr>
        <w:t xml:space="preserve">and their </w:t>
      </w:r>
      <w:r w:rsidRPr="005E1511">
        <w:rPr>
          <w:noProof/>
        </w:rPr>
        <w:t>findings may</w:t>
      </w:r>
      <w:r w:rsidR="0014614D" w:rsidRPr="005E1511">
        <w:rPr>
          <w:noProof/>
        </w:rPr>
        <w:t xml:space="preserve"> </w:t>
      </w:r>
      <w:r w:rsidRPr="005E1511">
        <w:rPr>
          <w:noProof/>
        </w:rPr>
        <w:t xml:space="preserve">be relevant </w:t>
      </w:r>
      <w:r w:rsidR="0014614D" w:rsidRPr="005E1511">
        <w:rPr>
          <w:noProof/>
        </w:rPr>
        <w:t>for national and EU level procedures</w:t>
      </w:r>
      <w:r w:rsidR="00091A24" w:rsidRPr="005E1511">
        <w:rPr>
          <w:rStyle w:val="FootnoteReference"/>
          <w:noProof/>
        </w:rPr>
        <w:footnoteReference w:id="39"/>
      </w:r>
      <w:r w:rsidR="003A3FA3">
        <w:rPr>
          <w:noProof/>
        </w:rPr>
        <w:t>.</w:t>
      </w:r>
      <w:r w:rsidR="0014614D" w:rsidRPr="005E1511">
        <w:rPr>
          <w:noProof/>
        </w:rPr>
        <w:t xml:space="preserve"> </w:t>
      </w:r>
    </w:p>
    <w:p w14:paraId="103B9197" w14:textId="77777777" w:rsidR="006B25DA" w:rsidRPr="00C12801" w:rsidRDefault="006B25DA" w:rsidP="006B25DA">
      <w:pPr>
        <w:spacing w:after="120"/>
        <w:rPr>
          <w:noProof/>
        </w:rPr>
      </w:pPr>
      <w:r w:rsidRPr="005E1511">
        <w:rPr>
          <w:noProof/>
        </w:rPr>
        <w:t>In this context, the following actions should be taken to ensure the effective implementation of this building block</w:t>
      </w:r>
      <w:r w:rsidRPr="00C12801">
        <w:rPr>
          <w:noProof/>
        </w:rPr>
        <w:t>:</w:t>
      </w:r>
    </w:p>
    <w:p w14:paraId="584D151C" w14:textId="77777777" w:rsidR="006B25DA" w:rsidRPr="00C12801" w:rsidRDefault="006B25DA" w:rsidP="006B25DA">
      <w:pPr>
        <w:spacing w:after="120"/>
        <w:rPr>
          <w:b/>
          <w:bCs/>
          <w:noProof/>
        </w:rPr>
      </w:pPr>
      <w:r w:rsidRPr="00C12801">
        <w:rPr>
          <w:b/>
          <w:bCs/>
          <w:noProof/>
        </w:rPr>
        <w:t>Member States</w:t>
      </w:r>
    </w:p>
    <w:p w14:paraId="202FC969" w14:textId="77777777" w:rsidR="006B25DA" w:rsidRPr="00C12801" w:rsidRDefault="006B25DA" w:rsidP="006B25DA">
      <w:pPr>
        <w:spacing w:after="120"/>
        <w:rPr>
          <w:i/>
          <w:iCs/>
          <w:noProof/>
        </w:rPr>
      </w:pPr>
      <w:r w:rsidRPr="00C12801">
        <w:rPr>
          <w:i/>
          <w:iCs/>
          <w:noProof/>
        </w:rPr>
        <w:t>Legislation</w:t>
      </w:r>
    </w:p>
    <w:p w14:paraId="756604DC" w14:textId="5A95EA9D" w:rsidR="00391E30" w:rsidRDefault="006B25DA">
      <w:pPr>
        <w:pStyle w:val="ListParagraph"/>
        <w:numPr>
          <w:ilvl w:val="0"/>
          <w:numId w:val="28"/>
        </w:numPr>
        <w:spacing w:after="120"/>
        <w:ind w:left="709" w:hanging="425"/>
        <w:contextualSpacing w:val="0"/>
        <w:rPr>
          <w:noProof/>
        </w:rPr>
      </w:pPr>
      <w:r>
        <w:rPr>
          <w:noProof/>
        </w:rPr>
        <w:t xml:space="preserve">Member States should </w:t>
      </w:r>
      <w:r w:rsidRPr="00E64E68">
        <w:rPr>
          <w:b/>
          <w:bCs/>
          <w:noProof/>
        </w:rPr>
        <w:t>review their national regulatory frameworks</w:t>
      </w:r>
      <w:r>
        <w:rPr>
          <w:noProof/>
        </w:rPr>
        <w:t xml:space="preserve"> and adjust them as needed to ensure the effective application of the new rights and guarantees. Member States’ review of their national regulatory frameworks will have to consider adjustments to ensure the effective application of the new right to free legal counselling for applicants across all </w:t>
      </w:r>
      <w:r w:rsidRPr="00C72CB8">
        <w:rPr>
          <w:noProof/>
        </w:rPr>
        <w:t>procedures (with</w:t>
      </w:r>
      <w:r w:rsidR="00D9383B">
        <w:rPr>
          <w:noProof/>
        </w:rPr>
        <w:t>in</w:t>
      </w:r>
      <w:r w:rsidRPr="00C72CB8">
        <w:rPr>
          <w:noProof/>
        </w:rPr>
        <w:t xml:space="preserve"> the scope and conditions in the Asylum Migration Management Regulation and the Asylum Procedure Regulation), including the border procedure and the procedure to determine the Member State responsible for </w:t>
      </w:r>
      <w:r w:rsidR="00D9383B">
        <w:rPr>
          <w:noProof/>
        </w:rPr>
        <w:t xml:space="preserve">examining </w:t>
      </w:r>
      <w:r w:rsidRPr="00C72CB8">
        <w:rPr>
          <w:noProof/>
        </w:rPr>
        <w:t xml:space="preserve">an asylum application. If the Member State is already providing free legal assistance and representation also during the administrative phase for all procedures, adjustments to their systems are not necessary. </w:t>
      </w:r>
    </w:p>
    <w:p w14:paraId="644E8CBF" w14:textId="03497F16" w:rsidR="006B25DA" w:rsidRDefault="006B25DA" w:rsidP="00391E30">
      <w:pPr>
        <w:pStyle w:val="ListParagraph"/>
        <w:spacing w:after="120"/>
        <w:ind w:left="709"/>
        <w:contextualSpacing w:val="0"/>
        <w:rPr>
          <w:noProof/>
        </w:rPr>
      </w:pPr>
      <w:r w:rsidRPr="00C72CB8">
        <w:rPr>
          <w:noProof/>
        </w:rPr>
        <w:t xml:space="preserve">Member States will have to ensure that the national legal framework foresees </w:t>
      </w:r>
      <w:r w:rsidRPr="00E64E68">
        <w:rPr>
          <w:b/>
          <w:bCs/>
          <w:noProof/>
        </w:rPr>
        <w:t>alternatives for detention</w:t>
      </w:r>
      <w:r w:rsidRPr="00C72CB8">
        <w:rPr>
          <w:noProof/>
        </w:rPr>
        <w:t xml:space="preserve">, </w:t>
      </w:r>
      <w:r w:rsidRPr="00E64E68">
        <w:rPr>
          <w:b/>
          <w:bCs/>
          <w:noProof/>
        </w:rPr>
        <w:t>relevant child-protection safeguards</w:t>
      </w:r>
      <w:r w:rsidRPr="00C72CB8">
        <w:rPr>
          <w:noProof/>
        </w:rPr>
        <w:t xml:space="preserve">, including provisions to ensure the </w:t>
      </w:r>
      <w:r w:rsidRPr="00E64E68">
        <w:rPr>
          <w:b/>
          <w:bCs/>
          <w:noProof/>
        </w:rPr>
        <w:t>effective application of the new multi-disciplinary age assessmen</w:t>
      </w:r>
      <w:r w:rsidRPr="00C72CB8">
        <w:rPr>
          <w:noProof/>
        </w:rPr>
        <w:t xml:space="preserve">t, as well as the enhanced guarantees on </w:t>
      </w:r>
      <w:r w:rsidRPr="00E64E68">
        <w:rPr>
          <w:b/>
          <w:bCs/>
          <w:noProof/>
        </w:rPr>
        <w:t>representation and guardianship for unaccompanied minors</w:t>
      </w:r>
      <w:r w:rsidRPr="00C72CB8">
        <w:rPr>
          <w:noProof/>
        </w:rPr>
        <w:t xml:space="preserve">. </w:t>
      </w:r>
    </w:p>
    <w:p w14:paraId="347A5FCB" w14:textId="77777777" w:rsidR="006B25DA" w:rsidRPr="003A3CA2" w:rsidRDefault="006B25DA" w:rsidP="002740E8">
      <w:pPr>
        <w:pStyle w:val="ListParagraph"/>
        <w:numPr>
          <w:ilvl w:val="0"/>
          <w:numId w:val="28"/>
        </w:numPr>
        <w:spacing w:after="120"/>
        <w:ind w:left="709" w:hanging="425"/>
        <w:contextualSpacing w:val="0"/>
        <w:rPr>
          <w:noProof/>
        </w:rPr>
      </w:pPr>
      <w:r>
        <w:rPr>
          <w:noProof/>
        </w:rPr>
        <w:t xml:space="preserve">Member States will have to provide the </w:t>
      </w:r>
      <w:r w:rsidRPr="00E64E68">
        <w:rPr>
          <w:b/>
          <w:bCs/>
          <w:noProof/>
        </w:rPr>
        <w:t>legal framework for an independent monitoring mechanism for fundamental rights for the screening and border procedure</w:t>
      </w:r>
      <w:r>
        <w:rPr>
          <w:noProof/>
        </w:rPr>
        <w:t xml:space="preserve"> complying with the requirements laid down in the Screening Regulation and the Asylum Procedure Regulation. Where Member States already have a fundamental rights monitoring mechanism </w:t>
      </w:r>
      <w:r w:rsidRPr="00C72CB8">
        <w:rPr>
          <w:noProof/>
        </w:rPr>
        <w:t>in place, the legal framework has to ensure its independence and the scope, tasks and powers laid down Screening Regulation and the Asylum Procedure Regulation. Furthermore, Member States have to adopt relevant provisions under national law</w:t>
      </w:r>
      <w:r w:rsidRPr="008C708B">
        <w:rPr>
          <w:noProof/>
        </w:rPr>
        <w:t xml:space="preserve"> to investigate allegations of failure to respect fundamental rights in relation to the screening</w:t>
      </w:r>
      <w:r>
        <w:rPr>
          <w:noProof/>
        </w:rPr>
        <w:t xml:space="preserve"> and ensure</w:t>
      </w:r>
      <w:r w:rsidRPr="008C708B">
        <w:rPr>
          <w:noProof/>
        </w:rPr>
        <w:t>, where appropriate, referral for the initiation of civil or criminal justice proceedings in cases of failure to respect or to enforce fundamental rights</w:t>
      </w:r>
      <w:r>
        <w:rPr>
          <w:noProof/>
        </w:rPr>
        <w:t>.</w:t>
      </w:r>
    </w:p>
    <w:p w14:paraId="55B9B182" w14:textId="77777777" w:rsidR="006B25DA" w:rsidRPr="00C12801" w:rsidRDefault="006B25DA" w:rsidP="006B25DA">
      <w:pPr>
        <w:spacing w:after="120"/>
        <w:rPr>
          <w:i/>
          <w:iCs/>
          <w:noProof/>
        </w:rPr>
      </w:pPr>
      <w:r>
        <w:rPr>
          <w:i/>
          <w:iCs/>
          <w:noProof/>
        </w:rPr>
        <w:t>Organisation</w:t>
      </w:r>
      <w:r w:rsidRPr="00C12801">
        <w:rPr>
          <w:i/>
          <w:iCs/>
          <w:noProof/>
        </w:rPr>
        <w:t xml:space="preserve"> and administrative processes</w:t>
      </w:r>
    </w:p>
    <w:p w14:paraId="4FDB9BFF" w14:textId="31835F1E"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w:t>
      </w:r>
      <w:r w:rsidRPr="00E64E68">
        <w:rPr>
          <w:b/>
          <w:bCs/>
          <w:noProof/>
        </w:rPr>
        <w:t xml:space="preserve">develop </w:t>
      </w:r>
      <w:r w:rsidRPr="00DA3127">
        <w:rPr>
          <w:b/>
          <w:bCs/>
          <w:noProof/>
        </w:rPr>
        <w:t>information</w:t>
      </w:r>
      <w:r w:rsidRPr="00E64E68">
        <w:rPr>
          <w:b/>
          <w:bCs/>
          <w:noProof/>
        </w:rPr>
        <w:t xml:space="preserve"> material</w:t>
      </w:r>
      <w:r>
        <w:rPr>
          <w:noProof/>
        </w:rPr>
        <w:t xml:space="preserve"> and ensure that applicants </w:t>
      </w:r>
      <w:r w:rsidR="00DA3127">
        <w:rPr>
          <w:noProof/>
        </w:rPr>
        <w:t xml:space="preserve">can </w:t>
      </w:r>
      <w:r>
        <w:rPr>
          <w:noProof/>
        </w:rPr>
        <w:t xml:space="preserve">understand their rights and obligations in a timely manner across </w:t>
      </w:r>
      <w:r w:rsidR="00DA3127">
        <w:rPr>
          <w:noProof/>
        </w:rPr>
        <w:t xml:space="preserve">the </w:t>
      </w:r>
      <w:r>
        <w:rPr>
          <w:noProof/>
        </w:rPr>
        <w:t xml:space="preserve">procedures </w:t>
      </w:r>
      <w:r w:rsidRPr="00C72CB8">
        <w:rPr>
          <w:noProof/>
        </w:rPr>
        <w:t>and during reception. In this context, Member State</w:t>
      </w:r>
      <w:r w:rsidR="00DA3127">
        <w:rPr>
          <w:noProof/>
        </w:rPr>
        <w:t>s</w:t>
      </w:r>
      <w:r w:rsidRPr="00C72CB8">
        <w:rPr>
          <w:noProof/>
        </w:rPr>
        <w:t xml:space="preserve"> should review or if needed develop workflows and procedures for the correct provision of information. </w:t>
      </w:r>
      <w:r w:rsidR="00DA3127">
        <w:rPr>
          <w:noProof/>
        </w:rPr>
        <w:t>The</w:t>
      </w:r>
      <w:r w:rsidR="00DA3127" w:rsidRPr="00C72CB8">
        <w:rPr>
          <w:noProof/>
        </w:rPr>
        <w:t xml:space="preserve"> </w:t>
      </w:r>
      <w:r w:rsidRPr="00C72CB8">
        <w:rPr>
          <w:noProof/>
        </w:rPr>
        <w:t xml:space="preserve">information provision </w:t>
      </w:r>
      <w:r w:rsidR="00DA3127">
        <w:rPr>
          <w:noProof/>
        </w:rPr>
        <w:t>needs</w:t>
      </w:r>
      <w:r w:rsidR="00DA3127" w:rsidRPr="00C72CB8">
        <w:rPr>
          <w:noProof/>
        </w:rPr>
        <w:t xml:space="preserve"> </w:t>
      </w:r>
      <w:r w:rsidRPr="00C72CB8">
        <w:rPr>
          <w:noProof/>
        </w:rPr>
        <w:t>to be adapted to the specificities of the applicant’s profile, such as vulnerabilities</w:t>
      </w:r>
      <w:r w:rsidR="00DA3127">
        <w:rPr>
          <w:noProof/>
        </w:rPr>
        <w:t>, as well as</w:t>
      </w:r>
      <w:r w:rsidRPr="00C72CB8">
        <w:rPr>
          <w:noProof/>
        </w:rPr>
        <w:t xml:space="preserve"> procedural and reception needs (for example if the applicant has a specific disability or is a child or a victim of trafficking or violence) and which explain in plain language the applicants’ rights and obligations. Workflows should</w:t>
      </w:r>
      <w:r>
        <w:rPr>
          <w:noProof/>
        </w:rPr>
        <w:t xml:space="preserve"> include confirmation of the received information.</w:t>
      </w:r>
    </w:p>
    <w:p w14:paraId="36FC6253" w14:textId="2A07DD5F" w:rsidR="006B25DA" w:rsidRDefault="006B25DA" w:rsidP="002740E8">
      <w:pPr>
        <w:pStyle w:val="ListParagraph"/>
        <w:numPr>
          <w:ilvl w:val="0"/>
          <w:numId w:val="28"/>
        </w:numPr>
        <w:spacing w:after="120"/>
        <w:ind w:left="709" w:hanging="425"/>
        <w:contextualSpacing w:val="0"/>
        <w:rPr>
          <w:noProof/>
        </w:rPr>
      </w:pPr>
      <w:r>
        <w:rPr>
          <w:noProof/>
        </w:rPr>
        <w:t xml:space="preserve">Member States will need to </w:t>
      </w:r>
      <w:r w:rsidRPr="00E64E68">
        <w:rPr>
          <w:b/>
          <w:bCs/>
          <w:noProof/>
        </w:rPr>
        <w:t>review and adapt existing practices and standard operating procedures</w:t>
      </w:r>
      <w:r>
        <w:rPr>
          <w:noProof/>
        </w:rPr>
        <w:t xml:space="preserve"> as necessary for the </w:t>
      </w:r>
      <w:r w:rsidRPr="00E64E68">
        <w:rPr>
          <w:b/>
          <w:bCs/>
          <w:noProof/>
        </w:rPr>
        <w:t xml:space="preserve">early identification and follow-up to specific </w:t>
      </w:r>
      <w:r w:rsidRPr="00495F7A">
        <w:rPr>
          <w:b/>
          <w:bCs/>
          <w:noProof/>
        </w:rPr>
        <w:t>procedura</w:t>
      </w:r>
      <w:r w:rsidRPr="16B0F4F9">
        <w:rPr>
          <w:b/>
          <w:bCs/>
          <w:noProof/>
        </w:rPr>
        <w:t>l or reception needs</w:t>
      </w:r>
      <w:r>
        <w:rPr>
          <w:noProof/>
        </w:rPr>
        <w:t xml:space="preserve"> to comply with the new deadlines (i.e., the assessment of special reception </w:t>
      </w:r>
      <w:r w:rsidR="0005471C">
        <w:rPr>
          <w:noProof/>
        </w:rPr>
        <w:t>needs</w:t>
      </w:r>
      <w:r>
        <w:rPr>
          <w:noProof/>
        </w:rPr>
        <w:t xml:space="preserve"> and special procedural needs must be concluded within 30 days from making an application). </w:t>
      </w:r>
    </w:p>
    <w:p w14:paraId="0B54D815" w14:textId="17E4DB11" w:rsidR="006B25DA" w:rsidRDefault="006B25DA" w:rsidP="006B25DA">
      <w:pPr>
        <w:pStyle w:val="ListParagraph"/>
        <w:spacing w:after="120"/>
        <w:ind w:left="709"/>
        <w:contextualSpacing w:val="0"/>
        <w:rPr>
          <w:noProof/>
        </w:rPr>
      </w:pPr>
      <w:r>
        <w:rPr>
          <w:noProof/>
        </w:rPr>
        <w:t xml:space="preserve">In this context, Member States will also have to ensure the </w:t>
      </w:r>
      <w:r w:rsidRPr="00E64E68">
        <w:rPr>
          <w:b/>
          <w:bCs/>
          <w:noProof/>
        </w:rPr>
        <w:t xml:space="preserve">necessary administrative processes </w:t>
      </w:r>
      <w:r>
        <w:rPr>
          <w:noProof/>
        </w:rPr>
        <w:t xml:space="preserve">(e.g., appropriate information workflows between the relevant authorities) are in place to </w:t>
      </w:r>
      <w:r w:rsidR="00391E30">
        <w:rPr>
          <w:noProof/>
        </w:rPr>
        <w:t xml:space="preserve">not apply </w:t>
      </w:r>
      <w:r>
        <w:rPr>
          <w:noProof/>
        </w:rPr>
        <w:t xml:space="preserve">or cease to apply the border procedure to applicants with special procedural and reception needs that cannot be catered for in the border procedure, including where justified on health grounds. </w:t>
      </w:r>
    </w:p>
    <w:p w14:paraId="50F24D82" w14:textId="77777777" w:rsidR="006B25DA" w:rsidRPr="00C12801" w:rsidRDefault="006B25DA" w:rsidP="006B25DA">
      <w:pPr>
        <w:pStyle w:val="ListParagraph"/>
        <w:spacing w:after="120"/>
        <w:ind w:left="709"/>
        <w:contextualSpacing w:val="0"/>
        <w:rPr>
          <w:noProof/>
        </w:rPr>
      </w:pPr>
      <w:r>
        <w:rPr>
          <w:noProof/>
        </w:rPr>
        <w:t xml:space="preserve">In the case of </w:t>
      </w:r>
      <w:r w:rsidRPr="008C708B">
        <w:rPr>
          <w:b/>
          <w:noProof/>
        </w:rPr>
        <w:t>families with children</w:t>
      </w:r>
      <w:r>
        <w:rPr>
          <w:noProof/>
        </w:rPr>
        <w:t>, the administrative processes will also have to include the obligation to de-prioritise families with children</w:t>
      </w:r>
      <w:r w:rsidRPr="00623835">
        <w:rPr>
          <w:noProof/>
        </w:rPr>
        <w:t xml:space="preserve"> </w:t>
      </w:r>
      <w:r>
        <w:rPr>
          <w:noProof/>
        </w:rPr>
        <w:t>in the cases foreseen in the Asylum Procedure Regulation</w:t>
      </w:r>
      <w:r w:rsidRPr="00623835">
        <w:rPr>
          <w:noProof/>
        </w:rPr>
        <w:t xml:space="preserve"> </w:t>
      </w:r>
      <w:r>
        <w:rPr>
          <w:noProof/>
        </w:rPr>
        <w:t>(unless they are considered, on serious grounds, to pose a danger to the national security and public order of a Member State).</w:t>
      </w:r>
    </w:p>
    <w:p w14:paraId="6097347A" w14:textId="32A1E638" w:rsidR="00C72CB8" w:rsidRDefault="006B25DA" w:rsidP="002740E8">
      <w:pPr>
        <w:pStyle w:val="ListParagraph"/>
        <w:numPr>
          <w:ilvl w:val="0"/>
          <w:numId w:val="28"/>
        </w:numPr>
        <w:spacing w:after="120"/>
        <w:ind w:left="709" w:hanging="425"/>
        <w:contextualSpacing w:val="0"/>
        <w:rPr>
          <w:noProof/>
        </w:rPr>
      </w:pPr>
      <w:r w:rsidRPr="00C72CB8">
        <w:rPr>
          <w:noProof/>
        </w:rPr>
        <w:t xml:space="preserve">Member States should develop specific instructions or protocols to assess </w:t>
      </w:r>
      <w:r w:rsidRPr="00E64E68">
        <w:rPr>
          <w:b/>
          <w:bCs/>
          <w:noProof/>
        </w:rPr>
        <w:t xml:space="preserve">alternatives to </w:t>
      </w:r>
      <w:r w:rsidRPr="00495F7A">
        <w:rPr>
          <w:b/>
          <w:bCs/>
          <w:noProof/>
        </w:rPr>
        <w:t>detention</w:t>
      </w:r>
      <w:r w:rsidRPr="00C72CB8">
        <w:rPr>
          <w:noProof/>
        </w:rPr>
        <w:t xml:space="preserve"> to ensure that detention</w:t>
      </w:r>
      <w:r w:rsidR="00495F7A">
        <w:rPr>
          <w:noProof/>
        </w:rPr>
        <w:t xml:space="preserve"> is not used automatically</w:t>
      </w:r>
      <w:r w:rsidRPr="00C72CB8">
        <w:rPr>
          <w:noProof/>
        </w:rPr>
        <w:t xml:space="preserve">, also by duly carrying out individualised assessments and applying effective alternatives to detention. Member States will need to take the necessary legal and organisational measures to ensure the new timelines for judicial review against detention decisions are complied with (no later than 15 days or, in exceptional situations, no later than 21 days from the beginning of detention). </w:t>
      </w:r>
    </w:p>
    <w:p w14:paraId="7A9450AF" w14:textId="0AC457DD" w:rsidR="006B25DA" w:rsidRPr="00C72CB8" w:rsidRDefault="00C52605" w:rsidP="00C72CB8">
      <w:pPr>
        <w:spacing w:after="120"/>
        <w:ind w:left="709"/>
        <w:rPr>
          <w:noProof/>
        </w:rPr>
      </w:pPr>
      <w:r w:rsidRPr="005E1511">
        <w:rPr>
          <w:noProof/>
        </w:rPr>
        <w:t>As regards children, the general rule is that they should not be detained. Therefore, w</w:t>
      </w:r>
      <w:r w:rsidR="00263B62" w:rsidRPr="005E1511">
        <w:rPr>
          <w:noProof/>
        </w:rPr>
        <w:t>hen deve</w:t>
      </w:r>
      <w:r w:rsidR="009F4D54" w:rsidRPr="005E1511">
        <w:rPr>
          <w:noProof/>
        </w:rPr>
        <w:t xml:space="preserve">loping the specific instructions or protocols on detention, </w:t>
      </w:r>
      <w:r w:rsidR="006B25DA" w:rsidRPr="005E1511">
        <w:rPr>
          <w:noProof/>
        </w:rPr>
        <w:t xml:space="preserve">Member States </w:t>
      </w:r>
      <w:r w:rsidR="00495F7A" w:rsidRPr="005E1511">
        <w:rPr>
          <w:noProof/>
        </w:rPr>
        <w:t>must</w:t>
      </w:r>
      <w:r w:rsidR="006B25DA" w:rsidRPr="005E1511">
        <w:rPr>
          <w:noProof/>
        </w:rPr>
        <w:t xml:space="preserve"> ensure that children </w:t>
      </w:r>
      <w:r w:rsidRPr="005E1511">
        <w:rPr>
          <w:noProof/>
        </w:rPr>
        <w:t xml:space="preserve">are </w:t>
      </w:r>
      <w:r w:rsidR="006B25DA" w:rsidRPr="005E1511">
        <w:rPr>
          <w:noProof/>
        </w:rPr>
        <w:t>only detained in exceptional circumstances, where strictly necessary, as a measure of last resort and for the shortest possible period of time, after it has been established that other less coercive alternative measures</w:t>
      </w:r>
      <w:r w:rsidR="006B25DA" w:rsidRPr="00C72CB8">
        <w:rPr>
          <w:noProof/>
        </w:rPr>
        <w:t xml:space="preserve"> cannot be applied effectively, and after detention is assessed to be in their best interests.</w:t>
      </w:r>
    </w:p>
    <w:p w14:paraId="26E84F53"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review existing procedures or develop new ones to ensure access to </w:t>
      </w:r>
      <w:r w:rsidRPr="16B0F4F9">
        <w:rPr>
          <w:b/>
          <w:bCs/>
          <w:noProof/>
        </w:rPr>
        <w:t>free legal counselling</w:t>
      </w:r>
      <w:r>
        <w:rPr>
          <w:noProof/>
        </w:rPr>
        <w:t xml:space="preserve"> (if such free legal counselling is not already provided by </w:t>
      </w:r>
      <w:r w:rsidRPr="00C72CB8">
        <w:rPr>
          <w:noProof/>
        </w:rPr>
        <w:t>the Member State) in compliance with the conditions for access in the Asylum Procedure Regulation and the Asylum Migration Management Regulation. If the Member State is already providing free legal assistance and representation during</w:t>
      </w:r>
      <w:r>
        <w:rPr>
          <w:noProof/>
        </w:rPr>
        <w:t xml:space="preserve"> the administrative phase for all procedures, adjustments to their systems are not necessary. </w:t>
      </w:r>
    </w:p>
    <w:p w14:paraId="3937DF78" w14:textId="296B5E4D" w:rsidR="006B25DA" w:rsidRPr="00C72CB8" w:rsidRDefault="006B25DA" w:rsidP="002740E8">
      <w:pPr>
        <w:pStyle w:val="ListParagraph"/>
        <w:numPr>
          <w:ilvl w:val="0"/>
          <w:numId w:val="28"/>
        </w:numPr>
        <w:spacing w:after="120"/>
        <w:ind w:left="709" w:hanging="425"/>
        <w:contextualSpacing w:val="0"/>
        <w:rPr>
          <w:noProof/>
        </w:rPr>
      </w:pPr>
      <w:r w:rsidRPr="00C12801">
        <w:rPr>
          <w:noProof/>
        </w:rPr>
        <w:t xml:space="preserve">Member states </w:t>
      </w:r>
      <w:r>
        <w:rPr>
          <w:noProof/>
        </w:rPr>
        <w:t>should</w:t>
      </w:r>
      <w:r w:rsidRPr="00C12801">
        <w:rPr>
          <w:noProof/>
        </w:rPr>
        <w:t xml:space="preserve"> </w:t>
      </w:r>
      <w:r w:rsidRPr="00E64E68">
        <w:rPr>
          <w:b/>
          <w:bCs/>
          <w:noProof/>
        </w:rPr>
        <w:t xml:space="preserve">review or put in place workflows, protocols and processes to ensure the best interests of the </w:t>
      </w:r>
      <w:r w:rsidRPr="00495F7A">
        <w:rPr>
          <w:b/>
          <w:bCs/>
          <w:noProof/>
        </w:rPr>
        <w:t>child</w:t>
      </w:r>
      <w:r w:rsidRPr="00C12801">
        <w:rPr>
          <w:noProof/>
        </w:rPr>
        <w:t xml:space="preserve"> </w:t>
      </w:r>
      <w:r w:rsidRPr="00C72CB8">
        <w:rPr>
          <w:noProof/>
        </w:rPr>
        <w:t>are individually assessed and prioritised at all stages of the procedure, taking into consideration Commission recommendation on specific measures for the protection of children in migration</w:t>
      </w:r>
      <w:r w:rsidRPr="00C72CB8">
        <w:rPr>
          <w:rStyle w:val="FootnoteReference"/>
          <w:noProof/>
        </w:rPr>
        <w:footnoteReference w:id="40"/>
      </w:r>
      <w:r w:rsidRPr="00C72CB8">
        <w:rPr>
          <w:noProof/>
        </w:rPr>
        <w:t>; notably, to ensure an integrated case management system in synergy with national child protection services, international and civil society organisations, particularly in operational support and monitoring processes; to ensure that all relevant proceedings and reception systems are adapted to take into account children’s age, needs and vulnerabilities as a priority.</w:t>
      </w:r>
    </w:p>
    <w:p w14:paraId="5A26C505" w14:textId="170D7F79" w:rsidR="00DB566D" w:rsidRDefault="006B25DA" w:rsidP="002740E8">
      <w:pPr>
        <w:pStyle w:val="ListParagraph"/>
        <w:numPr>
          <w:ilvl w:val="0"/>
          <w:numId w:val="36"/>
        </w:numPr>
        <w:spacing w:after="120"/>
        <w:ind w:left="714" w:hanging="357"/>
        <w:contextualSpacing w:val="0"/>
        <w:rPr>
          <w:noProof/>
        </w:rPr>
      </w:pPr>
      <w:r w:rsidRPr="00C12801">
        <w:rPr>
          <w:noProof/>
        </w:rPr>
        <w:t xml:space="preserve">Member States will have to </w:t>
      </w:r>
      <w:r w:rsidRPr="00E64E68">
        <w:rPr>
          <w:b/>
          <w:bCs/>
          <w:noProof/>
        </w:rPr>
        <w:t>review and adjust standard operating procedures for age assessment</w:t>
      </w:r>
      <w:r w:rsidRPr="00C12801">
        <w:rPr>
          <w:noProof/>
        </w:rPr>
        <w:t xml:space="preserve"> to apply the new multi-disciplinary age assessment. </w:t>
      </w:r>
      <w:r>
        <w:rPr>
          <w:noProof/>
        </w:rPr>
        <w:t>The EUAA Practice Guide on age assessment</w:t>
      </w:r>
      <w:r>
        <w:rPr>
          <w:rStyle w:val="FootnoteReference"/>
          <w:noProof/>
        </w:rPr>
        <w:footnoteReference w:id="41"/>
      </w:r>
      <w:r>
        <w:rPr>
          <w:noProof/>
        </w:rPr>
        <w:t xml:space="preserve"> can provide useful elements to develop such procedures.</w:t>
      </w:r>
      <w:r w:rsidRPr="00C4792B">
        <w:rPr>
          <w:noProof/>
        </w:rPr>
        <w:t xml:space="preserve"> </w:t>
      </w:r>
    </w:p>
    <w:p w14:paraId="2F84E0E7" w14:textId="4BD58A48" w:rsidR="006B25DA" w:rsidRPr="00C12801" w:rsidRDefault="006B25DA" w:rsidP="002740E8">
      <w:pPr>
        <w:pStyle w:val="ListParagraph"/>
        <w:numPr>
          <w:ilvl w:val="0"/>
          <w:numId w:val="36"/>
        </w:numPr>
        <w:spacing w:after="120"/>
        <w:ind w:left="714" w:hanging="357"/>
        <w:contextualSpacing w:val="0"/>
        <w:rPr>
          <w:noProof/>
        </w:rPr>
      </w:pPr>
      <w:r>
        <w:rPr>
          <w:noProof/>
        </w:rPr>
        <w:t xml:space="preserve">Member States will also have to ensure the </w:t>
      </w:r>
      <w:r w:rsidRPr="00E64E68">
        <w:rPr>
          <w:b/>
          <w:bCs/>
          <w:noProof/>
        </w:rPr>
        <w:t>necessary administrative processes are in place to exclude unaccompanied minors from the border procedure</w:t>
      </w:r>
      <w:r>
        <w:rPr>
          <w:noProof/>
        </w:rPr>
        <w:t xml:space="preserve"> (unless they are considered, on serious grounds, to pose a danger to the national security and public order of a Member State).</w:t>
      </w:r>
    </w:p>
    <w:p w14:paraId="17B4BD63" w14:textId="331D466F" w:rsidR="006B25DA" w:rsidRPr="00C12801" w:rsidRDefault="006B25DA" w:rsidP="002740E8">
      <w:pPr>
        <w:pStyle w:val="ListParagraph"/>
        <w:numPr>
          <w:ilvl w:val="0"/>
          <w:numId w:val="36"/>
        </w:numPr>
        <w:spacing w:before="120" w:after="120"/>
        <w:rPr>
          <w:noProof/>
        </w:rPr>
      </w:pPr>
      <w:r w:rsidRPr="00C12801">
        <w:rPr>
          <w:noProof/>
        </w:rPr>
        <w:t xml:space="preserve">Member States will have to </w:t>
      </w:r>
      <w:r w:rsidRPr="00E64E68">
        <w:rPr>
          <w:b/>
          <w:bCs/>
          <w:noProof/>
        </w:rPr>
        <w:t>review their systems for appointing representatives for unaccompanied minors and the workflows and procedures for the early identification and evaluation of their needs</w:t>
      </w:r>
      <w:r w:rsidRPr="00C12801">
        <w:rPr>
          <w:noProof/>
        </w:rPr>
        <w:t xml:space="preserve">, taking into account the new quality and monitoring requirements </w:t>
      </w:r>
      <w:r>
        <w:rPr>
          <w:noProof/>
        </w:rPr>
        <w:t xml:space="preserve">for representatives </w:t>
      </w:r>
      <w:r w:rsidRPr="00C12801">
        <w:rPr>
          <w:noProof/>
        </w:rPr>
        <w:t>and the new deadlines.</w:t>
      </w:r>
      <w:r>
        <w:rPr>
          <w:noProof/>
        </w:rPr>
        <w:t xml:space="preserve"> They should also review their systems for appointing guardians, to ensure the new requirements under the Qualification Regulation are met (necessary expertise, confidentiality rules, verified record) and the new supervision and monitoring requirements. They will also have to set in place (if not already) the necessary procedures and administrative structures to ensure unaccompanied minors can lodge complaints </w:t>
      </w:r>
      <w:r w:rsidR="00495F7A">
        <w:rPr>
          <w:noProof/>
        </w:rPr>
        <w:t xml:space="preserve">in relation to </w:t>
      </w:r>
      <w:r>
        <w:rPr>
          <w:noProof/>
        </w:rPr>
        <w:t>their appointed guardian.</w:t>
      </w:r>
    </w:p>
    <w:p w14:paraId="0BD22CAD" w14:textId="77777777" w:rsidR="006B25DA" w:rsidRPr="00C12801" w:rsidRDefault="006B25DA" w:rsidP="006B25DA">
      <w:pPr>
        <w:spacing w:after="120"/>
        <w:rPr>
          <w:i/>
          <w:iCs/>
          <w:noProof/>
        </w:rPr>
      </w:pPr>
      <w:r w:rsidRPr="00C12801">
        <w:rPr>
          <w:i/>
          <w:iCs/>
          <w:noProof/>
        </w:rPr>
        <w:t>Capacities (human resources, infrastructure, and equipment)</w:t>
      </w:r>
    </w:p>
    <w:p w14:paraId="190894AF"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have to </w:t>
      </w:r>
      <w:r w:rsidRPr="00E64E68">
        <w:rPr>
          <w:b/>
          <w:bCs/>
          <w:noProof/>
        </w:rPr>
        <w:t>ensure sufficient capacity to identify the specific needs of applicants</w:t>
      </w:r>
      <w:r>
        <w:rPr>
          <w:noProof/>
        </w:rPr>
        <w:t xml:space="preserve"> and to be able to address those </w:t>
      </w:r>
      <w:r w:rsidRPr="00E64E68">
        <w:rPr>
          <w:noProof/>
        </w:rPr>
        <w:t>specific needs</w:t>
      </w:r>
      <w:r>
        <w:rPr>
          <w:noProof/>
        </w:rPr>
        <w:t xml:space="preserve"> across all steps of the procedure and </w:t>
      </w:r>
      <w:r w:rsidRPr="00C72CB8">
        <w:rPr>
          <w:noProof/>
        </w:rPr>
        <w:t>in reception. In relation to</w:t>
      </w:r>
      <w:r>
        <w:rPr>
          <w:noProof/>
        </w:rPr>
        <w:t xml:space="preserve"> infrastructure, this requires Member States to have sufficient accommodation adapted to specific needs of applicants. This will also require sufficient and adequately trained staff, including social workers, interpreters, medical personnel, child protection officers, etc. </w:t>
      </w:r>
    </w:p>
    <w:p w14:paraId="793CBB03" w14:textId="0523D8DC" w:rsidR="006B25DA" w:rsidRPr="00C12801" w:rsidRDefault="006B25DA" w:rsidP="006B25DA">
      <w:pPr>
        <w:pStyle w:val="ListParagraph"/>
        <w:spacing w:after="120"/>
        <w:ind w:left="709"/>
        <w:contextualSpacing w:val="0"/>
        <w:rPr>
          <w:noProof/>
        </w:rPr>
      </w:pPr>
      <w:r>
        <w:rPr>
          <w:noProof/>
        </w:rPr>
        <w:t xml:space="preserve">Where </w:t>
      </w:r>
      <w:r w:rsidRPr="008C708B">
        <w:rPr>
          <w:b/>
          <w:bCs/>
          <w:noProof/>
        </w:rPr>
        <w:t xml:space="preserve">families </w:t>
      </w:r>
      <w:r>
        <w:rPr>
          <w:b/>
          <w:bCs/>
          <w:noProof/>
        </w:rPr>
        <w:t>with</w:t>
      </w:r>
      <w:r w:rsidRPr="008C708B">
        <w:rPr>
          <w:b/>
          <w:bCs/>
          <w:noProof/>
        </w:rPr>
        <w:t xml:space="preserve"> children</w:t>
      </w:r>
      <w:r>
        <w:rPr>
          <w:noProof/>
        </w:rPr>
        <w:t xml:space="preserve"> </w:t>
      </w:r>
      <w:r w:rsidR="00DB566D">
        <w:rPr>
          <w:noProof/>
        </w:rPr>
        <w:t xml:space="preserve">(or an unaccompanied minor) </w:t>
      </w:r>
      <w:r>
        <w:rPr>
          <w:noProof/>
        </w:rPr>
        <w:t>are subject to the border procedure, Member State</w:t>
      </w:r>
      <w:r w:rsidR="00F21CFC">
        <w:rPr>
          <w:noProof/>
        </w:rPr>
        <w:t>s</w:t>
      </w:r>
      <w:r>
        <w:rPr>
          <w:noProof/>
        </w:rPr>
        <w:t xml:space="preserve"> will </w:t>
      </w:r>
      <w:r w:rsidR="00F21CFC">
        <w:rPr>
          <w:noProof/>
        </w:rPr>
        <w:t xml:space="preserve">need </w:t>
      </w:r>
      <w:r>
        <w:rPr>
          <w:noProof/>
        </w:rPr>
        <w:t>to ensure that reception facilities are appropriate to their needs after assessing the best interests of the child, and that they meet a standard of living adequate for the minor’s physical, mental, spiritual, moral and social development, in full respect of the requirements of recast Reception Conditions Directive.</w:t>
      </w:r>
      <w:r w:rsidR="00DB566D">
        <w:rPr>
          <w:noProof/>
        </w:rPr>
        <w:t xml:space="preserve"> </w:t>
      </w:r>
    </w:p>
    <w:p w14:paraId="29DF6032" w14:textId="77777777" w:rsidR="006B25DA" w:rsidRPr="00090B4F" w:rsidRDefault="006B25DA" w:rsidP="002740E8">
      <w:pPr>
        <w:pStyle w:val="ListParagraph"/>
        <w:numPr>
          <w:ilvl w:val="0"/>
          <w:numId w:val="28"/>
        </w:numPr>
        <w:spacing w:after="120"/>
        <w:ind w:left="709" w:hanging="425"/>
        <w:contextualSpacing w:val="0"/>
        <w:rPr>
          <w:noProof/>
        </w:rPr>
      </w:pPr>
      <w:r>
        <w:rPr>
          <w:noProof/>
        </w:rPr>
        <w:t xml:space="preserve">Member States should have sufficient capacity to implement alternatives to </w:t>
      </w:r>
      <w:r w:rsidRPr="16B0F4F9">
        <w:rPr>
          <w:b/>
          <w:bCs/>
          <w:noProof/>
        </w:rPr>
        <w:t xml:space="preserve">detention </w:t>
      </w:r>
      <w:r w:rsidRPr="008C708B">
        <w:rPr>
          <w:noProof/>
        </w:rPr>
        <w:t xml:space="preserve">and maximise their </w:t>
      </w:r>
      <w:r>
        <w:rPr>
          <w:noProof/>
        </w:rPr>
        <w:t>effectiveness.</w:t>
      </w:r>
    </w:p>
    <w:p w14:paraId="797A2C9C" w14:textId="4B431CCE" w:rsidR="006B25DA" w:rsidRPr="00C72CB8" w:rsidRDefault="006B25DA" w:rsidP="002740E8">
      <w:pPr>
        <w:pStyle w:val="ListParagraph"/>
        <w:numPr>
          <w:ilvl w:val="0"/>
          <w:numId w:val="28"/>
        </w:numPr>
        <w:spacing w:after="120"/>
        <w:ind w:left="709" w:hanging="425"/>
        <w:contextualSpacing w:val="0"/>
        <w:rPr>
          <w:noProof/>
        </w:rPr>
      </w:pPr>
      <w:r>
        <w:rPr>
          <w:noProof/>
        </w:rPr>
        <w:t xml:space="preserve">Member states will have to establish </w:t>
      </w:r>
      <w:r w:rsidRPr="00E64E68">
        <w:rPr>
          <w:b/>
          <w:bCs/>
          <w:noProof/>
        </w:rPr>
        <w:t>capacity for</w:t>
      </w:r>
      <w:r>
        <w:rPr>
          <w:noProof/>
        </w:rPr>
        <w:t xml:space="preserve"> </w:t>
      </w:r>
      <w:r w:rsidRPr="16B0F4F9">
        <w:rPr>
          <w:b/>
          <w:bCs/>
          <w:noProof/>
        </w:rPr>
        <w:t>free legal counselling</w:t>
      </w:r>
      <w:r>
        <w:rPr>
          <w:noProof/>
        </w:rPr>
        <w:t xml:space="preserve"> across procedures, be it directly or through service arrangements with qualified third parties. This is also an opportunity to identify and address any existing capacity gaps regarding free legal assistance and </w:t>
      </w:r>
      <w:r w:rsidRPr="00C72CB8">
        <w:rPr>
          <w:noProof/>
        </w:rPr>
        <w:t>representation at the appeal stage.</w:t>
      </w:r>
    </w:p>
    <w:p w14:paraId="5F0E63B1" w14:textId="6850A083" w:rsidR="006B25DA" w:rsidRPr="00C72CB8" w:rsidRDefault="006B25DA" w:rsidP="002740E8">
      <w:pPr>
        <w:pStyle w:val="ListParagraph"/>
        <w:numPr>
          <w:ilvl w:val="0"/>
          <w:numId w:val="28"/>
        </w:numPr>
        <w:spacing w:after="120"/>
        <w:ind w:left="709" w:hanging="425"/>
        <w:contextualSpacing w:val="0"/>
        <w:rPr>
          <w:noProof/>
        </w:rPr>
      </w:pPr>
      <w:r w:rsidRPr="00C72CB8">
        <w:rPr>
          <w:noProof/>
        </w:rPr>
        <w:t xml:space="preserve">Member States will have to ensure they have </w:t>
      </w:r>
      <w:r w:rsidRPr="00E64E68">
        <w:rPr>
          <w:b/>
          <w:bCs/>
          <w:noProof/>
        </w:rPr>
        <w:t xml:space="preserve">sufficient capacity to ensure all safeguards for </w:t>
      </w:r>
      <w:r w:rsidRPr="00F21CFC">
        <w:rPr>
          <w:b/>
          <w:bCs/>
          <w:noProof/>
        </w:rPr>
        <w:t>children</w:t>
      </w:r>
      <w:r w:rsidRPr="00C72CB8">
        <w:rPr>
          <w:noProof/>
        </w:rPr>
        <w:t>, including unaccompanied minors. Given the significant increase in safeguards included across all Pact instruments, Member States should carefully review the existing capacities and seriously consider strengthening their national child protection services. Sufficient and adequately trained staff has to be available throughout to conduct best interests of the child</w:t>
      </w:r>
      <w:r>
        <w:rPr>
          <w:noProof/>
        </w:rPr>
        <w:t xml:space="preserve"> assessments and provide for </w:t>
      </w:r>
      <w:r w:rsidRPr="00C72CB8">
        <w:rPr>
          <w:noProof/>
        </w:rPr>
        <w:t>follow-up, ensuring child protection safeguards and multidisciplinary support all along the process</w:t>
      </w:r>
      <w:r w:rsidR="00DB566D">
        <w:rPr>
          <w:noProof/>
        </w:rPr>
        <w:t>.</w:t>
      </w:r>
    </w:p>
    <w:p w14:paraId="4613636E" w14:textId="68B4DD1B" w:rsidR="006B25DA" w:rsidRPr="00C12801" w:rsidRDefault="006B25DA" w:rsidP="002740E8">
      <w:pPr>
        <w:pStyle w:val="ListParagraph"/>
        <w:numPr>
          <w:ilvl w:val="0"/>
          <w:numId w:val="28"/>
        </w:numPr>
        <w:spacing w:after="120"/>
        <w:ind w:left="709" w:hanging="425"/>
        <w:contextualSpacing w:val="0"/>
        <w:rPr>
          <w:noProof/>
        </w:rPr>
      </w:pPr>
      <w:r>
        <w:rPr>
          <w:noProof/>
        </w:rPr>
        <w:t xml:space="preserve">Member States will </w:t>
      </w:r>
      <w:r w:rsidR="00F2017F">
        <w:rPr>
          <w:noProof/>
        </w:rPr>
        <w:t xml:space="preserve">need </w:t>
      </w:r>
      <w:r>
        <w:rPr>
          <w:noProof/>
        </w:rPr>
        <w:t xml:space="preserve">to have </w:t>
      </w:r>
      <w:r w:rsidRPr="00E64E68">
        <w:rPr>
          <w:b/>
          <w:bCs/>
          <w:noProof/>
        </w:rPr>
        <w:t>sufficient capacity to ensure all applicant children have access to education</w:t>
      </w:r>
      <w:r>
        <w:rPr>
          <w:noProof/>
        </w:rPr>
        <w:t xml:space="preserve"> within two months of the lodging of the asylum application. Reception facilities and infrastructure might have to be adapted accordingly.</w:t>
      </w:r>
    </w:p>
    <w:p w14:paraId="70DA3C8A" w14:textId="7D933F94" w:rsidR="006B25DA" w:rsidRPr="00C12801" w:rsidRDefault="006B25DA" w:rsidP="002740E8">
      <w:pPr>
        <w:pStyle w:val="ListParagraph"/>
        <w:numPr>
          <w:ilvl w:val="0"/>
          <w:numId w:val="28"/>
        </w:numPr>
        <w:spacing w:after="120"/>
        <w:ind w:left="709" w:hanging="425"/>
        <w:contextualSpacing w:val="0"/>
        <w:rPr>
          <w:noProof/>
        </w:rPr>
      </w:pPr>
      <w:r w:rsidRPr="00C72CB8">
        <w:rPr>
          <w:noProof/>
        </w:rPr>
        <w:t xml:space="preserve">Member States will </w:t>
      </w:r>
      <w:r w:rsidR="00F2017F">
        <w:rPr>
          <w:noProof/>
        </w:rPr>
        <w:t>need</w:t>
      </w:r>
      <w:r w:rsidR="00F2017F" w:rsidRPr="00C72CB8">
        <w:rPr>
          <w:noProof/>
        </w:rPr>
        <w:t xml:space="preserve"> </w:t>
      </w:r>
      <w:r w:rsidRPr="00C72CB8">
        <w:rPr>
          <w:noProof/>
        </w:rPr>
        <w:t xml:space="preserve">to ensure </w:t>
      </w:r>
      <w:r w:rsidRPr="00E64E68">
        <w:rPr>
          <w:b/>
          <w:bCs/>
          <w:noProof/>
        </w:rPr>
        <w:t>sufficient qualified professionals are available for the multi-disciplinary nature of the age assessment</w:t>
      </w:r>
      <w:r>
        <w:rPr>
          <w:noProof/>
        </w:rPr>
        <w:t xml:space="preserve"> (including paediatricians, psychologists, social workers, etc.). The EUAA Practical Guide on age assessment referred above can provide useful elements to identify staffing requirements. </w:t>
      </w:r>
    </w:p>
    <w:p w14:paraId="7F516234" w14:textId="7BE01414" w:rsidR="006B25DA" w:rsidRPr="00C12801" w:rsidRDefault="006B25DA" w:rsidP="002740E8">
      <w:pPr>
        <w:pStyle w:val="ListParagraph"/>
        <w:numPr>
          <w:ilvl w:val="0"/>
          <w:numId w:val="28"/>
        </w:numPr>
        <w:spacing w:after="120"/>
        <w:ind w:left="709" w:hanging="425"/>
        <w:contextualSpacing w:val="0"/>
        <w:rPr>
          <w:noProof/>
        </w:rPr>
      </w:pPr>
      <w:r w:rsidRPr="00C12801">
        <w:rPr>
          <w:noProof/>
        </w:rPr>
        <w:t xml:space="preserve">Member States </w:t>
      </w:r>
      <w:r>
        <w:rPr>
          <w:noProof/>
        </w:rPr>
        <w:t>will</w:t>
      </w:r>
      <w:r w:rsidRPr="00C12801">
        <w:rPr>
          <w:noProof/>
        </w:rPr>
        <w:t xml:space="preserve"> </w:t>
      </w:r>
      <w:r w:rsidR="00F2017F">
        <w:rPr>
          <w:noProof/>
        </w:rPr>
        <w:t xml:space="preserve">need </w:t>
      </w:r>
      <w:r>
        <w:rPr>
          <w:noProof/>
        </w:rPr>
        <w:t xml:space="preserve">to </w:t>
      </w:r>
      <w:r w:rsidRPr="00C12801">
        <w:rPr>
          <w:noProof/>
        </w:rPr>
        <w:t xml:space="preserve">ensure that </w:t>
      </w:r>
      <w:r w:rsidRPr="00E64E68">
        <w:rPr>
          <w:b/>
          <w:bCs/>
          <w:noProof/>
        </w:rPr>
        <w:t>sufficient and qualified representatives for unaccompanied minors can be appointed within the new deadlines</w:t>
      </w:r>
      <w:r w:rsidRPr="00C12801">
        <w:rPr>
          <w:noProof/>
        </w:rPr>
        <w:t xml:space="preserve"> (as soon as possible and within 15 days from making</w:t>
      </w:r>
      <w:r>
        <w:rPr>
          <w:noProof/>
        </w:rPr>
        <w:t xml:space="preserve"> the application</w:t>
      </w:r>
      <w:r w:rsidRPr="00C12801">
        <w:rPr>
          <w:noProof/>
        </w:rPr>
        <w:t xml:space="preserve">) </w:t>
      </w:r>
      <w:r>
        <w:rPr>
          <w:noProof/>
        </w:rPr>
        <w:t xml:space="preserve">and in compliance with </w:t>
      </w:r>
      <w:r w:rsidRPr="00C12801">
        <w:rPr>
          <w:noProof/>
        </w:rPr>
        <w:t xml:space="preserve">the maximum ratio (one representative per 30 </w:t>
      </w:r>
      <w:r>
        <w:rPr>
          <w:noProof/>
        </w:rPr>
        <w:t>unaccompanied minors</w:t>
      </w:r>
      <w:r>
        <w:rPr>
          <w:rStyle w:val="FootnoteReference"/>
          <w:noProof/>
        </w:rPr>
        <w:footnoteReference w:id="42"/>
      </w:r>
      <w:r w:rsidRPr="00C12801">
        <w:rPr>
          <w:noProof/>
        </w:rPr>
        <w:t>.</w:t>
      </w:r>
      <w:r>
        <w:rPr>
          <w:noProof/>
        </w:rPr>
        <w:t xml:space="preserve"> </w:t>
      </w:r>
      <w:r w:rsidRPr="00C12801">
        <w:rPr>
          <w:noProof/>
        </w:rPr>
        <w:t xml:space="preserve">Member State </w:t>
      </w:r>
      <w:r>
        <w:rPr>
          <w:noProof/>
        </w:rPr>
        <w:t>will also have</w:t>
      </w:r>
      <w:r w:rsidRPr="00C12801">
        <w:rPr>
          <w:noProof/>
        </w:rPr>
        <w:t xml:space="preserve"> </w:t>
      </w:r>
      <w:r>
        <w:rPr>
          <w:noProof/>
        </w:rPr>
        <w:t>to</w:t>
      </w:r>
      <w:r w:rsidRPr="00C12801">
        <w:rPr>
          <w:noProof/>
        </w:rPr>
        <w:t xml:space="preserve"> ensure an adequate number of </w:t>
      </w:r>
      <w:r w:rsidRPr="00E64E68">
        <w:rPr>
          <w:b/>
          <w:bCs/>
          <w:noProof/>
        </w:rPr>
        <w:t>long-term guardians for unaccompanied minors who become beneficiaries of international protection</w:t>
      </w:r>
      <w:r>
        <w:rPr>
          <w:noProof/>
        </w:rPr>
        <w:t xml:space="preserve"> and that those guardians represent a proportionate and limited number of unaccompanied minors</w:t>
      </w:r>
      <w:r w:rsidRPr="00C12801">
        <w:rPr>
          <w:noProof/>
        </w:rPr>
        <w:t xml:space="preserve">. </w:t>
      </w:r>
      <w:r>
        <w:rPr>
          <w:noProof/>
        </w:rPr>
        <w:t xml:space="preserve">To comply with the new obligations regarding representation and guardianship, Member States should carry out a </w:t>
      </w:r>
      <w:r w:rsidRPr="00E64E68">
        <w:rPr>
          <w:b/>
          <w:bCs/>
          <w:noProof/>
        </w:rPr>
        <w:t>thorough assessment of the current capacity and shortcomings</w:t>
      </w:r>
      <w:r>
        <w:rPr>
          <w:noProof/>
        </w:rPr>
        <w:t xml:space="preserve">. </w:t>
      </w:r>
      <w:r w:rsidRPr="00C12801">
        <w:rPr>
          <w:noProof/>
        </w:rPr>
        <w:t>Services for unaccompanied minors in transition to adulthood need to be in place to ensure continuous support and services</w:t>
      </w:r>
      <w:r>
        <w:rPr>
          <w:noProof/>
        </w:rPr>
        <w:t>,</w:t>
      </w:r>
      <w:r w:rsidRPr="00C12801">
        <w:rPr>
          <w:noProof/>
        </w:rPr>
        <w:t xml:space="preserve"> prepare the </w:t>
      </w:r>
      <w:r>
        <w:rPr>
          <w:noProof/>
        </w:rPr>
        <w:t xml:space="preserve">transition </w:t>
      </w:r>
      <w:r w:rsidRPr="00C12801">
        <w:rPr>
          <w:noProof/>
        </w:rPr>
        <w:t>from the reception system and help with early integration measures.</w:t>
      </w:r>
    </w:p>
    <w:p w14:paraId="33BAC78D" w14:textId="11E51190" w:rsidR="006B25DA" w:rsidRPr="00C72CB8" w:rsidRDefault="006B25DA" w:rsidP="002740E8">
      <w:pPr>
        <w:pStyle w:val="ListParagraph"/>
        <w:numPr>
          <w:ilvl w:val="0"/>
          <w:numId w:val="28"/>
        </w:numPr>
        <w:spacing w:after="120"/>
        <w:ind w:left="709" w:hanging="425"/>
        <w:contextualSpacing w:val="0"/>
        <w:rPr>
          <w:noProof/>
        </w:rPr>
      </w:pPr>
      <w:r w:rsidRPr="00C72CB8">
        <w:rPr>
          <w:noProof/>
        </w:rPr>
        <w:t xml:space="preserve">Member States will have to ensure that the </w:t>
      </w:r>
      <w:r w:rsidRPr="00E64E68">
        <w:rPr>
          <w:b/>
          <w:bCs/>
          <w:noProof/>
        </w:rPr>
        <w:t>independent mechanism for the</w:t>
      </w:r>
      <w:r w:rsidRPr="00C72CB8">
        <w:rPr>
          <w:noProof/>
        </w:rPr>
        <w:t xml:space="preserve"> </w:t>
      </w:r>
      <w:r w:rsidRPr="00C72CB8">
        <w:rPr>
          <w:b/>
          <w:bCs/>
          <w:noProof/>
        </w:rPr>
        <w:t>monitoring of fundamental rights</w:t>
      </w:r>
      <w:r w:rsidRPr="00C72CB8">
        <w:rPr>
          <w:noProof/>
        </w:rPr>
        <w:t xml:space="preserve"> has sufficient capacity and appropriate financial means to carry out its tasks, including planning and ensuring the relevant partnerships, sufficient qualified personnel, administrative arrangements and running costs. They </w:t>
      </w:r>
      <w:r w:rsidR="00F2017F">
        <w:rPr>
          <w:noProof/>
        </w:rPr>
        <w:t xml:space="preserve">will </w:t>
      </w:r>
      <w:r w:rsidRPr="00C72CB8">
        <w:rPr>
          <w:noProof/>
        </w:rPr>
        <w:t xml:space="preserve">also </w:t>
      </w:r>
      <w:r w:rsidR="00F2017F">
        <w:rPr>
          <w:noProof/>
        </w:rPr>
        <w:t>need</w:t>
      </w:r>
      <w:r w:rsidR="00F2017F" w:rsidRPr="00C72CB8">
        <w:rPr>
          <w:noProof/>
        </w:rPr>
        <w:t xml:space="preserve"> </w:t>
      </w:r>
      <w:r w:rsidRPr="00C72CB8">
        <w:rPr>
          <w:noProof/>
        </w:rPr>
        <w:t>to ensure close links with international and civil society organisations in this continuous process.</w:t>
      </w:r>
    </w:p>
    <w:p w14:paraId="1F8637D4" w14:textId="77777777" w:rsidR="006B25DA" w:rsidRPr="00C12801" w:rsidRDefault="006B25DA" w:rsidP="006B25DA">
      <w:pPr>
        <w:spacing w:after="120"/>
        <w:rPr>
          <w:b/>
          <w:bCs/>
          <w:noProof/>
        </w:rPr>
      </w:pPr>
      <w:r w:rsidRPr="00C12801">
        <w:rPr>
          <w:b/>
          <w:bCs/>
          <w:noProof/>
        </w:rPr>
        <w:t>Commission</w:t>
      </w:r>
    </w:p>
    <w:p w14:paraId="7B187E0E" w14:textId="5D3831D7" w:rsidR="006B25DA" w:rsidRPr="00C12801" w:rsidRDefault="006B25DA" w:rsidP="002740E8">
      <w:pPr>
        <w:pStyle w:val="ListParagraph"/>
        <w:numPr>
          <w:ilvl w:val="0"/>
          <w:numId w:val="28"/>
        </w:numPr>
        <w:spacing w:after="120"/>
        <w:ind w:left="709" w:hanging="425"/>
        <w:contextualSpacing w:val="0"/>
        <w:rPr>
          <w:noProof/>
        </w:rPr>
      </w:pPr>
      <w:r>
        <w:rPr>
          <w:noProof/>
        </w:rPr>
        <w:t xml:space="preserve">The Commission will provide full support </w:t>
      </w:r>
      <w:r w:rsidR="0020468A">
        <w:rPr>
          <w:noProof/>
        </w:rPr>
        <w:t>(including financial support</w:t>
      </w:r>
      <w:r w:rsidR="00D14AE0">
        <w:rPr>
          <w:noProof/>
        </w:rPr>
        <w:t xml:space="preserve">) </w:t>
      </w:r>
      <w:r>
        <w:rPr>
          <w:noProof/>
        </w:rPr>
        <w:t xml:space="preserve">to the implementation of this building block, including by ensuring adequate exchange in the framework of its experts’ </w:t>
      </w:r>
      <w:r w:rsidRPr="00C72CB8">
        <w:rPr>
          <w:noProof/>
        </w:rPr>
        <w:t xml:space="preserve">meetings and </w:t>
      </w:r>
      <w:r w:rsidRPr="00E64E68">
        <w:rPr>
          <w:b/>
          <w:bCs/>
          <w:noProof/>
        </w:rPr>
        <w:t>helping to coordinate and identify best practices in the relevant networks</w:t>
      </w:r>
      <w:r w:rsidRPr="00C72CB8">
        <w:rPr>
          <w:noProof/>
        </w:rPr>
        <w:t>, including the EU Network on children’s rights, meetings of the European Child Guarantees Coordinators or the European Judicial Network in civil and commercial matters.</w:t>
      </w:r>
    </w:p>
    <w:p w14:paraId="4A9F735D" w14:textId="21C8BCEE" w:rsidR="00C72CB8" w:rsidRDefault="006B25DA" w:rsidP="00E64E68">
      <w:pPr>
        <w:pStyle w:val="ListParagraph"/>
        <w:spacing w:after="120"/>
        <w:ind w:left="709"/>
        <w:contextualSpacing w:val="0"/>
        <w:rPr>
          <w:noProof/>
        </w:rPr>
      </w:pPr>
      <w:r>
        <w:rPr>
          <w:noProof/>
        </w:rPr>
        <w:t xml:space="preserve">The Commission will organise a </w:t>
      </w:r>
      <w:r w:rsidRPr="00E64E68">
        <w:rPr>
          <w:b/>
          <w:bCs/>
          <w:noProof/>
        </w:rPr>
        <w:t>dedicated meeting of the expert group on children in migration</w:t>
      </w:r>
      <w:r>
        <w:rPr>
          <w:noProof/>
        </w:rPr>
        <w:t xml:space="preserve"> bringing representatives from the different national administrations to discuss the child-related provisions across all Pact instruments. </w:t>
      </w:r>
    </w:p>
    <w:p w14:paraId="67159376" w14:textId="3F8E2147" w:rsidR="006B25DA" w:rsidRPr="00C12801" w:rsidRDefault="006B25DA" w:rsidP="006B25DA">
      <w:pPr>
        <w:spacing w:after="120"/>
        <w:rPr>
          <w:b/>
          <w:bCs/>
          <w:noProof/>
        </w:rPr>
      </w:pPr>
      <w:r w:rsidRPr="00C12801">
        <w:rPr>
          <w:b/>
          <w:bCs/>
          <w:noProof/>
        </w:rPr>
        <w:t>EU Agencies</w:t>
      </w:r>
    </w:p>
    <w:p w14:paraId="41C6F999" w14:textId="77777777" w:rsidR="006B25DA" w:rsidRPr="00C12801" w:rsidRDefault="006B25DA" w:rsidP="006B25DA">
      <w:pPr>
        <w:spacing w:after="120"/>
        <w:rPr>
          <w:i/>
          <w:iCs/>
          <w:noProof/>
        </w:rPr>
      </w:pPr>
      <w:r w:rsidRPr="00C12801">
        <w:rPr>
          <w:i/>
          <w:iCs/>
          <w:noProof/>
        </w:rPr>
        <w:t xml:space="preserve">Legal obligation </w:t>
      </w:r>
    </w:p>
    <w:p w14:paraId="0962335C" w14:textId="77777777" w:rsidR="006B25DA" w:rsidRPr="00C12801" w:rsidRDefault="006B25DA" w:rsidP="002740E8">
      <w:pPr>
        <w:pStyle w:val="ListParagraph"/>
        <w:numPr>
          <w:ilvl w:val="0"/>
          <w:numId w:val="28"/>
        </w:numPr>
        <w:spacing w:after="120"/>
        <w:ind w:left="709" w:hanging="425"/>
        <w:contextualSpacing w:val="0"/>
        <w:rPr>
          <w:noProof/>
        </w:rPr>
      </w:pPr>
      <w:r>
        <w:rPr>
          <w:noProof/>
        </w:rPr>
        <w:t xml:space="preserve">The EUAA will provide guidance on alternatives to detention and a template for information provision. </w:t>
      </w:r>
    </w:p>
    <w:p w14:paraId="1758FC8F" w14:textId="77777777" w:rsidR="006B25DA" w:rsidRDefault="006B25DA" w:rsidP="002740E8">
      <w:pPr>
        <w:pStyle w:val="ListParagraph"/>
        <w:numPr>
          <w:ilvl w:val="0"/>
          <w:numId w:val="28"/>
        </w:numPr>
        <w:spacing w:after="120"/>
        <w:ind w:left="709" w:hanging="425"/>
        <w:contextualSpacing w:val="0"/>
        <w:rPr>
          <w:noProof/>
        </w:rPr>
      </w:pPr>
      <w:r w:rsidRPr="00C12801">
        <w:rPr>
          <w:noProof/>
        </w:rPr>
        <w:t xml:space="preserve">The EU Fundamental Rights Agency </w:t>
      </w:r>
      <w:r>
        <w:rPr>
          <w:noProof/>
        </w:rPr>
        <w:t xml:space="preserve">(FRA) </w:t>
      </w:r>
      <w:r w:rsidRPr="00C12801">
        <w:rPr>
          <w:noProof/>
        </w:rPr>
        <w:t>will provide guidance on Fundamental Rights Monitoring. This work has already begun and will be shared with Member States in 2024.</w:t>
      </w:r>
      <w:r w:rsidRPr="009B7E3E">
        <w:rPr>
          <w:noProof/>
        </w:rPr>
        <w:t xml:space="preserve"> </w:t>
      </w:r>
    </w:p>
    <w:p w14:paraId="4BDDACE6" w14:textId="77777777" w:rsidR="006B25DA" w:rsidRDefault="006B25DA" w:rsidP="006B25DA">
      <w:pPr>
        <w:spacing w:after="120"/>
        <w:rPr>
          <w:noProof/>
        </w:rPr>
      </w:pPr>
      <w:r w:rsidRPr="004C103C">
        <w:rPr>
          <w:i/>
          <w:iCs/>
          <w:noProof/>
        </w:rPr>
        <w:t>Practical support</w:t>
      </w:r>
      <w:r w:rsidRPr="00C12801">
        <w:rPr>
          <w:noProof/>
        </w:rPr>
        <w:t xml:space="preserve"> </w:t>
      </w:r>
    </w:p>
    <w:p w14:paraId="123EE12E" w14:textId="77777777" w:rsidR="006B25DA" w:rsidRDefault="006B25DA" w:rsidP="002740E8">
      <w:pPr>
        <w:pStyle w:val="ListParagraph"/>
        <w:widowControl w:val="0"/>
        <w:numPr>
          <w:ilvl w:val="0"/>
          <w:numId w:val="28"/>
        </w:numPr>
        <w:spacing w:after="120"/>
        <w:ind w:left="709" w:hanging="425"/>
        <w:contextualSpacing w:val="0"/>
        <w:rPr>
          <w:noProof/>
        </w:rPr>
      </w:pPr>
      <w:r>
        <w:rPr>
          <w:noProof/>
        </w:rPr>
        <w:t>The EUAA will revise its Guidance on Vulnerability - Standards and Indicators to reflect the new legislation and update training modules relating to vulnerability and the protection of minors.</w:t>
      </w:r>
    </w:p>
    <w:p w14:paraId="099A9B4A" w14:textId="65BC90F3" w:rsidR="00B36F1E" w:rsidRDefault="00B36F1E" w:rsidP="002740E8">
      <w:pPr>
        <w:pStyle w:val="ListParagraph"/>
        <w:widowControl w:val="0"/>
        <w:numPr>
          <w:ilvl w:val="0"/>
          <w:numId w:val="28"/>
        </w:numPr>
        <w:spacing w:after="120"/>
        <w:ind w:left="709" w:hanging="425"/>
        <w:contextualSpacing w:val="0"/>
        <w:rPr>
          <w:noProof/>
        </w:rPr>
      </w:pPr>
      <w:r>
        <w:rPr>
          <w:noProof/>
        </w:rPr>
        <w:t>The EUAA will provid</w:t>
      </w:r>
      <w:r w:rsidR="00587E01">
        <w:rPr>
          <w:noProof/>
        </w:rPr>
        <w:t>e</w:t>
      </w:r>
      <w:r>
        <w:rPr>
          <w:noProof/>
        </w:rPr>
        <w:t xml:space="preserve"> operational support for legal counselling</w:t>
      </w:r>
      <w:r w:rsidR="00CC4BE1">
        <w:rPr>
          <w:noProof/>
        </w:rPr>
        <w:t xml:space="preserve"> when requested by Member States</w:t>
      </w:r>
      <w:r>
        <w:rPr>
          <w:noProof/>
        </w:rPr>
        <w:t>.</w:t>
      </w:r>
    </w:p>
    <w:p w14:paraId="11514B39" w14:textId="77777777" w:rsidR="006B25DA" w:rsidRDefault="006B25DA" w:rsidP="002740E8">
      <w:pPr>
        <w:pStyle w:val="ListParagraph"/>
        <w:widowControl w:val="0"/>
        <w:numPr>
          <w:ilvl w:val="0"/>
          <w:numId w:val="28"/>
        </w:numPr>
        <w:spacing w:after="120"/>
        <w:ind w:left="709" w:hanging="425"/>
        <w:contextualSpacing w:val="0"/>
        <w:rPr>
          <w:noProof/>
        </w:rPr>
      </w:pPr>
      <w:r>
        <w:rPr>
          <w:noProof/>
        </w:rPr>
        <w:t>The FRA will update its guidance on minors /guardianship.</w:t>
      </w:r>
    </w:p>
    <w:tbl>
      <w:tblPr>
        <w:tblStyle w:val="TableGrid"/>
        <w:tblW w:w="0" w:type="auto"/>
        <w:tblLook w:val="04A0" w:firstRow="1" w:lastRow="0" w:firstColumn="1" w:lastColumn="0" w:noHBand="0" w:noVBand="1"/>
      </w:tblPr>
      <w:tblGrid>
        <w:gridCol w:w="8834"/>
      </w:tblGrid>
      <w:tr w:rsidR="006B25DA" w14:paraId="497146CF" w14:textId="77777777">
        <w:tc>
          <w:tcPr>
            <w:tcW w:w="8834" w:type="dxa"/>
          </w:tcPr>
          <w:p w14:paraId="76BF954F" w14:textId="77777777" w:rsidR="006B25DA" w:rsidRPr="00373E18" w:rsidRDefault="006B25DA">
            <w:pPr>
              <w:tabs>
                <w:tab w:val="num" w:pos="1332"/>
              </w:tabs>
              <w:spacing w:after="120"/>
              <w:rPr>
                <w:b/>
                <w:i/>
                <w:noProof/>
                <w:u w:val="single"/>
              </w:rPr>
            </w:pPr>
            <w:r w:rsidRPr="00373E18">
              <w:rPr>
                <w:b/>
                <w:i/>
                <w:noProof/>
                <w:szCs w:val="24"/>
                <w:u w:val="single"/>
              </w:rPr>
              <w:t>Key milestones</w:t>
            </w:r>
          </w:p>
          <w:p w14:paraId="2ECFDC1B" w14:textId="77777777" w:rsidR="006B25DA" w:rsidRPr="00C12801" w:rsidRDefault="006B25DA" w:rsidP="006B25DA">
            <w:pPr>
              <w:pStyle w:val="ListDash1"/>
              <w:tabs>
                <w:tab w:val="clear" w:pos="765"/>
                <w:tab w:val="num" w:pos="283"/>
              </w:tabs>
              <w:spacing w:after="120"/>
              <w:ind w:left="284" w:hanging="284"/>
              <w:rPr>
                <w:noProof/>
              </w:rPr>
            </w:pPr>
            <w:r>
              <w:rPr>
                <w:noProof/>
              </w:rPr>
              <w:t>By fourth quarter of 2024, FRA will adopt guidance on Fundamental Rights Monitoring.</w:t>
            </w:r>
          </w:p>
          <w:p w14:paraId="773BBA91" w14:textId="5E6F3C46" w:rsidR="006B25DA" w:rsidRDefault="006B25DA" w:rsidP="006B25DA">
            <w:pPr>
              <w:pStyle w:val="ListDash1"/>
              <w:tabs>
                <w:tab w:val="clear" w:pos="765"/>
                <w:tab w:val="num" w:pos="283"/>
              </w:tabs>
              <w:spacing w:after="120"/>
              <w:ind w:left="284" w:hanging="284"/>
              <w:rPr>
                <w:noProof/>
              </w:rPr>
            </w:pPr>
            <w:r>
              <w:rPr>
                <w:noProof/>
              </w:rPr>
              <w:t>By end of 202</w:t>
            </w:r>
            <w:r w:rsidR="0081584C">
              <w:rPr>
                <w:noProof/>
              </w:rPr>
              <w:t>5</w:t>
            </w:r>
            <w:r>
              <w:rPr>
                <w:noProof/>
              </w:rPr>
              <w:t>, EUAA will develop information provision templates and materials.</w:t>
            </w:r>
          </w:p>
        </w:tc>
      </w:tr>
    </w:tbl>
    <w:p w14:paraId="19B6500A" w14:textId="77777777" w:rsidR="006B25DA" w:rsidRPr="00C12801" w:rsidRDefault="006B25DA" w:rsidP="006B25DA">
      <w:pPr>
        <w:tabs>
          <w:tab w:val="num" w:pos="1332"/>
        </w:tabs>
        <w:spacing w:after="120"/>
        <w:rPr>
          <w:noProof/>
        </w:rPr>
      </w:pPr>
      <w:r w:rsidRPr="00C12801">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14:paraId="3E1714E9" w14:textId="77777777">
        <w:trPr>
          <w:trHeight w:val="572"/>
        </w:trPr>
        <w:tc>
          <w:tcPr>
            <w:tcW w:w="1302" w:type="dxa"/>
            <w:vMerge w:val="restart"/>
            <w:tcBorders>
              <w:right w:val="single" w:sz="4" w:space="0" w:color="FFFFFF" w:themeColor="background1"/>
            </w:tcBorders>
          </w:tcPr>
          <w:p w14:paraId="02294523" w14:textId="48B5D926" w:rsidR="006B25DA" w:rsidRDefault="0093423F">
            <w:pPr>
              <w:pStyle w:val="Text1"/>
              <w:spacing w:before="120" w:after="120"/>
              <w:ind w:left="0"/>
              <w:jc w:val="center"/>
              <w:rPr>
                <w:noProof/>
              </w:rPr>
            </w:pPr>
            <w:r w:rsidRPr="0093423F">
              <w:rPr>
                <w:noProof/>
                <w:lang w:eastAsia="en-GB"/>
              </w:rPr>
              <w:drawing>
                <wp:inline distT="0" distB="0" distL="0" distR="0" wp14:anchorId="03586272" wp14:editId="12C0BC14">
                  <wp:extent cx="662400" cy="662400"/>
                  <wp:effectExtent l="0" t="0" r="0" b="0"/>
                  <wp:docPr id="177" name="Graphic 177">
                    <a:extLst xmlns:a="http://schemas.openxmlformats.org/drawingml/2006/main">
                      <a:ext uri="{FF2B5EF4-FFF2-40B4-BE49-F238E27FC236}">
                        <a16:creationId xmlns:a16="http://schemas.microsoft.com/office/drawing/2014/main" id="{4B23066B-49CD-0256-D49B-CB0D04644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Graphic 176">
                            <a:extLst>
                              <a:ext uri="{FF2B5EF4-FFF2-40B4-BE49-F238E27FC236}">
                                <a16:creationId xmlns:a16="http://schemas.microsoft.com/office/drawing/2014/main" id="{4B23066B-49CD-0256-D49B-CB0D04644FA7}"/>
                              </a:ext>
                            </a:extLst>
                          </pic:cNvPr>
                          <pic:cNvPicPr>
                            <a:picLocks noChangeAspect="1"/>
                          </pic:cNvPicPr>
                        </pic:nvPicPr>
                        <pic:blipFill>
                          <a:blip r:embed="rId38">
                            <a:extLst>
                              <a:ext uri="{96DAC541-7B7A-43D3-8B79-37D633B846F1}">
                                <asvg:svgBlip xmlns:a14="http://schemas.microsoft.com/office/drawing/2010/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r:embed="rId39"/>
                              </a:ext>
                            </a:extLst>
                          </a:blip>
                          <a:stretch>
                            <a:fillRect/>
                          </a:stretch>
                        </pic:blipFill>
                        <pic:spPr>
                          <a:xfrm>
                            <a:off x="0" y="0"/>
                            <a:ext cx="662400" cy="662400"/>
                          </a:xfrm>
                          <a:prstGeom prst="rect">
                            <a:avLst/>
                          </a:prstGeom>
                        </pic:spPr>
                      </pic:pic>
                    </a:graphicData>
                  </a:graphic>
                </wp:inline>
              </w:drawing>
            </w:r>
          </w:p>
        </w:tc>
        <w:tc>
          <w:tcPr>
            <w:tcW w:w="7345" w:type="dxa"/>
            <w:tcBorders>
              <w:left w:val="single" w:sz="4" w:space="0" w:color="FFFFFF" w:themeColor="background1"/>
              <w:bottom w:val="single" w:sz="4" w:space="0" w:color="FFFFFF" w:themeColor="background1"/>
            </w:tcBorders>
          </w:tcPr>
          <w:p w14:paraId="044DF75B" w14:textId="77777777" w:rsidR="006B25DA" w:rsidRPr="0031684F" w:rsidRDefault="006B25DA">
            <w:pPr>
              <w:pStyle w:val="Text1"/>
              <w:spacing w:before="60" w:after="120"/>
              <w:ind w:left="36"/>
              <w:rPr>
                <w:rFonts w:eastAsia="EC Square Sans Pro"/>
                <w:b/>
                <w:bCs/>
                <w:noProof/>
                <w:u w:val="single"/>
              </w:rPr>
            </w:pPr>
            <w:r w:rsidRPr="0031684F">
              <w:rPr>
                <w:rFonts w:eastAsia="EC Square Sans Pro"/>
                <w:b/>
                <w:bCs/>
                <w:noProof/>
                <w:u w:val="single"/>
              </w:rPr>
              <w:t xml:space="preserve">BUILDING BLOCK </w:t>
            </w:r>
            <w:r>
              <w:rPr>
                <w:rFonts w:eastAsia="EC Square Sans Pro"/>
                <w:b/>
                <w:bCs/>
                <w:noProof/>
                <w:u w:val="single"/>
              </w:rPr>
              <w:t>10</w:t>
            </w:r>
          </w:p>
        </w:tc>
      </w:tr>
      <w:tr w:rsidR="006B25DA" w14:paraId="374FCFA6" w14:textId="77777777">
        <w:trPr>
          <w:trHeight w:val="633"/>
        </w:trPr>
        <w:tc>
          <w:tcPr>
            <w:tcW w:w="1302" w:type="dxa"/>
            <w:vMerge/>
            <w:tcBorders>
              <w:right w:val="single" w:sz="4" w:space="0" w:color="FFFFFF" w:themeColor="background1"/>
            </w:tcBorders>
          </w:tcPr>
          <w:p w14:paraId="1689F79E" w14:textId="77777777" w:rsidR="006B25DA"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45ED2FCE" w14:textId="6C6830C1" w:rsidR="006B25DA" w:rsidRPr="0031684F" w:rsidRDefault="006B25DA">
            <w:pPr>
              <w:pStyle w:val="Text1"/>
              <w:ind w:left="2"/>
              <w:rPr>
                <w:b/>
                <w:bCs/>
                <w:noProof/>
              </w:rPr>
            </w:pPr>
            <w:r w:rsidRPr="00553A17">
              <w:rPr>
                <w:b/>
                <w:bCs/>
                <w:noProof/>
              </w:rPr>
              <w:t>Resettlement, Inclusion and Integratio</w:t>
            </w:r>
            <w:r>
              <w:rPr>
                <w:b/>
                <w:bCs/>
                <w:noProof/>
              </w:rPr>
              <w:t>n</w:t>
            </w:r>
          </w:p>
        </w:tc>
      </w:tr>
    </w:tbl>
    <w:p w14:paraId="0BDDD6AB" w14:textId="7E5719F8" w:rsidR="006B25DA" w:rsidRDefault="006B25DA" w:rsidP="006B25DA">
      <w:pPr>
        <w:spacing w:before="120" w:after="120"/>
        <w:rPr>
          <w:noProof/>
        </w:rPr>
      </w:pPr>
      <w:r w:rsidRPr="00C12801">
        <w:rPr>
          <w:noProof/>
        </w:rPr>
        <w:t>The Pact reaffirms the EU</w:t>
      </w:r>
      <w:r w:rsidR="002656D2">
        <w:rPr>
          <w:noProof/>
        </w:rPr>
        <w:t>’s</w:t>
      </w:r>
      <w:r w:rsidRPr="00C12801">
        <w:rPr>
          <w:noProof/>
        </w:rPr>
        <w:t xml:space="preserve"> commitment to enhance safe and legal pathways </w:t>
      </w:r>
      <w:r>
        <w:rPr>
          <w:noProof/>
        </w:rPr>
        <w:t>for those in need of protection.</w:t>
      </w:r>
      <w:r w:rsidRPr="00C12801">
        <w:rPr>
          <w:noProof/>
        </w:rPr>
        <w:t xml:space="preserve"> To provide a viable alternative to irregular and perilous journeys and strengthen partnerships with non-EU countries hosting large populations of refugees, the EU will continue to help meet rising global resettlement needs and enhance the quality of resettlement and humanitarian admission processes. </w:t>
      </w:r>
    </w:p>
    <w:p w14:paraId="58811CE9" w14:textId="74234875" w:rsidR="006B25DA" w:rsidRPr="00C12801" w:rsidRDefault="006B25DA" w:rsidP="006B25DA">
      <w:pPr>
        <w:spacing w:after="120"/>
        <w:rPr>
          <w:noProof/>
        </w:rPr>
      </w:pPr>
      <w:r w:rsidRPr="00C12801">
        <w:rPr>
          <w:noProof/>
        </w:rPr>
        <w:t xml:space="preserve">In addition, Member </w:t>
      </w:r>
      <w:r>
        <w:rPr>
          <w:noProof/>
        </w:rPr>
        <w:t>States’</w:t>
      </w:r>
      <w:r w:rsidRPr="00C12801">
        <w:rPr>
          <w:noProof/>
        </w:rPr>
        <w:t xml:space="preserve"> efforts for the integration and inclusion of migrants remain indispensable for </w:t>
      </w:r>
      <w:r>
        <w:rPr>
          <w:noProof/>
        </w:rPr>
        <w:t xml:space="preserve">a </w:t>
      </w:r>
      <w:r w:rsidRPr="00C12801">
        <w:rPr>
          <w:noProof/>
        </w:rPr>
        <w:t>successful migration and asylum policy</w:t>
      </w:r>
      <w:r>
        <w:rPr>
          <w:noProof/>
        </w:rPr>
        <w:t>. They are also an investment in the long-term cohesion of our societies and our economic well</w:t>
      </w:r>
      <w:r w:rsidR="002656D2">
        <w:rPr>
          <w:noProof/>
        </w:rPr>
        <w:t>-</w:t>
      </w:r>
      <w:r>
        <w:rPr>
          <w:noProof/>
        </w:rPr>
        <w:t>being. Integration support is most effective when it begins</w:t>
      </w:r>
      <w:r w:rsidRPr="00C12801">
        <w:rPr>
          <w:noProof/>
        </w:rPr>
        <w:t xml:space="preserve"> at </w:t>
      </w:r>
      <w:r w:rsidR="000D5B9E">
        <w:rPr>
          <w:noProof/>
        </w:rPr>
        <w:t xml:space="preserve">an </w:t>
      </w:r>
      <w:r w:rsidRPr="00C12801">
        <w:rPr>
          <w:noProof/>
        </w:rPr>
        <w:t>early stage.</w:t>
      </w:r>
      <w:r>
        <w:rPr>
          <w:noProof/>
        </w:rPr>
        <w:t xml:space="preserve"> Working with social and economic partners has often prove</w:t>
      </w:r>
      <w:r w:rsidR="002656D2">
        <w:rPr>
          <w:noProof/>
        </w:rPr>
        <w:t>n</w:t>
      </w:r>
      <w:r>
        <w:rPr>
          <w:noProof/>
        </w:rPr>
        <w:t xml:space="preserve"> crucial to advance the labour market integration of beneficiaries of international protection. Simplifying and expediting the recognition of qualifications and validation of skills of third-country nationals by Member States, as recommended by the Commission in November 2023</w:t>
      </w:r>
      <w:r>
        <w:rPr>
          <w:rStyle w:val="FootnoteReference"/>
          <w:noProof/>
        </w:rPr>
        <w:footnoteReference w:id="43"/>
      </w:r>
      <w:r>
        <w:rPr>
          <w:noProof/>
        </w:rPr>
        <w:t xml:space="preserve">, would facilitate their integration. </w:t>
      </w:r>
    </w:p>
    <w:p w14:paraId="6C3EF8B9" w14:textId="6C73E876" w:rsidR="006B25DA" w:rsidRPr="00C12801" w:rsidRDefault="006B25DA" w:rsidP="006B25DA">
      <w:pPr>
        <w:spacing w:after="120"/>
        <w:rPr>
          <w:noProof/>
        </w:rPr>
      </w:pPr>
      <w:r w:rsidRPr="00C12801">
        <w:rPr>
          <w:noProof/>
        </w:rPr>
        <w:t xml:space="preserve">The Union Resettlement and Humanitarian Admission Framework Regulation (‘the Resettlement Regulation’) builds on the expertise that EU Member States have developed during the implementation of six </w:t>
      </w:r>
      <w:r w:rsidRPr="00C12801">
        <w:rPr>
          <w:i/>
          <w:noProof/>
        </w:rPr>
        <w:t>ad</w:t>
      </w:r>
      <w:r w:rsidR="002656D2">
        <w:rPr>
          <w:i/>
          <w:noProof/>
        </w:rPr>
        <w:t xml:space="preserve"> </w:t>
      </w:r>
      <w:r w:rsidRPr="00C12801">
        <w:rPr>
          <w:i/>
          <w:noProof/>
        </w:rPr>
        <w:t>hoc</w:t>
      </w:r>
      <w:r w:rsidRPr="00C12801">
        <w:rPr>
          <w:noProof/>
        </w:rPr>
        <w:t xml:space="preserve"> EU-funded resettlement and humanitarian admission schemes. It puts the EU’s work on safe and legal pathways to protection on a more permanent footing, whilst </w:t>
      </w:r>
      <w:r>
        <w:rPr>
          <w:noProof/>
        </w:rPr>
        <w:t>fully respecting</w:t>
      </w:r>
      <w:r w:rsidRPr="00C12801">
        <w:rPr>
          <w:noProof/>
        </w:rPr>
        <w:t xml:space="preserve"> the voluntary nature of Member States’ efforts. </w:t>
      </w:r>
    </w:p>
    <w:p w14:paraId="46D8C87E" w14:textId="35A9F160" w:rsidR="006B25DA" w:rsidRPr="00C12801" w:rsidRDefault="006B25DA" w:rsidP="006B25DA">
      <w:pPr>
        <w:spacing w:after="120"/>
        <w:rPr>
          <w:noProof/>
        </w:rPr>
      </w:pPr>
      <w:r w:rsidRPr="00C12801">
        <w:rPr>
          <w:noProof/>
        </w:rPr>
        <w:t xml:space="preserve">The </w:t>
      </w:r>
      <w:r w:rsidR="002656D2">
        <w:rPr>
          <w:noProof/>
        </w:rPr>
        <w:t xml:space="preserve">Resettlement </w:t>
      </w:r>
      <w:r w:rsidRPr="00C12801">
        <w:rPr>
          <w:noProof/>
        </w:rPr>
        <w:t xml:space="preserve">Regulation provides for a harmonised approach for the admission of those in need of protection, including common eligibility criteria and refusal grounds, and aims to foster convergence on the protection status. Furthermore, the new Union Resettlement and Humanitarian Admission Plan will provide details on the number of persons in need of protection to be admitted and on the geographical priorities for such admissions, over a period of two years, enhancing the predictability and reliability of the process. </w:t>
      </w:r>
    </w:p>
    <w:p w14:paraId="05906A36" w14:textId="535088AF" w:rsidR="006B25DA" w:rsidRDefault="006B25DA" w:rsidP="006B25DA">
      <w:pPr>
        <w:spacing w:after="120"/>
        <w:rPr>
          <w:noProof/>
        </w:rPr>
      </w:pPr>
      <w:r w:rsidRPr="00C12801">
        <w:rPr>
          <w:noProof/>
        </w:rPr>
        <w:t xml:space="preserve">The Qualification Regulation further harmonises and clarifies the rights of beneficiaries of international protection, providing Member </w:t>
      </w:r>
      <w:r>
        <w:rPr>
          <w:noProof/>
        </w:rPr>
        <w:t>States</w:t>
      </w:r>
      <w:r w:rsidRPr="00C12801">
        <w:rPr>
          <w:noProof/>
        </w:rPr>
        <w:t xml:space="preserve"> with new opportunities to optimise and promote integration. The effective and swift </w:t>
      </w:r>
      <w:r>
        <w:rPr>
          <w:noProof/>
        </w:rPr>
        <w:t>access to</w:t>
      </w:r>
      <w:r w:rsidRPr="00C12801">
        <w:rPr>
          <w:noProof/>
        </w:rPr>
        <w:t xml:space="preserve"> these rights is of paramount importance to avoid </w:t>
      </w:r>
      <w:r>
        <w:rPr>
          <w:noProof/>
        </w:rPr>
        <w:t>overloading</w:t>
      </w:r>
      <w:r w:rsidRPr="00C12801">
        <w:rPr>
          <w:noProof/>
        </w:rPr>
        <w:t xml:space="preserve"> reception systems for applicants (see building block 3</w:t>
      </w:r>
      <w:r w:rsidRPr="005E1511">
        <w:rPr>
          <w:noProof/>
        </w:rPr>
        <w:t>)</w:t>
      </w:r>
      <w:r w:rsidR="00EA3EE6" w:rsidRPr="005E1511">
        <w:rPr>
          <w:noProof/>
        </w:rPr>
        <w:t>.</w:t>
      </w:r>
      <w:r w:rsidR="005E1511">
        <w:rPr>
          <w:noProof/>
        </w:rPr>
        <w:t xml:space="preserve"> </w:t>
      </w:r>
      <w:r w:rsidRPr="005E1511">
        <w:rPr>
          <w:noProof/>
        </w:rPr>
        <w:t>It is also important for the responsibility rules to work (see building block 6) to ensure Dublin transfers can be implemented.</w:t>
      </w:r>
      <w:r w:rsidRPr="00C12801">
        <w:rPr>
          <w:noProof/>
        </w:rPr>
        <w:t xml:space="preserve"> </w:t>
      </w:r>
    </w:p>
    <w:p w14:paraId="10474454" w14:textId="77777777" w:rsidR="006B25DA" w:rsidRDefault="006B25DA" w:rsidP="006B25DA">
      <w:pPr>
        <w:spacing w:after="120"/>
        <w:rPr>
          <w:noProof/>
        </w:rPr>
      </w:pPr>
      <w:r w:rsidRPr="00C12801">
        <w:rPr>
          <w:noProof/>
        </w:rPr>
        <w:t>Early self-reliance of beneficiaries is an important factor in better overall integration outcomes for beneficiaries and the communities they live in</w:t>
      </w:r>
      <w:r>
        <w:rPr>
          <w:noProof/>
        </w:rPr>
        <w:t>, reducing the financial burden on Member States.</w:t>
      </w:r>
      <w:r w:rsidRPr="00C12801">
        <w:rPr>
          <w:noProof/>
        </w:rPr>
        <w:t xml:space="preserve"> Member States should use the Pact as an opportunity to identify and address any gaps in their integration strategies and ensure the </w:t>
      </w:r>
      <w:r>
        <w:rPr>
          <w:noProof/>
        </w:rPr>
        <w:t>effective</w:t>
      </w:r>
      <w:r w:rsidRPr="00C12801">
        <w:rPr>
          <w:noProof/>
        </w:rPr>
        <w:t xml:space="preserve"> provision of rights to beneficiaries of international protection</w:t>
      </w:r>
      <w:r>
        <w:rPr>
          <w:noProof/>
        </w:rPr>
        <w:t xml:space="preserve"> with a view also to implementing</w:t>
      </w:r>
      <w:r w:rsidRPr="00C12801">
        <w:rPr>
          <w:noProof/>
        </w:rPr>
        <w:t xml:space="preserve"> the </w:t>
      </w:r>
      <w:r>
        <w:rPr>
          <w:noProof/>
        </w:rPr>
        <w:t>objectives</w:t>
      </w:r>
      <w:r w:rsidRPr="00553A17">
        <w:rPr>
          <w:noProof/>
        </w:rPr>
        <w:t xml:space="preserve"> </w:t>
      </w:r>
      <w:r>
        <w:rPr>
          <w:noProof/>
        </w:rPr>
        <w:t>and recommendations</w:t>
      </w:r>
      <w:r w:rsidRPr="00C12801">
        <w:rPr>
          <w:noProof/>
        </w:rPr>
        <w:t xml:space="preserve"> set out in the Action Plan on Integration </w:t>
      </w:r>
      <w:r w:rsidRPr="00C72CB8">
        <w:rPr>
          <w:noProof/>
        </w:rPr>
        <w:t>and Inclusion 2021-2027. In addition to support to labour market integration, ensuring access to education and training, language learning, health care and housing are fundamental part of this.</w:t>
      </w:r>
    </w:p>
    <w:p w14:paraId="19151286" w14:textId="77777777" w:rsidR="006B25DA" w:rsidRDefault="006B25DA" w:rsidP="006B25DA">
      <w:pPr>
        <w:spacing w:after="120"/>
        <w:rPr>
          <w:noProof/>
        </w:rPr>
      </w:pPr>
      <w:r>
        <w:rPr>
          <w:noProof/>
        </w:rPr>
        <w:t xml:space="preserve">The Qualification Regulation also offers opportunities to address unauthorised movements of beneficiaries of international protection among Member States. The new rules foresee that if a beneficiary is found in a Member State other than the one who granted protection without a right to stay or to reside there, the calculation of the 5-year residence period required to be eligible for the long-term residence status will restart. </w:t>
      </w:r>
    </w:p>
    <w:p w14:paraId="58746782" w14:textId="77777777" w:rsidR="006B25DA" w:rsidRPr="00C12801" w:rsidRDefault="006B25DA" w:rsidP="006B25DA">
      <w:pPr>
        <w:spacing w:after="120"/>
        <w:rPr>
          <w:noProof/>
        </w:rPr>
      </w:pPr>
      <w:r>
        <w:rPr>
          <w:noProof/>
        </w:rPr>
        <w:t>In this context</w:t>
      </w:r>
      <w:r w:rsidRPr="00C12801">
        <w:rPr>
          <w:noProof/>
        </w:rPr>
        <w:t xml:space="preserve">, the following actions </w:t>
      </w:r>
      <w:r>
        <w:rPr>
          <w:noProof/>
        </w:rPr>
        <w:t>should</w:t>
      </w:r>
      <w:r w:rsidRPr="00C12801">
        <w:rPr>
          <w:noProof/>
        </w:rPr>
        <w:t xml:space="preserve"> be taken</w:t>
      </w:r>
      <w:r w:rsidRPr="00A04B5D">
        <w:rPr>
          <w:noProof/>
        </w:rPr>
        <w:t xml:space="preserve"> </w:t>
      </w:r>
      <w:r>
        <w:rPr>
          <w:noProof/>
        </w:rPr>
        <w:t>to ensure the effective implementation of this building block:</w:t>
      </w:r>
    </w:p>
    <w:p w14:paraId="04B3D559" w14:textId="295AC261" w:rsidR="006B25DA" w:rsidRPr="00C12801" w:rsidRDefault="006B25DA" w:rsidP="006B25DA">
      <w:pPr>
        <w:tabs>
          <w:tab w:val="num" w:pos="720"/>
        </w:tabs>
        <w:spacing w:after="120"/>
        <w:rPr>
          <w:b/>
          <w:noProof/>
        </w:rPr>
      </w:pPr>
      <w:r w:rsidRPr="00E64E68">
        <w:rPr>
          <w:bCs/>
          <w:noProof/>
        </w:rPr>
        <w:t>As regards the</w:t>
      </w:r>
      <w:r w:rsidRPr="00C12801">
        <w:rPr>
          <w:b/>
          <w:noProof/>
        </w:rPr>
        <w:t xml:space="preserve"> </w:t>
      </w:r>
      <w:r w:rsidR="001D0763">
        <w:rPr>
          <w:b/>
          <w:noProof/>
        </w:rPr>
        <w:t xml:space="preserve">Union </w:t>
      </w:r>
      <w:r w:rsidRPr="00C12801">
        <w:rPr>
          <w:b/>
          <w:noProof/>
        </w:rPr>
        <w:t xml:space="preserve">Resettlement </w:t>
      </w:r>
      <w:r w:rsidR="001D0763">
        <w:rPr>
          <w:b/>
          <w:noProof/>
        </w:rPr>
        <w:t xml:space="preserve">and Humanitarian Admission Framework </w:t>
      </w:r>
      <w:r w:rsidRPr="00C12801">
        <w:rPr>
          <w:b/>
          <w:noProof/>
        </w:rPr>
        <w:t>Regulation</w:t>
      </w:r>
      <w:r w:rsidR="00EA3EE6">
        <w:rPr>
          <w:b/>
          <w:noProof/>
        </w:rPr>
        <w:t>:</w:t>
      </w:r>
    </w:p>
    <w:p w14:paraId="020C7920" w14:textId="77777777" w:rsidR="006B25DA" w:rsidRPr="00C12801" w:rsidRDefault="006B25DA" w:rsidP="006B25DA">
      <w:pPr>
        <w:tabs>
          <w:tab w:val="num" w:pos="720"/>
        </w:tabs>
        <w:spacing w:after="120"/>
        <w:rPr>
          <w:b/>
          <w:noProof/>
        </w:rPr>
      </w:pPr>
      <w:r w:rsidRPr="00C12801">
        <w:rPr>
          <w:b/>
          <w:noProof/>
        </w:rPr>
        <w:t>Member States</w:t>
      </w:r>
    </w:p>
    <w:p w14:paraId="338F602C" w14:textId="77777777" w:rsidR="006B25DA" w:rsidRPr="00C12801" w:rsidRDefault="006B25DA" w:rsidP="006B25DA">
      <w:pPr>
        <w:tabs>
          <w:tab w:val="num" w:pos="720"/>
        </w:tabs>
        <w:spacing w:after="120"/>
        <w:rPr>
          <w:bCs/>
          <w:i/>
          <w:iCs/>
          <w:noProof/>
        </w:rPr>
      </w:pPr>
      <w:r w:rsidRPr="00C12801">
        <w:rPr>
          <w:bCs/>
          <w:i/>
          <w:iCs/>
          <w:noProof/>
        </w:rPr>
        <w:t>Legislative</w:t>
      </w:r>
    </w:p>
    <w:p w14:paraId="1E693D86" w14:textId="77777777" w:rsidR="006B25DA" w:rsidRPr="008C708B" w:rsidRDefault="006B25DA" w:rsidP="002740E8">
      <w:pPr>
        <w:pStyle w:val="ListParagraph"/>
        <w:numPr>
          <w:ilvl w:val="0"/>
          <w:numId w:val="37"/>
        </w:numPr>
        <w:spacing w:after="120"/>
        <w:ind w:hanging="436"/>
        <w:rPr>
          <w:bCs/>
          <w:i/>
          <w:iCs/>
          <w:noProof/>
        </w:rPr>
      </w:pPr>
      <w:r w:rsidRPr="00C12801">
        <w:rPr>
          <w:noProof/>
        </w:rPr>
        <w:t xml:space="preserve">Member States </w:t>
      </w:r>
      <w:r>
        <w:rPr>
          <w:noProof/>
        </w:rPr>
        <w:t xml:space="preserve">should </w:t>
      </w:r>
      <w:r w:rsidRPr="00E64E68">
        <w:rPr>
          <w:b/>
          <w:bCs/>
          <w:noProof/>
        </w:rPr>
        <w:t>review their national regulatory frameworks</w:t>
      </w:r>
      <w:r w:rsidRPr="00C12801">
        <w:rPr>
          <w:noProof/>
        </w:rPr>
        <w:t xml:space="preserve"> and adjust </w:t>
      </w:r>
      <w:r>
        <w:rPr>
          <w:noProof/>
        </w:rPr>
        <w:t xml:space="preserve">them </w:t>
      </w:r>
      <w:r w:rsidRPr="00C12801">
        <w:rPr>
          <w:noProof/>
        </w:rPr>
        <w:t xml:space="preserve">as needed </w:t>
      </w:r>
      <w:r>
        <w:rPr>
          <w:noProof/>
        </w:rPr>
        <w:t xml:space="preserve">to ensure an effective application of the </w:t>
      </w:r>
      <w:r w:rsidRPr="00C12801">
        <w:rPr>
          <w:noProof/>
        </w:rPr>
        <w:t>Resettlement Regulation.</w:t>
      </w:r>
    </w:p>
    <w:p w14:paraId="4669F760" w14:textId="77777777" w:rsidR="006B25DA" w:rsidRPr="00C12801" w:rsidRDefault="006B25DA" w:rsidP="006B25DA">
      <w:pPr>
        <w:tabs>
          <w:tab w:val="num" w:pos="720"/>
        </w:tabs>
        <w:spacing w:after="120"/>
        <w:rPr>
          <w:bCs/>
          <w:i/>
          <w:iCs/>
          <w:noProof/>
        </w:rPr>
      </w:pPr>
      <w:r>
        <w:rPr>
          <w:bCs/>
          <w:i/>
          <w:iCs/>
          <w:noProof/>
        </w:rPr>
        <w:t>Organisation and administrative processes</w:t>
      </w:r>
    </w:p>
    <w:p w14:paraId="6A43F277" w14:textId="089FA386" w:rsidR="006B25DA" w:rsidRPr="007F5710" w:rsidRDefault="006B25DA" w:rsidP="002740E8">
      <w:pPr>
        <w:pStyle w:val="ListParagraph"/>
        <w:numPr>
          <w:ilvl w:val="0"/>
          <w:numId w:val="37"/>
        </w:numPr>
        <w:spacing w:after="120"/>
        <w:ind w:left="721" w:hanging="437"/>
        <w:contextualSpacing w:val="0"/>
        <w:rPr>
          <w:i/>
          <w:noProof/>
        </w:rPr>
      </w:pPr>
      <w:r>
        <w:rPr>
          <w:noProof/>
        </w:rPr>
        <w:t xml:space="preserve">Member States will have to appoint a </w:t>
      </w:r>
      <w:r w:rsidRPr="00E64E68">
        <w:rPr>
          <w:b/>
          <w:bCs/>
          <w:noProof/>
        </w:rPr>
        <w:t>national contact point</w:t>
      </w:r>
      <w:r>
        <w:rPr>
          <w:noProof/>
        </w:rPr>
        <w:t xml:space="preserve"> for the implementation of the Union Resettlement and Humanitarian Admission Plan.</w:t>
      </w:r>
    </w:p>
    <w:p w14:paraId="4BB9C234" w14:textId="19DFD729" w:rsidR="006B25DA" w:rsidRPr="00553A17" w:rsidRDefault="006B25DA" w:rsidP="002740E8">
      <w:pPr>
        <w:pStyle w:val="ListParagraph"/>
        <w:numPr>
          <w:ilvl w:val="0"/>
          <w:numId w:val="37"/>
        </w:numPr>
        <w:spacing w:after="120"/>
        <w:ind w:hanging="436"/>
        <w:rPr>
          <w:noProof/>
        </w:rPr>
      </w:pPr>
      <w:r>
        <w:rPr>
          <w:noProof/>
        </w:rPr>
        <w:t xml:space="preserve">Member States should </w:t>
      </w:r>
      <w:r w:rsidRPr="00E64E68">
        <w:rPr>
          <w:b/>
          <w:bCs/>
          <w:noProof/>
        </w:rPr>
        <w:t>review and adjust national procedures</w:t>
      </w:r>
      <w:r>
        <w:rPr>
          <w:noProof/>
        </w:rPr>
        <w:t xml:space="preserve"> and </w:t>
      </w:r>
      <w:r w:rsidR="0005471C">
        <w:rPr>
          <w:noProof/>
        </w:rPr>
        <w:t>practices and</w:t>
      </w:r>
      <w:r>
        <w:rPr>
          <w:noProof/>
        </w:rPr>
        <w:t xml:space="preserve"> adjust or put in place workflows to respect the obligations set out in the Regulation, notably </w:t>
      </w:r>
      <w:r w:rsidR="00EA3EE6">
        <w:rPr>
          <w:noProof/>
        </w:rPr>
        <w:t>regarding</w:t>
      </w:r>
      <w:r>
        <w:rPr>
          <w:noProof/>
        </w:rPr>
        <w:t xml:space="preserve"> the admission procedure, and the assessment of the eligibility criteria and of the grounds to refuse admission.</w:t>
      </w:r>
    </w:p>
    <w:p w14:paraId="305C3236" w14:textId="77777777" w:rsidR="006B25DA" w:rsidRPr="00C12801" w:rsidRDefault="006B25DA" w:rsidP="006B25DA">
      <w:pPr>
        <w:tabs>
          <w:tab w:val="num" w:pos="720"/>
        </w:tabs>
        <w:spacing w:after="120"/>
        <w:rPr>
          <w:i/>
          <w:iCs/>
          <w:noProof/>
        </w:rPr>
      </w:pPr>
      <w:r w:rsidRPr="00C12801">
        <w:rPr>
          <w:i/>
          <w:iCs/>
          <w:noProof/>
        </w:rPr>
        <w:t>Capacity (human resources, infrastructure, and equipment)</w:t>
      </w:r>
    </w:p>
    <w:p w14:paraId="5BFF1BFB" w14:textId="4B13AED7" w:rsidR="006B25DA" w:rsidRPr="00553A17" w:rsidRDefault="006B25DA" w:rsidP="002740E8">
      <w:pPr>
        <w:pStyle w:val="ListParagraph"/>
        <w:numPr>
          <w:ilvl w:val="0"/>
          <w:numId w:val="37"/>
        </w:numPr>
        <w:spacing w:after="120"/>
        <w:ind w:hanging="436"/>
        <w:rPr>
          <w:noProof/>
        </w:rPr>
      </w:pPr>
      <w:r>
        <w:rPr>
          <w:noProof/>
        </w:rPr>
        <w:t xml:space="preserve">Each Member States </w:t>
      </w:r>
      <w:r w:rsidR="0005471C">
        <w:rPr>
          <w:noProof/>
        </w:rPr>
        <w:t>should</w:t>
      </w:r>
      <w:r>
        <w:rPr>
          <w:noProof/>
        </w:rPr>
        <w:t xml:space="preserve"> provide for sufficient and knowledgeable staff to implement the obligations set out in the Regulation, in particular the admission procedure. </w:t>
      </w:r>
    </w:p>
    <w:p w14:paraId="64E14845" w14:textId="77777777" w:rsidR="006B25DA" w:rsidRPr="00C12801" w:rsidRDefault="006B25DA" w:rsidP="006B25DA">
      <w:pPr>
        <w:tabs>
          <w:tab w:val="num" w:pos="720"/>
        </w:tabs>
        <w:spacing w:after="120"/>
        <w:rPr>
          <w:b/>
          <w:noProof/>
        </w:rPr>
      </w:pPr>
      <w:r w:rsidRPr="00C12801">
        <w:rPr>
          <w:b/>
          <w:noProof/>
        </w:rPr>
        <w:t>Commission</w:t>
      </w:r>
    </w:p>
    <w:p w14:paraId="319E61F9" w14:textId="77777777" w:rsidR="006B25DA" w:rsidRDefault="006B25DA" w:rsidP="006B25DA">
      <w:pPr>
        <w:spacing w:after="120"/>
        <w:rPr>
          <w:i/>
          <w:iCs/>
          <w:noProof/>
        </w:rPr>
      </w:pPr>
      <w:r w:rsidRPr="00C84118">
        <w:rPr>
          <w:bCs/>
          <w:i/>
          <w:iCs/>
          <w:noProof/>
        </w:rPr>
        <w:t>Legal obligations</w:t>
      </w:r>
      <w:r w:rsidRPr="00C84118">
        <w:rPr>
          <w:i/>
          <w:iCs/>
          <w:noProof/>
        </w:rPr>
        <w:t xml:space="preserve"> </w:t>
      </w:r>
    </w:p>
    <w:p w14:paraId="24215E4F" w14:textId="77777777" w:rsidR="006B25DA" w:rsidRPr="00C12801" w:rsidRDefault="006B25DA" w:rsidP="002740E8">
      <w:pPr>
        <w:pStyle w:val="ListParagraph"/>
        <w:numPr>
          <w:ilvl w:val="0"/>
          <w:numId w:val="37"/>
        </w:numPr>
        <w:spacing w:after="120"/>
        <w:ind w:left="721" w:hanging="437"/>
        <w:contextualSpacing w:val="0"/>
        <w:rPr>
          <w:noProof/>
        </w:rPr>
      </w:pPr>
      <w:r>
        <w:rPr>
          <w:noProof/>
        </w:rPr>
        <w:t xml:space="preserve">The Commission will convene the </w:t>
      </w:r>
      <w:r w:rsidRPr="00E64E68">
        <w:rPr>
          <w:b/>
          <w:bCs/>
          <w:noProof/>
        </w:rPr>
        <w:t>High-level Resettlement and Humanitarian Admission Committee</w:t>
      </w:r>
      <w:r>
        <w:rPr>
          <w:noProof/>
        </w:rPr>
        <w:t xml:space="preserve">, which will discuss and advise the Commission on the implementation of the Resettlement Regulation. The High-Level Committee will also provide strategic steer to identify the geographical priorities from which admissions should occur. </w:t>
      </w:r>
    </w:p>
    <w:p w14:paraId="2F2BAFCD" w14:textId="3B4E0428" w:rsidR="006B25DA" w:rsidRPr="00C12801" w:rsidRDefault="006B25DA" w:rsidP="002740E8">
      <w:pPr>
        <w:pStyle w:val="ListParagraph"/>
        <w:numPr>
          <w:ilvl w:val="0"/>
          <w:numId w:val="37"/>
        </w:numPr>
        <w:spacing w:after="120"/>
        <w:rPr>
          <w:noProof/>
        </w:rPr>
      </w:pPr>
      <w:r>
        <w:rPr>
          <w:noProof/>
        </w:rPr>
        <w:t xml:space="preserve">The Commission will propose the 2-year </w:t>
      </w:r>
      <w:r w:rsidRPr="00E64E68">
        <w:rPr>
          <w:b/>
          <w:bCs/>
          <w:noProof/>
        </w:rPr>
        <w:t>Union Resettlement and Humanitarian Admission Plan</w:t>
      </w:r>
      <w:r>
        <w:rPr>
          <w:noProof/>
        </w:rPr>
        <w:t xml:space="preserve">, based on the outcome of the discussion of the High-Level Committee and the UNHCR Projected Global Resettlement Needs. The Plan will include indications on </w:t>
      </w:r>
      <w:r w:rsidRPr="00E64E68">
        <w:rPr>
          <w:b/>
          <w:bCs/>
          <w:noProof/>
        </w:rPr>
        <w:t>Member States’ voluntary contributions</w:t>
      </w:r>
      <w:r>
        <w:rPr>
          <w:noProof/>
        </w:rPr>
        <w:t xml:space="preserve"> pursuant to the Regulation, and an </w:t>
      </w:r>
      <w:r w:rsidRPr="00E64E68">
        <w:rPr>
          <w:b/>
          <w:bCs/>
          <w:noProof/>
        </w:rPr>
        <w:t>indication of the regions</w:t>
      </w:r>
      <w:r>
        <w:rPr>
          <w:noProof/>
        </w:rPr>
        <w:t xml:space="preserve"> from where admission should occur. This Union Plan will be adopted by the Council as an implementing act. </w:t>
      </w:r>
    </w:p>
    <w:p w14:paraId="3A0420AB" w14:textId="3B023837" w:rsidR="006B25DA" w:rsidRPr="00C12801" w:rsidRDefault="006B25DA" w:rsidP="006B25DA">
      <w:pPr>
        <w:spacing w:before="120" w:after="120"/>
        <w:rPr>
          <w:i/>
          <w:iCs/>
          <w:noProof/>
        </w:rPr>
      </w:pPr>
      <w:r w:rsidRPr="00C12801">
        <w:rPr>
          <w:i/>
          <w:iCs/>
          <w:noProof/>
        </w:rPr>
        <w:t xml:space="preserve">Practical </w:t>
      </w:r>
      <w:r w:rsidR="001D0763">
        <w:rPr>
          <w:i/>
          <w:iCs/>
          <w:noProof/>
        </w:rPr>
        <w:t>s</w:t>
      </w:r>
      <w:r w:rsidRPr="00C12801">
        <w:rPr>
          <w:i/>
          <w:iCs/>
          <w:noProof/>
        </w:rPr>
        <w:t>upport</w:t>
      </w:r>
    </w:p>
    <w:p w14:paraId="4B6607C1" w14:textId="77777777" w:rsidR="006B25DA" w:rsidRPr="00C12801" w:rsidRDefault="006B25DA" w:rsidP="002740E8">
      <w:pPr>
        <w:pStyle w:val="ListParagraph"/>
        <w:numPr>
          <w:ilvl w:val="0"/>
          <w:numId w:val="37"/>
        </w:numPr>
        <w:spacing w:after="120"/>
        <w:rPr>
          <w:noProof/>
        </w:rPr>
      </w:pPr>
      <w:r>
        <w:rPr>
          <w:noProof/>
        </w:rPr>
        <w:t>The Commission Resettlement Expert Group and the EUAA Resettlement and Humanitarian Admission Network will provide the opportunities to share best practices, enhance capacity building and foster operational exchanges among Member States and other relevant stakeholders, including international organisations and civil society.</w:t>
      </w:r>
    </w:p>
    <w:p w14:paraId="24444378" w14:textId="77777777" w:rsidR="006B25DA" w:rsidRPr="00C12801" w:rsidRDefault="006B25DA" w:rsidP="006B25DA">
      <w:pPr>
        <w:tabs>
          <w:tab w:val="num" w:pos="720"/>
        </w:tabs>
        <w:spacing w:after="120"/>
        <w:rPr>
          <w:b/>
          <w:noProof/>
        </w:rPr>
      </w:pPr>
      <w:r w:rsidRPr="00C12801">
        <w:rPr>
          <w:b/>
          <w:noProof/>
        </w:rPr>
        <w:t>EU Agencies</w:t>
      </w:r>
    </w:p>
    <w:p w14:paraId="69DD0997" w14:textId="77777777" w:rsidR="006B25DA" w:rsidRPr="00C12801" w:rsidRDefault="006B25DA" w:rsidP="002740E8">
      <w:pPr>
        <w:pStyle w:val="ListParagraph"/>
        <w:numPr>
          <w:ilvl w:val="0"/>
          <w:numId w:val="37"/>
        </w:numPr>
        <w:spacing w:after="120"/>
        <w:ind w:left="714" w:hanging="357"/>
        <w:contextualSpacing w:val="0"/>
        <w:rPr>
          <w:noProof/>
        </w:rPr>
      </w:pPr>
      <w:r>
        <w:rPr>
          <w:noProof/>
        </w:rPr>
        <w:t>The EUAA will play a key role in providing operational support to Member States in the implementation of the Union Resettlement and Humanitarian Admission Framework.</w:t>
      </w:r>
    </w:p>
    <w:p w14:paraId="5FC5CC22" w14:textId="5F336CF8" w:rsidR="006B25DA" w:rsidRPr="00C12801" w:rsidRDefault="006B25DA" w:rsidP="006B25DA">
      <w:pPr>
        <w:tabs>
          <w:tab w:val="num" w:pos="720"/>
        </w:tabs>
        <w:spacing w:after="120"/>
        <w:rPr>
          <w:noProof/>
          <w:lang w:val="en-US"/>
        </w:rPr>
      </w:pPr>
      <w:r w:rsidRPr="00C12801">
        <w:rPr>
          <w:noProof/>
          <w:lang w:val="en-US"/>
        </w:rPr>
        <w:t xml:space="preserve">As regards the </w:t>
      </w:r>
      <w:r w:rsidRPr="00C12801">
        <w:rPr>
          <w:b/>
          <w:bCs/>
          <w:noProof/>
          <w:lang w:val="en-US"/>
        </w:rPr>
        <w:t>Qualification Regulation</w:t>
      </w:r>
      <w:r w:rsidR="001D0763">
        <w:rPr>
          <w:noProof/>
          <w:lang w:val="en-US"/>
        </w:rPr>
        <w:t>:</w:t>
      </w:r>
      <w:r w:rsidR="001D0763" w:rsidRPr="00C12801">
        <w:rPr>
          <w:noProof/>
          <w:lang w:val="en-US"/>
        </w:rPr>
        <w:t xml:space="preserve"> </w:t>
      </w:r>
    </w:p>
    <w:p w14:paraId="42350BDE" w14:textId="77777777" w:rsidR="006B25DA" w:rsidRPr="00C12801" w:rsidRDefault="006B25DA" w:rsidP="006B25DA">
      <w:pPr>
        <w:tabs>
          <w:tab w:val="num" w:pos="720"/>
        </w:tabs>
        <w:spacing w:after="120"/>
        <w:rPr>
          <w:b/>
          <w:bCs/>
          <w:noProof/>
        </w:rPr>
      </w:pPr>
      <w:r w:rsidRPr="00C12801">
        <w:rPr>
          <w:b/>
          <w:bCs/>
          <w:noProof/>
        </w:rPr>
        <w:t>Member States</w:t>
      </w:r>
    </w:p>
    <w:p w14:paraId="0815237C" w14:textId="77777777" w:rsidR="006B25DA" w:rsidRPr="00603EF4" w:rsidRDefault="006B25DA" w:rsidP="006B25DA">
      <w:pPr>
        <w:tabs>
          <w:tab w:val="num" w:pos="720"/>
        </w:tabs>
        <w:spacing w:after="120"/>
        <w:rPr>
          <w:i/>
          <w:iCs/>
          <w:noProof/>
        </w:rPr>
      </w:pPr>
      <w:r w:rsidRPr="00603EF4">
        <w:rPr>
          <w:i/>
          <w:iCs/>
          <w:noProof/>
        </w:rPr>
        <w:t>Legislative</w:t>
      </w:r>
    </w:p>
    <w:p w14:paraId="2DFF0BBD" w14:textId="6F50F842" w:rsidR="006B25DA" w:rsidRDefault="006B25DA" w:rsidP="002740E8">
      <w:pPr>
        <w:pStyle w:val="ListParagraph"/>
        <w:numPr>
          <w:ilvl w:val="0"/>
          <w:numId w:val="40"/>
        </w:numPr>
        <w:spacing w:after="120"/>
        <w:ind w:left="709"/>
        <w:rPr>
          <w:noProof/>
        </w:rPr>
      </w:pPr>
      <w:r>
        <w:rPr>
          <w:noProof/>
        </w:rPr>
        <w:t xml:space="preserve">Member States should </w:t>
      </w:r>
      <w:r w:rsidRPr="00E64E68">
        <w:rPr>
          <w:b/>
          <w:bCs/>
          <w:noProof/>
        </w:rPr>
        <w:t>review and adjust as needed their regulatory frameworks</w:t>
      </w:r>
      <w:r>
        <w:rPr>
          <w:noProof/>
        </w:rPr>
        <w:t xml:space="preserve"> to ensure the new elements of the Qualification Regulation can be applied effectively at national level, notably in relation to residence permits and travel documents, freedom of movement of beneficiaries of international protection, access to </w:t>
      </w:r>
      <w:r w:rsidRPr="00C72CB8">
        <w:rPr>
          <w:noProof/>
        </w:rPr>
        <w:t>education for adults</w:t>
      </w:r>
      <w:r>
        <w:rPr>
          <w:rStyle w:val="FootnoteReference"/>
          <w:noProof/>
        </w:rPr>
        <w:footnoteReference w:id="44"/>
      </w:r>
      <w:r>
        <w:rPr>
          <w:noProof/>
        </w:rPr>
        <w:t xml:space="preserve">, equal treatment for terms of employment, freedom of association and affiliation and employment-related educational opportunities for adults, validation of skills, ‘core benefits’, or possible conditionality of certain forms of social assistance to the effective participation in integration measures. </w:t>
      </w:r>
    </w:p>
    <w:p w14:paraId="2C721446" w14:textId="77777777" w:rsidR="006B25DA" w:rsidRPr="00603EF4" w:rsidRDefault="006B25DA" w:rsidP="006B25DA">
      <w:pPr>
        <w:spacing w:after="120"/>
        <w:rPr>
          <w:i/>
          <w:iCs/>
          <w:noProof/>
        </w:rPr>
      </w:pPr>
      <w:r>
        <w:rPr>
          <w:i/>
          <w:iCs/>
          <w:noProof/>
        </w:rPr>
        <w:t>Organisation and administrative processes</w:t>
      </w:r>
    </w:p>
    <w:p w14:paraId="2F808744" w14:textId="26050DA5" w:rsidR="006B25DA" w:rsidRDefault="006B25DA" w:rsidP="002740E8">
      <w:pPr>
        <w:pStyle w:val="ListParagraph"/>
        <w:numPr>
          <w:ilvl w:val="0"/>
          <w:numId w:val="28"/>
        </w:numPr>
        <w:spacing w:after="120"/>
        <w:ind w:left="709" w:hanging="425"/>
        <w:contextualSpacing w:val="0"/>
        <w:rPr>
          <w:noProof/>
        </w:rPr>
      </w:pPr>
      <w:r>
        <w:rPr>
          <w:noProof/>
        </w:rPr>
        <w:t xml:space="preserve">Member States will have to appoint a </w:t>
      </w:r>
      <w:r w:rsidRPr="00E64E68">
        <w:rPr>
          <w:b/>
          <w:bCs/>
          <w:noProof/>
        </w:rPr>
        <w:t>national contact point</w:t>
      </w:r>
      <w:r>
        <w:rPr>
          <w:noProof/>
        </w:rPr>
        <w:t xml:space="preserve"> for the implementation of the </w:t>
      </w:r>
      <w:r w:rsidR="00391145">
        <w:rPr>
          <w:noProof/>
        </w:rPr>
        <w:t xml:space="preserve">Qualification </w:t>
      </w:r>
      <w:r>
        <w:rPr>
          <w:noProof/>
        </w:rPr>
        <w:t>Regulation.</w:t>
      </w:r>
    </w:p>
    <w:p w14:paraId="70D1FA44" w14:textId="6F567C8D" w:rsidR="006B25DA" w:rsidRDefault="006B25DA" w:rsidP="002740E8">
      <w:pPr>
        <w:pStyle w:val="ListParagraph"/>
        <w:numPr>
          <w:ilvl w:val="0"/>
          <w:numId w:val="28"/>
        </w:numPr>
        <w:spacing w:after="120"/>
        <w:ind w:left="709" w:hanging="425"/>
        <w:contextualSpacing w:val="0"/>
        <w:rPr>
          <w:noProof/>
        </w:rPr>
      </w:pPr>
      <w:r w:rsidRPr="00553A17">
        <w:rPr>
          <w:noProof/>
        </w:rPr>
        <w:t>Member States</w:t>
      </w:r>
      <w:r w:rsidRPr="006043F9">
        <w:rPr>
          <w:noProof/>
        </w:rPr>
        <w:t xml:space="preserve"> should </w:t>
      </w:r>
      <w:r w:rsidRPr="00E64E68">
        <w:rPr>
          <w:b/>
          <w:bCs/>
          <w:noProof/>
        </w:rPr>
        <w:t>review and adjust national procedures</w:t>
      </w:r>
      <w:r w:rsidRPr="00553A17">
        <w:rPr>
          <w:noProof/>
        </w:rPr>
        <w:t xml:space="preserve"> as needed, </w:t>
      </w:r>
      <w:r>
        <w:rPr>
          <w:noProof/>
        </w:rPr>
        <w:t>notably</w:t>
      </w:r>
      <w:r w:rsidRPr="00553A17">
        <w:rPr>
          <w:noProof/>
        </w:rPr>
        <w:t xml:space="preserve"> to </w:t>
      </w:r>
      <w:r>
        <w:rPr>
          <w:noProof/>
        </w:rPr>
        <w:t xml:space="preserve">comply with the obligation to </w:t>
      </w:r>
      <w:r w:rsidRPr="00553A17">
        <w:rPr>
          <w:noProof/>
        </w:rPr>
        <w:t xml:space="preserve">issue residence permits </w:t>
      </w:r>
      <w:r>
        <w:rPr>
          <w:noProof/>
        </w:rPr>
        <w:t xml:space="preserve">and travel documents </w:t>
      </w:r>
      <w:r w:rsidRPr="00553A17">
        <w:rPr>
          <w:noProof/>
        </w:rPr>
        <w:t>within the new time limits</w:t>
      </w:r>
      <w:r>
        <w:rPr>
          <w:noProof/>
        </w:rPr>
        <w:t xml:space="preserve"> (residence permits have to be issued within 90 days from the notification of the decision granting international protection) and compliance with EU uniform formats and stan</w:t>
      </w:r>
      <w:r w:rsidRPr="008554CA">
        <w:rPr>
          <w:noProof/>
        </w:rPr>
        <w:t>dards</w:t>
      </w:r>
      <w:r>
        <w:rPr>
          <w:noProof/>
        </w:rPr>
        <w:t> </w:t>
      </w:r>
      <w:r w:rsidRPr="008554CA">
        <w:rPr>
          <w:noProof/>
          <w:vertAlign w:val="superscript"/>
        </w:rPr>
        <w:footnoteReference w:id="45"/>
      </w:r>
      <w:r w:rsidRPr="008554CA">
        <w:rPr>
          <w:noProof/>
        </w:rPr>
        <w:t xml:space="preserve">. </w:t>
      </w:r>
      <w:r>
        <w:rPr>
          <w:noProof/>
        </w:rPr>
        <w:t xml:space="preserve">Travel documents have to be valid for more than a year. </w:t>
      </w:r>
      <w:r w:rsidRPr="008554CA">
        <w:rPr>
          <w:noProof/>
        </w:rPr>
        <w:t>Member</w:t>
      </w:r>
      <w:r>
        <w:rPr>
          <w:noProof/>
        </w:rPr>
        <w:t xml:space="preserve"> States should review and have to adjust if needed the fees for issuing residence permits as they must be free of charge or not exceed the fees attached to ID documents for nationals. They will also have to take the administrative measures (‘provisional measures’) required to ensure beneficiaries have access to their rights if the residence permit is not issued within 15 days from the decision granting international protection. They should also take the necessary measures to maintain family unit when issuing residence permits. </w:t>
      </w:r>
    </w:p>
    <w:p w14:paraId="427AF63E" w14:textId="17CCCE17" w:rsidR="006B25DA"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E64E68">
        <w:rPr>
          <w:b/>
          <w:bCs/>
          <w:noProof/>
        </w:rPr>
        <w:t xml:space="preserve">review and adjust as needed procedures for the detection of </w:t>
      </w:r>
      <w:r w:rsidR="00677958">
        <w:rPr>
          <w:b/>
          <w:bCs/>
          <w:noProof/>
        </w:rPr>
        <w:t xml:space="preserve">unauthorised </w:t>
      </w:r>
      <w:r w:rsidRPr="00E64E68">
        <w:rPr>
          <w:b/>
          <w:bCs/>
          <w:noProof/>
        </w:rPr>
        <w:t>movements of beneficiaries of international protection</w:t>
      </w:r>
      <w:r>
        <w:rPr>
          <w:noProof/>
        </w:rPr>
        <w:t xml:space="preserve"> and they have to ensure the necessary restarting of the period of residence required to be eligible for the long-term residence status.</w:t>
      </w:r>
    </w:p>
    <w:p w14:paraId="024585F7" w14:textId="77777777" w:rsidR="006B25DA"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E64E68">
        <w:rPr>
          <w:b/>
          <w:bCs/>
          <w:noProof/>
        </w:rPr>
        <w:t>review/develop workflows for timely access to early integration measures</w:t>
      </w:r>
      <w:r>
        <w:rPr>
          <w:noProof/>
        </w:rPr>
        <w:t xml:space="preserve"> and transition support for applicants for international protection once they are granted protection.</w:t>
      </w:r>
    </w:p>
    <w:p w14:paraId="4030F540" w14:textId="48AA6478" w:rsidR="006B25DA" w:rsidRPr="00C72CB8" w:rsidRDefault="006B25DA" w:rsidP="002740E8">
      <w:pPr>
        <w:pStyle w:val="ListParagraph"/>
        <w:numPr>
          <w:ilvl w:val="0"/>
          <w:numId w:val="28"/>
        </w:numPr>
        <w:spacing w:after="120"/>
        <w:ind w:left="709" w:hanging="425"/>
        <w:contextualSpacing w:val="0"/>
        <w:rPr>
          <w:noProof/>
        </w:rPr>
      </w:pPr>
      <w:r>
        <w:rPr>
          <w:noProof/>
        </w:rPr>
        <w:t xml:space="preserve">Member States should </w:t>
      </w:r>
      <w:r w:rsidRPr="00E64E68">
        <w:rPr>
          <w:b/>
          <w:bCs/>
          <w:noProof/>
        </w:rPr>
        <w:t xml:space="preserve">review and if needed update or set up the procedures required to ensure the recognition of </w:t>
      </w:r>
      <w:r w:rsidR="00090FCD" w:rsidRPr="00E64E68">
        <w:rPr>
          <w:b/>
          <w:bCs/>
          <w:noProof/>
        </w:rPr>
        <w:t xml:space="preserve">qualifications </w:t>
      </w:r>
      <w:r w:rsidR="00090FCD">
        <w:rPr>
          <w:b/>
          <w:bCs/>
          <w:noProof/>
        </w:rPr>
        <w:t xml:space="preserve">and of </w:t>
      </w:r>
      <w:r w:rsidRPr="00E64E68">
        <w:rPr>
          <w:b/>
          <w:bCs/>
          <w:noProof/>
        </w:rPr>
        <w:t>prior learning outcomes and experience (‘validation of skills’) of beneficiaries of international protection</w:t>
      </w:r>
      <w:r w:rsidRPr="00C72CB8">
        <w:rPr>
          <w:noProof/>
        </w:rPr>
        <w:t xml:space="preserve">. Member States are encouraged to make full use of the actions included in the Commission Recommendation on recognition of </w:t>
      </w:r>
      <w:r w:rsidR="00E01054">
        <w:rPr>
          <w:noProof/>
        </w:rPr>
        <w:t>qualifications</w:t>
      </w:r>
      <w:r w:rsidR="00745D96">
        <w:rPr>
          <w:noProof/>
        </w:rPr>
        <w:t xml:space="preserve"> of third-country nationals</w:t>
      </w:r>
      <w:r w:rsidRPr="00C72CB8">
        <w:rPr>
          <w:rStyle w:val="FootnoteReference"/>
          <w:noProof/>
        </w:rPr>
        <w:footnoteReference w:id="46"/>
      </w:r>
      <w:r w:rsidRPr="00C72CB8">
        <w:rPr>
          <w:noProof/>
        </w:rPr>
        <w:t>. If access to certain forms of social assistance is made conditional on the effective participation in integration measures, Member States will also have to take the necessary administrative measures to ensure these integration measures are accessible and free of charge (unless the beneficiary has sufficient means).</w:t>
      </w:r>
    </w:p>
    <w:p w14:paraId="1C579028" w14:textId="77777777" w:rsidR="006B25DA" w:rsidRDefault="006B25DA" w:rsidP="002740E8">
      <w:pPr>
        <w:pStyle w:val="ListParagraph"/>
        <w:numPr>
          <w:ilvl w:val="0"/>
          <w:numId w:val="28"/>
        </w:numPr>
        <w:spacing w:after="120"/>
        <w:ind w:left="709" w:hanging="425"/>
        <w:contextualSpacing w:val="0"/>
        <w:rPr>
          <w:noProof/>
        </w:rPr>
      </w:pPr>
      <w:r>
        <w:rPr>
          <w:noProof/>
        </w:rPr>
        <w:t xml:space="preserve">Member States will </w:t>
      </w:r>
      <w:r w:rsidRPr="00C12801">
        <w:rPr>
          <w:noProof/>
        </w:rPr>
        <w:t xml:space="preserve">have to </w:t>
      </w:r>
      <w:r>
        <w:rPr>
          <w:noProof/>
        </w:rPr>
        <w:t>provide the</w:t>
      </w:r>
      <w:r w:rsidRPr="00C12801">
        <w:rPr>
          <w:noProof/>
        </w:rPr>
        <w:t xml:space="preserve"> </w:t>
      </w:r>
      <w:r w:rsidRPr="008C708B">
        <w:rPr>
          <w:bCs/>
          <w:noProof/>
        </w:rPr>
        <w:t>information</w:t>
      </w:r>
      <w:r>
        <w:rPr>
          <w:bCs/>
          <w:noProof/>
        </w:rPr>
        <w:t xml:space="preserve"> included in Annex I of the Regulation.</w:t>
      </w:r>
    </w:p>
    <w:p w14:paraId="664201A1" w14:textId="77777777" w:rsidR="006B25DA" w:rsidRPr="00603EF4" w:rsidRDefault="006B25DA" w:rsidP="006B25DA">
      <w:pPr>
        <w:spacing w:after="120"/>
        <w:rPr>
          <w:i/>
          <w:iCs/>
          <w:noProof/>
        </w:rPr>
      </w:pPr>
      <w:r w:rsidRPr="00603EF4">
        <w:rPr>
          <w:i/>
          <w:iCs/>
          <w:noProof/>
        </w:rPr>
        <w:t>Capacity (human resources, infrastructure, and equipment)</w:t>
      </w:r>
    </w:p>
    <w:p w14:paraId="0D45790C" w14:textId="77777777" w:rsidR="006B25DA" w:rsidRPr="00C72CB8" w:rsidRDefault="006B25DA" w:rsidP="002740E8">
      <w:pPr>
        <w:pStyle w:val="ListParagraph"/>
        <w:numPr>
          <w:ilvl w:val="0"/>
          <w:numId w:val="28"/>
        </w:numPr>
        <w:spacing w:after="120"/>
        <w:ind w:left="709" w:hanging="425"/>
        <w:contextualSpacing w:val="0"/>
        <w:rPr>
          <w:noProof/>
        </w:rPr>
      </w:pPr>
      <w:r>
        <w:rPr>
          <w:noProof/>
        </w:rPr>
        <w:t xml:space="preserve">Member </w:t>
      </w:r>
      <w:r w:rsidRPr="00C72CB8">
        <w:rPr>
          <w:noProof/>
        </w:rPr>
        <w:t xml:space="preserve">States should ensure capacity to </w:t>
      </w:r>
      <w:r w:rsidRPr="00E64E68">
        <w:rPr>
          <w:b/>
          <w:bCs/>
          <w:noProof/>
        </w:rPr>
        <w:t>develop and disseminate adapted communication and information material to beneficiaries of international protection</w:t>
      </w:r>
      <w:r w:rsidRPr="00C72CB8">
        <w:rPr>
          <w:noProof/>
        </w:rPr>
        <w:t xml:space="preserve"> on their rights and obligations, in accordance with Annex 1 of the Regulation including the information on consequence of not complying with the obligations.</w:t>
      </w:r>
    </w:p>
    <w:p w14:paraId="3D4188FE" w14:textId="77777777" w:rsidR="006B25DA" w:rsidRDefault="006B25DA" w:rsidP="002740E8">
      <w:pPr>
        <w:pStyle w:val="ListParagraph"/>
        <w:numPr>
          <w:ilvl w:val="0"/>
          <w:numId w:val="28"/>
        </w:numPr>
        <w:spacing w:after="120"/>
        <w:ind w:left="709" w:hanging="425"/>
        <w:contextualSpacing w:val="0"/>
        <w:rPr>
          <w:noProof/>
        </w:rPr>
      </w:pPr>
      <w:r w:rsidRPr="00C72CB8">
        <w:rPr>
          <w:noProof/>
        </w:rPr>
        <w:t xml:space="preserve">Member States should ensure sufficient staff and equipment to deliver </w:t>
      </w:r>
      <w:r w:rsidRPr="00E64E68">
        <w:rPr>
          <w:b/>
          <w:bCs/>
          <w:noProof/>
        </w:rPr>
        <w:t>residence permits as well as travel documents within the new timelines</w:t>
      </w:r>
      <w:r w:rsidRPr="00C72CB8">
        <w:rPr>
          <w:noProof/>
        </w:rPr>
        <w:t xml:space="preserve"> (residence permits within 90 days from the notification of the decision granting international protection) and standards. Member States should also ensure sufficient capacity (staff, equipment) to deliver provisional measures (e.</w:t>
      </w:r>
      <w:r>
        <w:rPr>
          <w:noProof/>
        </w:rPr>
        <w:t xml:space="preserve">g., temporary residence permits) to ensure access to rights if residence permits are not issued within 15 days from the decision granting international protection. </w:t>
      </w:r>
    </w:p>
    <w:p w14:paraId="0AC550AE" w14:textId="30C5B53C" w:rsidR="00C72CB8" w:rsidRDefault="006B25DA" w:rsidP="002740E8">
      <w:pPr>
        <w:pStyle w:val="ListParagraph"/>
        <w:numPr>
          <w:ilvl w:val="0"/>
          <w:numId w:val="28"/>
        </w:numPr>
        <w:spacing w:after="120"/>
        <w:ind w:left="709" w:hanging="425"/>
        <w:contextualSpacing w:val="0"/>
        <w:rPr>
          <w:noProof/>
        </w:rPr>
      </w:pPr>
      <w:r>
        <w:rPr>
          <w:noProof/>
        </w:rPr>
        <w:t xml:space="preserve">Member States </w:t>
      </w:r>
      <w:r w:rsidR="00CA051D">
        <w:rPr>
          <w:noProof/>
        </w:rPr>
        <w:t xml:space="preserve">will need to </w:t>
      </w:r>
      <w:r w:rsidRPr="00E64E68">
        <w:rPr>
          <w:b/>
          <w:bCs/>
          <w:noProof/>
        </w:rPr>
        <w:t xml:space="preserve">review and adjust capacities as needed to provide effective access to the rights </w:t>
      </w:r>
      <w:r w:rsidR="00066652">
        <w:rPr>
          <w:b/>
          <w:bCs/>
          <w:noProof/>
        </w:rPr>
        <w:t xml:space="preserve">to beneficiaries of international protection as </w:t>
      </w:r>
      <w:r w:rsidRPr="00C72CB8">
        <w:rPr>
          <w:noProof/>
        </w:rPr>
        <w:t xml:space="preserve">set out in the Qualification Regulation. In this sense, Member States </w:t>
      </w:r>
      <w:r w:rsidR="00066652">
        <w:rPr>
          <w:noProof/>
        </w:rPr>
        <w:t>will need to have</w:t>
      </w:r>
      <w:r w:rsidRPr="00C72CB8">
        <w:rPr>
          <w:noProof/>
        </w:rPr>
        <w:t xml:space="preserve"> sufficient capacity to provide effective access to the labour market, equal treatment for terms of employment, freedom of association and affiliation and employment-related educational opportunities for adults, social security and social assistance (the minimum ‘core benefits’ </w:t>
      </w:r>
      <w:r w:rsidRPr="00C72CB8">
        <w:rPr>
          <w:rStyle w:val="FootnoteReference"/>
          <w:noProof/>
        </w:rPr>
        <w:footnoteReference w:id="47"/>
      </w:r>
      <w:r w:rsidRPr="00C72CB8">
        <w:rPr>
          <w:noProof/>
        </w:rPr>
        <w:t>), healthcare, integration measures, education and training for both children and adults, recognition of qualifications and validation of skills as well as access to accommodation, building on the efforts made when implementing the recast</w:t>
      </w:r>
      <w:r>
        <w:rPr>
          <w:noProof/>
        </w:rPr>
        <w:t xml:space="preserve"> </w:t>
      </w:r>
      <w:r w:rsidRPr="00553A17">
        <w:rPr>
          <w:noProof/>
        </w:rPr>
        <w:t>Reception Conditions Directive.</w:t>
      </w:r>
      <w:r>
        <w:rPr>
          <w:noProof/>
        </w:rPr>
        <w:t xml:space="preserve"> </w:t>
      </w:r>
    </w:p>
    <w:p w14:paraId="163144A1" w14:textId="62199711" w:rsidR="006B25DA" w:rsidRDefault="006B25DA" w:rsidP="00C72CB8">
      <w:pPr>
        <w:pStyle w:val="ListParagraph"/>
        <w:spacing w:after="120"/>
        <w:ind w:left="709"/>
        <w:contextualSpacing w:val="0"/>
        <w:rPr>
          <w:noProof/>
        </w:rPr>
      </w:pPr>
      <w:r>
        <w:rPr>
          <w:noProof/>
        </w:rPr>
        <w:t xml:space="preserve">Member States are encouraged to follow a </w:t>
      </w:r>
      <w:r w:rsidRPr="00E64E68">
        <w:rPr>
          <w:b/>
          <w:bCs/>
          <w:noProof/>
        </w:rPr>
        <w:t>multi-stakeholder approach</w:t>
      </w:r>
      <w:r>
        <w:rPr>
          <w:noProof/>
        </w:rPr>
        <w:t xml:space="preserve">, including cooperation with social and economic partners, international and civil society organisations, in particular migrant-led organisation, and local and regional authorities. </w:t>
      </w:r>
    </w:p>
    <w:p w14:paraId="7B228B7B" w14:textId="77777777" w:rsidR="006B25DA" w:rsidRDefault="006B25DA" w:rsidP="002740E8">
      <w:pPr>
        <w:pStyle w:val="ListParagraph"/>
        <w:numPr>
          <w:ilvl w:val="0"/>
          <w:numId w:val="28"/>
        </w:numPr>
        <w:spacing w:after="120"/>
        <w:ind w:left="709" w:hanging="425"/>
        <w:contextualSpacing w:val="0"/>
        <w:rPr>
          <w:noProof/>
        </w:rPr>
      </w:pPr>
      <w:r>
        <w:rPr>
          <w:noProof/>
        </w:rPr>
        <w:t xml:space="preserve">Member States will have to ensure that authorities and organisations applying the Qualification Regulation have received the necessary training and are bound by the principle of confidentiality in relation to personal information they acquired in the performance of their duties (which has to be laid down in national law). </w:t>
      </w:r>
    </w:p>
    <w:p w14:paraId="774DFA52" w14:textId="77777777" w:rsidR="006B25DA" w:rsidRPr="00C12801" w:rsidRDefault="006B25DA" w:rsidP="001228CD">
      <w:pPr>
        <w:keepNext/>
        <w:spacing w:after="120"/>
        <w:rPr>
          <w:b/>
          <w:noProof/>
          <w:lang w:val="en-US"/>
        </w:rPr>
      </w:pPr>
      <w:r w:rsidRPr="00C12801">
        <w:rPr>
          <w:b/>
          <w:noProof/>
          <w:lang w:val="en-US"/>
        </w:rPr>
        <w:t xml:space="preserve">Commission/EU Agencies </w:t>
      </w:r>
    </w:p>
    <w:p w14:paraId="058919BF" w14:textId="77777777" w:rsidR="006B25DA" w:rsidRPr="00C12801" w:rsidRDefault="006B25DA" w:rsidP="001228CD">
      <w:pPr>
        <w:pStyle w:val="ListParagraph"/>
        <w:keepNext/>
        <w:numPr>
          <w:ilvl w:val="0"/>
          <w:numId w:val="28"/>
        </w:numPr>
        <w:spacing w:after="120"/>
        <w:ind w:left="709" w:hanging="425"/>
        <w:contextualSpacing w:val="0"/>
        <w:rPr>
          <w:noProof/>
        </w:rPr>
      </w:pPr>
      <w:r>
        <w:rPr>
          <w:noProof/>
        </w:rPr>
        <w:t>The Commission, in cooperation with the EUAA, will organise a series of Commission expert groups meetings to facilitate the correct application of the new provisions (including by clarifying the meaning of the new provisions). The Commission will strive to organise joint expert meetings between the Qualification and the Reception Contact Committees to foster synergies with early integration measures foreseen in the recast Reception Conditions Directive and the integration measures and rights included in the Qualification Regulation.</w:t>
      </w:r>
    </w:p>
    <w:p w14:paraId="77AD74E6" w14:textId="77777777" w:rsidR="006B25DA" w:rsidRPr="00C12801" w:rsidRDefault="006B25DA" w:rsidP="002740E8">
      <w:pPr>
        <w:pStyle w:val="ListParagraph"/>
        <w:numPr>
          <w:ilvl w:val="0"/>
          <w:numId w:val="28"/>
        </w:numPr>
        <w:spacing w:after="120"/>
        <w:ind w:left="709" w:hanging="425"/>
        <w:contextualSpacing w:val="0"/>
        <w:rPr>
          <w:noProof/>
        </w:rPr>
      </w:pPr>
      <w:r>
        <w:rPr>
          <w:noProof/>
        </w:rPr>
        <w:t>The EUAA will develop adapted information leaflets and materials, as well as guidelines supporting the application of the new rules.</w:t>
      </w:r>
    </w:p>
    <w:tbl>
      <w:tblPr>
        <w:tblStyle w:val="TableGrid"/>
        <w:tblW w:w="5000" w:type="pct"/>
        <w:tblLook w:val="04A0" w:firstRow="1" w:lastRow="0" w:firstColumn="1" w:lastColumn="0" w:noHBand="0" w:noVBand="1"/>
      </w:tblPr>
      <w:tblGrid>
        <w:gridCol w:w="8834"/>
      </w:tblGrid>
      <w:tr w:rsidR="006B25DA" w14:paraId="3D226754" w14:textId="77777777">
        <w:tc>
          <w:tcPr>
            <w:tcW w:w="5000" w:type="pct"/>
          </w:tcPr>
          <w:p w14:paraId="546A8474" w14:textId="77777777" w:rsidR="006B25DA" w:rsidRPr="0065064C" w:rsidRDefault="006B25DA">
            <w:pPr>
              <w:tabs>
                <w:tab w:val="num" w:pos="720"/>
                <w:tab w:val="num" w:pos="1440"/>
              </w:tabs>
              <w:spacing w:after="120"/>
              <w:rPr>
                <w:b/>
                <w:bCs/>
                <w:i/>
                <w:iCs/>
                <w:noProof/>
                <w:u w:val="single"/>
              </w:rPr>
            </w:pPr>
            <w:r w:rsidRPr="0065064C">
              <w:rPr>
                <w:b/>
                <w:bCs/>
                <w:i/>
                <w:iCs/>
                <w:noProof/>
                <w:u w:val="single"/>
              </w:rPr>
              <w:t>Key milestones to consider:</w:t>
            </w:r>
          </w:p>
          <w:p w14:paraId="15683B5F" w14:textId="77777777" w:rsidR="006B25DA" w:rsidRPr="0065064C" w:rsidRDefault="006B25DA" w:rsidP="006B25DA">
            <w:pPr>
              <w:pStyle w:val="ListDash1"/>
              <w:tabs>
                <w:tab w:val="clear" w:pos="765"/>
                <w:tab w:val="num" w:pos="283"/>
              </w:tabs>
              <w:spacing w:after="120"/>
              <w:ind w:left="284" w:hanging="284"/>
              <w:rPr>
                <w:noProof/>
              </w:rPr>
            </w:pPr>
            <w:r>
              <w:rPr>
                <w:noProof/>
              </w:rPr>
              <w:t>By the third quarter 2024, the Commission will convene a High-Level Resettlement and Humanitarian Admission Committee.</w:t>
            </w:r>
          </w:p>
          <w:p w14:paraId="672120C4" w14:textId="2BE711F8" w:rsidR="006B25DA" w:rsidRPr="00E64E68" w:rsidRDefault="006B25DA" w:rsidP="006B25DA">
            <w:pPr>
              <w:pStyle w:val="ListDash1"/>
              <w:tabs>
                <w:tab w:val="clear" w:pos="765"/>
                <w:tab w:val="num" w:pos="283"/>
              </w:tabs>
              <w:spacing w:after="120"/>
              <w:ind w:left="284" w:hanging="284"/>
              <w:rPr>
                <w:noProof/>
                <w:szCs w:val="24"/>
                <w:lang w:val="en-US"/>
              </w:rPr>
            </w:pPr>
            <w:r>
              <w:rPr>
                <w:noProof/>
              </w:rPr>
              <w:t xml:space="preserve">By 2025, the Commission shall adopt </w:t>
            </w:r>
            <w:r w:rsidR="004730E1">
              <w:rPr>
                <w:noProof/>
              </w:rPr>
              <w:t xml:space="preserve">a proposal for </w:t>
            </w:r>
            <w:r>
              <w:rPr>
                <w:noProof/>
              </w:rPr>
              <w:t>the first Union Resettlement and Humanitarian Admission Plan (for the period 2026-2027).</w:t>
            </w:r>
          </w:p>
          <w:p w14:paraId="5ABA6E32" w14:textId="6BAB8D97" w:rsidR="006B25DA" w:rsidRPr="0065064C" w:rsidRDefault="004D5FDA" w:rsidP="006B25DA">
            <w:pPr>
              <w:pStyle w:val="ListDash1"/>
              <w:tabs>
                <w:tab w:val="clear" w:pos="765"/>
                <w:tab w:val="num" w:pos="283"/>
              </w:tabs>
              <w:spacing w:after="120"/>
              <w:ind w:left="284" w:hanging="284"/>
              <w:rPr>
                <w:noProof/>
                <w:szCs w:val="24"/>
                <w:lang w:val="en-US"/>
              </w:rPr>
            </w:pPr>
            <w:r>
              <w:rPr>
                <w:noProof/>
                <w:szCs w:val="24"/>
                <w:lang w:val="en-US"/>
              </w:rPr>
              <w:t>By 12 June 2026, Member States shall appoint a</w:t>
            </w:r>
            <w:r w:rsidRPr="00FE35B9">
              <w:rPr>
                <w:b/>
                <w:bCs/>
                <w:noProof/>
              </w:rPr>
              <w:t xml:space="preserve"> </w:t>
            </w:r>
            <w:r w:rsidRPr="00E64E68">
              <w:rPr>
                <w:noProof/>
              </w:rPr>
              <w:t>national contact point</w:t>
            </w:r>
            <w:r>
              <w:rPr>
                <w:noProof/>
              </w:rPr>
              <w:t xml:space="preserve"> for the implementation of the Qualification Regulation</w:t>
            </w:r>
            <w:r>
              <w:rPr>
                <w:noProof/>
                <w:szCs w:val="24"/>
                <w:lang w:val="en-US"/>
              </w:rPr>
              <w:t xml:space="preserve"> </w:t>
            </w:r>
          </w:p>
        </w:tc>
      </w:tr>
    </w:tbl>
    <w:p w14:paraId="6BE2E252" w14:textId="77777777" w:rsidR="006B25DA" w:rsidRPr="008C708B" w:rsidRDefault="006B25DA" w:rsidP="006B25DA">
      <w:pPr>
        <w:spacing w:after="0"/>
        <w:jc w:val="left"/>
        <w:rPr>
          <w:b/>
          <w:smallCaps/>
          <w:noProof/>
          <w:color w:val="FF0000"/>
          <w:sz w:val="28"/>
          <w:szCs w:val="28"/>
        </w:rPr>
      </w:pPr>
    </w:p>
    <w:p w14:paraId="1D05BDE3" w14:textId="77777777" w:rsidR="00014943" w:rsidRDefault="00014943" w:rsidP="00014943">
      <w:pPr>
        <w:pStyle w:val="Text1"/>
        <w:rPr>
          <w:noProof/>
        </w:rPr>
      </w:pPr>
    </w:p>
    <w:p w14:paraId="772C4361" w14:textId="77777777" w:rsidR="00014943" w:rsidRDefault="00014943" w:rsidP="00014943">
      <w:pPr>
        <w:pStyle w:val="Text1"/>
        <w:rPr>
          <w:noProof/>
        </w:rPr>
      </w:pPr>
    </w:p>
    <w:p w14:paraId="4436AB6E" w14:textId="77777777" w:rsidR="00014943" w:rsidRDefault="00014943" w:rsidP="00014943">
      <w:pPr>
        <w:pStyle w:val="Text1"/>
        <w:rPr>
          <w:noProof/>
        </w:rPr>
      </w:pPr>
    </w:p>
    <w:p w14:paraId="51DB9447" w14:textId="77777777" w:rsidR="00014943" w:rsidRPr="00014943" w:rsidRDefault="00014943" w:rsidP="00014943">
      <w:pPr>
        <w:pStyle w:val="Text1"/>
        <w:rPr>
          <w:noProof/>
        </w:rPr>
      </w:pPr>
    </w:p>
    <w:p w14:paraId="24E73DA8" w14:textId="77777777" w:rsidR="0099431F" w:rsidRDefault="0099431F">
      <w:pPr>
        <w:spacing w:after="0"/>
        <w:jc w:val="left"/>
        <w:rPr>
          <w:b/>
          <w:smallCaps/>
          <w:noProof/>
          <w:sz w:val="28"/>
        </w:rPr>
      </w:pPr>
      <w:r>
        <w:rPr>
          <w:noProof/>
        </w:rPr>
        <w:br w:type="page"/>
      </w:r>
    </w:p>
    <w:p w14:paraId="3346EFD1" w14:textId="5624404C" w:rsidR="002140BE" w:rsidRPr="00C12801" w:rsidRDefault="002140BE" w:rsidP="002740E8">
      <w:pPr>
        <w:pStyle w:val="Heading1"/>
        <w:numPr>
          <w:ilvl w:val="0"/>
          <w:numId w:val="23"/>
        </w:numPr>
        <w:spacing w:before="0" w:after="120"/>
        <w:rPr>
          <w:noProof/>
        </w:rPr>
      </w:pPr>
      <w:r w:rsidRPr="00C12801">
        <w:rPr>
          <w:noProof/>
        </w:rPr>
        <w:t>Operational and financial support for delivering</w:t>
      </w:r>
      <w:r w:rsidR="00946E07">
        <w:rPr>
          <w:noProof/>
        </w:rPr>
        <w:t xml:space="preserve"> on the Pact</w:t>
      </w:r>
    </w:p>
    <w:p w14:paraId="436AF1A7" w14:textId="77777777" w:rsidR="002140BE" w:rsidRPr="00C12801" w:rsidRDefault="002140BE" w:rsidP="002740E8">
      <w:pPr>
        <w:pStyle w:val="Heading2"/>
        <w:numPr>
          <w:ilvl w:val="1"/>
          <w:numId w:val="23"/>
        </w:numPr>
        <w:spacing w:after="120"/>
        <w:rPr>
          <w:noProof/>
        </w:rPr>
      </w:pPr>
      <w:r w:rsidRPr="00C12801">
        <w:rPr>
          <w:noProof/>
        </w:rPr>
        <w:t>Operational Support</w:t>
      </w:r>
    </w:p>
    <w:p w14:paraId="78C56D81" w14:textId="77777777" w:rsidR="002140BE" w:rsidRPr="00C12801" w:rsidRDefault="002140BE" w:rsidP="002140BE">
      <w:pPr>
        <w:tabs>
          <w:tab w:val="num" w:pos="1145"/>
        </w:tabs>
        <w:spacing w:after="120"/>
        <w:rPr>
          <w:noProof/>
        </w:rPr>
      </w:pPr>
      <w:r w:rsidRPr="00C12801">
        <w:rPr>
          <w:noProof/>
        </w:rPr>
        <w:t xml:space="preserve">Member States can </w:t>
      </w:r>
      <w:r>
        <w:rPr>
          <w:noProof/>
        </w:rPr>
        <w:t>rely</w:t>
      </w:r>
      <w:r w:rsidRPr="00C12801">
        <w:rPr>
          <w:noProof/>
        </w:rPr>
        <w:t xml:space="preserve"> on the support of the Commission and of the EU Agencies to develop and implement their </w:t>
      </w:r>
      <w:r>
        <w:rPr>
          <w:noProof/>
        </w:rPr>
        <w:t>N</w:t>
      </w:r>
      <w:r w:rsidRPr="00C12801">
        <w:rPr>
          <w:noProof/>
        </w:rPr>
        <w:t xml:space="preserve">ational </w:t>
      </w:r>
      <w:r>
        <w:rPr>
          <w:noProof/>
        </w:rPr>
        <w:t>I</w:t>
      </w:r>
      <w:r w:rsidRPr="00C12801">
        <w:rPr>
          <w:noProof/>
        </w:rPr>
        <w:t xml:space="preserve">mplementation </w:t>
      </w:r>
      <w:r>
        <w:rPr>
          <w:noProof/>
        </w:rPr>
        <w:t>P</w:t>
      </w:r>
      <w:r w:rsidRPr="00C12801">
        <w:rPr>
          <w:noProof/>
        </w:rPr>
        <w:t>lan</w:t>
      </w:r>
      <w:r>
        <w:rPr>
          <w:noProof/>
        </w:rPr>
        <w:t>.</w:t>
      </w:r>
    </w:p>
    <w:p w14:paraId="4906E5E6" w14:textId="77777777" w:rsidR="002140BE" w:rsidRPr="00804E6C" w:rsidRDefault="002140BE" w:rsidP="002140BE">
      <w:pPr>
        <w:tabs>
          <w:tab w:val="num" w:pos="1145"/>
        </w:tabs>
        <w:spacing w:after="120"/>
        <w:rPr>
          <w:noProof/>
        </w:rPr>
      </w:pPr>
      <w:r>
        <w:rPr>
          <w:noProof/>
          <w:szCs w:val="24"/>
        </w:rPr>
        <w:t xml:space="preserve">To provide individualised </w:t>
      </w:r>
      <w:r w:rsidRPr="00C12801">
        <w:rPr>
          <w:noProof/>
          <w:szCs w:val="24"/>
        </w:rPr>
        <w:t xml:space="preserve">support </w:t>
      </w:r>
      <w:r>
        <w:rPr>
          <w:noProof/>
          <w:szCs w:val="24"/>
        </w:rPr>
        <w:t>and assistance</w:t>
      </w:r>
      <w:r w:rsidRPr="00C12801">
        <w:rPr>
          <w:noProof/>
          <w:szCs w:val="24"/>
        </w:rPr>
        <w:t>, the Commission has engaged bilateral</w:t>
      </w:r>
      <w:r>
        <w:rPr>
          <w:noProof/>
          <w:szCs w:val="24"/>
        </w:rPr>
        <w:t>ly with each and every Member State</w:t>
      </w:r>
      <w:r w:rsidRPr="00C12801">
        <w:rPr>
          <w:noProof/>
          <w:szCs w:val="24"/>
        </w:rPr>
        <w:t>.</w:t>
      </w:r>
      <w:r>
        <w:rPr>
          <w:noProof/>
          <w:szCs w:val="24"/>
        </w:rPr>
        <w:t xml:space="preserve"> </w:t>
      </w:r>
      <w:r w:rsidRPr="00C12801">
        <w:rPr>
          <w:noProof/>
        </w:rPr>
        <w:t xml:space="preserve">In the </w:t>
      </w:r>
      <w:r>
        <w:rPr>
          <w:noProof/>
        </w:rPr>
        <w:t>s</w:t>
      </w:r>
      <w:r w:rsidRPr="00C12801">
        <w:rPr>
          <w:noProof/>
        </w:rPr>
        <w:t xml:space="preserve">pring 2024, the Commission </w:t>
      </w:r>
      <w:r>
        <w:rPr>
          <w:noProof/>
        </w:rPr>
        <w:t xml:space="preserve">services </w:t>
      </w:r>
      <w:r w:rsidRPr="00C12801">
        <w:rPr>
          <w:noProof/>
        </w:rPr>
        <w:t xml:space="preserve">established </w:t>
      </w:r>
      <w:r>
        <w:rPr>
          <w:noProof/>
        </w:rPr>
        <w:t xml:space="preserve">a </w:t>
      </w:r>
      <w:r w:rsidRPr="00E64E68">
        <w:rPr>
          <w:b/>
          <w:bCs/>
          <w:noProof/>
        </w:rPr>
        <w:t>multidisciplinary country-team for each Member State</w:t>
      </w:r>
      <w:r>
        <w:rPr>
          <w:noProof/>
        </w:rPr>
        <w:t xml:space="preserve"> and</w:t>
      </w:r>
      <w:r w:rsidRPr="00C12801">
        <w:rPr>
          <w:noProof/>
        </w:rPr>
        <w:t xml:space="preserve"> Schengen Associated Countr</w:t>
      </w:r>
      <w:r>
        <w:rPr>
          <w:noProof/>
        </w:rPr>
        <w:t>y</w:t>
      </w:r>
      <w:r w:rsidRPr="00C12801">
        <w:rPr>
          <w:noProof/>
        </w:rPr>
        <w:t xml:space="preserve"> to support </w:t>
      </w:r>
      <w:r>
        <w:rPr>
          <w:noProof/>
        </w:rPr>
        <w:t xml:space="preserve">their </w:t>
      </w:r>
      <w:r w:rsidRPr="00C12801">
        <w:rPr>
          <w:noProof/>
        </w:rPr>
        <w:t xml:space="preserve">national needs assessments and engage with the responsible national authorities. Each team is led by a Commission senior manager assisted by a technical focal point and experts in each of the relevant policy fields. The teams also include </w:t>
      </w:r>
      <w:r>
        <w:rPr>
          <w:noProof/>
        </w:rPr>
        <w:t xml:space="preserve">representatives of </w:t>
      </w:r>
      <w:r w:rsidRPr="00C12801">
        <w:rPr>
          <w:noProof/>
        </w:rPr>
        <w:t xml:space="preserve">relevant EU </w:t>
      </w:r>
      <w:r>
        <w:rPr>
          <w:noProof/>
        </w:rPr>
        <w:t>A</w:t>
      </w:r>
      <w:r w:rsidRPr="00C12801">
        <w:rPr>
          <w:noProof/>
        </w:rPr>
        <w:t>gencies.</w:t>
      </w:r>
      <w:r>
        <w:rPr>
          <w:noProof/>
        </w:rPr>
        <w:t xml:space="preserve"> </w:t>
      </w:r>
      <w:r w:rsidRPr="00804E6C">
        <w:rPr>
          <w:noProof/>
        </w:rPr>
        <w:t xml:space="preserve">The Commission has already initiated the process of conducting </w:t>
      </w:r>
      <w:r w:rsidRPr="00E64E68">
        <w:rPr>
          <w:b/>
          <w:bCs/>
          <w:noProof/>
        </w:rPr>
        <w:t>a needs assessment for each Member State</w:t>
      </w:r>
      <w:r w:rsidRPr="00804E6C">
        <w:rPr>
          <w:noProof/>
        </w:rPr>
        <w:t>. This assessment aims to support the preparation of the National Implementation Plans</w:t>
      </w:r>
      <w:r>
        <w:rPr>
          <w:noProof/>
        </w:rPr>
        <w:t>.</w:t>
      </w:r>
    </w:p>
    <w:p w14:paraId="28AE8219" w14:textId="77777777" w:rsidR="002140BE" w:rsidRPr="00C12801" w:rsidRDefault="002140BE" w:rsidP="002140BE">
      <w:pPr>
        <w:tabs>
          <w:tab w:val="num" w:pos="1145"/>
        </w:tabs>
        <w:spacing w:after="120"/>
        <w:rPr>
          <w:noProof/>
        </w:rPr>
      </w:pPr>
      <w:r w:rsidRPr="00C12801">
        <w:rPr>
          <w:noProof/>
        </w:rPr>
        <w:t xml:space="preserve">The </w:t>
      </w:r>
      <w:r w:rsidRPr="00625E3D">
        <w:rPr>
          <w:b/>
          <w:noProof/>
        </w:rPr>
        <w:t>EU Agencies</w:t>
      </w:r>
      <w:r w:rsidRPr="00C12801">
        <w:rPr>
          <w:noProof/>
        </w:rPr>
        <w:t xml:space="preserve"> will primarily provide </w:t>
      </w:r>
      <w:r>
        <w:rPr>
          <w:noProof/>
        </w:rPr>
        <w:t xml:space="preserve">horizontal </w:t>
      </w:r>
      <w:r w:rsidRPr="00C12801">
        <w:rPr>
          <w:noProof/>
        </w:rPr>
        <w:t>support, such as training, tools, and guidance available to all Member States, complemented by direct operational support to Member States to fill temporary capacity gaps and support the build-up of longer-term national capacities.</w:t>
      </w:r>
    </w:p>
    <w:p w14:paraId="49C1AEE1" w14:textId="47E1637B" w:rsidR="002140BE" w:rsidRPr="00C12801" w:rsidRDefault="002140BE" w:rsidP="002140BE">
      <w:pPr>
        <w:tabs>
          <w:tab w:val="num" w:pos="1145"/>
        </w:tabs>
        <w:spacing w:after="120"/>
        <w:rPr>
          <w:noProof/>
        </w:rPr>
      </w:pPr>
      <w:r w:rsidRPr="00C12801">
        <w:rPr>
          <w:noProof/>
        </w:rPr>
        <w:t xml:space="preserve">The </w:t>
      </w:r>
      <w:r w:rsidRPr="00C12801">
        <w:rPr>
          <w:b/>
          <w:noProof/>
        </w:rPr>
        <w:t>EUAA</w:t>
      </w:r>
      <w:r w:rsidRPr="00C12801">
        <w:rPr>
          <w:noProof/>
        </w:rPr>
        <w:t xml:space="preserve"> is currently providing operational support to 12 Member States. The Agency has</w:t>
      </w:r>
      <w:r>
        <w:rPr>
          <w:noProof/>
        </w:rPr>
        <w:t xml:space="preserve"> also</w:t>
      </w:r>
      <w:r w:rsidRPr="00C12801">
        <w:rPr>
          <w:noProof/>
        </w:rPr>
        <w:t xml:space="preserve"> received additional human and financial resources to prepare for the entry into application of the Pact.</w:t>
      </w:r>
    </w:p>
    <w:p w14:paraId="265ED79D" w14:textId="2FA0A615" w:rsidR="002140BE" w:rsidRPr="00C12801" w:rsidRDefault="002140BE" w:rsidP="002140BE">
      <w:pPr>
        <w:spacing w:after="120"/>
        <w:rPr>
          <w:noProof/>
        </w:rPr>
      </w:pPr>
      <w:r w:rsidRPr="00C12801">
        <w:rPr>
          <w:b/>
          <w:noProof/>
        </w:rPr>
        <w:t xml:space="preserve">Frontex </w:t>
      </w:r>
      <w:r w:rsidRPr="00C12801">
        <w:rPr>
          <w:noProof/>
        </w:rPr>
        <w:t>will assist in the field of screening-related training and mak</w:t>
      </w:r>
      <w:r>
        <w:rPr>
          <w:noProof/>
        </w:rPr>
        <w:t>e</w:t>
      </w:r>
      <w:r w:rsidRPr="00C12801">
        <w:rPr>
          <w:noProof/>
        </w:rPr>
        <w:t xml:space="preserve"> available experts/teams to Member States for the conduct of screening</w:t>
      </w:r>
      <w:r>
        <w:rPr>
          <w:noProof/>
        </w:rPr>
        <w:t xml:space="preserve">. Frontex also </w:t>
      </w:r>
      <w:r w:rsidRPr="00C12801">
        <w:rPr>
          <w:noProof/>
        </w:rPr>
        <w:t>provides important support for border management</w:t>
      </w:r>
      <w:r>
        <w:rPr>
          <w:noProof/>
        </w:rPr>
        <w:t>,</w:t>
      </w:r>
      <w:r w:rsidRPr="00C12801">
        <w:rPr>
          <w:noProof/>
        </w:rPr>
        <w:t xml:space="preserve"> </w:t>
      </w:r>
      <w:r w:rsidR="00C82052">
        <w:rPr>
          <w:noProof/>
        </w:rPr>
        <w:t xml:space="preserve">return, </w:t>
      </w:r>
      <w:r>
        <w:rPr>
          <w:noProof/>
        </w:rPr>
        <w:t>the collection of</w:t>
      </w:r>
      <w:r w:rsidRPr="00C12801">
        <w:rPr>
          <w:noProof/>
        </w:rPr>
        <w:t xml:space="preserve"> data and </w:t>
      </w:r>
      <w:r>
        <w:rPr>
          <w:noProof/>
        </w:rPr>
        <w:t>their</w:t>
      </w:r>
      <w:r w:rsidRPr="00C12801">
        <w:rPr>
          <w:noProof/>
        </w:rPr>
        <w:t xml:space="preserve"> analysis</w:t>
      </w:r>
      <w:r>
        <w:rPr>
          <w:noProof/>
        </w:rPr>
        <w:t>.</w:t>
      </w:r>
    </w:p>
    <w:p w14:paraId="1F826EC4" w14:textId="2BC69A23" w:rsidR="002140BE" w:rsidRPr="00C12801" w:rsidRDefault="002140BE" w:rsidP="002140BE">
      <w:pPr>
        <w:spacing w:after="120"/>
        <w:rPr>
          <w:noProof/>
        </w:rPr>
      </w:pPr>
      <w:r>
        <w:rPr>
          <w:b/>
          <w:bCs/>
          <w:noProof/>
        </w:rPr>
        <w:t>e</w:t>
      </w:r>
      <w:r w:rsidRPr="00945301">
        <w:rPr>
          <w:b/>
          <w:bCs/>
          <w:noProof/>
        </w:rPr>
        <w:t>u-LISA</w:t>
      </w:r>
      <w:r>
        <w:rPr>
          <w:noProof/>
        </w:rPr>
        <w:t xml:space="preserve"> will build a new Eurodac database and support Member States to build th</w:t>
      </w:r>
      <w:r w:rsidR="000D5B9E">
        <w:rPr>
          <w:noProof/>
        </w:rPr>
        <w:t>e</w:t>
      </w:r>
      <w:r>
        <w:rPr>
          <w:noProof/>
        </w:rPr>
        <w:t xml:space="preserve"> national components needed to connect to it. </w:t>
      </w:r>
    </w:p>
    <w:p w14:paraId="69E008AD" w14:textId="08B3F406" w:rsidR="002140BE" w:rsidRPr="00C12801" w:rsidRDefault="002140BE" w:rsidP="002140BE">
      <w:pPr>
        <w:spacing w:after="120"/>
        <w:rPr>
          <w:noProof/>
        </w:rPr>
      </w:pPr>
      <w:r w:rsidRPr="00C12801">
        <w:rPr>
          <w:noProof/>
        </w:rPr>
        <w:t>In addition, where in the development of their</w:t>
      </w:r>
      <w:r w:rsidR="006603BE">
        <w:rPr>
          <w:noProof/>
        </w:rPr>
        <w:t xml:space="preserve"> N</w:t>
      </w:r>
      <w:r w:rsidRPr="00C12801">
        <w:rPr>
          <w:noProof/>
        </w:rPr>
        <w:t xml:space="preserve">ational </w:t>
      </w:r>
      <w:r w:rsidR="006603BE">
        <w:rPr>
          <w:noProof/>
        </w:rPr>
        <w:t>I</w:t>
      </w:r>
      <w:r w:rsidRPr="00C12801">
        <w:rPr>
          <w:noProof/>
        </w:rPr>
        <w:t xml:space="preserve">mplementation </w:t>
      </w:r>
      <w:r w:rsidR="006603BE">
        <w:rPr>
          <w:noProof/>
        </w:rPr>
        <w:t>P</w:t>
      </w:r>
      <w:r w:rsidRPr="00C12801">
        <w:rPr>
          <w:noProof/>
        </w:rPr>
        <w:t>lans, Member States identify common procurement needs, consideration should be given to the potential benefits of common procurement processes for instance through the EUAA or eu-LISA, be it in terms of timing or economies of scale.</w:t>
      </w:r>
    </w:p>
    <w:p w14:paraId="52B9CCE2" w14:textId="218FEFB8" w:rsidR="002140BE" w:rsidRPr="00C12801" w:rsidRDefault="002140BE" w:rsidP="002740E8">
      <w:pPr>
        <w:pStyle w:val="Heading2"/>
        <w:numPr>
          <w:ilvl w:val="1"/>
          <w:numId w:val="23"/>
        </w:numPr>
        <w:spacing w:after="120"/>
        <w:rPr>
          <w:noProof/>
        </w:rPr>
      </w:pPr>
      <w:r w:rsidRPr="00C12801">
        <w:rPr>
          <w:noProof/>
        </w:rPr>
        <w:t xml:space="preserve">Financial </w:t>
      </w:r>
      <w:r w:rsidR="006603BE">
        <w:rPr>
          <w:noProof/>
        </w:rPr>
        <w:t>p</w:t>
      </w:r>
      <w:r w:rsidRPr="00C12801">
        <w:rPr>
          <w:noProof/>
        </w:rPr>
        <w:t xml:space="preserve">lanning and </w:t>
      </w:r>
      <w:r w:rsidR="006603BE">
        <w:rPr>
          <w:noProof/>
        </w:rPr>
        <w:t>s</w:t>
      </w:r>
      <w:r w:rsidRPr="00C12801">
        <w:rPr>
          <w:noProof/>
        </w:rPr>
        <w:t>upport</w:t>
      </w:r>
    </w:p>
    <w:p w14:paraId="3CF5D37E" w14:textId="4B63F122" w:rsidR="002140BE" w:rsidRDefault="002140BE" w:rsidP="002140BE">
      <w:pPr>
        <w:spacing w:after="120"/>
        <w:rPr>
          <w:noProof/>
        </w:rPr>
      </w:pPr>
      <w:r>
        <w:rPr>
          <w:noProof/>
        </w:rPr>
        <w:t>Calculating the</w:t>
      </w:r>
      <w:r w:rsidRPr="00C12801">
        <w:rPr>
          <w:noProof/>
        </w:rPr>
        <w:t xml:space="preserve"> cost of implementation </w:t>
      </w:r>
      <w:r w:rsidR="00553219">
        <w:rPr>
          <w:noProof/>
        </w:rPr>
        <w:t>at national level</w:t>
      </w:r>
      <w:r w:rsidR="00553219" w:rsidRPr="00C12801">
        <w:rPr>
          <w:noProof/>
        </w:rPr>
        <w:t xml:space="preserve"> </w:t>
      </w:r>
      <w:r w:rsidRPr="00C12801">
        <w:rPr>
          <w:noProof/>
        </w:rPr>
        <w:t xml:space="preserve">is fundamental to allow for </w:t>
      </w:r>
      <w:r>
        <w:rPr>
          <w:noProof/>
        </w:rPr>
        <w:t>the</w:t>
      </w:r>
      <w:r w:rsidRPr="00C12801">
        <w:rPr>
          <w:noProof/>
        </w:rPr>
        <w:t xml:space="preserve"> proper budgeting</w:t>
      </w:r>
      <w:r w:rsidR="00553219">
        <w:rPr>
          <w:noProof/>
        </w:rPr>
        <w:t xml:space="preserve"> of the National Implementation Plans</w:t>
      </w:r>
      <w:r w:rsidRPr="00C12801">
        <w:rPr>
          <w:noProof/>
        </w:rPr>
        <w:t>, itself a precondition for successful implementation.</w:t>
      </w:r>
      <w:r w:rsidRPr="00116D06">
        <w:rPr>
          <w:noProof/>
        </w:rPr>
        <w:t xml:space="preserve"> </w:t>
      </w:r>
    </w:p>
    <w:p w14:paraId="3DBF5700" w14:textId="7DC2220C" w:rsidR="002140BE" w:rsidRPr="00C12801" w:rsidRDefault="002140BE" w:rsidP="002140BE">
      <w:pPr>
        <w:spacing w:after="120"/>
        <w:rPr>
          <w:noProof/>
        </w:rPr>
      </w:pPr>
      <w:r>
        <w:rPr>
          <w:noProof/>
        </w:rPr>
        <w:t>In addition to funding from national budgets</w:t>
      </w:r>
      <w:r w:rsidRPr="00C12801">
        <w:rPr>
          <w:noProof/>
        </w:rPr>
        <w:t xml:space="preserve">, Member States will be able to draw on existing as well as newly available resources from the </w:t>
      </w:r>
      <w:r w:rsidRPr="00E64E68">
        <w:rPr>
          <w:b/>
          <w:bCs/>
          <w:noProof/>
        </w:rPr>
        <w:t>Asylum, Migration, and Integration Fund (AMIF)</w:t>
      </w:r>
      <w:r>
        <w:rPr>
          <w:rStyle w:val="FootnoteReference"/>
          <w:noProof/>
        </w:rPr>
        <w:footnoteReference w:id="48"/>
      </w:r>
      <w:r w:rsidRPr="00C12801">
        <w:rPr>
          <w:noProof/>
        </w:rPr>
        <w:t xml:space="preserve"> and </w:t>
      </w:r>
      <w:r>
        <w:rPr>
          <w:noProof/>
        </w:rPr>
        <w:t xml:space="preserve">the </w:t>
      </w:r>
      <w:r w:rsidRPr="00E64E68">
        <w:rPr>
          <w:b/>
          <w:bCs/>
          <w:noProof/>
        </w:rPr>
        <w:t>Border Management and Visa Instrument (BMVI)</w:t>
      </w:r>
      <w:r>
        <w:rPr>
          <w:rStyle w:val="FootnoteReference"/>
          <w:noProof/>
        </w:rPr>
        <w:footnoteReference w:id="49"/>
      </w:r>
      <w:r w:rsidRPr="00C12801">
        <w:rPr>
          <w:noProof/>
        </w:rPr>
        <w:t xml:space="preserve">, </w:t>
      </w:r>
      <w:r>
        <w:rPr>
          <w:noProof/>
        </w:rPr>
        <w:t xml:space="preserve">as well as </w:t>
      </w:r>
      <w:r w:rsidRPr="00C12801">
        <w:rPr>
          <w:noProof/>
        </w:rPr>
        <w:t>other available EU</w:t>
      </w:r>
      <w:r>
        <w:rPr>
          <w:noProof/>
        </w:rPr>
        <w:t xml:space="preserve"> resources</w:t>
      </w:r>
      <w:r w:rsidRPr="00C12801">
        <w:rPr>
          <w:noProof/>
        </w:rPr>
        <w:t xml:space="preserve">, such as </w:t>
      </w:r>
      <w:r w:rsidR="00553219">
        <w:rPr>
          <w:b/>
          <w:bCs/>
          <w:noProof/>
        </w:rPr>
        <w:t>c</w:t>
      </w:r>
      <w:r w:rsidRPr="00E64E68">
        <w:rPr>
          <w:b/>
          <w:bCs/>
          <w:noProof/>
        </w:rPr>
        <w:t xml:space="preserve">ohesion policy </w:t>
      </w:r>
      <w:r w:rsidR="00553219">
        <w:rPr>
          <w:b/>
          <w:bCs/>
          <w:noProof/>
        </w:rPr>
        <w:t>f</w:t>
      </w:r>
      <w:r w:rsidRPr="00E64E68">
        <w:rPr>
          <w:b/>
          <w:bCs/>
          <w:noProof/>
        </w:rPr>
        <w:t>unds</w:t>
      </w:r>
      <w:r>
        <w:rPr>
          <w:noProof/>
        </w:rPr>
        <w:t>, as possible funding sources to cover identified costs</w:t>
      </w:r>
      <w:r w:rsidRPr="00C12801">
        <w:rPr>
          <w:noProof/>
        </w:rPr>
        <w:t>.</w:t>
      </w:r>
    </w:p>
    <w:p w14:paraId="707966C0" w14:textId="4017861F" w:rsidR="002140BE" w:rsidRPr="00C12801" w:rsidRDefault="002140BE" w:rsidP="002140BE">
      <w:pPr>
        <w:spacing w:after="120"/>
        <w:rPr>
          <w:noProof/>
        </w:rPr>
      </w:pPr>
      <w:r w:rsidRPr="00C12801">
        <w:rPr>
          <w:noProof/>
        </w:rPr>
        <w:t xml:space="preserve">The </w:t>
      </w:r>
      <w:r w:rsidRPr="00E64E68">
        <w:rPr>
          <w:b/>
          <w:bCs/>
          <w:noProof/>
        </w:rPr>
        <w:t xml:space="preserve">mid-term review of the national </w:t>
      </w:r>
      <w:r w:rsidR="00553219">
        <w:rPr>
          <w:b/>
          <w:bCs/>
          <w:noProof/>
        </w:rPr>
        <w:t>p</w:t>
      </w:r>
      <w:r w:rsidRPr="00E64E68">
        <w:rPr>
          <w:b/>
          <w:bCs/>
          <w:noProof/>
        </w:rPr>
        <w:t>rogrammes</w:t>
      </w:r>
      <w:r w:rsidRPr="00C12801">
        <w:rPr>
          <w:noProof/>
        </w:rPr>
        <w:t xml:space="preserve"> </w:t>
      </w:r>
      <w:r w:rsidRPr="00E64E68">
        <w:rPr>
          <w:b/>
          <w:bCs/>
          <w:noProof/>
        </w:rPr>
        <w:t>under AMIF and BMVI</w:t>
      </w:r>
      <w:r>
        <w:rPr>
          <w:noProof/>
        </w:rPr>
        <w:t xml:space="preserve"> Regulations</w:t>
      </w:r>
      <w:r w:rsidRPr="00C12801">
        <w:rPr>
          <w:noProof/>
        </w:rPr>
        <w:t>, and the revision of the Multiannual Financial Framework 2021</w:t>
      </w:r>
      <w:r>
        <w:rPr>
          <w:noProof/>
        </w:rPr>
        <w:t>-</w:t>
      </w:r>
      <w:r w:rsidRPr="00C12801">
        <w:rPr>
          <w:noProof/>
        </w:rPr>
        <w:t>2027</w:t>
      </w:r>
      <w:r w:rsidR="00553219">
        <w:rPr>
          <w:noProof/>
        </w:rPr>
        <w:t>,</w:t>
      </w:r>
      <w:r w:rsidRPr="00C12801">
        <w:rPr>
          <w:noProof/>
        </w:rPr>
        <w:t xml:space="preserve"> </w:t>
      </w:r>
      <w:r>
        <w:rPr>
          <w:noProof/>
        </w:rPr>
        <w:t xml:space="preserve">provide additional resources over the years </w:t>
      </w:r>
      <w:r w:rsidRPr="00E64E68">
        <w:rPr>
          <w:b/>
          <w:bCs/>
          <w:noProof/>
        </w:rPr>
        <w:t>2025-</w:t>
      </w:r>
      <w:r w:rsidR="00553219">
        <w:rPr>
          <w:b/>
          <w:bCs/>
          <w:noProof/>
        </w:rPr>
        <w:t>20</w:t>
      </w:r>
      <w:r w:rsidRPr="00E64E68">
        <w:rPr>
          <w:b/>
          <w:bCs/>
          <w:noProof/>
        </w:rPr>
        <w:t>27</w:t>
      </w:r>
      <w:r>
        <w:rPr>
          <w:noProof/>
        </w:rPr>
        <w:t>.</w:t>
      </w:r>
    </w:p>
    <w:p w14:paraId="7C67C616" w14:textId="77777777" w:rsidR="002140BE" w:rsidRPr="00C12801" w:rsidRDefault="002140BE" w:rsidP="002140BE">
      <w:pPr>
        <w:spacing w:after="120"/>
        <w:rPr>
          <w:noProof/>
        </w:rPr>
      </w:pPr>
      <w:r w:rsidRPr="00C12801">
        <w:rPr>
          <w:noProof/>
        </w:rPr>
        <w:t xml:space="preserve">The </w:t>
      </w:r>
      <w:r w:rsidRPr="00E64E68">
        <w:rPr>
          <w:b/>
          <w:bCs/>
          <w:noProof/>
        </w:rPr>
        <w:t>mid-term review of the national Programmes</w:t>
      </w:r>
      <w:r>
        <w:rPr>
          <w:noProof/>
        </w:rPr>
        <w:t xml:space="preserve"> </w:t>
      </w:r>
      <w:r w:rsidRPr="00C12801">
        <w:rPr>
          <w:noProof/>
        </w:rPr>
        <w:t xml:space="preserve">will be the occasion to allocate more than </w:t>
      </w:r>
      <w:r w:rsidRPr="00E64E68">
        <w:rPr>
          <w:b/>
          <w:bCs/>
          <w:noProof/>
        </w:rPr>
        <w:t>EUR 1 billion for the AMIF</w:t>
      </w:r>
      <w:r w:rsidRPr="00C12801">
        <w:rPr>
          <w:noProof/>
        </w:rPr>
        <w:t xml:space="preserve"> and </w:t>
      </w:r>
      <w:r w:rsidRPr="00E64E68">
        <w:rPr>
          <w:b/>
          <w:bCs/>
          <w:noProof/>
        </w:rPr>
        <w:t>EUR 600 million for the BMVI</w:t>
      </w:r>
      <w:r w:rsidRPr="00C12801">
        <w:rPr>
          <w:noProof/>
        </w:rPr>
        <w:t>. This allocation will be based on the repartition key set out in the legislation.</w:t>
      </w:r>
    </w:p>
    <w:p w14:paraId="34274163" w14:textId="77777777" w:rsidR="002140BE" w:rsidRPr="00C12801" w:rsidRDefault="002140BE" w:rsidP="002140BE">
      <w:pPr>
        <w:spacing w:after="120"/>
        <w:rPr>
          <w:noProof/>
        </w:rPr>
      </w:pPr>
      <w:r w:rsidRPr="00C12801">
        <w:rPr>
          <w:noProof/>
        </w:rPr>
        <w:t xml:space="preserve">The </w:t>
      </w:r>
      <w:r w:rsidRPr="00E64E68">
        <w:rPr>
          <w:b/>
          <w:bCs/>
          <w:noProof/>
        </w:rPr>
        <w:t>revision of the MFF for 2021-2027</w:t>
      </w:r>
      <w:r w:rsidRPr="00C12801">
        <w:rPr>
          <w:noProof/>
        </w:rPr>
        <w:t xml:space="preserve"> resulted in a total </w:t>
      </w:r>
      <w:r w:rsidRPr="00E64E68">
        <w:rPr>
          <w:b/>
          <w:bCs/>
          <w:noProof/>
        </w:rPr>
        <w:t>increase of EUR 2 billion</w:t>
      </w:r>
      <w:r w:rsidRPr="00C12801">
        <w:rPr>
          <w:noProof/>
        </w:rPr>
        <w:t xml:space="preserve"> for migration and border </w:t>
      </w:r>
      <w:r w:rsidRPr="00E62F91">
        <w:rPr>
          <w:noProof/>
        </w:rPr>
        <w:t xml:space="preserve">management. This is split between </w:t>
      </w:r>
      <w:r w:rsidRPr="00E64E68">
        <w:rPr>
          <w:b/>
          <w:bCs/>
          <w:noProof/>
        </w:rPr>
        <w:t xml:space="preserve">EUR 810 million for AMIF, EUR 1 billion for BMVI </w:t>
      </w:r>
      <w:r w:rsidRPr="00553219">
        <w:rPr>
          <w:noProof/>
        </w:rPr>
        <w:t xml:space="preserve">and </w:t>
      </w:r>
      <w:r w:rsidRPr="00E64E68">
        <w:rPr>
          <w:b/>
          <w:bCs/>
          <w:noProof/>
        </w:rPr>
        <w:t>EUR 190 million for the EUAA.</w:t>
      </w:r>
      <w:r w:rsidRPr="00E62F91">
        <w:rPr>
          <w:noProof/>
        </w:rPr>
        <w:t xml:space="preserve"> These additional resources for AMIF and BMVI will be added to the </w:t>
      </w:r>
      <w:r w:rsidRPr="00E64E68">
        <w:rPr>
          <w:b/>
          <w:bCs/>
          <w:noProof/>
        </w:rPr>
        <w:t>Thematic Facility</w:t>
      </w:r>
      <w:r w:rsidRPr="00E62F91">
        <w:rPr>
          <w:noProof/>
        </w:rPr>
        <w:t xml:space="preserve"> of these funds and from there allocated based on the needs in the different Member States.</w:t>
      </w:r>
    </w:p>
    <w:p w14:paraId="6104557E" w14:textId="449EAB74" w:rsidR="002140BE" w:rsidRPr="00C12801" w:rsidRDefault="002140BE" w:rsidP="002140BE">
      <w:pPr>
        <w:spacing w:after="120"/>
        <w:rPr>
          <w:noProof/>
        </w:rPr>
      </w:pPr>
      <w:r w:rsidRPr="00C12801">
        <w:rPr>
          <w:noProof/>
        </w:rPr>
        <w:t>The Commission is already working in close cooperation with Member States to create effective links between the upcoming reprogramming and the process of preparation of the Common and National Implementation Plans, so that identified gaps can be addressed</w:t>
      </w:r>
      <w:r w:rsidR="00A313BC" w:rsidRPr="00A313BC">
        <w:rPr>
          <w:noProof/>
        </w:rPr>
        <w:t>,</w:t>
      </w:r>
      <w:r w:rsidR="001802DE" w:rsidRPr="001228CD">
        <w:rPr>
          <w:noProof/>
        </w:rPr>
        <w:t xml:space="preserve"> </w:t>
      </w:r>
      <w:r w:rsidRPr="00C12801">
        <w:rPr>
          <w:noProof/>
        </w:rPr>
        <w:t xml:space="preserve">and </w:t>
      </w:r>
      <w:r w:rsidRPr="00E64E68">
        <w:rPr>
          <w:b/>
          <w:bCs/>
          <w:noProof/>
        </w:rPr>
        <w:t>relevant operational steps initiated via the national programmes</w:t>
      </w:r>
      <w:r w:rsidRPr="00C12801">
        <w:rPr>
          <w:noProof/>
        </w:rPr>
        <w:t>.</w:t>
      </w:r>
      <w:r w:rsidR="004F0C64" w:rsidRPr="004F0C64">
        <w:rPr>
          <w:noProof/>
          <w:color w:val="00B050"/>
        </w:rPr>
        <w:t xml:space="preserve"> </w:t>
      </w:r>
      <w:r w:rsidR="004F0C64" w:rsidRPr="00C63CAC">
        <w:rPr>
          <w:noProof/>
        </w:rPr>
        <w:t>For the coming years, the</w:t>
      </w:r>
      <w:r w:rsidR="004F0C64" w:rsidRPr="00C63CAC">
        <w:rPr>
          <w:noProof/>
          <w:sz w:val="28"/>
          <w:szCs w:val="28"/>
        </w:rPr>
        <w:t xml:space="preserve"> </w:t>
      </w:r>
      <w:r w:rsidR="004F0C64" w:rsidRPr="00C63CAC">
        <w:rPr>
          <w:noProof/>
        </w:rPr>
        <w:t>next MFF will be the key moment to ensure coherent and effective use of the EU funding for EU priorities, including support to Member States in addressing the</w:t>
      </w:r>
      <w:r w:rsidR="0040138D" w:rsidRPr="00C63CAC">
        <w:rPr>
          <w:noProof/>
        </w:rPr>
        <w:t xml:space="preserve"> identified gaps and</w:t>
      </w:r>
      <w:r w:rsidR="004F0C64" w:rsidRPr="00C63CAC">
        <w:rPr>
          <w:noProof/>
        </w:rPr>
        <w:t xml:space="preserve"> needs in the area of asylum and border management.</w:t>
      </w:r>
    </w:p>
    <w:p w14:paraId="7E50BD81" w14:textId="1BA113AF" w:rsidR="002140BE" w:rsidRPr="00C12801" w:rsidRDefault="002140BE" w:rsidP="002140BE">
      <w:pPr>
        <w:spacing w:after="120"/>
        <w:rPr>
          <w:noProof/>
        </w:rPr>
      </w:pPr>
      <w:r>
        <w:rPr>
          <w:noProof/>
        </w:rPr>
        <w:t>T</w:t>
      </w:r>
      <w:r w:rsidRPr="00C12801">
        <w:rPr>
          <w:noProof/>
        </w:rPr>
        <w:t xml:space="preserve">he additional resources from the mid-term review of the programmes and the MFF revision will not cover all the expected needs. It will therefore be necessary to </w:t>
      </w:r>
      <w:r w:rsidRPr="00E64E68">
        <w:rPr>
          <w:b/>
          <w:bCs/>
          <w:noProof/>
        </w:rPr>
        <w:t xml:space="preserve">prioritise </w:t>
      </w:r>
      <w:r w:rsidRPr="00C12801">
        <w:rPr>
          <w:noProof/>
        </w:rPr>
        <w:t xml:space="preserve">and concentrate </w:t>
      </w:r>
      <w:r>
        <w:rPr>
          <w:noProof/>
        </w:rPr>
        <w:t xml:space="preserve">available national and EU </w:t>
      </w:r>
      <w:r w:rsidRPr="00C12801">
        <w:rPr>
          <w:noProof/>
        </w:rPr>
        <w:t xml:space="preserve">funding on the </w:t>
      </w:r>
      <w:r w:rsidRPr="00E64E68">
        <w:rPr>
          <w:b/>
          <w:bCs/>
          <w:noProof/>
        </w:rPr>
        <w:t>most urgent and resource-intensive needs</w:t>
      </w:r>
      <w:r w:rsidRPr="00C12801">
        <w:rPr>
          <w:noProof/>
        </w:rPr>
        <w:t xml:space="preserve">, such as actions for putting in place </w:t>
      </w:r>
      <w:r w:rsidRPr="00E64E68">
        <w:rPr>
          <w:b/>
          <w:bCs/>
          <w:noProof/>
        </w:rPr>
        <w:t>adequate capacity for carrying out the border procedure, providing legal counselling, strengthening Member State’ asylum and reception systems</w:t>
      </w:r>
      <w:r w:rsidR="00014943">
        <w:rPr>
          <w:rStyle w:val="FootnoteReference"/>
          <w:noProof/>
        </w:rPr>
        <w:footnoteReference w:id="50"/>
      </w:r>
      <w:r>
        <w:rPr>
          <w:noProof/>
        </w:rPr>
        <w:t>.</w:t>
      </w:r>
    </w:p>
    <w:p w14:paraId="7A82EBEE" w14:textId="0D7CD4A7" w:rsidR="002140BE" w:rsidRDefault="002140BE" w:rsidP="002140BE">
      <w:pPr>
        <w:spacing w:after="120"/>
        <w:rPr>
          <w:noProof/>
        </w:rPr>
      </w:pPr>
      <w:r>
        <w:rPr>
          <w:noProof/>
        </w:rPr>
        <w:t xml:space="preserve">In addition, </w:t>
      </w:r>
      <w:r w:rsidRPr="00C12801">
        <w:rPr>
          <w:noProof/>
        </w:rPr>
        <w:t xml:space="preserve">Member States may for instance support the implementation of the Pact with </w:t>
      </w:r>
      <w:r w:rsidR="00553219">
        <w:rPr>
          <w:noProof/>
        </w:rPr>
        <w:t>c</w:t>
      </w:r>
      <w:r w:rsidRPr="00C12801">
        <w:rPr>
          <w:noProof/>
        </w:rPr>
        <w:t xml:space="preserve">ohesion policy </w:t>
      </w:r>
      <w:r w:rsidR="00553219">
        <w:rPr>
          <w:noProof/>
        </w:rPr>
        <w:t>f</w:t>
      </w:r>
      <w:r w:rsidRPr="00C12801">
        <w:rPr>
          <w:noProof/>
        </w:rPr>
        <w:t>unds, which were already instrumental in the implementation of temporary protection for people fleeing the Russian war of aggression in Ukraine</w:t>
      </w:r>
      <w:r w:rsidRPr="00C12801">
        <w:rPr>
          <w:noProof/>
          <w:szCs w:val="24"/>
        </w:rPr>
        <w:t>.</w:t>
      </w:r>
      <w:r w:rsidRPr="00C12801">
        <w:rPr>
          <w:noProof/>
        </w:rPr>
        <w:t xml:space="preserve"> Indeed, the European Council </w:t>
      </w:r>
      <w:r w:rsidR="00553219">
        <w:rPr>
          <w:noProof/>
        </w:rPr>
        <w:t>C</w:t>
      </w:r>
      <w:r w:rsidRPr="00C12801">
        <w:rPr>
          <w:noProof/>
        </w:rPr>
        <w:t xml:space="preserve">onclusions of February 2024 recalled the potential of </w:t>
      </w:r>
      <w:r w:rsidR="00553219">
        <w:rPr>
          <w:noProof/>
        </w:rPr>
        <w:t>c</w:t>
      </w:r>
      <w:r w:rsidRPr="00C12801">
        <w:rPr>
          <w:noProof/>
        </w:rPr>
        <w:t xml:space="preserve">ohesion </w:t>
      </w:r>
      <w:r>
        <w:rPr>
          <w:noProof/>
        </w:rPr>
        <w:t xml:space="preserve">policy </w:t>
      </w:r>
      <w:r w:rsidR="00553219">
        <w:rPr>
          <w:noProof/>
        </w:rPr>
        <w:t>f</w:t>
      </w:r>
      <w:r w:rsidRPr="00C12801">
        <w:rPr>
          <w:noProof/>
        </w:rPr>
        <w:t>unds to support migration related needs</w:t>
      </w:r>
      <w:r w:rsidRPr="00C12801">
        <w:rPr>
          <w:rStyle w:val="FootnoteReference"/>
          <w:noProof/>
        </w:rPr>
        <w:footnoteReference w:id="51"/>
      </w:r>
      <w:r w:rsidRPr="00C12801">
        <w:rPr>
          <w:noProof/>
        </w:rPr>
        <w:t xml:space="preserve">. </w:t>
      </w:r>
    </w:p>
    <w:p w14:paraId="0BA20339" w14:textId="08F6C75D" w:rsidR="002140BE" w:rsidRPr="00C12801" w:rsidRDefault="002140BE" w:rsidP="002140BE">
      <w:pPr>
        <w:spacing w:after="120"/>
        <w:rPr>
          <w:rFonts w:ascii="Arial" w:hAnsi="Arial" w:cs="Arial"/>
          <w:noProof/>
          <w:sz w:val="32"/>
          <w:szCs w:val="32"/>
        </w:rPr>
      </w:pPr>
      <w:r>
        <w:rPr>
          <w:noProof/>
        </w:rPr>
        <w:t>Therefore, s</w:t>
      </w:r>
      <w:r w:rsidRPr="00C12801">
        <w:rPr>
          <w:noProof/>
        </w:rPr>
        <w:t>ynergies should be created</w:t>
      </w:r>
      <w:r>
        <w:rPr>
          <w:noProof/>
        </w:rPr>
        <w:t xml:space="preserve"> between AMIF which supports measures for arrival and reception and cohesion policy funds, namely the </w:t>
      </w:r>
      <w:r w:rsidRPr="00E64E68">
        <w:rPr>
          <w:b/>
          <w:bCs/>
          <w:noProof/>
        </w:rPr>
        <w:t xml:space="preserve">European Social Fund (ESF+) </w:t>
      </w:r>
      <w:r w:rsidRPr="00553219">
        <w:rPr>
          <w:noProof/>
        </w:rPr>
        <w:t xml:space="preserve">and </w:t>
      </w:r>
      <w:r w:rsidRPr="00E64E68">
        <w:rPr>
          <w:b/>
          <w:bCs/>
          <w:noProof/>
        </w:rPr>
        <w:t>the European Regional Development Fund (ERDF)</w:t>
      </w:r>
      <w:r>
        <w:rPr>
          <w:noProof/>
        </w:rPr>
        <w:t>, which support the long-term integration and inclusion of people with a migrant background. These complementarities are further described in the 2021 Toolkit on the use of EU funds for the integration of people with a migrant background for the 2021-2027 programming period</w:t>
      </w:r>
      <w:r>
        <w:rPr>
          <w:rStyle w:val="FootnoteReference"/>
          <w:noProof/>
        </w:rPr>
        <w:footnoteReference w:id="52"/>
      </w:r>
      <w:r>
        <w:rPr>
          <w:noProof/>
        </w:rPr>
        <w:t>.</w:t>
      </w:r>
    </w:p>
    <w:p w14:paraId="61625BA0" w14:textId="27211A58" w:rsidR="002140BE" w:rsidRPr="009D6033" w:rsidRDefault="002140BE" w:rsidP="002140BE">
      <w:pPr>
        <w:spacing w:after="120"/>
        <w:rPr>
          <w:noProof/>
        </w:rPr>
      </w:pPr>
      <w:r w:rsidRPr="00C12801">
        <w:rPr>
          <w:noProof/>
        </w:rPr>
        <w:t xml:space="preserve">Member States may also receive support from the </w:t>
      </w:r>
      <w:r w:rsidRPr="00E64E68">
        <w:rPr>
          <w:b/>
          <w:bCs/>
          <w:noProof/>
        </w:rPr>
        <w:t>Technical Support Instrument</w:t>
      </w:r>
      <w:r w:rsidRPr="00C12801">
        <w:rPr>
          <w:noProof/>
        </w:rPr>
        <w:t xml:space="preserve">, </w:t>
      </w:r>
      <w:r>
        <w:rPr>
          <w:noProof/>
        </w:rPr>
        <w:t xml:space="preserve">under </w:t>
      </w:r>
      <w:r w:rsidRPr="00C12801">
        <w:rPr>
          <w:noProof/>
        </w:rPr>
        <w:t xml:space="preserve">which </w:t>
      </w:r>
      <w:r>
        <w:rPr>
          <w:noProof/>
        </w:rPr>
        <w:t>the Commission will</w:t>
      </w:r>
      <w:r w:rsidR="001D690A">
        <w:rPr>
          <w:noProof/>
        </w:rPr>
        <w:t xml:space="preserve"> </w:t>
      </w:r>
      <w:r>
        <w:rPr>
          <w:noProof/>
        </w:rPr>
        <w:t xml:space="preserve">launch a dedicated call to </w:t>
      </w:r>
      <w:r w:rsidRPr="00C12801">
        <w:rPr>
          <w:noProof/>
        </w:rPr>
        <w:t xml:space="preserve">support Member States </w:t>
      </w:r>
      <w:r>
        <w:rPr>
          <w:noProof/>
        </w:rPr>
        <w:t xml:space="preserve">in developing their National Implementation Plans.  Moreover, the Technical Support Instrument has identified support to Member States for the implementation of the Pact as a flagship initiative for 2025. </w:t>
      </w:r>
      <w:r w:rsidR="00553219">
        <w:rPr>
          <w:noProof/>
        </w:rPr>
        <w:t xml:space="preserve">Support from the </w:t>
      </w:r>
      <w:r>
        <w:rPr>
          <w:noProof/>
        </w:rPr>
        <w:t>T</w:t>
      </w:r>
      <w:r w:rsidRPr="00C12801">
        <w:rPr>
          <w:noProof/>
        </w:rPr>
        <w:t xml:space="preserve">echnical Support Instrument may take the form of strategic or technical advice, studies assessing reform needs or options in specific areas, training, or in-country missions by experts. It could be used to support the operationalisation of the </w:t>
      </w:r>
      <w:r>
        <w:rPr>
          <w:noProof/>
        </w:rPr>
        <w:t>N</w:t>
      </w:r>
      <w:r w:rsidRPr="00C12801">
        <w:rPr>
          <w:noProof/>
        </w:rPr>
        <w:t xml:space="preserve">ational </w:t>
      </w:r>
      <w:r>
        <w:rPr>
          <w:noProof/>
        </w:rPr>
        <w:t>I</w:t>
      </w:r>
      <w:r w:rsidRPr="00C12801">
        <w:rPr>
          <w:noProof/>
        </w:rPr>
        <w:t xml:space="preserve">mplementation </w:t>
      </w:r>
      <w:r>
        <w:rPr>
          <w:noProof/>
        </w:rPr>
        <w:t>P</w:t>
      </w:r>
      <w:r w:rsidRPr="00C12801">
        <w:rPr>
          <w:noProof/>
        </w:rPr>
        <w:t>lans, including reforms necessary under the Pact and help facilitate the use of relevant EU funds.</w:t>
      </w:r>
    </w:p>
    <w:p w14:paraId="69A5B45F" w14:textId="77777777" w:rsidR="002140BE" w:rsidRPr="008849A9" w:rsidRDefault="002140BE" w:rsidP="002140BE">
      <w:pPr>
        <w:spacing w:after="120"/>
        <w:rPr>
          <w:noProof/>
          <w:szCs w:val="24"/>
        </w:rPr>
      </w:pPr>
      <w:r>
        <w:rPr>
          <w:noProof/>
          <w:szCs w:val="24"/>
        </w:rPr>
        <w:t xml:space="preserve">As part of </w:t>
      </w:r>
      <w:r w:rsidRPr="00C12801">
        <w:rPr>
          <w:noProof/>
          <w:szCs w:val="24"/>
        </w:rPr>
        <w:t xml:space="preserve">the </w:t>
      </w:r>
      <w:r>
        <w:rPr>
          <w:noProof/>
          <w:szCs w:val="24"/>
        </w:rPr>
        <w:t>bilateral exchanges</w:t>
      </w:r>
      <w:r w:rsidRPr="00C12801">
        <w:rPr>
          <w:noProof/>
          <w:szCs w:val="24"/>
        </w:rPr>
        <w:t xml:space="preserve"> between the</w:t>
      </w:r>
      <w:r>
        <w:rPr>
          <w:noProof/>
          <w:szCs w:val="24"/>
        </w:rPr>
        <w:t xml:space="preserve"> </w:t>
      </w:r>
      <w:r w:rsidRPr="00C12801">
        <w:rPr>
          <w:noProof/>
        </w:rPr>
        <w:t>multidisciplinary country-team</w:t>
      </w:r>
      <w:r>
        <w:rPr>
          <w:noProof/>
        </w:rPr>
        <w:t xml:space="preserve"> established by the Commission</w:t>
      </w:r>
      <w:r w:rsidRPr="00C12801">
        <w:rPr>
          <w:noProof/>
          <w:szCs w:val="24"/>
        </w:rPr>
        <w:t xml:space="preserve"> and the Member States in preparation of their National Implementation Plans, the Member States will be invited to reflect on the best way to combine national and other Union </w:t>
      </w:r>
      <w:r>
        <w:rPr>
          <w:noProof/>
          <w:szCs w:val="24"/>
        </w:rPr>
        <w:t>re</w:t>
      </w:r>
      <w:r w:rsidRPr="00C12801">
        <w:rPr>
          <w:noProof/>
          <w:szCs w:val="24"/>
        </w:rPr>
        <w:t>sources to address the implementation</w:t>
      </w:r>
      <w:r>
        <w:rPr>
          <w:noProof/>
          <w:szCs w:val="24"/>
        </w:rPr>
        <w:t xml:space="preserve"> costs</w:t>
      </w:r>
      <w:r w:rsidRPr="00C12801">
        <w:rPr>
          <w:noProof/>
          <w:szCs w:val="24"/>
        </w:rPr>
        <w:t xml:space="preserve"> of the Pact.</w:t>
      </w:r>
    </w:p>
    <w:p w14:paraId="15058EF5" w14:textId="77777777" w:rsidR="002140BE" w:rsidRPr="00C12801" w:rsidRDefault="002140BE" w:rsidP="002740E8">
      <w:pPr>
        <w:pStyle w:val="Heading1"/>
        <w:numPr>
          <w:ilvl w:val="0"/>
          <w:numId w:val="23"/>
        </w:numPr>
        <w:spacing w:before="0" w:after="120"/>
        <w:rPr>
          <w:noProof/>
        </w:rPr>
      </w:pPr>
      <w:r>
        <w:rPr>
          <w:noProof/>
        </w:rPr>
        <w:t>External dimension of Migration</w:t>
      </w:r>
    </w:p>
    <w:p w14:paraId="114A1CCE" w14:textId="6A4EBFB4" w:rsidR="002140BE" w:rsidRDefault="002140BE" w:rsidP="002140BE">
      <w:pPr>
        <w:spacing w:after="120"/>
        <w:rPr>
          <w:noProof/>
        </w:rPr>
      </w:pPr>
      <w:r>
        <w:rPr>
          <w:noProof/>
        </w:rPr>
        <w:t>The Pact on Migration and Asylum reflects a whole-of-government and whole-of-route approach to migration management, seeking to ensure coherence and effectiveness among the actions and measures taken by the Union and its Member States internally and externally.</w:t>
      </w:r>
    </w:p>
    <w:p w14:paraId="2207171F" w14:textId="51B56343" w:rsidR="002140BE" w:rsidRDefault="002140BE" w:rsidP="002140BE">
      <w:pPr>
        <w:spacing w:after="120"/>
        <w:rPr>
          <w:noProof/>
        </w:rPr>
      </w:pPr>
      <w:r w:rsidRPr="001C1158">
        <w:rPr>
          <w:noProof/>
        </w:rPr>
        <w:t>Th</w:t>
      </w:r>
      <w:r w:rsidRPr="001C1158">
        <w:rPr>
          <w:bCs/>
          <w:noProof/>
        </w:rPr>
        <w:t xml:space="preserve">e EU has pursued </w:t>
      </w:r>
      <w:r w:rsidRPr="001C1158">
        <w:rPr>
          <w:noProof/>
          <w:szCs w:val="24"/>
        </w:rPr>
        <w:t>a tw</w:t>
      </w:r>
      <w:r w:rsidR="00082322">
        <w:rPr>
          <w:noProof/>
          <w:szCs w:val="24"/>
        </w:rPr>
        <w:t>o</w:t>
      </w:r>
      <w:r w:rsidRPr="001C1158">
        <w:rPr>
          <w:noProof/>
          <w:szCs w:val="24"/>
        </w:rPr>
        <w:t xml:space="preserve">-track approach, accompanying legislative work at EU level with operational activities with </w:t>
      </w:r>
      <w:r w:rsidR="00082322">
        <w:rPr>
          <w:noProof/>
          <w:szCs w:val="24"/>
        </w:rPr>
        <w:t xml:space="preserve">Member States and </w:t>
      </w:r>
      <w:r w:rsidRPr="001C1158">
        <w:rPr>
          <w:noProof/>
          <w:szCs w:val="24"/>
        </w:rPr>
        <w:t>partners.</w:t>
      </w:r>
      <w:r>
        <w:rPr>
          <w:noProof/>
          <w:szCs w:val="24"/>
        </w:rPr>
        <w:t xml:space="preserve"> </w:t>
      </w:r>
      <w:r>
        <w:rPr>
          <w:noProof/>
        </w:rPr>
        <w:t xml:space="preserve">Actions on the external dimension of migration are not tied to </w:t>
      </w:r>
      <w:r w:rsidR="00082322">
        <w:rPr>
          <w:noProof/>
        </w:rPr>
        <w:t xml:space="preserve">the </w:t>
      </w:r>
      <w:r>
        <w:rPr>
          <w:noProof/>
        </w:rPr>
        <w:t xml:space="preserve">specific </w:t>
      </w:r>
      <w:r w:rsidR="00082322">
        <w:rPr>
          <w:noProof/>
        </w:rPr>
        <w:t xml:space="preserve">building blocks </w:t>
      </w:r>
      <w:r>
        <w:rPr>
          <w:noProof/>
        </w:rPr>
        <w:t xml:space="preserve">within the Common Implementation Plan. Nevertheless, strong EU cooperation with third </w:t>
      </w:r>
      <w:r w:rsidRPr="00525BC3">
        <w:rPr>
          <w:noProof/>
        </w:rPr>
        <w:t>country partners of origin and transit, some of them hosting large communit</w:t>
      </w:r>
      <w:r w:rsidR="000B73A0">
        <w:rPr>
          <w:noProof/>
        </w:rPr>
        <w:t>ies</w:t>
      </w:r>
      <w:r w:rsidRPr="00525BC3">
        <w:rPr>
          <w:noProof/>
        </w:rPr>
        <w:t xml:space="preserve"> of </w:t>
      </w:r>
      <w:r w:rsidR="00082322">
        <w:rPr>
          <w:noProof/>
        </w:rPr>
        <w:t xml:space="preserve">migrants and </w:t>
      </w:r>
      <w:r w:rsidRPr="00525BC3">
        <w:rPr>
          <w:noProof/>
        </w:rPr>
        <w:t>refugees, will be important for the sustainability of the Pact.</w:t>
      </w:r>
    </w:p>
    <w:p w14:paraId="44B59725" w14:textId="36ADE84B" w:rsidR="004D4EAE" w:rsidRDefault="004D4EAE" w:rsidP="004D4EAE">
      <w:pPr>
        <w:spacing w:after="120"/>
        <w:rPr>
          <w:noProof/>
        </w:rPr>
      </w:pPr>
      <w:r>
        <w:rPr>
          <w:bCs/>
          <w:noProof/>
        </w:rPr>
        <w:t xml:space="preserve">The EU </w:t>
      </w:r>
      <w:r>
        <w:rPr>
          <w:noProof/>
          <w:szCs w:val="24"/>
        </w:rPr>
        <w:t>has</w:t>
      </w:r>
      <w:r w:rsidRPr="00C12801">
        <w:rPr>
          <w:noProof/>
          <w:szCs w:val="24"/>
        </w:rPr>
        <w:t xml:space="preserve"> </w:t>
      </w:r>
      <w:r w:rsidRPr="00C12801">
        <w:rPr>
          <w:noProof/>
        </w:rPr>
        <w:t>develop</w:t>
      </w:r>
      <w:r>
        <w:rPr>
          <w:noProof/>
        </w:rPr>
        <w:t>ed</w:t>
      </w:r>
      <w:r w:rsidRPr="00C12801">
        <w:rPr>
          <w:noProof/>
        </w:rPr>
        <w:t xml:space="preserve"> </w:t>
      </w:r>
      <w:r w:rsidRPr="00C12801">
        <w:rPr>
          <w:b/>
          <w:bCs/>
          <w:noProof/>
        </w:rPr>
        <w:t>four EU Action Plans</w:t>
      </w:r>
      <w:r w:rsidRPr="00C12801">
        <w:rPr>
          <w:noProof/>
        </w:rPr>
        <w:t xml:space="preserve"> </w:t>
      </w:r>
      <w:r>
        <w:rPr>
          <w:noProof/>
        </w:rPr>
        <w:t>which follow a whole of route approach to</w:t>
      </w:r>
      <w:r w:rsidRPr="00C12801">
        <w:rPr>
          <w:noProof/>
        </w:rPr>
        <w:t xml:space="preserve"> the main migratory routes</w:t>
      </w:r>
      <w:r>
        <w:rPr>
          <w:noProof/>
        </w:rPr>
        <w:t xml:space="preserve"> to the EU (</w:t>
      </w:r>
      <w:r w:rsidRPr="00C12801">
        <w:rPr>
          <w:noProof/>
        </w:rPr>
        <w:t xml:space="preserve">Western Balkans, Central Mediterranean, Atlantic/Western Mediterranean, and Eastern Mediterranean </w:t>
      </w:r>
      <w:r>
        <w:rPr>
          <w:noProof/>
        </w:rPr>
        <w:t xml:space="preserve">routes). These </w:t>
      </w:r>
      <w:r w:rsidRPr="00C12801">
        <w:rPr>
          <w:noProof/>
        </w:rPr>
        <w:t xml:space="preserve">set a path for collective operational </w:t>
      </w:r>
      <w:r>
        <w:rPr>
          <w:noProof/>
        </w:rPr>
        <w:t>measures</w:t>
      </w:r>
      <w:r w:rsidRPr="00550AB1">
        <w:rPr>
          <w:noProof/>
        </w:rPr>
        <w:t xml:space="preserve"> to strengthen cooperation with partner </w:t>
      </w:r>
      <w:r w:rsidRPr="00542A71">
        <w:rPr>
          <w:noProof/>
        </w:rPr>
        <w:t>countries</w:t>
      </w:r>
      <w:r w:rsidRPr="00481B36">
        <w:rPr>
          <w:noProof/>
        </w:rPr>
        <w:t xml:space="preserve"> along the routes and to increase safeguards </w:t>
      </w:r>
      <w:r w:rsidR="00CB66E1">
        <w:rPr>
          <w:noProof/>
        </w:rPr>
        <w:t>for</w:t>
      </w:r>
      <w:r w:rsidRPr="00481B36">
        <w:rPr>
          <w:noProof/>
        </w:rPr>
        <w:t xml:space="preserve"> people on the move</w:t>
      </w:r>
      <w:r w:rsidRPr="00542A71">
        <w:rPr>
          <w:noProof/>
        </w:rPr>
        <w:t xml:space="preserve">. </w:t>
      </w:r>
    </w:p>
    <w:p w14:paraId="73C7D7E3" w14:textId="48B54EC0" w:rsidR="004D4EAE" w:rsidRDefault="004D4EAE" w:rsidP="004D4EAE">
      <w:pPr>
        <w:spacing w:after="120"/>
        <w:rPr>
          <w:noProof/>
        </w:rPr>
      </w:pPr>
      <w:r w:rsidRPr="00542A71">
        <w:rPr>
          <w:noProof/>
        </w:rPr>
        <w:t>With work well un</w:t>
      </w:r>
      <w:r>
        <w:rPr>
          <w:noProof/>
        </w:rPr>
        <w:t xml:space="preserve">derway, </w:t>
      </w:r>
      <w:r w:rsidR="00030EF4">
        <w:rPr>
          <w:noProof/>
        </w:rPr>
        <w:t xml:space="preserve">and strong results being delivered, </w:t>
      </w:r>
      <w:r>
        <w:rPr>
          <w:noProof/>
        </w:rPr>
        <w:t xml:space="preserve">the </w:t>
      </w:r>
      <w:r w:rsidRPr="00C12801">
        <w:rPr>
          <w:noProof/>
        </w:rPr>
        <w:t xml:space="preserve">Action Plans </w:t>
      </w:r>
      <w:r>
        <w:rPr>
          <w:noProof/>
        </w:rPr>
        <w:t xml:space="preserve">can provide a focus for activities by the EU and Member States complementing the implementation of the Pact, increasing the impact of the </w:t>
      </w:r>
      <w:r w:rsidRPr="00C12801">
        <w:rPr>
          <w:noProof/>
        </w:rPr>
        <w:t xml:space="preserve">EU’s and Member States’ resources and </w:t>
      </w:r>
      <w:r>
        <w:rPr>
          <w:noProof/>
        </w:rPr>
        <w:t>targeting o</w:t>
      </w:r>
      <w:r w:rsidRPr="00550AB1">
        <w:rPr>
          <w:noProof/>
        </w:rPr>
        <w:t>utreach to third countries</w:t>
      </w:r>
      <w:r w:rsidRPr="00C12801">
        <w:rPr>
          <w:noProof/>
        </w:rPr>
        <w:t>.</w:t>
      </w:r>
      <w:r>
        <w:rPr>
          <w:noProof/>
        </w:rPr>
        <w:t xml:space="preserve"> </w:t>
      </w:r>
      <w:r>
        <w:rPr>
          <w:noProof/>
          <w:szCs w:val="24"/>
        </w:rPr>
        <w:t>These Action Plans benefit from the toolbox already being deployed to build cooperation with third countries on migration.</w:t>
      </w:r>
    </w:p>
    <w:p w14:paraId="050EC2A7" w14:textId="36556291" w:rsidR="002140BE" w:rsidRDefault="002140BE" w:rsidP="002740E8">
      <w:pPr>
        <w:pStyle w:val="Heading2"/>
        <w:numPr>
          <w:ilvl w:val="1"/>
          <w:numId w:val="23"/>
        </w:numPr>
        <w:tabs>
          <w:tab w:val="num" w:pos="567"/>
        </w:tabs>
        <w:spacing w:after="120"/>
        <w:ind w:left="0" w:firstLine="0"/>
        <w:rPr>
          <w:noProof/>
        </w:rPr>
      </w:pPr>
      <w:r>
        <w:rPr>
          <w:noProof/>
        </w:rPr>
        <w:t>Migration as part of t</w:t>
      </w:r>
      <w:r w:rsidRPr="009A7FB0">
        <w:rPr>
          <w:noProof/>
        </w:rPr>
        <w:t xml:space="preserve">he comprehensive and strategic approach with </w:t>
      </w:r>
      <w:r w:rsidR="00082322">
        <w:rPr>
          <w:noProof/>
        </w:rPr>
        <w:t xml:space="preserve">partner </w:t>
      </w:r>
      <w:r w:rsidRPr="009A7FB0">
        <w:rPr>
          <w:noProof/>
        </w:rPr>
        <w:t>countries</w:t>
      </w:r>
    </w:p>
    <w:p w14:paraId="224E3199" w14:textId="02F0FD8E" w:rsidR="002140BE" w:rsidRDefault="002140BE" w:rsidP="002140BE">
      <w:pPr>
        <w:spacing w:after="120"/>
        <w:rPr>
          <w:noProof/>
        </w:rPr>
      </w:pPr>
      <w:r>
        <w:rPr>
          <w:noProof/>
        </w:rPr>
        <w:t xml:space="preserve">The Commission works with Member States in a </w:t>
      </w:r>
      <w:r w:rsidRPr="00481B36">
        <w:rPr>
          <w:b/>
          <w:bCs/>
          <w:noProof/>
        </w:rPr>
        <w:t>Team Europe approach</w:t>
      </w:r>
      <w:r>
        <w:rPr>
          <w:noProof/>
        </w:rPr>
        <w:t xml:space="preserve"> to deepen comprehensive partnerships based on mutual interests, of which migration is often one. </w:t>
      </w:r>
      <w:r w:rsidRPr="00E64E68">
        <w:rPr>
          <w:b/>
          <w:bCs/>
          <w:noProof/>
        </w:rPr>
        <w:t>Tailor-made partnerships</w:t>
      </w:r>
      <w:r>
        <w:rPr>
          <w:noProof/>
        </w:rPr>
        <w:t xml:space="preserve"> that reflect shared goals such as stability and security; economic development and reforms; investment, trade</w:t>
      </w:r>
      <w:r w:rsidR="00082322">
        <w:rPr>
          <w:noProof/>
        </w:rPr>
        <w:t>,</w:t>
      </w:r>
      <w:r>
        <w:rPr>
          <w:noProof/>
        </w:rPr>
        <w:t xml:space="preserve"> and employment; energy; the green and digital transitions; and people-to-people contacts can deepen trust and a shared strategic vision.</w:t>
      </w:r>
    </w:p>
    <w:p w14:paraId="7CFBBEA3" w14:textId="026DFDE0" w:rsidR="002140BE" w:rsidRDefault="002140BE" w:rsidP="00837D32">
      <w:pPr>
        <w:spacing w:after="120"/>
        <w:rPr>
          <w:noProof/>
        </w:rPr>
      </w:pPr>
      <w:r>
        <w:rPr>
          <w:noProof/>
        </w:rPr>
        <w:t xml:space="preserve">This approach has also allowed an </w:t>
      </w:r>
      <w:r w:rsidRPr="00E64E68">
        <w:rPr>
          <w:b/>
          <w:bCs/>
          <w:noProof/>
        </w:rPr>
        <w:t>intensification of operational work with partners</w:t>
      </w:r>
      <w:r>
        <w:rPr>
          <w:noProof/>
        </w:rPr>
        <w:t xml:space="preserve"> spanning the full range of migration and displacement-related cooperation – tackling root causes, protection of refugees and vulnerable migrants and the related challenges, </w:t>
      </w:r>
      <w:r w:rsidR="00082322">
        <w:rPr>
          <w:noProof/>
        </w:rPr>
        <w:t xml:space="preserve">strengthening border management, </w:t>
      </w:r>
      <w:r>
        <w:rPr>
          <w:noProof/>
        </w:rPr>
        <w:t xml:space="preserve">preventing irregular departures and tackling the trafficking in human beings or smuggling of migrants, stepping up returns, readmission and reintegration, and creating legal pathways. </w:t>
      </w:r>
      <w:r w:rsidR="007575D0">
        <w:rPr>
          <w:noProof/>
        </w:rPr>
        <w:t xml:space="preserve">There is now a clear drive to establish deeper </w:t>
      </w:r>
      <w:r w:rsidR="007F7EF5">
        <w:rPr>
          <w:noProof/>
        </w:rPr>
        <w:t>partnerships</w:t>
      </w:r>
      <w:r w:rsidR="00720EAA">
        <w:rPr>
          <w:noProof/>
        </w:rPr>
        <w:t xml:space="preserve"> with key third countries that will situate cooperation on migration alongside other major common interests</w:t>
      </w:r>
      <w:r w:rsidR="007F7EF5">
        <w:rPr>
          <w:noProof/>
        </w:rPr>
        <w:t xml:space="preserve">. </w:t>
      </w:r>
      <w:r w:rsidR="00CF42C8">
        <w:rPr>
          <w:noProof/>
        </w:rPr>
        <w:t xml:space="preserve">This approach has been taken for example with Tunisia, Mauritania and Egypt in </w:t>
      </w:r>
      <w:r w:rsidR="00CF42C8" w:rsidRPr="00E64E68">
        <w:rPr>
          <w:b/>
          <w:bCs/>
          <w:noProof/>
        </w:rPr>
        <w:t>comprehensive</w:t>
      </w:r>
      <w:r w:rsidR="00CF42C8">
        <w:rPr>
          <w:b/>
          <w:bCs/>
          <w:noProof/>
        </w:rPr>
        <w:t xml:space="preserve"> and</w:t>
      </w:r>
      <w:r w:rsidR="00CF42C8" w:rsidRPr="00E64E68">
        <w:rPr>
          <w:b/>
          <w:bCs/>
          <w:noProof/>
        </w:rPr>
        <w:t xml:space="preserve"> strategic partnerships</w:t>
      </w:r>
      <w:r w:rsidR="00CF42C8">
        <w:rPr>
          <w:b/>
          <w:bCs/>
          <w:noProof/>
        </w:rPr>
        <w:t>.</w:t>
      </w:r>
      <w:r w:rsidR="0028118A">
        <w:rPr>
          <w:noProof/>
        </w:rPr>
        <w:t xml:space="preserve"> </w:t>
      </w:r>
      <w:r w:rsidR="00CF42C8" w:rsidRPr="00D35C62">
        <w:rPr>
          <w:noProof/>
        </w:rPr>
        <w:t>In all</w:t>
      </w:r>
      <w:r w:rsidR="00A96F65">
        <w:rPr>
          <w:noProof/>
        </w:rPr>
        <w:t xml:space="preserve"> </w:t>
      </w:r>
      <w:r w:rsidR="00A676A2">
        <w:rPr>
          <w:noProof/>
        </w:rPr>
        <w:t>of its</w:t>
      </w:r>
      <w:r w:rsidR="00CF42C8" w:rsidRPr="00D35C62">
        <w:rPr>
          <w:noProof/>
        </w:rPr>
        <w:t xml:space="preserve"> partnerships, the EU is consistent in asserting the</w:t>
      </w:r>
      <w:r w:rsidR="00CF42C8">
        <w:rPr>
          <w:noProof/>
        </w:rPr>
        <w:t xml:space="preserve"> importance of respect for fundamental rights and international law</w:t>
      </w:r>
      <w:r w:rsidR="00994D16">
        <w:rPr>
          <w:rStyle w:val="FootnoteReference"/>
          <w:noProof/>
        </w:rPr>
        <w:footnoteReference w:id="53"/>
      </w:r>
      <w:r w:rsidR="00CF42C8">
        <w:rPr>
          <w:noProof/>
        </w:rPr>
        <w:t xml:space="preserve">. </w:t>
      </w:r>
    </w:p>
    <w:p w14:paraId="26D87E64" w14:textId="4EE3AB53" w:rsidR="002140BE" w:rsidRPr="00E43350" w:rsidRDefault="002140BE" w:rsidP="002140BE">
      <w:pPr>
        <w:spacing w:after="120"/>
        <w:rPr>
          <w:noProof/>
        </w:rPr>
      </w:pPr>
      <w:r>
        <w:rPr>
          <w:noProof/>
        </w:rPr>
        <w:t xml:space="preserve">To </w:t>
      </w:r>
      <w:r w:rsidRPr="00E64E68">
        <w:rPr>
          <w:b/>
          <w:bCs/>
          <w:noProof/>
        </w:rPr>
        <w:t>complement the EU-level efforts</w:t>
      </w:r>
      <w:r w:rsidRPr="00C12801">
        <w:rPr>
          <w:noProof/>
        </w:rPr>
        <w:t xml:space="preserve"> </w:t>
      </w:r>
      <w:r>
        <w:rPr>
          <w:noProof/>
        </w:rPr>
        <w:t>and offer an important extra-dimension to such strategic and comprehensive partnerships, Member States are encouraged to plan actions that can enhance this Team Europe engagement with key third countries</w:t>
      </w:r>
      <w:r w:rsidR="000D5B9E">
        <w:rPr>
          <w:noProof/>
        </w:rPr>
        <w:t>,</w:t>
      </w:r>
      <w:r>
        <w:rPr>
          <w:noProof/>
        </w:rPr>
        <w:t xml:space="preserve"> building on their </w:t>
      </w:r>
      <w:r w:rsidRPr="00C12801">
        <w:rPr>
          <w:noProof/>
        </w:rPr>
        <w:t>experience and privileged relationships</w:t>
      </w:r>
      <w:r>
        <w:rPr>
          <w:noProof/>
        </w:rPr>
        <w:t xml:space="preserve">. </w:t>
      </w:r>
      <w:r w:rsidR="00B53593">
        <w:rPr>
          <w:noProof/>
        </w:rPr>
        <w:t>T</w:t>
      </w:r>
      <w:r>
        <w:rPr>
          <w:noProof/>
        </w:rPr>
        <w:t xml:space="preserve">hese actions may focus on the full range of migration-related activities, including support to capacity building and equipment, and </w:t>
      </w:r>
      <w:r w:rsidR="008F1E6D">
        <w:rPr>
          <w:noProof/>
        </w:rPr>
        <w:t xml:space="preserve">support </w:t>
      </w:r>
      <w:r>
        <w:rPr>
          <w:noProof/>
        </w:rPr>
        <w:t>partners in their own work on</w:t>
      </w:r>
      <w:r w:rsidR="00141D3B">
        <w:rPr>
          <w:noProof/>
        </w:rPr>
        <w:t xml:space="preserve"> refugee protection</w:t>
      </w:r>
      <w:r>
        <w:rPr>
          <w:noProof/>
        </w:rPr>
        <w:t xml:space="preserve">, asylum and return. Bringing these efforts together in specific </w:t>
      </w:r>
      <w:r w:rsidRPr="00E64E68">
        <w:rPr>
          <w:b/>
          <w:bCs/>
          <w:noProof/>
        </w:rPr>
        <w:t>Team Europe Initiatives on migration</w:t>
      </w:r>
      <w:r>
        <w:rPr>
          <w:noProof/>
        </w:rPr>
        <w:t xml:space="preserve"> can have a powerful </w:t>
      </w:r>
      <w:r w:rsidRPr="00E64E68">
        <w:rPr>
          <w:b/>
          <w:bCs/>
          <w:noProof/>
        </w:rPr>
        <w:t>collective impact</w:t>
      </w:r>
      <w:r w:rsidRPr="00464EE6">
        <w:rPr>
          <w:noProof/>
        </w:rPr>
        <w:t>.</w:t>
      </w:r>
      <w:r>
        <w:rPr>
          <w:noProof/>
        </w:rPr>
        <w:t xml:space="preserve"> </w:t>
      </w:r>
      <w:r w:rsidRPr="00C12801">
        <w:rPr>
          <w:noProof/>
        </w:rPr>
        <w:t xml:space="preserve">In this endeavour, it is important to </w:t>
      </w:r>
      <w:r w:rsidRPr="00481B36">
        <w:rPr>
          <w:noProof/>
        </w:rPr>
        <w:t>continue coordination of national measures through EU governance structures</w:t>
      </w:r>
      <w:r w:rsidR="000D5B9E">
        <w:rPr>
          <w:noProof/>
        </w:rPr>
        <w:t>,</w:t>
      </w:r>
      <w:r w:rsidRPr="00481B36">
        <w:rPr>
          <w:noProof/>
        </w:rPr>
        <w:t xml:space="preserve"> </w:t>
      </w:r>
      <w:r>
        <w:rPr>
          <w:noProof/>
        </w:rPr>
        <w:t>including in the Council.</w:t>
      </w:r>
    </w:p>
    <w:p w14:paraId="5A758876" w14:textId="38A8F0D4" w:rsidR="002140BE" w:rsidRDefault="002140BE" w:rsidP="002140BE">
      <w:pPr>
        <w:spacing w:after="120"/>
        <w:rPr>
          <w:noProof/>
        </w:rPr>
      </w:pPr>
      <w:r w:rsidRPr="001228CD">
        <w:rPr>
          <w:noProof/>
        </w:rPr>
        <w:t>To support the external dimension of the Pact</w:t>
      </w:r>
      <w:r w:rsidRPr="00972C63">
        <w:rPr>
          <w:noProof/>
        </w:rPr>
        <w:t>,</w:t>
      </w:r>
      <w:r>
        <w:rPr>
          <w:noProof/>
        </w:rPr>
        <w:t xml:space="preserve"> t</w:t>
      </w:r>
      <w:r w:rsidRPr="00C12801">
        <w:rPr>
          <w:noProof/>
        </w:rPr>
        <w:t xml:space="preserve">he </w:t>
      </w:r>
      <w:r w:rsidRPr="001C1158">
        <w:rPr>
          <w:b/>
          <w:bCs/>
          <w:noProof/>
        </w:rPr>
        <w:t xml:space="preserve">Neighbourhood, Development, and International Cooperation Instrument </w:t>
      </w:r>
      <w:r w:rsidRPr="00C12801">
        <w:rPr>
          <w:noProof/>
        </w:rPr>
        <w:t>(ND</w:t>
      </w:r>
      <w:r>
        <w:rPr>
          <w:noProof/>
        </w:rPr>
        <w:t>I</w:t>
      </w:r>
      <w:r w:rsidRPr="00C12801">
        <w:rPr>
          <w:noProof/>
        </w:rPr>
        <w:t>CI)</w:t>
      </w:r>
      <w:r>
        <w:rPr>
          <w:rStyle w:val="FootnoteReference"/>
          <w:noProof/>
        </w:rPr>
        <w:footnoteReference w:id="54"/>
      </w:r>
      <w:r w:rsidRPr="00C12801">
        <w:rPr>
          <w:noProof/>
        </w:rPr>
        <w:t xml:space="preserve"> is </w:t>
      </w:r>
      <w:r>
        <w:rPr>
          <w:noProof/>
        </w:rPr>
        <w:t>currently exceeding the indicative</w:t>
      </w:r>
      <w:r w:rsidRPr="00C12801">
        <w:rPr>
          <w:noProof/>
        </w:rPr>
        <w:t xml:space="preserve"> spending </w:t>
      </w:r>
      <w:r>
        <w:rPr>
          <w:noProof/>
        </w:rPr>
        <w:t>target</w:t>
      </w:r>
      <w:r w:rsidRPr="00C12801">
        <w:rPr>
          <w:noProof/>
        </w:rPr>
        <w:t xml:space="preserve"> of 10% for </w:t>
      </w:r>
      <w:r>
        <w:rPr>
          <w:noProof/>
        </w:rPr>
        <w:t xml:space="preserve">actions related to </w:t>
      </w:r>
      <w:r w:rsidRPr="00C12801">
        <w:rPr>
          <w:noProof/>
        </w:rPr>
        <w:t>migration</w:t>
      </w:r>
      <w:r>
        <w:rPr>
          <w:noProof/>
        </w:rPr>
        <w:t xml:space="preserve"> and forced displacement in the period 2021-27</w:t>
      </w:r>
      <w:r w:rsidRPr="00C12801">
        <w:rPr>
          <w:noProof/>
        </w:rPr>
        <w:t>.</w:t>
      </w:r>
      <w:r>
        <w:rPr>
          <w:noProof/>
        </w:rPr>
        <w:t xml:space="preserve"> Support to migration-related cooperation is also a major theme of work under the </w:t>
      </w:r>
      <w:r w:rsidRPr="001C1158">
        <w:rPr>
          <w:b/>
          <w:bCs/>
          <w:noProof/>
        </w:rPr>
        <w:t>Instrument for Pre-Accession</w:t>
      </w:r>
      <w:r>
        <w:rPr>
          <w:noProof/>
        </w:rPr>
        <w:t xml:space="preserve"> (IPA).</w:t>
      </w:r>
    </w:p>
    <w:p w14:paraId="6A00F14E" w14:textId="2F53DF6D" w:rsidR="002140BE" w:rsidRDefault="002140BE" w:rsidP="002140BE">
      <w:pPr>
        <w:spacing w:after="120"/>
        <w:rPr>
          <w:noProof/>
        </w:rPr>
      </w:pPr>
      <w:r w:rsidRPr="00084020">
        <w:rPr>
          <w:noProof/>
        </w:rPr>
        <w:t>In the context of the mid-term review of the MFF 2021-2027, to enable the Union to provide necessary support amid extraordinary geopolitical tensions, the priorities of Heading 6 “Neighbourhood and the world” of the MFF, such as migration and external challenges, have been reinforced with EUR 7.6 billion. This funding will help maintain effective migration</w:t>
      </w:r>
      <w:r w:rsidR="00DD1DEC">
        <w:rPr>
          <w:noProof/>
        </w:rPr>
        <w:t xml:space="preserve"> </w:t>
      </w:r>
      <w:r w:rsidRPr="00084020">
        <w:rPr>
          <w:noProof/>
        </w:rPr>
        <w:t xml:space="preserve">cooperation with third countries, including support for </w:t>
      </w:r>
      <w:r w:rsidRPr="00DF76E1">
        <w:rPr>
          <w:noProof/>
        </w:rPr>
        <w:t xml:space="preserve">Syrian refugees in Türkiye (EUR 2 </w:t>
      </w:r>
      <w:r w:rsidR="009146FF" w:rsidRPr="00DF76E1">
        <w:rPr>
          <w:noProof/>
        </w:rPr>
        <w:t>b</w:t>
      </w:r>
      <w:r w:rsidRPr="00DF76E1">
        <w:rPr>
          <w:noProof/>
        </w:rPr>
        <w:t xml:space="preserve">illion) and the broader region (EUR 1.6 </w:t>
      </w:r>
      <w:r w:rsidR="00EF6299">
        <w:rPr>
          <w:noProof/>
        </w:rPr>
        <w:t>b</w:t>
      </w:r>
      <w:r w:rsidRPr="00DF76E1">
        <w:rPr>
          <w:noProof/>
        </w:rPr>
        <w:t>illion)</w:t>
      </w:r>
      <w:r w:rsidR="002B7727">
        <w:rPr>
          <w:noProof/>
        </w:rPr>
        <w:t>,</w:t>
      </w:r>
      <w:r w:rsidR="004924A6">
        <w:rPr>
          <w:noProof/>
        </w:rPr>
        <w:t xml:space="preserve"> </w:t>
      </w:r>
      <w:r w:rsidR="004924A6" w:rsidRPr="00570E68">
        <w:rPr>
          <w:noProof/>
        </w:rPr>
        <w:t xml:space="preserve">as well as the continuation of actions previously </w:t>
      </w:r>
      <w:r w:rsidR="002B7727">
        <w:rPr>
          <w:noProof/>
        </w:rPr>
        <w:t>undertaken</w:t>
      </w:r>
      <w:r w:rsidR="004924A6" w:rsidRPr="00570E68">
        <w:rPr>
          <w:noProof/>
        </w:rPr>
        <w:t xml:space="preserve"> through the EU Trust Fund for Africa</w:t>
      </w:r>
      <w:r w:rsidRPr="00570E68">
        <w:rPr>
          <w:noProof/>
        </w:rPr>
        <w:t>.</w:t>
      </w:r>
      <w:r w:rsidR="00267C3D">
        <w:rPr>
          <w:noProof/>
        </w:rPr>
        <w:t xml:space="preserve"> </w:t>
      </w:r>
      <w:r w:rsidRPr="00DF76E1">
        <w:rPr>
          <w:noProof/>
        </w:rPr>
        <w:t>It</w:t>
      </w:r>
      <w:r w:rsidR="004924A6">
        <w:rPr>
          <w:noProof/>
        </w:rPr>
        <w:t xml:space="preserve"> </w:t>
      </w:r>
      <w:r w:rsidRPr="00DF76E1">
        <w:rPr>
          <w:noProof/>
        </w:rPr>
        <w:t xml:space="preserve">will also </w:t>
      </w:r>
      <w:r w:rsidR="00EF6299">
        <w:rPr>
          <w:noProof/>
        </w:rPr>
        <w:t>help to support</w:t>
      </w:r>
      <w:r w:rsidR="00EF6299" w:rsidRPr="00DF76E1">
        <w:rPr>
          <w:noProof/>
        </w:rPr>
        <w:t xml:space="preserve"> </w:t>
      </w:r>
      <w:r w:rsidRPr="00DF76E1">
        <w:rPr>
          <w:noProof/>
        </w:rPr>
        <w:t>the Western Balkans</w:t>
      </w:r>
      <w:r w:rsidR="00303467">
        <w:rPr>
          <w:noProof/>
        </w:rPr>
        <w:t>,</w:t>
      </w:r>
      <w:r w:rsidRPr="00DF76E1">
        <w:rPr>
          <w:noProof/>
        </w:rPr>
        <w:t xml:space="preserve"> the Southern Neighbourhood and Africa</w:t>
      </w:r>
      <w:r w:rsidRPr="00084020">
        <w:rPr>
          <w:noProof/>
        </w:rPr>
        <w:t>,</w:t>
      </w:r>
      <w:r w:rsidR="00717435">
        <w:rPr>
          <w:noProof/>
        </w:rPr>
        <w:t xml:space="preserve"> </w:t>
      </w:r>
      <w:r w:rsidRPr="00084020">
        <w:rPr>
          <w:noProof/>
        </w:rPr>
        <w:t>including partnerships and funding for migration routes.</w:t>
      </w:r>
    </w:p>
    <w:p w14:paraId="5B9DD165" w14:textId="77777777" w:rsidR="004D4EAE" w:rsidRDefault="004D4EAE" w:rsidP="002140BE">
      <w:pPr>
        <w:spacing w:after="120"/>
        <w:rPr>
          <w:noProof/>
        </w:rPr>
      </w:pPr>
      <w:r>
        <w:rPr>
          <w:noProof/>
        </w:rPr>
        <w:t>Socio-</w:t>
      </w:r>
      <w:r w:rsidRPr="00C12801">
        <w:rPr>
          <w:noProof/>
        </w:rPr>
        <w:t xml:space="preserve">economic development and </w:t>
      </w:r>
      <w:r>
        <w:rPr>
          <w:noProof/>
        </w:rPr>
        <w:t xml:space="preserve">the </w:t>
      </w:r>
      <w:r w:rsidRPr="00C12801">
        <w:rPr>
          <w:noProof/>
        </w:rPr>
        <w:t>creation of sustainable job opportunities,</w:t>
      </w:r>
      <w:r w:rsidRPr="00581D4D">
        <w:rPr>
          <w:noProof/>
        </w:rPr>
        <w:t xml:space="preserve"> </w:t>
      </w:r>
      <w:r w:rsidRPr="00C12801">
        <w:rPr>
          <w:noProof/>
        </w:rPr>
        <w:t>reduc</w:t>
      </w:r>
      <w:r>
        <w:rPr>
          <w:noProof/>
        </w:rPr>
        <w:t>ing</w:t>
      </w:r>
      <w:r w:rsidRPr="00C12801">
        <w:rPr>
          <w:noProof/>
        </w:rPr>
        <w:t xml:space="preserve"> pressure on the root causes of irregular migration in the countries of origin and transit</w:t>
      </w:r>
      <w:r>
        <w:rPr>
          <w:noProof/>
        </w:rPr>
        <w:t xml:space="preserve">, is supported for example through </w:t>
      </w:r>
      <w:r w:rsidRPr="233D2CC5">
        <w:rPr>
          <w:noProof/>
          <w:szCs w:val="24"/>
        </w:rPr>
        <w:t xml:space="preserve">projects </w:t>
      </w:r>
      <w:r>
        <w:rPr>
          <w:noProof/>
          <w:szCs w:val="24"/>
        </w:rPr>
        <w:t xml:space="preserve">under </w:t>
      </w:r>
      <w:r w:rsidRPr="233D2CC5">
        <w:rPr>
          <w:noProof/>
          <w:szCs w:val="24"/>
        </w:rPr>
        <w:t xml:space="preserve">the </w:t>
      </w:r>
      <w:r w:rsidRPr="00481B36">
        <w:rPr>
          <w:b/>
          <w:bCs/>
          <w:noProof/>
          <w:szCs w:val="24"/>
        </w:rPr>
        <w:t>Global Gateway strategy</w:t>
      </w:r>
      <w:r w:rsidRPr="000C0FFD">
        <w:rPr>
          <w:noProof/>
        </w:rPr>
        <w:t>.</w:t>
      </w:r>
    </w:p>
    <w:p w14:paraId="41362064" w14:textId="27A27A60" w:rsidR="002140BE" w:rsidRDefault="002140BE" w:rsidP="002140BE">
      <w:pPr>
        <w:spacing w:after="120"/>
        <w:rPr>
          <w:noProof/>
          <w:szCs w:val="24"/>
        </w:rPr>
      </w:pPr>
      <w:r w:rsidRPr="00316309">
        <w:rPr>
          <w:noProof/>
          <w:szCs w:val="24"/>
        </w:rPr>
        <w:t xml:space="preserve">Actions in or in relation to third countries financed under the </w:t>
      </w:r>
      <w:r w:rsidRPr="00E64E68">
        <w:rPr>
          <w:b/>
          <w:bCs/>
          <w:noProof/>
          <w:szCs w:val="24"/>
        </w:rPr>
        <w:t>Pact solidarity mechanism</w:t>
      </w:r>
      <w:r w:rsidR="00B53593">
        <w:rPr>
          <w:b/>
          <w:bCs/>
          <w:noProof/>
          <w:szCs w:val="24"/>
        </w:rPr>
        <w:t xml:space="preserve"> </w:t>
      </w:r>
      <w:r w:rsidRPr="00316309">
        <w:rPr>
          <w:noProof/>
          <w:szCs w:val="24"/>
        </w:rPr>
        <w:t>have to be implemented</w:t>
      </w:r>
      <w:r w:rsidR="00566D0C">
        <w:rPr>
          <w:noProof/>
          <w:szCs w:val="24"/>
        </w:rPr>
        <w:t xml:space="preserve"> through</w:t>
      </w:r>
      <w:r w:rsidR="003E285F">
        <w:rPr>
          <w:noProof/>
          <w:szCs w:val="24"/>
        </w:rPr>
        <w:t xml:space="preserve"> the AMIF</w:t>
      </w:r>
      <w:r w:rsidRPr="00316309">
        <w:rPr>
          <w:noProof/>
          <w:szCs w:val="24"/>
        </w:rPr>
        <w:t xml:space="preserve"> within the scope of the relevant legislation and be coherent with EU external policy.</w:t>
      </w:r>
    </w:p>
    <w:p w14:paraId="54857B1D" w14:textId="77777777" w:rsidR="002140BE" w:rsidRPr="00C12801" w:rsidRDefault="002140BE" w:rsidP="002740E8">
      <w:pPr>
        <w:pStyle w:val="Heading2"/>
        <w:numPr>
          <w:ilvl w:val="1"/>
          <w:numId w:val="23"/>
        </w:numPr>
        <w:spacing w:after="120"/>
        <w:ind w:left="0" w:firstLine="0"/>
        <w:rPr>
          <w:noProof/>
        </w:rPr>
      </w:pPr>
      <w:r w:rsidRPr="00C12801">
        <w:rPr>
          <w:noProof/>
        </w:rPr>
        <w:t>Pr</w:t>
      </w:r>
      <w:r>
        <w:rPr>
          <w:noProof/>
        </w:rPr>
        <w:t xml:space="preserve">iorities for action </w:t>
      </w:r>
    </w:p>
    <w:p w14:paraId="0437CFD4" w14:textId="62DC60D2" w:rsidR="002140BE" w:rsidRPr="00012145" w:rsidRDefault="002140BE" w:rsidP="002140BE">
      <w:pPr>
        <w:spacing w:after="120"/>
        <w:rPr>
          <w:iCs/>
          <w:noProof/>
        </w:rPr>
      </w:pPr>
      <w:r>
        <w:rPr>
          <w:iCs/>
          <w:noProof/>
        </w:rPr>
        <w:t>The whole spectrum of migration-related support to third countries can help complement the Pact. Yet three areas are of particular operational significance: the fight against migrant smuggling, effective returns and readmission, and legal pathways.</w:t>
      </w:r>
    </w:p>
    <w:p w14:paraId="6C2C9B28" w14:textId="77777777" w:rsidR="002140BE" w:rsidRPr="00C12801" w:rsidRDefault="002140BE" w:rsidP="001228CD">
      <w:pPr>
        <w:keepNext/>
        <w:spacing w:after="120"/>
        <w:rPr>
          <w:i/>
          <w:noProof/>
        </w:rPr>
      </w:pPr>
      <w:r w:rsidRPr="00C12801">
        <w:rPr>
          <w:i/>
          <w:noProof/>
        </w:rPr>
        <w:t>Fight against migrant smuggling.</w:t>
      </w:r>
    </w:p>
    <w:p w14:paraId="06492EA4" w14:textId="2BC4A910" w:rsidR="002140BE" w:rsidRDefault="002140BE" w:rsidP="001228CD">
      <w:pPr>
        <w:keepNext/>
        <w:tabs>
          <w:tab w:val="num" w:pos="0"/>
        </w:tabs>
        <w:spacing w:after="120"/>
        <w:rPr>
          <w:noProof/>
        </w:rPr>
      </w:pPr>
      <w:r w:rsidRPr="00C12801">
        <w:rPr>
          <w:noProof/>
        </w:rPr>
        <w:t xml:space="preserve">The Commission and Member States should continue to work </w:t>
      </w:r>
      <w:r>
        <w:rPr>
          <w:noProof/>
        </w:rPr>
        <w:t xml:space="preserve">together on </w:t>
      </w:r>
      <w:r w:rsidRPr="00481B36">
        <w:rPr>
          <w:noProof/>
        </w:rPr>
        <w:t xml:space="preserve">innovative </w:t>
      </w:r>
      <w:r w:rsidRPr="00C12801">
        <w:rPr>
          <w:noProof/>
        </w:rPr>
        <w:t>and sustainable measures to prevent irregular migration.</w:t>
      </w:r>
      <w:r>
        <w:rPr>
          <w:noProof/>
        </w:rPr>
        <w:t xml:space="preserve"> T</w:t>
      </w:r>
      <w:r w:rsidRPr="00C12801">
        <w:rPr>
          <w:noProof/>
        </w:rPr>
        <w:t xml:space="preserve">he Commission </w:t>
      </w:r>
      <w:r>
        <w:rPr>
          <w:noProof/>
        </w:rPr>
        <w:t xml:space="preserve">will </w:t>
      </w:r>
      <w:r w:rsidRPr="00C12801">
        <w:rPr>
          <w:noProof/>
        </w:rPr>
        <w:t xml:space="preserve">build on the </w:t>
      </w:r>
      <w:r w:rsidRPr="00C12801">
        <w:rPr>
          <w:b/>
          <w:bCs/>
          <w:noProof/>
        </w:rPr>
        <w:t>Global Alliance to Counter Migrant Smuggling</w:t>
      </w:r>
      <w:r w:rsidRPr="00C12801">
        <w:rPr>
          <w:noProof/>
        </w:rPr>
        <w:t xml:space="preserve"> </w:t>
      </w:r>
      <w:r>
        <w:rPr>
          <w:noProof/>
        </w:rPr>
        <w:t>and its</w:t>
      </w:r>
      <w:r w:rsidRPr="00C12801">
        <w:rPr>
          <w:noProof/>
        </w:rPr>
        <w:t xml:space="preserve"> </w:t>
      </w:r>
      <w:r w:rsidR="006801D9">
        <w:rPr>
          <w:noProof/>
        </w:rPr>
        <w:t>C</w:t>
      </w:r>
      <w:r w:rsidRPr="00C12801">
        <w:rPr>
          <w:noProof/>
        </w:rPr>
        <w:t xml:space="preserve">all to </w:t>
      </w:r>
      <w:r w:rsidR="006801D9">
        <w:rPr>
          <w:noProof/>
        </w:rPr>
        <w:t>A</w:t>
      </w:r>
      <w:r w:rsidRPr="00C12801">
        <w:rPr>
          <w:noProof/>
        </w:rPr>
        <w:t>ction.</w:t>
      </w:r>
    </w:p>
    <w:p w14:paraId="408F0CA4" w14:textId="3FAF2ED7" w:rsidR="002140BE" w:rsidRPr="006B74FC" w:rsidRDefault="002140BE" w:rsidP="002140BE">
      <w:pPr>
        <w:tabs>
          <w:tab w:val="num" w:pos="0"/>
        </w:tabs>
        <w:spacing w:after="120"/>
        <w:rPr>
          <w:noProof/>
        </w:rPr>
      </w:pPr>
      <w:r w:rsidRPr="006B74FC">
        <w:rPr>
          <w:noProof/>
        </w:rPr>
        <w:t>Expert meetings, calls for proposals for new projects and actions to cooperate with partner countries</w:t>
      </w:r>
      <w:r w:rsidRPr="006B74FC">
        <w:rPr>
          <w:noProof/>
          <w:vertAlign w:val="superscript"/>
        </w:rPr>
        <w:footnoteReference w:id="55"/>
      </w:r>
      <w:r w:rsidRPr="006B74FC">
        <w:rPr>
          <w:noProof/>
        </w:rPr>
        <w:t xml:space="preserve"> and international organisations, such as UNODC,</w:t>
      </w:r>
      <w:r>
        <w:rPr>
          <w:noProof/>
        </w:rPr>
        <w:t xml:space="preserve"> </w:t>
      </w:r>
      <w:r w:rsidRPr="006B74FC">
        <w:rPr>
          <w:noProof/>
        </w:rPr>
        <w:t>are taking place, including on tackling the digital dimension of migrant smuggling</w:t>
      </w:r>
      <w:r>
        <w:rPr>
          <w:noProof/>
        </w:rPr>
        <w:t>. A</w:t>
      </w:r>
      <w:r w:rsidRPr="006B74FC">
        <w:rPr>
          <w:noProof/>
        </w:rPr>
        <w:t xml:space="preserve"> political level follow</w:t>
      </w:r>
      <w:r>
        <w:rPr>
          <w:noProof/>
        </w:rPr>
        <w:t>-</w:t>
      </w:r>
      <w:r w:rsidRPr="006B74FC">
        <w:rPr>
          <w:noProof/>
        </w:rPr>
        <w:t xml:space="preserve">up </w:t>
      </w:r>
      <w:r>
        <w:rPr>
          <w:noProof/>
        </w:rPr>
        <w:t xml:space="preserve">already </w:t>
      </w:r>
      <w:r w:rsidRPr="006B74FC">
        <w:rPr>
          <w:noProof/>
        </w:rPr>
        <w:t>took place in Copenhagen</w:t>
      </w:r>
      <w:r>
        <w:rPr>
          <w:noProof/>
        </w:rPr>
        <w:t xml:space="preserve"> with the</w:t>
      </w:r>
      <w:r w:rsidRPr="006B74FC">
        <w:rPr>
          <w:noProof/>
        </w:rPr>
        <w:t xml:space="preserve"> Conference on Migration Partnerships in May 2024. The next international conference on the Global Alliance is planned for November 2024 in Brussels.</w:t>
      </w:r>
    </w:p>
    <w:p w14:paraId="4AE4B8DC" w14:textId="3EA4CA91" w:rsidR="002140BE" w:rsidRDefault="002140BE" w:rsidP="002140BE">
      <w:pPr>
        <w:tabs>
          <w:tab w:val="num" w:pos="0"/>
        </w:tabs>
        <w:spacing w:after="120"/>
        <w:rPr>
          <w:noProof/>
        </w:rPr>
      </w:pPr>
      <w:r>
        <w:rPr>
          <w:noProof/>
          <w:szCs w:val="24"/>
        </w:rPr>
        <w:t xml:space="preserve">Dismantling criminal groups engaged in migrant smuggling </w:t>
      </w:r>
      <w:r w:rsidRPr="00B62AE6">
        <w:rPr>
          <w:noProof/>
          <w:szCs w:val="24"/>
        </w:rPr>
        <w:t>is a</w:t>
      </w:r>
      <w:r>
        <w:rPr>
          <w:noProof/>
          <w:szCs w:val="24"/>
        </w:rPr>
        <w:t xml:space="preserve"> </w:t>
      </w:r>
      <w:r w:rsidRPr="00B62AE6">
        <w:rPr>
          <w:noProof/>
          <w:szCs w:val="24"/>
        </w:rPr>
        <w:t xml:space="preserve">key component of EU’s actions in partner countries. The EU has provided, and will continue providing, significant support to our partners in the Western Balkans, </w:t>
      </w:r>
      <w:r>
        <w:rPr>
          <w:noProof/>
          <w:szCs w:val="24"/>
        </w:rPr>
        <w:t>T</w:t>
      </w:r>
      <w:r w:rsidRPr="00B62AE6">
        <w:rPr>
          <w:noProof/>
          <w:szCs w:val="24"/>
        </w:rPr>
        <w:t>ürkiye and the Southern Neighbourhood</w:t>
      </w:r>
      <w:r>
        <w:rPr>
          <w:noProof/>
          <w:szCs w:val="24"/>
        </w:rPr>
        <w:t>.</w:t>
      </w:r>
      <w:r>
        <w:rPr>
          <w:b/>
          <w:bCs/>
          <w:noProof/>
          <w:szCs w:val="24"/>
        </w:rPr>
        <w:t xml:space="preserve"> </w:t>
      </w:r>
      <w:r>
        <w:rPr>
          <w:noProof/>
        </w:rPr>
        <w:t xml:space="preserve">Continued work with partner countries is necessary to operationalise the </w:t>
      </w:r>
      <w:r w:rsidRPr="006B74FC">
        <w:rPr>
          <w:noProof/>
        </w:rPr>
        <w:t xml:space="preserve">tailor-made </w:t>
      </w:r>
      <w:r w:rsidRPr="006B74FC">
        <w:rPr>
          <w:b/>
          <w:bCs/>
          <w:noProof/>
        </w:rPr>
        <w:t>Anti-Smuggling Operational Partnerships</w:t>
      </w:r>
      <w:r w:rsidRPr="006B74FC">
        <w:rPr>
          <w:noProof/>
          <w:vertAlign w:val="superscript"/>
        </w:rPr>
        <w:footnoteReference w:id="56"/>
      </w:r>
      <w:r>
        <w:rPr>
          <w:noProof/>
        </w:rPr>
        <w:t>.</w:t>
      </w:r>
    </w:p>
    <w:p w14:paraId="7AEBD563" w14:textId="001C4F8D" w:rsidR="00C56F50" w:rsidRDefault="00C56F50" w:rsidP="002140BE">
      <w:pPr>
        <w:tabs>
          <w:tab w:val="num" w:pos="0"/>
        </w:tabs>
        <w:spacing w:after="120"/>
        <w:rPr>
          <w:noProof/>
        </w:rPr>
      </w:pPr>
      <w:r w:rsidRPr="005E1511">
        <w:rPr>
          <w:rStyle w:val="ui-provider"/>
          <w:noProof/>
        </w:rPr>
        <w:t xml:space="preserve">Prevention </w:t>
      </w:r>
      <w:r w:rsidR="00C35D17" w:rsidRPr="005E1511">
        <w:rPr>
          <w:rStyle w:val="ui-provider"/>
          <w:noProof/>
        </w:rPr>
        <w:t xml:space="preserve">of </w:t>
      </w:r>
      <w:r w:rsidRPr="005E1511">
        <w:rPr>
          <w:rStyle w:val="ui-provider"/>
          <w:noProof/>
        </w:rPr>
        <w:t xml:space="preserve">irregular migration with enhanced border management actions </w:t>
      </w:r>
      <w:r w:rsidR="00C35D17" w:rsidRPr="005E1511">
        <w:rPr>
          <w:rStyle w:val="ui-provider"/>
          <w:noProof/>
        </w:rPr>
        <w:t xml:space="preserve">and </w:t>
      </w:r>
      <w:r w:rsidRPr="005E1511">
        <w:rPr>
          <w:rStyle w:val="ui-provider"/>
          <w:noProof/>
        </w:rPr>
        <w:t xml:space="preserve">strengthened capacities in training and equipment for partner countries is a key element in the fight against migrant smuggling and part of the </w:t>
      </w:r>
      <w:r w:rsidR="00C35D17" w:rsidRPr="005E1511">
        <w:rPr>
          <w:rStyle w:val="ui-provider"/>
          <w:noProof/>
        </w:rPr>
        <w:t>C</w:t>
      </w:r>
      <w:r w:rsidRPr="005E1511">
        <w:rPr>
          <w:rStyle w:val="ui-provider"/>
          <w:noProof/>
        </w:rPr>
        <w:t xml:space="preserve">all to </w:t>
      </w:r>
      <w:r w:rsidR="00C35D17" w:rsidRPr="005E1511">
        <w:rPr>
          <w:rStyle w:val="ui-provider"/>
          <w:noProof/>
        </w:rPr>
        <w:t>A</w:t>
      </w:r>
      <w:r w:rsidRPr="005E1511">
        <w:rPr>
          <w:rStyle w:val="ui-provider"/>
          <w:noProof/>
        </w:rPr>
        <w:t xml:space="preserve">ction of the Global Alliance to Counter Migrant Smuggling. This includes EU financed programmes as well as reinforced cooperation with Frontex in partner countries </w:t>
      </w:r>
      <w:r w:rsidR="00C35D17" w:rsidRPr="005E1511">
        <w:rPr>
          <w:rStyle w:val="ui-provider"/>
          <w:noProof/>
        </w:rPr>
        <w:t>through</w:t>
      </w:r>
      <w:r w:rsidRPr="005E1511">
        <w:rPr>
          <w:rStyle w:val="ui-provider"/>
          <w:noProof/>
        </w:rPr>
        <w:t xml:space="preserve"> status agreements and working arrangements.</w:t>
      </w:r>
    </w:p>
    <w:p w14:paraId="43949C20" w14:textId="5398860D" w:rsidR="002140BE" w:rsidRDefault="002140BE" w:rsidP="002140BE">
      <w:pPr>
        <w:tabs>
          <w:tab w:val="num" w:pos="0"/>
        </w:tabs>
        <w:spacing w:after="120"/>
        <w:rPr>
          <w:noProof/>
        </w:rPr>
      </w:pPr>
      <w:r>
        <w:rPr>
          <w:noProof/>
        </w:rPr>
        <w:t>Such operational action</w:t>
      </w:r>
      <w:r w:rsidRPr="006B74FC">
        <w:rPr>
          <w:noProof/>
        </w:rPr>
        <w:t xml:space="preserve"> to improve the capacity of the EU to fight migrant smuggling</w:t>
      </w:r>
      <w:r w:rsidRPr="00F720A4">
        <w:rPr>
          <w:noProof/>
        </w:rPr>
        <w:t xml:space="preserve"> </w:t>
      </w:r>
      <w:r>
        <w:rPr>
          <w:noProof/>
        </w:rPr>
        <w:t>should be complemented by swift progress in the negotiations on</w:t>
      </w:r>
      <w:r w:rsidRPr="006B74FC">
        <w:rPr>
          <w:noProof/>
        </w:rPr>
        <w:t xml:space="preserve"> the Commission proposal for a </w:t>
      </w:r>
      <w:r w:rsidRPr="006B74FC">
        <w:rPr>
          <w:b/>
          <w:noProof/>
        </w:rPr>
        <w:t>new Anti-Smuggling Directive</w:t>
      </w:r>
      <w:r w:rsidRPr="006B74FC">
        <w:rPr>
          <w:noProof/>
        </w:rPr>
        <w:t xml:space="preserve"> that </w:t>
      </w:r>
      <w:r w:rsidR="006801D9">
        <w:rPr>
          <w:noProof/>
        </w:rPr>
        <w:t xml:space="preserve">strengthens </w:t>
      </w:r>
      <w:r w:rsidRPr="006B74FC">
        <w:rPr>
          <w:bCs/>
          <w:iCs/>
          <w:noProof/>
        </w:rPr>
        <w:t>sanctions</w:t>
      </w:r>
      <w:r>
        <w:rPr>
          <w:bCs/>
          <w:iCs/>
          <w:noProof/>
        </w:rPr>
        <w:t xml:space="preserve"> on</w:t>
      </w:r>
      <w:r w:rsidRPr="006B74FC">
        <w:rPr>
          <w:bCs/>
          <w:iCs/>
          <w:noProof/>
        </w:rPr>
        <w:t xml:space="preserve"> </w:t>
      </w:r>
      <w:r>
        <w:rPr>
          <w:bCs/>
          <w:iCs/>
          <w:noProof/>
        </w:rPr>
        <w:t xml:space="preserve">those who put lives at risk for </w:t>
      </w:r>
      <w:r w:rsidRPr="001B2206">
        <w:rPr>
          <w:bCs/>
          <w:iCs/>
          <w:noProof/>
        </w:rPr>
        <w:t xml:space="preserve">financial gain, and </w:t>
      </w:r>
      <w:r w:rsidRPr="001B2206">
        <w:rPr>
          <w:noProof/>
        </w:rPr>
        <w:t>the</w:t>
      </w:r>
      <w:r w:rsidRPr="006B74FC">
        <w:rPr>
          <w:noProof/>
        </w:rPr>
        <w:t xml:space="preserve"> proposed </w:t>
      </w:r>
      <w:r w:rsidRPr="00E64E68">
        <w:rPr>
          <w:b/>
          <w:bCs/>
          <w:noProof/>
        </w:rPr>
        <w:t>Regulation on</w:t>
      </w:r>
      <w:r w:rsidRPr="006B74FC">
        <w:rPr>
          <w:noProof/>
        </w:rPr>
        <w:t xml:space="preserve"> </w:t>
      </w:r>
      <w:r w:rsidRPr="006B74FC">
        <w:rPr>
          <w:b/>
          <w:bCs/>
          <w:noProof/>
        </w:rPr>
        <w:t>enhancing police cooperation</w:t>
      </w:r>
      <w:r w:rsidR="006801D9">
        <w:rPr>
          <w:b/>
          <w:bCs/>
          <w:noProof/>
        </w:rPr>
        <w:t xml:space="preserve"> </w:t>
      </w:r>
      <w:r w:rsidR="006801D9">
        <w:rPr>
          <w:noProof/>
        </w:rPr>
        <w:t xml:space="preserve">which would </w:t>
      </w:r>
      <w:r w:rsidR="006801D9" w:rsidRPr="005E1511">
        <w:rPr>
          <w:noProof/>
        </w:rPr>
        <w:t xml:space="preserve">enable Europol to become a true hub for the fight against migrant smuggling and trafficking of human beings with the </w:t>
      </w:r>
      <w:r w:rsidR="00A344E9" w:rsidRPr="005E1511">
        <w:rPr>
          <w:noProof/>
        </w:rPr>
        <w:t xml:space="preserve">European </w:t>
      </w:r>
      <w:r w:rsidR="00C35D17" w:rsidRPr="005E1511">
        <w:rPr>
          <w:noProof/>
        </w:rPr>
        <w:t xml:space="preserve">Centre against </w:t>
      </w:r>
      <w:r w:rsidR="00A344E9" w:rsidRPr="005E1511">
        <w:rPr>
          <w:noProof/>
        </w:rPr>
        <w:t>Migrant Smuggling</w:t>
      </w:r>
      <w:r w:rsidRPr="005E1511">
        <w:rPr>
          <w:noProof/>
        </w:rPr>
        <w:t>.</w:t>
      </w:r>
    </w:p>
    <w:p w14:paraId="3736470D" w14:textId="77777777" w:rsidR="002140BE" w:rsidRPr="00C12801" w:rsidRDefault="002140BE" w:rsidP="002140BE">
      <w:pPr>
        <w:spacing w:after="120"/>
        <w:rPr>
          <w:i/>
          <w:noProof/>
        </w:rPr>
      </w:pPr>
      <w:r>
        <w:rPr>
          <w:i/>
          <w:noProof/>
        </w:rPr>
        <w:t xml:space="preserve">Return, </w:t>
      </w:r>
      <w:r w:rsidRPr="00C12801">
        <w:rPr>
          <w:i/>
          <w:noProof/>
        </w:rPr>
        <w:t>Readmission and sustainable reintegration</w:t>
      </w:r>
    </w:p>
    <w:p w14:paraId="385085E1" w14:textId="77777777" w:rsidR="002140BE" w:rsidRPr="00C12801" w:rsidRDefault="002140BE" w:rsidP="002140BE">
      <w:pPr>
        <w:pStyle w:val="BodyText"/>
        <w:spacing w:after="120"/>
        <w:jc w:val="both"/>
        <w:rPr>
          <w:rFonts w:ascii="Times New Roman" w:eastAsia="Times New Roman" w:hAnsi="Times New Roman" w:cs="Times New Roman"/>
          <w:i w:val="0"/>
          <w:iCs w:val="0"/>
          <w:noProof/>
          <w:szCs w:val="20"/>
          <w:lang w:val="en-GB" w:eastAsia="en-IE"/>
        </w:rPr>
      </w:pPr>
      <w:r w:rsidRPr="00C12801">
        <w:rPr>
          <w:rFonts w:ascii="Times New Roman" w:eastAsia="Times New Roman" w:hAnsi="Times New Roman" w:cs="Times New Roman"/>
          <w:i w:val="0"/>
          <w:iCs w:val="0"/>
          <w:noProof/>
          <w:szCs w:val="20"/>
          <w:lang w:val="en-GB" w:eastAsia="en-IE"/>
        </w:rPr>
        <w:t>For the</w:t>
      </w:r>
      <w:r>
        <w:rPr>
          <w:rFonts w:ascii="Times New Roman" w:eastAsia="Times New Roman" w:hAnsi="Times New Roman" w:cs="Times New Roman"/>
          <w:i w:val="0"/>
          <w:iCs w:val="0"/>
          <w:noProof/>
          <w:szCs w:val="20"/>
          <w:lang w:val="en-GB" w:eastAsia="en-IE"/>
        </w:rPr>
        <w:t xml:space="preserve"> Pact to achieve its full impact, </w:t>
      </w:r>
      <w:r w:rsidRPr="00C12801">
        <w:rPr>
          <w:rFonts w:ascii="Times New Roman" w:eastAsia="Times New Roman" w:hAnsi="Times New Roman" w:cs="Times New Roman"/>
          <w:i w:val="0"/>
          <w:iCs w:val="0"/>
          <w:noProof/>
          <w:szCs w:val="20"/>
          <w:lang w:val="en-GB" w:eastAsia="en-IE"/>
        </w:rPr>
        <w:t>a humane and effective return and readmission policy</w:t>
      </w:r>
      <w:r>
        <w:rPr>
          <w:rFonts w:ascii="Times New Roman" w:eastAsia="Times New Roman" w:hAnsi="Times New Roman" w:cs="Times New Roman"/>
          <w:i w:val="0"/>
          <w:iCs w:val="0"/>
          <w:noProof/>
          <w:szCs w:val="20"/>
          <w:lang w:val="en-GB" w:eastAsia="en-IE"/>
        </w:rPr>
        <w:t xml:space="preserve"> is crucial. It must be clear that </w:t>
      </w:r>
      <w:r w:rsidRPr="00C12801">
        <w:rPr>
          <w:rFonts w:ascii="Times New Roman" w:eastAsia="Times New Roman" w:hAnsi="Times New Roman" w:cs="Times New Roman"/>
          <w:i w:val="0"/>
          <w:iCs w:val="0"/>
          <w:noProof/>
          <w:szCs w:val="20"/>
          <w:lang w:val="en-GB" w:eastAsia="en-IE"/>
        </w:rPr>
        <w:t xml:space="preserve">people without the right to stay in the EU </w:t>
      </w:r>
      <w:r>
        <w:rPr>
          <w:rFonts w:ascii="Times New Roman" w:eastAsia="Times New Roman" w:hAnsi="Times New Roman" w:cs="Times New Roman"/>
          <w:i w:val="0"/>
          <w:iCs w:val="0"/>
          <w:noProof/>
          <w:szCs w:val="20"/>
          <w:lang w:val="en-GB" w:eastAsia="en-IE"/>
        </w:rPr>
        <w:t xml:space="preserve">will be </w:t>
      </w:r>
      <w:r w:rsidRPr="00C12801">
        <w:rPr>
          <w:rFonts w:ascii="Times New Roman" w:eastAsia="Times New Roman" w:hAnsi="Times New Roman" w:cs="Times New Roman"/>
          <w:i w:val="0"/>
          <w:iCs w:val="0"/>
          <w:noProof/>
          <w:szCs w:val="20"/>
          <w:lang w:val="en-GB" w:eastAsia="en-IE"/>
        </w:rPr>
        <w:t>return</w:t>
      </w:r>
      <w:r>
        <w:rPr>
          <w:rFonts w:ascii="Times New Roman" w:eastAsia="Times New Roman" w:hAnsi="Times New Roman" w:cs="Times New Roman"/>
          <w:i w:val="0"/>
          <w:iCs w:val="0"/>
          <w:noProof/>
          <w:szCs w:val="20"/>
          <w:lang w:val="en-GB" w:eastAsia="en-IE"/>
        </w:rPr>
        <w:t xml:space="preserve">ed </w:t>
      </w:r>
      <w:r w:rsidRPr="00C12801">
        <w:rPr>
          <w:rFonts w:ascii="Times New Roman" w:eastAsia="Times New Roman" w:hAnsi="Times New Roman" w:cs="Times New Roman"/>
          <w:i w:val="0"/>
          <w:iCs w:val="0"/>
          <w:noProof/>
          <w:szCs w:val="20"/>
          <w:lang w:val="en-GB" w:eastAsia="en-IE"/>
        </w:rPr>
        <w:t>to their country of origin</w:t>
      </w:r>
      <w:r>
        <w:rPr>
          <w:rFonts w:ascii="Times New Roman" w:eastAsia="Times New Roman" w:hAnsi="Times New Roman" w:cs="Times New Roman"/>
          <w:i w:val="0"/>
          <w:iCs w:val="0"/>
          <w:noProof/>
          <w:szCs w:val="20"/>
          <w:lang w:val="en-GB" w:eastAsia="en-IE"/>
        </w:rPr>
        <w:t xml:space="preserve"> in a safe, sustainable and dignified way</w:t>
      </w:r>
      <w:r w:rsidRPr="00C12801">
        <w:rPr>
          <w:rFonts w:ascii="Times New Roman" w:eastAsia="Times New Roman" w:hAnsi="Times New Roman" w:cs="Times New Roman"/>
          <w:i w:val="0"/>
          <w:iCs w:val="0"/>
          <w:noProof/>
          <w:szCs w:val="20"/>
          <w:lang w:val="en-GB" w:eastAsia="en-IE"/>
        </w:rPr>
        <w:t>.</w:t>
      </w:r>
    </w:p>
    <w:p w14:paraId="042CDF82" w14:textId="77777777" w:rsidR="002140BE" w:rsidRDefault="002140BE" w:rsidP="002140BE">
      <w:pPr>
        <w:pStyle w:val="BodyText"/>
        <w:spacing w:after="120"/>
        <w:jc w:val="both"/>
        <w:rPr>
          <w:rFonts w:ascii="Times New Roman" w:eastAsia="Times New Roman" w:hAnsi="Times New Roman" w:cs="Times New Roman"/>
          <w:i w:val="0"/>
          <w:iCs w:val="0"/>
          <w:noProof/>
          <w:szCs w:val="20"/>
          <w:lang w:val="en-GB" w:eastAsia="en-IE"/>
        </w:rPr>
      </w:pPr>
      <w:r>
        <w:rPr>
          <w:rFonts w:ascii="Times New Roman" w:eastAsia="Times New Roman" w:hAnsi="Times New Roman" w:cs="Times New Roman"/>
          <w:i w:val="0"/>
          <w:iCs w:val="0"/>
          <w:noProof/>
          <w:szCs w:val="20"/>
          <w:lang w:val="en-GB" w:eastAsia="en-IE"/>
        </w:rPr>
        <w:t>T</w:t>
      </w:r>
      <w:r w:rsidRPr="00C12801">
        <w:rPr>
          <w:rFonts w:ascii="Times New Roman" w:eastAsia="Times New Roman" w:hAnsi="Times New Roman" w:cs="Times New Roman"/>
          <w:i w:val="0"/>
          <w:iCs w:val="0"/>
          <w:noProof/>
          <w:szCs w:val="20"/>
          <w:lang w:val="en-GB" w:eastAsia="en-IE"/>
        </w:rPr>
        <w:t>he new legislative framework will close some of the loopholes between the asylum and the return procedure</w:t>
      </w:r>
      <w:r>
        <w:rPr>
          <w:rFonts w:ascii="Times New Roman" w:eastAsia="Times New Roman" w:hAnsi="Times New Roman" w:cs="Times New Roman"/>
          <w:i w:val="0"/>
          <w:iCs w:val="0"/>
          <w:noProof/>
          <w:szCs w:val="20"/>
          <w:lang w:val="en-GB" w:eastAsia="en-IE"/>
        </w:rPr>
        <w:t>. However</w:t>
      </w:r>
      <w:r w:rsidRPr="00C12801">
        <w:rPr>
          <w:rFonts w:ascii="Times New Roman" w:eastAsia="Times New Roman" w:hAnsi="Times New Roman" w:cs="Times New Roman"/>
          <w:i w:val="0"/>
          <w:iCs w:val="0"/>
          <w:noProof/>
          <w:szCs w:val="20"/>
          <w:lang w:val="en-GB" w:eastAsia="en-IE"/>
        </w:rPr>
        <w:t xml:space="preserve"> </w:t>
      </w:r>
      <w:r>
        <w:rPr>
          <w:rFonts w:ascii="Times New Roman" w:eastAsia="Times New Roman" w:hAnsi="Times New Roman" w:cs="Times New Roman"/>
          <w:i w:val="0"/>
          <w:iCs w:val="0"/>
          <w:noProof/>
          <w:szCs w:val="20"/>
          <w:lang w:val="en-GB" w:eastAsia="en-IE"/>
        </w:rPr>
        <w:t>effective</w:t>
      </w:r>
      <w:r w:rsidRPr="00C12801">
        <w:rPr>
          <w:rFonts w:ascii="Times New Roman" w:eastAsia="Times New Roman" w:hAnsi="Times New Roman" w:cs="Times New Roman"/>
          <w:i w:val="0"/>
          <w:iCs w:val="0"/>
          <w:noProof/>
          <w:szCs w:val="20"/>
          <w:lang w:val="en-GB" w:eastAsia="en-IE"/>
        </w:rPr>
        <w:t xml:space="preserve"> cooperation </w:t>
      </w:r>
      <w:r>
        <w:rPr>
          <w:rFonts w:ascii="Times New Roman" w:eastAsia="Times New Roman" w:hAnsi="Times New Roman" w:cs="Times New Roman"/>
          <w:i w:val="0"/>
          <w:iCs w:val="0"/>
          <w:noProof/>
          <w:szCs w:val="20"/>
          <w:lang w:val="en-GB" w:eastAsia="en-IE"/>
        </w:rPr>
        <w:t>with</w:t>
      </w:r>
      <w:r w:rsidRPr="00C12801">
        <w:rPr>
          <w:rFonts w:ascii="Times New Roman" w:eastAsia="Times New Roman" w:hAnsi="Times New Roman" w:cs="Times New Roman"/>
          <w:i w:val="0"/>
          <w:iCs w:val="0"/>
          <w:noProof/>
          <w:szCs w:val="20"/>
          <w:lang w:val="en-GB" w:eastAsia="en-IE"/>
        </w:rPr>
        <w:t xml:space="preserve"> third countries </w:t>
      </w:r>
      <w:r>
        <w:rPr>
          <w:rFonts w:ascii="Times New Roman" w:eastAsia="Times New Roman" w:hAnsi="Times New Roman" w:cs="Times New Roman"/>
          <w:i w:val="0"/>
          <w:iCs w:val="0"/>
          <w:noProof/>
          <w:szCs w:val="20"/>
          <w:lang w:val="en-GB" w:eastAsia="en-IE"/>
        </w:rPr>
        <w:t xml:space="preserve">is also key to ensuring compliance with </w:t>
      </w:r>
      <w:r w:rsidRPr="00C12801">
        <w:rPr>
          <w:rFonts w:ascii="Times New Roman" w:eastAsia="Times New Roman" w:hAnsi="Times New Roman" w:cs="Times New Roman"/>
          <w:i w:val="0"/>
          <w:iCs w:val="0"/>
          <w:noProof/>
          <w:szCs w:val="20"/>
          <w:lang w:val="en-GB" w:eastAsia="en-IE"/>
        </w:rPr>
        <w:t xml:space="preserve">the international obligation to readmit </w:t>
      </w:r>
      <w:r>
        <w:rPr>
          <w:rFonts w:ascii="Times New Roman" w:eastAsia="Times New Roman" w:hAnsi="Times New Roman" w:cs="Times New Roman"/>
          <w:i w:val="0"/>
          <w:iCs w:val="0"/>
          <w:noProof/>
          <w:szCs w:val="20"/>
          <w:lang w:val="en-GB" w:eastAsia="en-IE"/>
        </w:rPr>
        <w:t>own</w:t>
      </w:r>
      <w:r w:rsidRPr="00C12801">
        <w:rPr>
          <w:rFonts w:ascii="Times New Roman" w:eastAsia="Times New Roman" w:hAnsi="Times New Roman" w:cs="Times New Roman"/>
          <w:i w:val="0"/>
          <w:iCs w:val="0"/>
          <w:noProof/>
          <w:szCs w:val="20"/>
          <w:lang w:val="en-GB" w:eastAsia="en-IE"/>
        </w:rPr>
        <w:t xml:space="preserve"> nationals</w:t>
      </w:r>
      <w:r>
        <w:rPr>
          <w:rFonts w:ascii="Times New Roman" w:eastAsia="Times New Roman" w:hAnsi="Times New Roman" w:cs="Times New Roman"/>
          <w:i w:val="0"/>
          <w:iCs w:val="0"/>
          <w:noProof/>
          <w:szCs w:val="20"/>
          <w:lang w:val="en-GB" w:eastAsia="en-IE"/>
        </w:rPr>
        <w:t>.</w:t>
      </w:r>
    </w:p>
    <w:p w14:paraId="48873EBD" w14:textId="55566C4E" w:rsidR="002140BE" w:rsidRDefault="002140BE" w:rsidP="002140BE">
      <w:pPr>
        <w:pStyle w:val="BodyText"/>
        <w:spacing w:after="120"/>
        <w:jc w:val="both"/>
        <w:rPr>
          <w:rFonts w:ascii="Times New Roman" w:eastAsia="Times New Roman" w:hAnsi="Times New Roman" w:cs="Times New Roman"/>
          <w:i w:val="0"/>
          <w:iCs w:val="0"/>
          <w:noProof/>
          <w:szCs w:val="20"/>
          <w:lang w:val="en-GB" w:eastAsia="en-IE"/>
        </w:rPr>
      </w:pPr>
      <w:r>
        <w:rPr>
          <w:rFonts w:ascii="Times New Roman" w:eastAsia="Times New Roman" w:hAnsi="Times New Roman" w:cs="Times New Roman"/>
          <w:i w:val="0"/>
          <w:iCs w:val="0"/>
          <w:noProof/>
          <w:szCs w:val="20"/>
          <w:lang w:val="en-GB" w:eastAsia="en-IE"/>
        </w:rPr>
        <w:t xml:space="preserve">The </w:t>
      </w:r>
      <w:r w:rsidRPr="00E64E68">
        <w:rPr>
          <w:rFonts w:ascii="Times New Roman" w:eastAsia="Times New Roman" w:hAnsi="Times New Roman" w:cs="Times New Roman"/>
          <w:b/>
          <w:bCs/>
          <w:i w:val="0"/>
          <w:iCs w:val="0"/>
          <w:noProof/>
          <w:lang w:val="en-GB" w:eastAsia="en-IE"/>
        </w:rPr>
        <w:t>leverage of all relevant EU policies</w:t>
      </w:r>
      <w:r w:rsidRPr="233D2CC5">
        <w:rPr>
          <w:rFonts w:ascii="Times New Roman" w:eastAsia="Times New Roman" w:hAnsi="Times New Roman" w:cs="Times New Roman"/>
          <w:i w:val="0"/>
          <w:iCs w:val="0"/>
          <w:noProof/>
          <w:lang w:val="en-GB" w:eastAsia="en-IE"/>
        </w:rPr>
        <w:t>, instruments and tools, including diplomacy, development, trade and visas, as well as opportunities for legal migration</w:t>
      </w:r>
      <w:r>
        <w:rPr>
          <w:rFonts w:ascii="Times New Roman" w:eastAsia="Times New Roman" w:hAnsi="Times New Roman" w:cs="Times New Roman"/>
          <w:i w:val="0"/>
          <w:iCs w:val="0"/>
          <w:noProof/>
          <w:lang w:val="en-GB" w:eastAsia="en-IE"/>
        </w:rPr>
        <w:t xml:space="preserve"> can play a role in strategically incentivising good cooperation</w:t>
      </w:r>
      <w:r w:rsidR="006801D9">
        <w:rPr>
          <w:rFonts w:ascii="Times New Roman" w:eastAsia="Times New Roman" w:hAnsi="Times New Roman" w:cs="Times New Roman"/>
          <w:i w:val="0"/>
          <w:iCs w:val="0"/>
          <w:noProof/>
          <w:lang w:val="en-GB" w:eastAsia="en-IE"/>
        </w:rPr>
        <w:t xml:space="preserve"> on readmission</w:t>
      </w:r>
      <w:r w:rsidRPr="00C12801">
        <w:rPr>
          <w:rFonts w:ascii="Times New Roman" w:eastAsia="Times New Roman" w:hAnsi="Times New Roman" w:cs="Times New Roman"/>
          <w:i w:val="0"/>
          <w:iCs w:val="0"/>
          <w:noProof/>
          <w:szCs w:val="20"/>
          <w:lang w:val="en-GB" w:eastAsia="en-IE"/>
        </w:rPr>
        <w:t>.</w:t>
      </w:r>
    </w:p>
    <w:p w14:paraId="077EC190" w14:textId="1F3A94C7" w:rsidR="002140BE" w:rsidRPr="00C12801" w:rsidRDefault="002140BE" w:rsidP="002140BE">
      <w:pPr>
        <w:pStyle w:val="BodyText"/>
        <w:spacing w:after="120"/>
        <w:jc w:val="both"/>
        <w:rPr>
          <w:rFonts w:ascii="Times New Roman" w:eastAsia="Times New Roman" w:hAnsi="Times New Roman" w:cs="Times New Roman"/>
          <w:i w:val="0"/>
          <w:noProof/>
          <w:lang w:val="en-GB" w:eastAsia="en-IE"/>
        </w:rPr>
      </w:pPr>
      <w:r>
        <w:rPr>
          <w:rFonts w:ascii="Times New Roman" w:eastAsia="Times New Roman" w:hAnsi="Times New Roman" w:cs="Times New Roman"/>
          <w:i w:val="0"/>
          <w:iCs w:val="0"/>
          <w:noProof/>
          <w:szCs w:val="20"/>
          <w:lang w:val="en-GB" w:eastAsia="en-IE"/>
        </w:rPr>
        <w:t>Visa</w:t>
      </w:r>
      <w:r w:rsidRPr="00C12801">
        <w:rPr>
          <w:rFonts w:ascii="Times New Roman" w:eastAsia="Times New Roman" w:hAnsi="Times New Roman" w:cs="Times New Roman"/>
          <w:i w:val="0"/>
          <w:iCs w:val="0"/>
          <w:noProof/>
          <w:szCs w:val="20"/>
          <w:lang w:val="en-GB" w:eastAsia="en-IE"/>
        </w:rPr>
        <w:t xml:space="preserve"> policy has provided new tools </w:t>
      </w:r>
      <w:r>
        <w:rPr>
          <w:rFonts w:ascii="Times New Roman" w:eastAsia="Times New Roman" w:hAnsi="Times New Roman" w:cs="Times New Roman"/>
          <w:i w:val="0"/>
          <w:iCs w:val="0"/>
          <w:noProof/>
          <w:szCs w:val="20"/>
          <w:lang w:val="en-GB" w:eastAsia="en-IE"/>
        </w:rPr>
        <w:t xml:space="preserve">with </w:t>
      </w:r>
      <w:r w:rsidRPr="31A993CC">
        <w:rPr>
          <w:rFonts w:ascii="Times New Roman" w:eastAsia="Times New Roman" w:hAnsi="Times New Roman" w:cs="Times New Roman"/>
          <w:b/>
          <w:i w:val="0"/>
          <w:noProof/>
          <w:lang w:val="en-GB" w:eastAsia="en-IE"/>
        </w:rPr>
        <w:t>Article 25a of the Visa Code</w:t>
      </w:r>
      <w:r>
        <w:rPr>
          <w:rFonts w:ascii="Times New Roman" w:eastAsia="Times New Roman" w:hAnsi="Times New Roman" w:cs="Times New Roman"/>
          <w:i w:val="0"/>
          <w:noProof/>
          <w:lang w:val="en-GB" w:eastAsia="en-IE"/>
        </w:rPr>
        <w:t>. Under this legislation, every year t</w:t>
      </w:r>
      <w:r w:rsidRPr="31A993CC">
        <w:rPr>
          <w:rFonts w:ascii="Times New Roman" w:eastAsia="Times New Roman" w:hAnsi="Times New Roman" w:cs="Times New Roman"/>
          <w:i w:val="0"/>
          <w:noProof/>
          <w:lang w:val="en-GB" w:eastAsia="en-IE"/>
        </w:rPr>
        <w:t>he Commission assesse</w:t>
      </w:r>
      <w:r>
        <w:rPr>
          <w:rFonts w:ascii="Times New Roman" w:eastAsia="Times New Roman" w:hAnsi="Times New Roman" w:cs="Times New Roman"/>
          <w:i w:val="0"/>
          <w:noProof/>
          <w:lang w:val="en-GB" w:eastAsia="en-IE"/>
        </w:rPr>
        <w:t>s</w:t>
      </w:r>
      <w:r w:rsidRPr="31A993CC">
        <w:rPr>
          <w:rFonts w:ascii="Times New Roman" w:eastAsia="Times New Roman" w:hAnsi="Times New Roman" w:cs="Times New Roman"/>
          <w:i w:val="0"/>
          <w:noProof/>
          <w:lang w:val="en-GB" w:eastAsia="en-IE"/>
        </w:rPr>
        <w:t xml:space="preserve"> third countries</w:t>
      </w:r>
      <w:r w:rsidR="0074302C">
        <w:rPr>
          <w:rFonts w:ascii="Times New Roman" w:eastAsia="Times New Roman" w:hAnsi="Times New Roman" w:cs="Times New Roman"/>
          <w:i w:val="0"/>
          <w:noProof/>
          <w:lang w:val="en-GB" w:eastAsia="en-IE"/>
        </w:rPr>
        <w:t>’</w:t>
      </w:r>
      <w:r w:rsidRPr="31A993CC">
        <w:rPr>
          <w:rFonts w:ascii="Times New Roman" w:eastAsia="Times New Roman" w:hAnsi="Times New Roman" w:cs="Times New Roman"/>
          <w:i w:val="0"/>
          <w:noProof/>
          <w:lang w:val="en-GB" w:eastAsia="en-IE"/>
        </w:rPr>
        <w:t xml:space="preserve"> </w:t>
      </w:r>
      <w:r>
        <w:rPr>
          <w:rFonts w:ascii="Times New Roman" w:eastAsia="Times New Roman" w:hAnsi="Times New Roman" w:cs="Times New Roman"/>
          <w:i w:val="0"/>
          <w:noProof/>
          <w:lang w:val="en-GB" w:eastAsia="en-IE"/>
        </w:rPr>
        <w:t xml:space="preserve">level of </w:t>
      </w:r>
      <w:r w:rsidRPr="31A993CC">
        <w:rPr>
          <w:rFonts w:ascii="Times New Roman" w:eastAsia="Times New Roman" w:hAnsi="Times New Roman" w:cs="Times New Roman"/>
          <w:i w:val="0"/>
          <w:noProof/>
          <w:lang w:val="en-GB" w:eastAsia="en-IE"/>
        </w:rPr>
        <w:t xml:space="preserve">cooperation on readmission. Over the past </w:t>
      </w:r>
      <w:r>
        <w:rPr>
          <w:rFonts w:ascii="Times New Roman" w:eastAsia="Times New Roman" w:hAnsi="Times New Roman" w:cs="Times New Roman"/>
          <w:i w:val="0"/>
          <w:noProof/>
          <w:lang w:val="en-GB" w:eastAsia="en-IE"/>
        </w:rPr>
        <w:t>four</w:t>
      </w:r>
      <w:r w:rsidRPr="31A993CC">
        <w:rPr>
          <w:rFonts w:ascii="Times New Roman" w:eastAsia="Times New Roman" w:hAnsi="Times New Roman" w:cs="Times New Roman"/>
          <w:i w:val="0"/>
          <w:noProof/>
          <w:lang w:val="en-GB" w:eastAsia="en-IE"/>
        </w:rPr>
        <w:t xml:space="preserve"> years, this process has proven instrumental in identifying and addressing challenges with third countries and strengthening the dialogue to improve cooperation on readmission. </w:t>
      </w:r>
      <w:r>
        <w:rPr>
          <w:rFonts w:ascii="Times New Roman" w:eastAsia="Times New Roman" w:hAnsi="Times New Roman" w:cs="Times New Roman"/>
          <w:i w:val="0"/>
          <w:noProof/>
          <w:lang w:val="en-GB" w:eastAsia="en-IE"/>
        </w:rPr>
        <w:t xml:space="preserve">Examples of the improvements achieved can be seen in cooperation with </w:t>
      </w:r>
      <w:r w:rsidRPr="31A993CC">
        <w:rPr>
          <w:rFonts w:ascii="Times New Roman" w:eastAsia="Times New Roman" w:hAnsi="Times New Roman" w:cs="Times New Roman"/>
          <w:i w:val="0"/>
          <w:noProof/>
          <w:lang w:val="en-GB" w:eastAsia="en-IE"/>
        </w:rPr>
        <w:t>The Gambia</w:t>
      </w:r>
      <w:r>
        <w:rPr>
          <w:rFonts w:ascii="Times New Roman" w:eastAsia="Times New Roman" w:hAnsi="Times New Roman" w:cs="Times New Roman"/>
          <w:i w:val="0"/>
          <w:noProof/>
          <w:lang w:val="en-GB" w:eastAsia="en-IE"/>
        </w:rPr>
        <w:t xml:space="preserve">, Iraq, </w:t>
      </w:r>
      <w:r w:rsidRPr="31A993CC">
        <w:rPr>
          <w:rFonts w:ascii="Times New Roman" w:eastAsia="Times New Roman" w:hAnsi="Times New Roman" w:cs="Times New Roman"/>
          <w:i w:val="0"/>
          <w:noProof/>
          <w:lang w:val="en-GB" w:eastAsia="en-IE"/>
        </w:rPr>
        <w:t>and Bangladesh</w:t>
      </w:r>
      <w:r>
        <w:rPr>
          <w:rFonts w:ascii="Times New Roman" w:eastAsia="Times New Roman" w:hAnsi="Times New Roman" w:cs="Times New Roman"/>
          <w:i w:val="0"/>
          <w:noProof/>
          <w:lang w:val="en-GB" w:eastAsia="en-IE"/>
        </w:rPr>
        <w:t xml:space="preserve">. </w:t>
      </w:r>
      <w:r w:rsidRPr="31A993CC">
        <w:rPr>
          <w:rFonts w:ascii="Times New Roman" w:eastAsia="Times New Roman" w:hAnsi="Times New Roman" w:cs="Times New Roman"/>
          <w:i w:val="0"/>
          <w:noProof/>
          <w:lang w:val="en-GB" w:eastAsia="en-IE"/>
        </w:rPr>
        <w:t>Before the summer, the Commission will issue the fifth assessment report and</w:t>
      </w:r>
      <w:r w:rsidRPr="621E82AA">
        <w:rPr>
          <w:rFonts w:ascii="Times New Roman" w:eastAsia="Times New Roman" w:hAnsi="Times New Roman" w:cs="Times New Roman"/>
          <w:i w:val="0"/>
          <w:iCs w:val="0"/>
          <w:noProof/>
          <w:lang w:val="en-GB" w:eastAsia="en-IE"/>
        </w:rPr>
        <w:t xml:space="preserve"> relevant</w:t>
      </w:r>
      <w:r>
        <w:rPr>
          <w:rFonts w:ascii="Times New Roman" w:eastAsia="Times New Roman" w:hAnsi="Times New Roman" w:cs="Times New Roman"/>
          <w:i w:val="0"/>
          <w:iCs w:val="0"/>
          <w:noProof/>
          <w:lang w:val="en-GB" w:eastAsia="en-IE"/>
        </w:rPr>
        <w:t xml:space="preserve"> </w:t>
      </w:r>
      <w:r w:rsidRPr="31A993CC">
        <w:rPr>
          <w:rFonts w:ascii="Times New Roman" w:eastAsia="Times New Roman" w:hAnsi="Times New Roman" w:cs="Times New Roman"/>
          <w:i w:val="0"/>
          <w:noProof/>
          <w:lang w:val="en-GB" w:eastAsia="en-IE"/>
        </w:rPr>
        <w:t>proposals for visa measures.</w:t>
      </w:r>
    </w:p>
    <w:p w14:paraId="24D4702E" w14:textId="77777777" w:rsidR="002140BE" w:rsidRPr="00C12801" w:rsidRDefault="002140BE" w:rsidP="002140BE">
      <w:pPr>
        <w:pStyle w:val="BodyText"/>
        <w:widowControl/>
        <w:spacing w:after="120"/>
        <w:jc w:val="both"/>
        <w:rPr>
          <w:rFonts w:ascii="Times New Roman" w:eastAsia="Times New Roman" w:hAnsi="Times New Roman" w:cs="Times New Roman"/>
          <w:i w:val="0"/>
          <w:iCs w:val="0"/>
          <w:noProof/>
          <w:szCs w:val="20"/>
          <w:lang w:val="en-GB" w:eastAsia="en-IE"/>
        </w:rPr>
      </w:pPr>
      <w:r>
        <w:rPr>
          <w:rFonts w:ascii="Times New Roman" w:eastAsia="Times New Roman" w:hAnsi="Times New Roman" w:cs="Times New Roman"/>
          <w:i w:val="0"/>
          <w:iCs w:val="0"/>
          <w:noProof/>
          <w:szCs w:val="20"/>
          <w:lang w:val="en-GB" w:eastAsia="en-IE"/>
        </w:rPr>
        <w:t>T</w:t>
      </w:r>
      <w:r w:rsidRPr="00C12801">
        <w:rPr>
          <w:rFonts w:ascii="Times New Roman" w:eastAsia="Times New Roman" w:hAnsi="Times New Roman" w:cs="Times New Roman"/>
          <w:i w:val="0"/>
          <w:iCs w:val="0"/>
          <w:noProof/>
          <w:szCs w:val="20"/>
          <w:lang w:val="en-GB" w:eastAsia="en-IE"/>
        </w:rPr>
        <w:t>o</w:t>
      </w:r>
      <w:r>
        <w:rPr>
          <w:rFonts w:ascii="Times New Roman" w:eastAsia="Times New Roman" w:hAnsi="Times New Roman" w:cs="Times New Roman"/>
          <w:i w:val="0"/>
          <w:iCs w:val="0"/>
          <w:noProof/>
          <w:szCs w:val="20"/>
          <w:lang w:val="en-GB" w:eastAsia="en-IE"/>
        </w:rPr>
        <w:t xml:space="preserve"> make </w:t>
      </w:r>
      <w:r w:rsidRPr="00C12801">
        <w:rPr>
          <w:rFonts w:ascii="Times New Roman" w:eastAsia="Times New Roman" w:hAnsi="Times New Roman" w:cs="Times New Roman"/>
          <w:i w:val="0"/>
          <w:iCs w:val="0"/>
          <w:noProof/>
          <w:szCs w:val="20"/>
          <w:lang w:val="en-GB" w:eastAsia="en-IE"/>
        </w:rPr>
        <w:t xml:space="preserve">the </w:t>
      </w:r>
      <w:r>
        <w:rPr>
          <w:rFonts w:ascii="Times New Roman" w:eastAsia="Times New Roman" w:hAnsi="Times New Roman" w:cs="Times New Roman"/>
          <w:i w:val="0"/>
          <w:iCs w:val="0"/>
          <w:noProof/>
          <w:szCs w:val="20"/>
          <w:lang w:val="en-GB" w:eastAsia="en-IE"/>
        </w:rPr>
        <w:t xml:space="preserve">Pact’s </w:t>
      </w:r>
      <w:r w:rsidRPr="00C12801">
        <w:rPr>
          <w:rFonts w:ascii="Times New Roman" w:eastAsia="Times New Roman" w:hAnsi="Times New Roman" w:cs="Times New Roman"/>
          <w:i w:val="0"/>
          <w:iCs w:val="0"/>
          <w:noProof/>
          <w:szCs w:val="20"/>
          <w:lang w:val="en-GB" w:eastAsia="en-IE"/>
        </w:rPr>
        <w:t>border procedure successful</w:t>
      </w:r>
      <w:r>
        <w:rPr>
          <w:rFonts w:ascii="Times New Roman" w:eastAsia="Times New Roman" w:hAnsi="Times New Roman" w:cs="Times New Roman"/>
          <w:i w:val="0"/>
          <w:iCs w:val="0"/>
          <w:noProof/>
          <w:szCs w:val="20"/>
          <w:lang w:val="en-GB" w:eastAsia="en-IE"/>
        </w:rPr>
        <w:t xml:space="preserve">, the full potential of </w:t>
      </w:r>
      <w:r w:rsidRPr="00C12801">
        <w:rPr>
          <w:rFonts w:ascii="Times New Roman" w:eastAsia="Times New Roman" w:hAnsi="Times New Roman" w:cs="Times New Roman"/>
          <w:i w:val="0"/>
          <w:iCs w:val="0"/>
          <w:noProof/>
          <w:szCs w:val="20"/>
          <w:lang w:val="en-GB" w:eastAsia="en-IE"/>
        </w:rPr>
        <w:t>this mechanism</w:t>
      </w:r>
      <w:r w:rsidRPr="00C12801" w:rsidDel="00626DFA">
        <w:rPr>
          <w:rFonts w:ascii="Times New Roman" w:eastAsia="Times New Roman" w:hAnsi="Times New Roman" w:cs="Times New Roman"/>
          <w:i w:val="0"/>
          <w:iCs w:val="0"/>
          <w:noProof/>
          <w:szCs w:val="20"/>
          <w:lang w:val="en-GB" w:eastAsia="en-IE"/>
        </w:rPr>
        <w:t xml:space="preserve"> </w:t>
      </w:r>
      <w:r>
        <w:rPr>
          <w:rFonts w:ascii="Times New Roman" w:eastAsia="Times New Roman" w:hAnsi="Times New Roman" w:cs="Times New Roman"/>
          <w:i w:val="0"/>
          <w:iCs w:val="0"/>
          <w:noProof/>
          <w:szCs w:val="20"/>
          <w:lang w:val="en-GB" w:eastAsia="en-IE"/>
        </w:rPr>
        <w:t>should be harnessed to</w:t>
      </w:r>
      <w:r w:rsidRPr="00C12801">
        <w:rPr>
          <w:rFonts w:ascii="Times New Roman" w:eastAsia="Times New Roman" w:hAnsi="Times New Roman" w:cs="Times New Roman"/>
          <w:i w:val="0"/>
          <w:iCs w:val="0"/>
          <w:noProof/>
          <w:szCs w:val="20"/>
          <w:lang w:val="en-GB" w:eastAsia="en-IE"/>
        </w:rPr>
        <w:t xml:space="preserve"> increase readmission cooperation with third countries whose recognition rate for</w:t>
      </w:r>
      <w:r>
        <w:rPr>
          <w:rFonts w:ascii="Times New Roman" w:eastAsia="Times New Roman" w:hAnsi="Times New Roman" w:cs="Times New Roman"/>
          <w:i w:val="0"/>
          <w:iCs w:val="0"/>
          <w:noProof/>
          <w:szCs w:val="20"/>
          <w:lang w:val="en-GB" w:eastAsia="en-IE"/>
        </w:rPr>
        <w:t xml:space="preserve"> the asylum applications of</w:t>
      </w:r>
      <w:r w:rsidRPr="00C12801">
        <w:rPr>
          <w:rFonts w:ascii="Times New Roman" w:eastAsia="Times New Roman" w:hAnsi="Times New Roman" w:cs="Times New Roman"/>
          <w:i w:val="0"/>
          <w:iCs w:val="0"/>
          <w:noProof/>
          <w:szCs w:val="20"/>
          <w:lang w:val="en-GB" w:eastAsia="en-IE"/>
        </w:rPr>
        <w:t xml:space="preserve"> their nationals is 20% or lower.</w:t>
      </w:r>
    </w:p>
    <w:p w14:paraId="04E05767" w14:textId="77777777" w:rsidR="002140BE" w:rsidRDefault="002140BE" w:rsidP="002140BE">
      <w:pPr>
        <w:spacing w:after="120"/>
        <w:rPr>
          <w:noProof/>
        </w:rPr>
      </w:pPr>
      <w:r w:rsidRPr="00C12801">
        <w:rPr>
          <w:noProof/>
        </w:rPr>
        <w:t xml:space="preserve">The Commission, Frontex and Member States should also continue strengthening </w:t>
      </w:r>
      <w:r>
        <w:rPr>
          <w:noProof/>
        </w:rPr>
        <w:t xml:space="preserve">their combined </w:t>
      </w:r>
      <w:r w:rsidRPr="00C12801">
        <w:rPr>
          <w:noProof/>
        </w:rPr>
        <w:t>efforts on sustainable reintegration</w:t>
      </w:r>
      <w:r>
        <w:rPr>
          <w:noProof/>
        </w:rPr>
        <w:t xml:space="preserve">, </w:t>
      </w:r>
      <w:r w:rsidRPr="00C12801">
        <w:rPr>
          <w:noProof/>
        </w:rPr>
        <w:t xml:space="preserve">offering tailored return counselling and reintegration </w:t>
      </w:r>
      <w:r>
        <w:rPr>
          <w:noProof/>
        </w:rPr>
        <w:t>support</w:t>
      </w:r>
      <w:r w:rsidRPr="00C12801">
        <w:rPr>
          <w:noProof/>
        </w:rPr>
        <w:t xml:space="preserve"> to voluntary and forced returnees (</w:t>
      </w:r>
      <w:r>
        <w:rPr>
          <w:noProof/>
        </w:rPr>
        <w:t xml:space="preserve">through EU or Member State funding, working with </w:t>
      </w:r>
      <w:r w:rsidRPr="00C12801">
        <w:rPr>
          <w:noProof/>
        </w:rPr>
        <w:t xml:space="preserve">UN agencies and NGOs), </w:t>
      </w:r>
      <w:r>
        <w:rPr>
          <w:noProof/>
        </w:rPr>
        <w:t xml:space="preserve">as well as helping partners with </w:t>
      </w:r>
      <w:r w:rsidRPr="00C12801">
        <w:rPr>
          <w:noProof/>
        </w:rPr>
        <w:t>capacity building</w:t>
      </w:r>
      <w:r>
        <w:rPr>
          <w:noProof/>
        </w:rPr>
        <w:t xml:space="preserve"> and working together to target support to benefit both returnees and the receiving communities</w:t>
      </w:r>
      <w:r w:rsidRPr="00C12801">
        <w:rPr>
          <w:noProof/>
        </w:rPr>
        <w:t>.</w:t>
      </w:r>
    </w:p>
    <w:p w14:paraId="2D85B0DC" w14:textId="77777777" w:rsidR="002140BE" w:rsidRPr="00481B36" w:rsidRDefault="002140BE" w:rsidP="002140BE">
      <w:pPr>
        <w:pStyle w:val="BodyText"/>
        <w:widowControl/>
        <w:spacing w:after="120"/>
        <w:jc w:val="both"/>
        <w:rPr>
          <w:rFonts w:ascii="Times New Roman" w:eastAsia="Times New Roman" w:hAnsi="Times New Roman" w:cs="Times New Roman"/>
          <w:i w:val="0"/>
          <w:iCs w:val="0"/>
          <w:noProof/>
          <w:szCs w:val="20"/>
          <w:lang w:val="en-GB" w:eastAsia="en-IE"/>
        </w:rPr>
      </w:pPr>
      <w:r w:rsidRPr="00481B36">
        <w:rPr>
          <w:rFonts w:ascii="Times New Roman" w:eastAsia="Times New Roman" w:hAnsi="Times New Roman" w:cs="Times New Roman"/>
          <w:i w:val="0"/>
          <w:iCs w:val="0"/>
          <w:noProof/>
          <w:szCs w:val="20"/>
          <w:lang w:val="en-GB" w:eastAsia="en-IE"/>
        </w:rPr>
        <w:t xml:space="preserve">The Parliament and the Council should also swiftly complete the ongoing revision of the </w:t>
      </w:r>
      <w:r w:rsidRPr="00E64E68">
        <w:rPr>
          <w:rFonts w:ascii="Times New Roman" w:eastAsia="Times New Roman" w:hAnsi="Times New Roman" w:cs="Times New Roman"/>
          <w:b/>
          <w:bCs/>
          <w:i w:val="0"/>
          <w:iCs w:val="0"/>
          <w:noProof/>
          <w:szCs w:val="20"/>
          <w:lang w:val="en-GB" w:eastAsia="en-IE"/>
        </w:rPr>
        <w:t>Visa Suspension Mechanism</w:t>
      </w:r>
      <w:r w:rsidRPr="00481B36">
        <w:rPr>
          <w:rFonts w:ascii="Times New Roman" w:eastAsia="Times New Roman" w:hAnsi="Times New Roman" w:cs="Times New Roman"/>
          <w:i w:val="0"/>
          <w:iCs w:val="0"/>
          <w:noProof/>
          <w:szCs w:val="20"/>
          <w:lang w:val="en-GB" w:eastAsia="en-IE"/>
        </w:rPr>
        <w:t xml:space="preserve"> that should lead to an increased monitoring of visa-free countries</w:t>
      </w:r>
      <w:r>
        <w:rPr>
          <w:rFonts w:ascii="Times New Roman" w:eastAsia="Times New Roman" w:hAnsi="Times New Roman" w:cs="Times New Roman"/>
          <w:i w:val="0"/>
          <w:iCs w:val="0"/>
          <w:noProof/>
          <w:szCs w:val="20"/>
          <w:lang w:val="en-GB" w:eastAsia="en-IE"/>
        </w:rPr>
        <w:t xml:space="preserve"> and </w:t>
      </w:r>
      <w:r w:rsidRPr="00481B36">
        <w:rPr>
          <w:rFonts w:ascii="Times New Roman" w:eastAsia="Times New Roman" w:hAnsi="Times New Roman" w:cs="Times New Roman"/>
          <w:i w:val="0"/>
          <w:iCs w:val="0"/>
          <w:noProof/>
          <w:szCs w:val="20"/>
          <w:lang w:val="en-GB" w:eastAsia="en-IE"/>
        </w:rPr>
        <w:t>better address possible abuses of visa-free travel by making the mechanism easier to trigger and more effective in its deterrence.</w:t>
      </w:r>
    </w:p>
    <w:p w14:paraId="7CDEA25D" w14:textId="77777777" w:rsidR="002140BE" w:rsidRPr="00481B36" w:rsidRDefault="002140BE" w:rsidP="002140BE">
      <w:pPr>
        <w:spacing w:after="120"/>
        <w:rPr>
          <w:i/>
          <w:iCs/>
          <w:noProof/>
        </w:rPr>
      </w:pPr>
      <w:r>
        <w:rPr>
          <w:i/>
          <w:iCs/>
          <w:noProof/>
        </w:rPr>
        <w:t>Legal pathways</w:t>
      </w:r>
    </w:p>
    <w:p w14:paraId="0407BDB4" w14:textId="52FBFC0F" w:rsidR="002140BE" w:rsidRDefault="00B55B82" w:rsidP="002140BE">
      <w:pPr>
        <w:spacing w:after="120"/>
        <w:rPr>
          <w:noProof/>
        </w:rPr>
      </w:pPr>
      <w:r>
        <w:rPr>
          <w:noProof/>
        </w:rPr>
        <w:t xml:space="preserve">Legal </w:t>
      </w:r>
      <w:r w:rsidR="002140BE" w:rsidRPr="00C12801">
        <w:rPr>
          <w:noProof/>
        </w:rPr>
        <w:t xml:space="preserve"> migration play</w:t>
      </w:r>
      <w:r w:rsidR="002140BE">
        <w:rPr>
          <w:noProof/>
        </w:rPr>
        <w:t>s</w:t>
      </w:r>
      <w:r w:rsidR="002140BE" w:rsidRPr="00C12801">
        <w:rPr>
          <w:noProof/>
        </w:rPr>
        <w:t xml:space="preserve"> a </w:t>
      </w:r>
      <w:r w:rsidR="002140BE" w:rsidRPr="00C12801" w:rsidDel="00B40250">
        <w:rPr>
          <w:noProof/>
        </w:rPr>
        <w:t xml:space="preserve">key </w:t>
      </w:r>
      <w:r w:rsidR="008D02A8">
        <w:rPr>
          <w:noProof/>
        </w:rPr>
        <w:t>and</w:t>
      </w:r>
      <w:r w:rsidR="00B40250">
        <w:rPr>
          <w:noProof/>
        </w:rPr>
        <w:t xml:space="preserve"> complementary </w:t>
      </w:r>
      <w:r w:rsidR="002140BE" w:rsidRPr="00C12801">
        <w:rPr>
          <w:noProof/>
        </w:rPr>
        <w:t xml:space="preserve">role in </w:t>
      </w:r>
      <w:r w:rsidR="002140BE">
        <w:rPr>
          <w:noProof/>
        </w:rPr>
        <w:t>supporting the labour market needs of the EU</w:t>
      </w:r>
      <w:r w:rsidR="00FD496C">
        <w:rPr>
          <w:rStyle w:val="FootnoteReference"/>
          <w:noProof/>
        </w:rPr>
        <w:footnoteReference w:id="57"/>
      </w:r>
      <w:r w:rsidR="002140BE">
        <w:rPr>
          <w:noProof/>
        </w:rPr>
        <w:t xml:space="preserve">, and also in </w:t>
      </w:r>
      <w:r w:rsidR="002140BE" w:rsidRPr="00C12801">
        <w:rPr>
          <w:noProof/>
        </w:rPr>
        <w:t>enhancing migration management, fostering cooperation with countries of origin and transit, and ultimately contributing to the reduction of irregular migration. Developing labour migration cooperation with third country partners, supported by common</w:t>
      </w:r>
      <w:r w:rsidR="002140BE">
        <w:rPr>
          <w:noProof/>
        </w:rPr>
        <w:t xml:space="preserve"> EU</w:t>
      </w:r>
      <w:r w:rsidR="002140BE" w:rsidRPr="00C12801">
        <w:rPr>
          <w:noProof/>
        </w:rPr>
        <w:t xml:space="preserve"> legal migration rules and alternative pathways for those in need of </w:t>
      </w:r>
      <w:r w:rsidR="002140BE">
        <w:rPr>
          <w:noProof/>
        </w:rPr>
        <w:t xml:space="preserve">international </w:t>
      </w:r>
      <w:r w:rsidR="002140BE" w:rsidRPr="00C12801">
        <w:rPr>
          <w:noProof/>
        </w:rPr>
        <w:t>protection</w:t>
      </w:r>
      <w:r w:rsidR="002140BE">
        <w:rPr>
          <w:noProof/>
        </w:rPr>
        <w:t>,</w:t>
      </w:r>
      <w:r w:rsidR="002140BE" w:rsidRPr="00C12801">
        <w:rPr>
          <w:noProof/>
        </w:rPr>
        <w:t xml:space="preserve"> provide</w:t>
      </w:r>
      <w:r w:rsidR="002140BE">
        <w:rPr>
          <w:noProof/>
        </w:rPr>
        <w:t>s</w:t>
      </w:r>
      <w:r w:rsidR="002140BE" w:rsidRPr="00C12801">
        <w:rPr>
          <w:noProof/>
        </w:rPr>
        <w:t xml:space="preserve"> for a balanced approach to migration</w:t>
      </w:r>
      <w:r w:rsidR="002140BE">
        <w:rPr>
          <w:noProof/>
        </w:rPr>
        <w:t>.</w:t>
      </w:r>
    </w:p>
    <w:p w14:paraId="380555DE" w14:textId="02361E8C" w:rsidR="002140BE" w:rsidRPr="009A7FB0" w:rsidRDefault="002140BE" w:rsidP="002140BE">
      <w:pPr>
        <w:spacing w:after="120"/>
        <w:rPr>
          <w:noProof/>
        </w:rPr>
      </w:pPr>
      <w:r>
        <w:rPr>
          <w:noProof/>
        </w:rPr>
        <w:t xml:space="preserve">Benefits come not only in terms of sound migration management but also through </w:t>
      </w:r>
      <w:r w:rsidRPr="00C12801">
        <w:rPr>
          <w:noProof/>
        </w:rPr>
        <w:t xml:space="preserve">remittance flows and the transfer of </w:t>
      </w:r>
      <w:r>
        <w:rPr>
          <w:noProof/>
        </w:rPr>
        <w:t>skills and</w:t>
      </w:r>
      <w:r w:rsidRPr="00C12801">
        <w:rPr>
          <w:noProof/>
        </w:rPr>
        <w:t xml:space="preserve"> knowledge to </w:t>
      </w:r>
      <w:r>
        <w:rPr>
          <w:noProof/>
        </w:rPr>
        <w:t>partner countries</w:t>
      </w:r>
      <w:r w:rsidRPr="00C12801">
        <w:rPr>
          <w:noProof/>
        </w:rPr>
        <w:t>.</w:t>
      </w:r>
      <w:r>
        <w:rPr>
          <w:noProof/>
        </w:rPr>
        <w:t xml:space="preserve"> An active policy to make the most of labour migration in Member States makes a major contribution to addressing labour market shortages. </w:t>
      </w:r>
      <w:r w:rsidRPr="008D02A8">
        <w:rPr>
          <w:noProof/>
        </w:rPr>
        <w:t xml:space="preserve">Improving labour migration governance, education and vocational education and training systems, and joint approaches to the recognition of qualifications and skills, </w:t>
      </w:r>
      <w:r w:rsidR="008D02A8">
        <w:rPr>
          <w:noProof/>
        </w:rPr>
        <w:t>are essential elements</w:t>
      </w:r>
      <w:r w:rsidRPr="008D02A8">
        <w:rPr>
          <w:noProof/>
        </w:rPr>
        <w:t xml:space="preserve"> to promot</w:t>
      </w:r>
      <w:r w:rsidR="008D02A8">
        <w:rPr>
          <w:noProof/>
        </w:rPr>
        <w:t>ing</w:t>
      </w:r>
      <w:r w:rsidRPr="008D02A8">
        <w:rPr>
          <w:noProof/>
        </w:rPr>
        <w:t xml:space="preserve"> skills as a driver </w:t>
      </w:r>
      <w:r w:rsidR="008D02A8">
        <w:rPr>
          <w:noProof/>
        </w:rPr>
        <w:t>for</w:t>
      </w:r>
      <w:r w:rsidRPr="008D02A8">
        <w:rPr>
          <w:noProof/>
        </w:rPr>
        <w:t xml:space="preserve"> economic growth, to the mutual benefit of the EU </w:t>
      </w:r>
      <w:r w:rsidR="008D02A8">
        <w:rPr>
          <w:noProof/>
        </w:rPr>
        <w:t xml:space="preserve">and </w:t>
      </w:r>
      <w:r w:rsidRPr="008D02A8">
        <w:rPr>
          <w:noProof/>
        </w:rPr>
        <w:t>its partners.</w:t>
      </w:r>
    </w:p>
    <w:p w14:paraId="3FBBF752" w14:textId="3B1F4842" w:rsidR="002140BE" w:rsidRDefault="002140BE" w:rsidP="002140BE">
      <w:pPr>
        <w:spacing w:after="120"/>
        <w:rPr>
          <w:noProof/>
        </w:rPr>
      </w:pPr>
      <w:r w:rsidRPr="00D56F2E">
        <w:rPr>
          <w:noProof/>
        </w:rPr>
        <w:t xml:space="preserve">The EU is engaged with partner countries under the </w:t>
      </w:r>
      <w:r w:rsidRPr="009A7FB0">
        <w:rPr>
          <w:b/>
          <w:bCs/>
          <w:noProof/>
        </w:rPr>
        <w:t>Global Gateway strategy</w:t>
      </w:r>
      <w:r w:rsidRPr="00D56F2E">
        <w:rPr>
          <w:noProof/>
        </w:rPr>
        <w:t>, in developing the skills of the workforce in third countries, notably to promote partner countries’ capacity to engage in innovative cooperation areas with the EU, such as the green transition and digitalisation. Boosting the skills base represents a win-win opportunity to build economic integration and strong new international partnerships.</w:t>
      </w:r>
    </w:p>
    <w:p w14:paraId="290BDE2E" w14:textId="713E9A7A" w:rsidR="002140BE" w:rsidRDefault="002140BE" w:rsidP="002140BE">
      <w:pPr>
        <w:spacing w:after="120"/>
        <w:rPr>
          <w:noProof/>
        </w:rPr>
      </w:pPr>
      <w:r w:rsidRPr="001228CD">
        <w:rPr>
          <w:noProof/>
        </w:rPr>
        <w:t xml:space="preserve">To </w:t>
      </w:r>
      <w:r w:rsidR="00354B46">
        <w:rPr>
          <w:noProof/>
        </w:rPr>
        <w:t xml:space="preserve">ensure a comprehensive approach to </w:t>
      </w:r>
      <w:r w:rsidR="00354B46" w:rsidRPr="00EC0ABF">
        <w:rPr>
          <w:noProof/>
        </w:rPr>
        <w:t>migration</w:t>
      </w:r>
      <w:r w:rsidRPr="00C12801">
        <w:rPr>
          <w:noProof/>
        </w:rPr>
        <w:t xml:space="preserve">, the EU and the Member States should pursue their efforts to developing </w:t>
      </w:r>
      <w:r w:rsidRPr="00C12801">
        <w:rPr>
          <w:b/>
          <w:bCs/>
          <w:noProof/>
        </w:rPr>
        <w:t>Talent Partnerships</w:t>
      </w:r>
      <w:r w:rsidRPr="00C12801">
        <w:rPr>
          <w:noProof/>
        </w:rPr>
        <w:t xml:space="preserve"> with key third countries to strengthen international </w:t>
      </w:r>
      <w:r w:rsidR="004D7A33">
        <w:rPr>
          <w:noProof/>
        </w:rPr>
        <w:t xml:space="preserve">fair </w:t>
      </w:r>
      <w:r w:rsidRPr="00C12801">
        <w:rPr>
          <w:noProof/>
        </w:rPr>
        <w:t>labour mobility</w:t>
      </w:r>
      <w:r>
        <w:rPr>
          <w:noProof/>
        </w:rPr>
        <w:t>,</w:t>
      </w:r>
      <w:r w:rsidRPr="00C12801">
        <w:rPr>
          <w:noProof/>
        </w:rPr>
        <w:t xml:space="preserve"> whilst avoiding </w:t>
      </w:r>
      <w:r>
        <w:rPr>
          <w:noProof/>
        </w:rPr>
        <w:t>the negative impact of ‘</w:t>
      </w:r>
      <w:r w:rsidRPr="00C12801">
        <w:rPr>
          <w:noProof/>
        </w:rPr>
        <w:t>brain drain</w:t>
      </w:r>
      <w:r>
        <w:rPr>
          <w:noProof/>
        </w:rPr>
        <w:t xml:space="preserve">’. </w:t>
      </w:r>
      <w:r w:rsidRPr="00C12801">
        <w:rPr>
          <w:noProof/>
        </w:rPr>
        <w:t xml:space="preserve">The Commission has </w:t>
      </w:r>
      <w:r>
        <w:rPr>
          <w:noProof/>
        </w:rPr>
        <w:t xml:space="preserve">so far </w:t>
      </w:r>
      <w:r w:rsidRPr="00C12801">
        <w:rPr>
          <w:noProof/>
        </w:rPr>
        <w:t xml:space="preserve">launched Talent Partnerships with Morocco, Tunisia, Egypt, Pakistan, and Bangladesh. Roundtables held with each of these countries with </w:t>
      </w:r>
      <w:r>
        <w:rPr>
          <w:noProof/>
        </w:rPr>
        <w:t xml:space="preserve">the </w:t>
      </w:r>
      <w:r w:rsidRPr="00C12801">
        <w:rPr>
          <w:noProof/>
        </w:rPr>
        <w:t xml:space="preserve">involvement of interested Member States have </w:t>
      </w:r>
      <w:r>
        <w:rPr>
          <w:noProof/>
        </w:rPr>
        <w:t>identified</w:t>
      </w:r>
      <w:r w:rsidRPr="00C12801">
        <w:rPr>
          <w:noProof/>
        </w:rPr>
        <w:t xml:space="preserve"> common objectives, as well as sectors and professions of mutual interest to be targeted. To succeed, Member States should further mobilise and coordinate their offer of legal migration opportunities and increase their active participation in the Talent Partnerships, for instance bringing bilateral agreements under the Talent Partnership umbrella</w:t>
      </w:r>
      <w:r w:rsidR="00840286">
        <w:rPr>
          <w:noProof/>
        </w:rPr>
        <w:t>, which would help to strengthen the EU’s collective leverage</w:t>
      </w:r>
      <w:r>
        <w:rPr>
          <w:noProof/>
        </w:rPr>
        <w:t xml:space="preserve">. </w:t>
      </w:r>
      <w:r w:rsidRPr="00B76B42">
        <w:rPr>
          <w:noProof/>
        </w:rPr>
        <w:t>The Commission will explore, together with Member States, the possibility to extend the reach of the Talent Partnerships to additional partner countries.</w:t>
      </w:r>
    </w:p>
    <w:p w14:paraId="475758F0" w14:textId="0E0E7807" w:rsidR="002140BE" w:rsidRDefault="002140BE" w:rsidP="002140BE">
      <w:pPr>
        <w:spacing w:after="120"/>
        <w:rPr>
          <w:noProof/>
        </w:rPr>
      </w:pPr>
      <w:r>
        <w:rPr>
          <w:noProof/>
        </w:rPr>
        <w:t xml:space="preserve">The </w:t>
      </w:r>
      <w:r w:rsidRPr="62F19914">
        <w:rPr>
          <w:b/>
          <w:noProof/>
        </w:rPr>
        <w:t xml:space="preserve">EU Talent </w:t>
      </w:r>
      <w:r>
        <w:rPr>
          <w:b/>
          <w:noProof/>
        </w:rPr>
        <w:t>P</w:t>
      </w:r>
      <w:r w:rsidRPr="62F19914">
        <w:rPr>
          <w:b/>
          <w:noProof/>
        </w:rPr>
        <w:t>ool</w:t>
      </w:r>
      <w:r>
        <w:rPr>
          <w:noProof/>
        </w:rPr>
        <w:t xml:space="preserve"> will also contribute to </w:t>
      </w:r>
      <w:r w:rsidR="006C0BBA">
        <w:rPr>
          <w:noProof/>
        </w:rPr>
        <w:t xml:space="preserve">fair </w:t>
      </w:r>
      <w:r>
        <w:rPr>
          <w:noProof/>
        </w:rPr>
        <w:t xml:space="preserve">labour migration, as the first EU-wide platform facilitating international recruitment </w:t>
      </w:r>
      <w:r w:rsidR="00314873">
        <w:rPr>
          <w:noProof/>
        </w:rPr>
        <w:t xml:space="preserve">with built-in </w:t>
      </w:r>
      <w:r w:rsidR="006F1E92">
        <w:rPr>
          <w:noProof/>
        </w:rPr>
        <w:t xml:space="preserve">safeguards to avoid exploitative and unfair practices </w:t>
      </w:r>
      <w:r>
        <w:rPr>
          <w:noProof/>
        </w:rPr>
        <w:t>and informing jobseekers in third countries about opportunities to work in shortage occupations in the EU at all skills</w:t>
      </w:r>
      <w:r w:rsidR="00F52D72">
        <w:rPr>
          <w:noProof/>
        </w:rPr>
        <w:t>’</w:t>
      </w:r>
      <w:r>
        <w:rPr>
          <w:noProof/>
        </w:rPr>
        <w:t xml:space="preserve"> levels. </w:t>
      </w:r>
      <w:r w:rsidRPr="00B605DB">
        <w:rPr>
          <w:noProof/>
        </w:rPr>
        <w:t xml:space="preserve">The fast operationalisation of the tool </w:t>
      </w:r>
      <w:r>
        <w:rPr>
          <w:noProof/>
        </w:rPr>
        <w:t>relies on swift adoption of the legal framework by the European Parliament and the Council</w:t>
      </w:r>
      <w:r w:rsidRPr="00B605DB">
        <w:rPr>
          <w:noProof/>
        </w:rPr>
        <w:t>.</w:t>
      </w:r>
    </w:p>
    <w:p w14:paraId="603F7B87" w14:textId="75573545" w:rsidR="002140BE" w:rsidRPr="00B605DB" w:rsidRDefault="002140BE" w:rsidP="002140BE">
      <w:pPr>
        <w:spacing w:after="120"/>
        <w:rPr>
          <w:noProof/>
        </w:rPr>
      </w:pPr>
      <w:r>
        <w:rPr>
          <w:noProof/>
        </w:rPr>
        <w:t xml:space="preserve">The Commission is also implementing measures set out in the </w:t>
      </w:r>
      <w:r w:rsidRPr="009A7FB0">
        <w:rPr>
          <w:b/>
          <w:bCs/>
          <w:noProof/>
        </w:rPr>
        <w:t>Skills and Talent Mobility package</w:t>
      </w:r>
      <w:r>
        <w:rPr>
          <w:noProof/>
        </w:rPr>
        <w:t xml:space="preserve"> of November 2023 to support the validation of skills and recognition of qualifications gained outside the EU, which remains an obstacle to migrant recruitment and labour market integration. The Commission will continue engaging with Member States and social partners through the </w:t>
      </w:r>
      <w:r w:rsidRPr="00E64E68">
        <w:rPr>
          <w:b/>
          <w:bCs/>
          <w:noProof/>
        </w:rPr>
        <w:t>Labour Migration Platform</w:t>
      </w:r>
      <w:r>
        <w:rPr>
          <w:noProof/>
        </w:rPr>
        <w:t>, which facilitates cross-sectoral discussions on practical issues.</w:t>
      </w:r>
    </w:p>
    <w:p w14:paraId="5648F154" w14:textId="20328483" w:rsidR="000D5B9E" w:rsidRDefault="002140BE" w:rsidP="002140BE">
      <w:pPr>
        <w:spacing w:after="120"/>
        <w:rPr>
          <w:noProof/>
        </w:rPr>
      </w:pPr>
      <w:r w:rsidRPr="00B605DB">
        <w:rPr>
          <w:noProof/>
          <w:szCs w:val="24"/>
        </w:rPr>
        <w:t xml:space="preserve">The Commission </w:t>
      </w:r>
      <w:r>
        <w:rPr>
          <w:noProof/>
          <w:szCs w:val="24"/>
        </w:rPr>
        <w:t xml:space="preserve">will also </w:t>
      </w:r>
      <w:r w:rsidRPr="00E64E68">
        <w:rPr>
          <w:b/>
          <w:bCs/>
          <w:noProof/>
          <w:szCs w:val="24"/>
        </w:rPr>
        <w:t>continue to promote safe and legal pathways</w:t>
      </w:r>
      <w:r w:rsidRPr="00B605DB">
        <w:rPr>
          <w:noProof/>
          <w:szCs w:val="24"/>
        </w:rPr>
        <w:t xml:space="preserve"> to protection and work closely with Member States to underpin their voluntary </w:t>
      </w:r>
      <w:r w:rsidRPr="00B605DB">
        <w:rPr>
          <w:b/>
          <w:bCs/>
          <w:noProof/>
          <w:szCs w:val="24"/>
        </w:rPr>
        <w:t>resettlement and humanitarian admission</w:t>
      </w:r>
      <w:r w:rsidRPr="00B605DB">
        <w:rPr>
          <w:noProof/>
          <w:szCs w:val="24"/>
        </w:rPr>
        <w:t xml:space="preserve"> efforts. Under the ad</w:t>
      </w:r>
      <w:r w:rsidR="00F52D72">
        <w:rPr>
          <w:noProof/>
          <w:szCs w:val="24"/>
        </w:rPr>
        <w:t xml:space="preserve"> </w:t>
      </w:r>
      <w:r w:rsidRPr="00B605DB">
        <w:rPr>
          <w:noProof/>
          <w:szCs w:val="24"/>
        </w:rPr>
        <w:t xml:space="preserve">hoc 2024-2025 EU Resettlement and Humanitarian admissions scheme, Member States provided overall more than 60,000 pledges, demonstrating </w:t>
      </w:r>
      <w:r>
        <w:rPr>
          <w:noProof/>
          <w:szCs w:val="24"/>
        </w:rPr>
        <w:t>a</w:t>
      </w:r>
      <w:r w:rsidRPr="00B605DB">
        <w:rPr>
          <w:noProof/>
          <w:szCs w:val="24"/>
        </w:rPr>
        <w:t xml:space="preserve"> sustained commitment to </w:t>
      </w:r>
      <w:r>
        <w:rPr>
          <w:noProof/>
          <w:szCs w:val="24"/>
        </w:rPr>
        <w:t>helping</w:t>
      </w:r>
      <w:r w:rsidRPr="00B605DB">
        <w:rPr>
          <w:noProof/>
          <w:szCs w:val="24"/>
        </w:rPr>
        <w:t xml:space="preserve"> global resettlement needs.</w:t>
      </w:r>
      <w:r w:rsidR="00F52D72" w:rsidRPr="00F52D72">
        <w:rPr>
          <w:noProof/>
        </w:rPr>
        <w:t xml:space="preserve"> </w:t>
      </w:r>
      <w:r>
        <w:rPr>
          <w:noProof/>
        </w:rPr>
        <w:t>T</w:t>
      </w:r>
      <w:r w:rsidRPr="00B605DB">
        <w:rPr>
          <w:noProof/>
        </w:rPr>
        <w:t xml:space="preserve">he Commission </w:t>
      </w:r>
      <w:r>
        <w:rPr>
          <w:noProof/>
        </w:rPr>
        <w:t>will continue</w:t>
      </w:r>
      <w:r w:rsidRPr="00B605DB">
        <w:rPr>
          <w:noProof/>
        </w:rPr>
        <w:t xml:space="preserve"> to promote </w:t>
      </w:r>
      <w:r w:rsidRPr="00481B36">
        <w:rPr>
          <w:b/>
          <w:bCs/>
          <w:noProof/>
        </w:rPr>
        <w:t>innovative complementary pathways for people in need of protection</w:t>
      </w:r>
      <w:r w:rsidRPr="00B605DB">
        <w:rPr>
          <w:noProof/>
        </w:rPr>
        <w:t>, as a</w:t>
      </w:r>
      <w:r>
        <w:rPr>
          <w:noProof/>
        </w:rPr>
        <w:t>n</w:t>
      </w:r>
      <w:r w:rsidRPr="00B605DB">
        <w:rPr>
          <w:noProof/>
        </w:rPr>
        <w:t xml:space="preserve"> alternative to irregular migration.</w:t>
      </w:r>
    </w:p>
    <w:p w14:paraId="4293E8F9" w14:textId="77777777" w:rsidR="002140BE" w:rsidRPr="00C12801" w:rsidRDefault="002140BE" w:rsidP="002740E8">
      <w:pPr>
        <w:pStyle w:val="Heading1"/>
        <w:numPr>
          <w:ilvl w:val="0"/>
          <w:numId w:val="23"/>
        </w:numPr>
        <w:spacing w:before="0" w:after="120"/>
        <w:jc w:val="both"/>
        <w:rPr>
          <w:noProof/>
        </w:rPr>
      </w:pPr>
      <w:r w:rsidRPr="00C12801">
        <w:rPr>
          <w:noProof/>
        </w:rPr>
        <w:t xml:space="preserve">Governance and Monitoring </w:t>
      </w:r>
    </w:p>
    <w:p w14:paraId="3F5D7239" w14:textId="5416657D" w:rsidR="002140BE" w:rsidRDefault="002140BE" w:rsidP="002140BE">
      <w:pPr>
        <w:spacing w:after="120"/>
        <w:rPr>
          <w:rStyle w:val="normaltextrun"/>
          <w:noProof/>
        </w:rPr>
      </w:pPr>
      <w:r>
        <w:rPr>
          <w:noProof/>
          <w:szCs w:val="24"/>
        </w:rPr>
        <w:t>The common effort essential to the</w:t>
      </w:r>
      <w:r w:rsidRPr="00C12801">
        <w:rPr>
          <w:noProof/>
          <w:szCs w:val="24"/>
        </w:rPr>
        <w:t xml:space="preserve"> successful implementation of the Pact </w:t>
      </w:r>
      <w:r>
        <w:rPr>
          <w:noProof/>
          <w:szCs w:val="24"/>
        </w:rPr>
        <w:t>needs to be reflected in its</w:t>
      </w:r>
      <w:r w:rsidRPr="00C12801">
        <w:rPr>
          <w:noProof/>
          <w:szCs w:val="24"/>
        </w:rPr>
        <w:t xml:space="preserve"> governance</w:t>
      </w:r>
      <w:r>
        <w:rPr>
          <w:noProof/>
          <w:szCs w:val="24"/>
        </w:rPr>
        <w:t>. This will help the consistency of</w:t>
      </w:r>
      <w:r w:rsidR="005F0618">
        <w:rPr>
          <w:noProof/>
          <w:szCs w:val="24"/>
        </w:rPr>
        <w:t xml:space="preserve"> </w:t>
      </w:r>
      <w:r w:rsidRPr="00C12801">
        <w:rPr>
          <w:noProof/>
          <w:szCs w:val="24"/>
        </w:rPr>
        <w:t xml:space="preserve">implementation, while preserving the </w:t>
      </w:r>
      <w:r>
        <w:rPr>
          <w:noProof/>
          <w:szCs w:val="24"/>
        </w:rPr>
        <w:t xml:space="preserve">necessary </w:t>
      </w:r>
      <w:r w:rsidRPr="00C12801">
        <w:rPr>
          <w:noProof/>
          <w:szCs w:val="24"/>
        </w:rPr>
        <w:t xml:space="preserve">flexibility that Member States </w:t>
      </w:r>
      <w:r>
        <w:rPr>
          <w:noProof/>
          <w:szCs w:val="24"/>
        </w:rPr>
        <w:t>need</w:t>
      </w:r>
      <w:r w:rsidRPr="00C12801">
        <w:rPr>
          <w:noProof/>
          <w:szCs w:val="24"/>
        </w:rPr>
        <w:t xml:space="preserve">. </w:t>
      </w:r>
      <w:r>
        <w:rPr>
          <w:noProof/>
          <w:szCs w:val="24"/>
        </w:rPr>
        <w:t xml:space="preserve">It should ensure that </w:t>
      </w:r>
      <w:r w:rsidRPr="00C12801">
        <w:rPr>
          <w:rStyle w:val="normaltextrun"/>
          <w:noProof/>
        </w:rPr>
        <w:t xml:space="preserve">all legal, administrative, and operational measures necessary for the Pact implementation will be undertaken on time and in a coherent and efficient manner. </w:t>
      </w:r>
      <w:r>
        <w:rPr>
          <w:rStyle w:val="normaltextrun"/>
          <w:noProof/>
        </w:rPr>
        <w:t xml:space="preserve">It should accommodate the interconnected nature of the separate work-strands, allowing also </w:t>
      </w:r>
      <w:r w:rsidRPr="00C12801">
        <w:rPr>
          <w:rStyle w:val="normaltextrun"/>
          <w:noProof/>
        </w:rPr>
        <w:t>effective coordination among the different actors</w:t>
      </w:r>
      <w:r>
        <w:rPr>
          <w:rStyle w:val="normaltextrun"/>
          <w:noProof/>
        </w:rPr>
        <w:t xml:space="preserve"> and </w:t>
      </w:r>
      <w:r w:rsidR="00A74B36">
        <w:rPr>
          <w:rStyle w:val="normaltextrun"/>
          <w:noProof/>
        </w:rPr>
        <w:t>institutions</w:t>
      </w:r>
      <w:r w:rsidR="00A74B36" w:rsidRPr="00C12801">
        <w:rPr>
          <w:rStyle w:val="normaltextrun"/>
          <w:noProof/>
        </w:rPr>
        <w:t xml:space="preserve"> </w:t>
      </w:r>
      <w:r w:rsidRPr="00C12801">
        <w:rPr>
          <w:rStyle w:val="normaltextrun"/>
          <w:noProof/>
        </w:rPr>
        <w:t>responsible for the Pact implementation at the EU and national levels.</w:t>
      </w:r>
    </w:p>
    <w:p w14:paraId="7EF3BF68" w14:textId="77777777" w:rsidR="002140BE" w:rsidRPr="0058531C" w:rsidRDefault="002140BE" w:rsidP="00E64E68">
      <w:pPr>
        <w:pStyle w:val="Heading2"/>
        <w:numPr>
          <w:ilvl w:val="1"/>
          <w:numId w:val="23"/>
        </w:numPr>
        <w:spacing w:after="120"/>
        <w:ind w:left="0" w:firstLine="0"/>
        <w:rPr>
          <w:noProof/>
        </w:rPr>
      </w:pPr>
      <w:r w:rsidRPr="0058531C">
        <w:rPr>
          <w:noProof/>
        </w:rPr>
        <w:t>Governance and Monitoring during the transition phase</w:t>
      </w:r>
    </w:p>
    <w:p w14:paraId="0B3DEEC2" w14:textId="0D9CF61F" w:rsidR="00B71475" w:rsidRDefault="002140BE" w:rsidP="002140BE">
      <w:pPr>
        <w:spacing w:after="120"/>
        <w:rPr>
          <w:noProof/>
        </w:rPr>
      </w:pPr>
      <w:r>
        <w:rPr>
          <w:noProof/>
          <w:szCs w:val="24"/>
        </w:rPr>
        <w:t xml:space="preserve">The </w:t>
      </w:r>
      <w:r w:rsidRPr="00E64E68">
        <w:rPr>
          <w:b/>
          <w:bCs/>
          <w:noProof/>
          <w:szCs w:val="24"/>
        </w:rPr>
        <w:t xml:space="preserve">Commission </w:t>
      </w:r>
      <w:r w:rsidR="0058531C">
        <w:rPr>
          <w:b/>
          <w:bCs/>
          <w:noProof/>
          <w:szCs w:val="24"/>
        </w:rPr>
        <w:t>will</w:t>
      </w:r>
      <w:r w:rsidRPr="00E64E68">
        <w:rPr>
          <w:b/>
          <w:bCs/>
          <w:noProof/>
          <w:szCs w:val="24"/>
        </w:rPr>
        <w:t xml:space="preserve"> monitor</w:t>
      </w:r>
      <w:r>
        <w:rPr>
          <w:noProof/>
          <w:szCs w:val="24"/>
        </w:rPr>
        <w:t xml:space="preserve"> the Common Implementation Plan and the National Implementation Plans. To this end, the Commission</w:t>
      </w:r>
      <w:r w:rsidRPr="005B6A6A">
        <w:rPr>
          <w:noProof/>
        </w:rPr>
        <w:t xml:space="preserve"> </w:t>
      </w:r>
      <w:r w:rsidRPr="00C12801">
        <w:rPr>
          <w:noProof/>
        </w:rPr>
        <w:t xml:space="preserve">will keep </w:t>
      </w:r>
      <w:r w:rsidRPr="00E64E68">
        <w:rPr>
          <w:b/>
          <w:bCs/>
          <w:noProof/>
        </w:rPr>
        <w:t>regular contact</w:t>
      </w:r>
      <w:r w:rsidR="0074302C" w:rsidRPr="00E64E68">
        <w:rPr>
          <w:b/>
          <w:bCs/>
          <w:noProof/>
        </w:rPr>
        <w:t>s</w:t>
      </w:r>
      <w:r w:rsidRPr="00C12801">
        <w:rPr>
          <w:noProof/>
        </w:rPr>
        <w:t xml:space="preserve"> with each Member State, including through visits regular bilateral meetings</w:t>
      </w:r>
      <w:r w:rsidR="0058531C" w:rsidRPr="0058531C">
        <w:rPr>
          <w:noProof/>
        </w:rPr>
        <w:t xml:space="preserve"> </w:t>
      </w:r>
      <w:r w:rsidR="0058531C" w:rsidRPr="00C12801">
        <w:rPr>
          <w:noProof/>
        </w:rPr>
        <w:t>and</w:t>
      </w:r>
      <w:r w:rsidR="0058531C">
        <w:rPr>
          <w:noProof/>
        </w:rPr>
        <w:t xml:space="preserve"> existing groups and networks</w:t>
      </w:r>
      <w:r w:rsidRPr="00C12801">
        <w:rPr>
          <w:noProof/>
        </w:rPr>
        <w:t xml:space="preserve">, while avoiding unnecessary administrative burden. </w:t>
      </w:r>
    </w:p>
    <w:p w14:paraId="55A386E1" w14:textId="4E49FA7B" w:rsidR="002140BE" w:rsidRPr="00C12801" w:rsidRDefault="002140BE" w:rsidP="002140BE">
      <w:pPr>
        <w:spacing w:after="120"/>
        <w:rPr>
          <w:noProof/>
        </w:rPr>
      </w:pPr>
      <w:r>
        <w:rPr>
          <w:noProof/>
        </w:rPr>
        <w:t xml:space="preserve">Furthermore, the </w:t>
      </w:r>
      <w:r w:rsidRPr="00E64E68">
        <w:rPr>
          <w:b/>
          <w:bCs/>
          <w:noProof/>
        </w:rPr>
        <w:t>Commission will work in full coordination with the structures in the Council</w:t>
      </w:r>
      <w:r w:rsidR="0058531C">
        <w:rPr>
          <w:b/>
          <w:bCs/>
          <w:noProof/>
        </w:rPr>
        <w:t>,</w:t>
      </w:r>
      <w:r w:rsidRPr="00E64E68">
        <w:rPr>
          <w:b/>
          <w:bCs/>
          <w:noProof/>
        </w:rPr>
        <w:t xml:space="preserve"> </w:t>
      </w:r>
      <w:r w:rsidR="0058531C">
        <w:rPr>
          <w:b/>
          <w:bCs/>
          <w:noProof/>
        </w:rPr>
        <w:t xml:space="preserve">and it will </w:t>
      </w:r>
      <w:r w:rsidRPr="00E64E68">
        <w:rPr>
          <w:b/>
          <w:bCs/>
          <w:noProof/>
        </w:rPr>
        <w:t xml:space="preserve">keep </w:t>
      </w:r>
      <w:r w:rsidR="0058531C">
        <w:rPr>
          <w:b/>
          <w:bCs/>
          <w:noProof/>
        </w:rPr>
        <w:t xml:space="preserve">both </w:t>
      </w:r>
      <w:r w:rsidRPr="00E64E68">
        <w:rPr>
          <w:b/>
          <w:bCs/>
          <w:noProof/>
        </w:rPr>
        <w:t>the</w:t>
      </w:r>
      <w:r w:rsidR="0058531C">
        <w:rPr>
          <w:b/>
          <w:bCs/>
          <w:noProof/>
        </w:rPr>
        <w:t xml:space="preserve"> </w:t>
      </w:r>
      <w:r w:rsidR="00B71475">
        <w:rPr>
          <w:b/>
          <w:bCs/>
          <w:noProof/>
        </w:rPr>
        <w:t xml:space="preserve">European Parliament and the </w:t>
      </w:r>
      <w:r w:rsidR="0058531C">
        <w:rPr>
          <w:b/>
          <w:bCs/>
          <w:noProof/>
        </w:rPr>
        <w:t xml:space="preserve">Council </w:t>
      </w:r>
      <w:r w:rsidRPr="00E64E68">
        <w:rPr>
          <w:b/>
          <w:bCs/>
          <w:noProof/>
        </w:rPr>
        <w:t>fully informed</w:t>
      </w:r>
      <w:r>
        <w:rPr>
          <w:noProof/>
        </w:rPr>
        <w:t>. In this context, t</w:t>
      </w:r>
      <w:r w:rsidRPr="00C12801">
        <w:rPr>
          <w:noProof/>
        </w:rPr>
        <w:t xml:space="preserve">o ensure effective and transparent sharing of information across all Member States, the Commission will provide regular updates on the state of play of the implementation of the Common Implementation Plan and National Implementation Plans to the </w:t>
      </w:r>
      <w:r w:rsidR="00B71475">
        <w:rPr>
          <w:noProof/>
        </w:rPr>
        <w:t xml:space="preserve">European Parliament and the </w:t>
      </w:r>
      <w:r w:rsidRPr="00C12801">
        <w:rPr>
          <w:noProof/>
        </w:rPr>
        <w:t xml:space="preserve">Council. While the Commission has the obligation to do so </w:t>
      </w:r>
      <w:r w:rsidRPr="00E64E68">
        <w:rPr>
          <w:b/>
          <w:bCs/>
          <w:noProof/>
        </w:rPr>
        <w:t>every six months</w:t>
      </w:r>
      <w:r w:rsidRPr="00C12801">
        <w:rPr>
          <w:noProof/>
        </w:rPr>
        <w:t xml:space="preserve">, updates may be provided more often, as required by the </w:t>
      </w:r>
      <w:r w:rsidR="00B71475">
        <w:rPr>
          <w:noProof/>
        </w:rPr>
        <w:t>European</w:t>
      </w:r>
      <w:r w:rsidRPr="00C12801">
        <w:rPr>
          <w:noProof/>
        </w:rPr>
        <w:t xml:space="preserve"> Parliament</w:t>
      </w:r>
      <w:r w:rsidR="00B71475">
        <w:rPr>
          <w:noProof/>
        </w:rPr>
        <w:t xml:space="preserve"> and the Council</w:t>
      </w:r>
      <w:r w:rsidRPr="00C12801">
        <w:rPr>
          <w:noProof/>
        </w:rPr>
        <w:t>.</w:t>
      </w:r>
      <w:r w:rsidRPr="00BB241E">
        <w:rPr>
          <w:noProof/>
          <w:szCs w:val="24"/>
        </w:rPr>
        <w:t xml:space="preserve"> </w:t>
      </w:r>
    </w:p>
    <w:p w14:paraId="7D7A5B5F" w14:textId="5ADC6EB4" w:rsidR="002140BE" w:rsidRDefault="002140BE" w:rsidP="002140BE">
      <w:pPr>
        <w:pStyle w:val="Text2"/>
        <w:spacing w:after="120"/>
        <w:ind w:left="0"/>
        <w:rPr>
          <w:noProof/>
          <w:szCs w:val="24"/>
        </w:rPr>
      </w:pPr>
      <w:r>
        <w:rPr>
          <w:noProof/>
          <w:szCs w:val="24"/>
        </w:rPr>
        <w:t xml:space="preserve">To ensure the coherence and coordination of the implementation work, </w:t>
      </w:r>
      <w:r w:rsidRPr="005C1AD8">
        <w:rPr>
          <w:noProof/>
          <w:szCs w:val="24"/>
        </w:rPr>
        <w:t xml:space="preserve">the Commission will </w:t>
      </w:r>
      <w:r>
        <w:rPr>
          <w:noProof/>
          <w:szCs w:val="24"/>
        </w:rPr>
        <w:t xml:space="preserve">maintain </w:t>
      </w:r>
      <w:r w:rsidRPr="005C1AD8">
        <w:rPr>
          <w:noProof/>
          <w:szCs w:val="24"/>
        </w:rPr>
        <w:t>a</w:t>
      </w:r>
      <w:r>
        <w:rPr>
          <w:noProof/>
          <w:szCs w:val="24"/>
        </w:rPr>
        <w:t xml:space="preserve"> </w:t>
      </w:r>
      <w:r w:rsidRPr="00E64E68">
        <w:rPr>
          <w:b/>
          <w:noProof/>
          <w:szCs w:val="24"/>
        </w:rPr>
        <w:t>Pact coordination platform</w:t>
      </w:r>
      <w:r w:rsidRPr="005C1AD8">
        <w:rPr>
          <w:b/>
          <w:bCs/>
          <w:noProof/>
          <w:szCs w:val="24"/>
        </w:rPr>
        <w:t xml:space="preserve"> </w:t>
      </w:r>
      <w:r w:rsidRPr="005C1AD8">
        <w:rPr>
          <w:noProof/>
          <w:szCs w:val="24"/>
        </w:rPr>
        <w:t xml:space="preserve">(of a cross-cutting nature) </w:t>
      </w:r>
      <w:r>
        <w:rPr>
          <w:noProof/>
          <w:szCs w:val="24"/>
        </w:rPr>
        <w:t xml:space="preserve">that will be convened periodically </w:t>
      </w:r>
      <w:r w:rsidR="00746DA6">
        <w:rPr>
          <w:noProof/>
          <w:szCs w:val="24"/>
        </w:rPr>
        <w:t xml:space="preserve">as needed </w:t>
      </w:r>
      <w:r>
        <w:rPr>
          <w:noProof/>
          <w:szCs w:val="24"/>
        </w:rPr>
        <w:t xml:space="preserve">and in full complementarity with Council meetings. The </w:t>
      </w:r>
      <w:r w:rsidR="00746DA6" w:rsidRPr="00E64E68">
        <w:rPr>
          <w:bCs/>
          <w:noProof/>
          <w:szCs w:val="24"/>
        </w:rPr>
        <w:t xml:space="preserve">Pact coordination platform </w:t>
      </w:r>
      <w:r>
        <w:rPr>
          <w:noProof/>
          <w:szCs w:val="24"/>
        </w:rPr>
        <w:t>will</w:t>
      </w:r>
      <w:r w:rsidRPr="005C1AD8">
        <w:rPr>
          <w:noProof/>
          <w:szCs w:val="24"/>
        </w:rPr>
        <w:t xml:space="preserve"> bring together </w:t>
      </w:r>
      <w:r w:rsidRPr="00E64E68">
        <w:rPr>
          <w:b/>
          <w:bCs/>
          <w:noProof/>
          <w:szCs w:val="24"/>
        </w:rPr>
        <w:t>Commission services</w:t>
      </w:r>
      <w:r w:rsidRPr="005C1AD8">
        <w:rPr>
          <w:noProof/>
          <w:szCs w:val="24"/>
        </w:rPr>
        <w:t xml:space="preserve">, the </w:t>
      </w:r>
      <w:r w:rsidR="00746DA6" w:rsidRPr="00E64E68">
        <w:rPr>
          <w:b/>
          <w:bCs/>
          <w:noProof/>
          <w:szCs w:val="24"/>
        </w:rPr>
        <w:t>Member States’</w:t>
      </w:r>
      <w:r w:rsidR="00746DA6">
        <w:rPr>
          <w:noProof/>
          <w:szCs w:val="24"/>
        </w:rPr>
        <w:t xml:space="preserve"> </w:t>
      </w:r>
      <w:r w:rsidRPr="00E64E68">
        <w:rPr>
          <w:b/>
          <w:bCs/>
          <w:noProof/>
          <w:szCs w:val="24"/>
        </w:rPr>
        <w:t>coordinators for Pact implementation at the national level</w:t>
      </w:r>
      <w:r w:rsidRPr="005C1AD8">
        <w:rPr>
          <w:noProof/>
          <w:szCs w:val="24"/>
        </w:rPr>
        <w:t xml:space="preserve"> and </w:t>
      </w:r>
      <w:r w:rsidRPr="00E64E68">
        <w:rPr>
          <w:b/>
          <w:bCs/>
          <w:noProof/>
          <w:szCs w:val="24"/>
        </w:rPr>
        <w:t>EU agencies</w:t>
      </w:r>
      <w:r w:rsidRPr="005C1AD8">
        <w:rPr>
          <w:noProof/>
          <w:szCs w:val="24"/>
        </w:rPr>
        <w:t xml:space="preserve"> to ensure the required and regular overview and stock taking of the implementation of different </w:t>
      </w:r>
      <w:r>
        <w:rPr>
          <w:noProof/>
          <w:szCs w:val="24"/>
        </w:rPr>
        <w:t xml:space="preserve">levels and </w:t>
      </w:r>
      <w:r w:rsidRPr="005C1AD8">
        <w:rPr>
          <w:noProof/>
          <w:szCs w:val="24"/>
        </w:rPr>
        <w:t xml:space="preserve">strands of work. </w:t>
      </w:r>
      <w:r w:rsidRPr="0080598F">
        <w:rPr>
          <w:noProof/>
        </w:rPr>
        <w:t xml:space="preserve">The </w:t>
      </w:r>
      <w:r w:rsidR="00746DA6" w:rsidRPr="001C12B7">
        <w:rPr>
          <w:bCs/>
          <w:noProof/>
          <w:szCs w:val="24"/>
        </w:rPr>
        <w:t xml:space="preserve">Pact coordination platform </w:t>
      </w:r>
      <w:r w:rsidRPr="0080598F">
        <w:rPr>
          <w:noProof/>
        </w:rPr>
        <w:t xml:space="preserve">will maintain an overview of all the activities, including </w:t>
      </w:r>
      <w:r w:rsidR="006233DB">
        <w:rPr>
          <w:noProof/>
        </w:rPr>
        <w:t xml:space="preserve">a </w:t>
      </w:r>
      <w:r w:rsidRPr="0080598F">
        <w:rPr>
          <w:noProof/>
        </w:rPr>
        <w:t>calendar of meetings and conclusion of the discussions</w:t>
      </w:r>
      <w:r>
        <w:rPr>
          <w:noProof/>
        </w:rPr>
        <w:t xml:space="preserve"> and provide for a virtual portal for relevant documents</w:t>
      </w:r>
      <w:r w:rsidRPr="0080598F">
        <w:rPr>
          <w:noProof/>
        </w:rPr>
        <w:t xml:space="preserve">. </w:t>
      </w:r>
      <w:r w:rsidR="00746DA6">
        <w:rPr>
          <w:noProof/>
          <w:szCs w:val="24"/>
        </w:rPr>
        <w:t>T</w:t>
      </w:r>
      <w:r w:rsidRPr="0080598F">
        <w:rPr>
          <w:noProof/>
          <w:szCs w:val="24"/>
        </w:rPr>
        <w:t>he Commission will also associate the European Parliament and other relevant stakeholders</w:t>
      </w:r>
      <w:r w:rsidR="00746DA6" w:rsidRPr="00746DA6">
        <w:rPr>
          <w:noProof/>
          <w:szCs w:val="24"/>
        </w:rPr>
        <w:t xml:space="preserve"> </w:t>
      </w:r>
      <w:r w:rsidR="00746DA6">
        <w:rPr>
          <w:noProof/>
          <w:szCs w:val="24"/>
        </w:rPr>
        <w:t>a</w:t>
      </w:r>
      <w:r w:rsidR="00746DA6" w:rsidRPr="0080598F">
        <w:rPr>
          <w:noProof/>
          <w:szCs w:val="24"/>
        </w:rPr>
        <w:t>s appropriate</w:t>
      </w:r>
      <w:r w:rsidRPr="0080598F">
        <w:rPr>
          <w:noProof/>
          <w:szCs w:val="24"/>
        </w:rPr>
        <w:t>.</w:t>
      </w:r>
    </w:p>
    <w:p w14:paraId="5A105275" w14:textId="09610003" w:rsidR="002140BE" w:rsidRDefault="002140BE" w:rsidP="002140BE">
      <w:pPr>
        <w:spacing w:after="120"/>
        <w:rPr>
          <w:noProof/>
        </w:rPr>
      </w:pPr>
      <w:r>
        <w:rPr>
          <w:rStyle w:val="eop"/>
          <w:noProof/>
        </w:rPr>
        <w:t>The main</w:t>
      </w:r>
      <w:r w:rsidRPr="0080598F">
        <w:rPr>
          <w:rStyle w:val="eop"/>
          <w:noProof/>
        </w:rPr>
        <w:t xml:space="preserve"> work</w:t>
      </w:r>
      <w:r>
        <w:rPr>
          <w:rStyle w:val="eop"/>
          <w:noProof/>
        </w:rPr>
        <w:t xml:space="preserve"> of the Pact implementation will be carried out in </w:t>
      </w:r>
      <w:r w:rsidRPr="0080598F">
        <w:rPr>
          <w:rStyle w:val="eop"/>
          <w:noProof/>
        </w:rPr>
        <w:t xml:space="preserve">existing groups and networks. </w:t>
      </w:r>
      <w:r w:rsidRPr="00DE2FD6">
        <w:rPr>
          <w:noProof/>
        </w:rPr>
        <w:t xml:space="preserve">The Commission will streamline the work of all </w:t>
      </w:r>
      <w:r>
        <w:rPr>
          <w:noProof/>
        </w:rPr>
        <w:t xml:space="preserve">existing </w:t>
      </w:r>
      <w:r w:rsidRPr="00DE2FD6">
        <w:rPr>
          <w:noProof/>
        </w:rPr>
        <w:t>groups</w:t>
      </w:r>
      <w:r>
        <w:rPr>
          <w:noProof/>
        </w:rPr>
        <w:t xml:space="preserve"> and networks</w:t>
      </w:r>
      <w:r w:rsidRPr="00DE2FD6">
        <w:rPr>
          <w:noProof/>
        </w:rPr>
        <w:t xml:space="preserve"> and will ensure meetings are </w:t>
      </w:r>
      <w:r>
        <w:rPr>
          <w:noProof/>
        </w:rPr>
        <w:t>organised on a needs-basis and avoiding overlaps</w:t>
      </w:r>
      <w:r w:rsidRPr="00DE2FD6">
        <w:rPr>
          <w:noProof/>
        </w:rPr>
        <w:t>.</w:t>
      </w:r>
    </w:p>
    <w:p w14:paraId="3F383197" w14:textId="77777777" w:rsidR="002140BE" w:rsidRDefault="002140BE" w:rsidP="002140BE">
      <w:pPr>
        <w:spacing w:after="120"/>
        <w:rPr>
          <w:rStyle w:val="eop"/>
          <w:noProof/>
        </w:rPr>
      </w:pPr>
      <w:r w:rsidRPr="00FF597A">
        <w:rPr>
          <w:rStyle w:val="eop"/>
          <w:noProof/>
        </w:rPr>
        <w:t>Three levels already exist today that will play an important role in ensuring timely and consistent</w:t>
      </w:r>
      <w:r w:rsidRPr="00C12801">
        <w:rPr>
          <w:rStyle w:val="eop"/>
          <w:noProof/>
        </w:rPr>
        <w:t xml:space="preserve"> Pact implementation: </w:t>
      </w:r>
    </w:p>
    <w:p w14:paraId="69D33496" w14:textId="7935ACCC" w:rsidR="002140BE" w:rsidRDefault="002140BE" w:rsidP="002740E8">
      <w:pPr>
        <w:pStyle w:val="ListParagraph"/>
        <w:numPr>
          <w:ilvl w:val="0"/>
          <w:numId w:val="41"/>
        </w:numPr>
        <w:spacing w:after="120"/>
        <w:rPr>
          <w:rStyle w:val="eop"/>
          <w:noProof/>
        </w:rPr>
      </w:pPr>
      <w:r>
        <w:rPr>
          <w:rStyle w:val="eop"/>
          <w:noProof/>
        </w:rPr>
        <w:t>T</w:t>
      </w:r>
      <w:r w:rsidRPr="00C12801">
        <w:rPr>
          <w:rStyle w:val="eop"/>
          <w:noProof/>
        </w:rPr>
        <w:t xml:space="preserve">he </w:t>
      </w:r>
      <w:r w:rsidRPr="00DE2FD6">
        <w:rPr>
          <w:rStyle w:val="eop"/>
          <w:b/>
          <w:bCs/>
          <w:noProof/>
          <w:u w:val="single"/>
        </w:rPr>
        <w:t>regulatory level</w:t>
      </w:r>
      <w:r w:rsidRPr="00C12801">
        <w:rPr>
          <w:rStyle w:val="eop"/>
          <w:noProof/>
        </w:rPr>
        <w:t>, which includes the relevant regulatory committees</w:t>
      </w:r>
      <w:r>
        <w:rPr>
          <w:rStyle w:val="eop"/>
          <w:noProof/>
        </w:rPr>
        <w:t xml:space="preserve"> that should assist the Commission when exercising its implementing powers in accordance with the relevant Regulations. They consist of Member State representatives.</w:t>
      </w:r>
      <w:r w:rsidRPr="00C12801">
        <w:rPr>
          <w:rStyle w:val="eop"/>
          <w:noProof/>
        </w:rPr>
        <w:t xml:space="preserve"> </w:t>
      </w:r>
      <w:r w:rsidR="00A93C45">
        <w:rPr>
          <w:rStyle w:val="eop"/>
          <w:noProof/>
        </w:rPr>
        <w:t xml:space="preserve">Three </w:t>
      </w:r>
      <w:r>
        <w:rPr>
          <w:rStyle w:val="eop"/>
          <w:noProof/>
        </w:rPr>
        <w:t xml:space="preserve">committees </w:t>
      </w:r>
      <w:r w:rsidR="0074302C">
        <w:rPr>
          <w:rStyle w:val="eop"/>
          <w:noProof/>
        </w:rPr>
        <w:t xml:space="preserve">are </w:t>
      </w:r>
      <w:r w:rsidR="001D4102">
        <w:rPr>
          <w:rStyle w:val="eop"/>
          <w:noProof/>
        </w:rPr>
        <w:t>established</w:t>
      </w:r>
      <w:r>
        <w:rPr>
          <w:rStyle w:val="eop"/>
          <w:noProof/>
        </w:rPr>
        <w:t xml:space="preserve">, under the Asylum and Migration Management Regulation, under the Eurodac Regulation </w:t>
      </w:r>
      <w:r w:rsidR="001D4102">
        <w:rPr>
          <w:rStyle w:val="eop"/>
          <w:noProof/>
        </w:rPr>
        <w:t>and under the Screening Regulation</w:t>
      </w:r>
      <w:r w:rsidR="002A172C">
        <w:rPr>
          <w:rStyle w:val="eop"/>
          <w:noProof/>
        </w:rPr>
        <w:t>,</w:t>
      </w:r>
      <w:r w:rsidR="001D4102">
        <w:rPr>
          <w:rStyle w:val="eop"/>
          <w:noProof/>
        </w:rPr>
        <w:t xml:space="preserve"> </w:t>
      </w:r>
      <w:r>
        <w:rPr>
          <w:rStyle w:val="eop"/>
          <w:noProof/>
        </w:rPr>
        <w:t>in view of adopting all implementing acts indicated under both acts under the examination procedure</w:t>
      </w:r>
      <w:r>
        <w:rPr>
          <w:rStyle w:val="FootnoteReference"/>
          <w:noProof/>
        </w:rPr>
        <w:footnoteReference w:id="58"/>
      </w:r>
      <w:r>
        <w:rPr>
          <w:rStyle w:val="eop"/>
          <w:noProof/>
        </w:rPr>
        <w:t xml:space="preserve">. A list of implementing acts </w:t>
      </w:r>
      <w:r w:rsidRPr="00316309">
        <w:rPr>
          <w:rStyle w:val="eop"/>
          <w:noProof/>
        </w:rPr>
        <w:t>that the Commission has to adopt can be found in the accompanying staff working document.</w:t>
      </w:r>
    </w:p>
    <w:p w14:paraId="66954A50" w14:textId="77777777" w:rsidR="002140BE" w:rsidRDefault="002140BE" w:rsidP="002140BE">
      <w:pPr>
        <w:pStyle w:val="ListParagraph"/>
        <w:spacing w:after="120"/>
        <w:ind w:left="360"/>
        <w:rPr>
          <w:rStyle w:val="eop"/>
          <w:noProof/>
        </w:rPr>
      </w:pPr>
    </w:p>
    <w:p w14:paraId="0850C784" w14:textId="1B331283" w:rsidR="002140BE" w:rsidRPr="00877537" w:rsidRDefault="002140BE" w:rsidP="002740E8">
      <w:pPr>
        <w:pStyle w:val="ListParagraph"/>
        <w:numPr>
          <w:ilvl w:val="0"/>
          <w:numId w:val="41"/>
        </w:numPr>
        <w:spacing w:after="120"/>
        <w:rPr>
          <w:noProof/>
        </w:rPr>
      </w:pPr>
      <w:r w:rsidRPr="181F67BB">
        <w:rPr>
          <w:rStyle w:val="eop"/>
          <w:noProof/>
        </w:rPr>
        <w:t xml:space="preserve">The </w:t>
      </w:r>
      <w:r w:rsidRPr="181F67BB">
        <w:rPr>
          <w:rStyle w:val="eop"/>
          <w:b/>
          <w:bCs/>
          <w:noProof/>
          <w:u w:val="single"/>
        </w:rPr>
        <w:t>technical expert level</w:t>
      </w:r>
      <w:r w:rsidRPr="181F67BB">
        <w:rPr>
          <w:rStyle w:val="eop"/>
          <w:noProof/>
        </w:rPr>
        <w:t>, which includes all the existing Commission-led expert groups</w:t>
      </w:r>
      <w:r>
        <w:rPr>
          <w:rStyle w:val="FootnoteReference"/>
          <w:noProof/>
        </w:rPr>
        <w:footnoteReference w:id="59"/>
      </w:r>
      <w:r w:rsidRPr="181F67BB">
        <w:rPr>
          <w:rStyle w:val="eop"/>
          <w:noProof/>
        </w:rPr>
        <w:t xml:space="preserve"> set out in accordance with Commission Decision C(2016) 3301. </w:t>
      </w:r>
      <w:r>
        <w:rPr>
          <w:noProof/>
        </w:rPr>
        <w:t xml:space="preserve">The Commission will make full use of these existing expert groups to strengthen a common understanding and foster a coherent application of the rules in the Pact. The work of these groups could crystalise in handbooks or guidance documents, or updates to existing ones. To create synergies between the different expert groups and avoid extra burden on Member States, the Commission will organise as much as possible joint expert groups meetings where relevant. </w:t>
      </w:r>
      <w:r w:rsidRPr="181F67BB">
        <w:rPr>
          <w:rStyle w:val="normaltextrun"/>
          <w:noProof/>
        </w:rPr>
        <w:t xml:space="preserve">Furthermore, the Commission will transition the current Solidarity Platform-Pact into the </w:t>
      </w:r>
      <w:r w:rsidRPr="00E64E68">
        <w:rPr>
          <w:rStyle w:val="normaltextrun"/>
          <w:b/>
          <w:bCs/>
          <w:noProof/>
        </w:rPr>
        <w:t>Technical-level Solidarity Forum</w:t>
      </w:r>
      <w:r w:rsidRPr="181F67BB">
        <w:rPr>
          <w:rStyle w:val="normaltextrun"/>
          <w:noProof/>
        </w:rPr>
        <w:t xml:space="preserve"> that should ensure the </w:t>
      </w:r>
      <w:r w:rsidRPr="00E64E68">
        <w:rPr>
          <w:rStyle w:val="normaltextrun"/>
          <w:b/>
          <w:bCs/>
          <w:noProof/>
        </w:rPr>
        <w:t>operationalisation of the Annual Solidarity Pool</w:t>
      </w:r>
      <w:r w:rsidRPr="181F67BB">
        <w:rPr>
          <w:rStyle w:val="normaltextrun"/>
          <w:noProof/>
        </w:rPr>
        <w:t xml:space="preserve">. </w:t>
      </w:r>
      <w:r>
        <w:rPr>
          <w:noProof/>
        </w:rPr>
        <w:t>During the transition phase, this group can provide advice for the preparation of the implementing rules related to solidarity.</w:t>
      </w:r>
    </w:p>
    <w:p w14:paraId="1E02CE60" w14:textId="77777777" w:rsidR="002140BE" w:rsidRDefault="002140BE" w:rsidP="002140BE">
      <w:pPr>
        <w:pStyle w:val="ListParagraph"/>
        <w:spacing w:after="120"/>
        <w:ind w:left="360"/>
        <w:rPr>
          <w:rStyle w:val="eop"/>
          <w:noProof/>
        </w:rPr>
      </w:pPr>
    </w:p>
    <w:p w14:paraId="74B4086C" w14:textId="6321AFE7" w:rsidR="00660360" w:rsidRDefault="002140BE" w:rsidP="002740E8">
      <w:pPr>
        <w:pStyle w:val="ListParagraph"/>
        <w:numPr>
          <w:ilvl w:val="0"/>
          <w:numId w:val="41"/>
        </w:numPr>
        <w:spacing w:after="120"/>
        <w:rPr>
          <w:noProof/>
        </w:rPr>
      </w:pPr>
      <w:r w:rsidRPr="181F67BB">
        <w:rPr>
          <w:rStyle w:val="eop"/>
          <w:noProof/>
        </w:rPr>
        <w:t xml:space="preserve">The </w:t>
      </w:r>
      <w:r w:rsidRPr="181F67BB">
        <w:rPr>
          <w:rStyle w:val="eop"/>
          <w:b/>
          <w:bCs/>
          <w:noProof/>
          <w:u w:val="single"/>
        </w:rPr>
        <w:t>operational level</w:t>
      </w:r>
      <w:r w:rsidRPr="181F67BB">
        <w:rPr>
          <w:rStyle w:val="eop"/>
          <w:noProof/>
        </w:rPr>
        <w:t>, which includes the agencies</w:t>
      </w:r>
      <w:r w:rsidR="00746DA6">
        <w:rPr>
          <w:rStyle w:val="eop"/>
          <w:noProof/>
        </w:rPr>
        <w:t>’</w:t>
      </w:r>
      <w:r w:rsidRPr="181F67BB">
        <w:rPr>
          <w:rStyle w:val="eop"/>
          <w:noProof/>
        </w:rPr>
        <w:t xml:space="preserve"> networks that focus on operational aspects, including development of guidance documents and templates. The Commission will coordinate with the EU </w:t>
      </w:r>
      <w:r>
        <w:rPr>
          <w:noProof/>
        </w:rPr>
        <w:t xml:space="preserve">agencies to ensure full complementarity with the work of Committees and expert groups. For example, the Reception network will complement the work of the Reception experts group. The work of the Frontex High-Level Round Table on returns will complement the work of the Return expert group. </w:t>
      </w:r>
    </w:p>
    <w:p w14:paraId="6CB3EDEC" w14:textId="194B316E" w:rsidR="002140BE" w:rsidRPr="000C2B77" w:rsidRDefault="002140BE" w:rsidP="00660360">
      <w:pPr>
        <w:spacing w:after="120"/>
        <w:ind w:left="360"/>
        <w:rPr>
          <w:noProof/>
        </w:rPr>
      </w:pPr>
      <w:r w:rsidRPr="181F67BB">
        <w:rPr>
          <w:rStyle w:val="normaltextrun"/>
          <w:noProof/>
        </w:rPr>
        <w:t>The Commission will strive to organise back-to-back meetings of the Commission expert groups and the agencies’ operational networks to maximise the complementarity between the legal interpretation and the operational application of the new measures (e.g., Dublin Contact Committee followed by Dublin network) and avoid administrative burden.</w:t>
      </w:r>
    </w:p>
    <w:p w14:paraId="4DBB67A7" w14:textId="77777777" w:rsidR="002140BE" w:rsidRPr="0058531C" w:rsidRDefault="002140BE" w:rsidP="00E64E68">
      <w:pPr>
        <w:pStyle w:val="Heading2"/>
        <w:numPr>
          <w:ilvl w:val="1"/>
          <w:numId w:val="23"/>
        </w:numPr>
        <w:spacing w:after="120"/>
        <w:ind w:left="0" w:firstLine="0"/>
        <w:rPr>
          <w:noProof/>
        </w:rPr>
      </w:pPr>
      <w:r w:rsidRPr="0058531C">
        <w:rPr>
          <w:noProof/>
        </w:rPr>
        <w:t>Monitoring after the entry into application of the Pact</w:t>
      </w:r>
    </w:p>
    <w:p w14:paraId="34C45461" w14:textId="1159DD92" w:rsidR="00264571" w:rsidRPr="00E61289" w:rsidRDefault="002140BE" w:rsidP="002140BE">
      <w:pPr>
        <w:spacing w:after="120"/>
        <w:rPr>
          <w:noProof/>
        </w:rPr>
      </w:pPr>
      <w:r w:rsidRPr="00C12801">
        <w:rPr>
          <w:noProof/>
        </w:rPr>
        <w:t xml:space="preserve">Once the Pact </w:t>
      </w:r>
      <w:r>
        <w:rPr>
          <w:noProof/>
        </w:rPr>
        <w:t xml:space="preserve">becomes applicable, </w:t>
      </w:r>
      <w:r w:rsidRPr="00C12801">
        <w:rPr>
          <w:noProof/>
        </w:rPr>
        <w:t>the monitoring activities foreseen under the relevant mechanisms</w:t>
      </w:r>
      <w:r>
        <w:rPr>
          <w:noProof/>
        </w:rPr>
        <w:t>,</w:t>
      </w:r>
      <w:r w:rsidRPr="00C12801">
        <w:rPr>
          <w:noProof/>
        </w:rPr>
        <w:t xml:space="preserve"> such as </w:t>
      </w:r>
      <w:r>
        <w:rPr>
          <w:noProof/>
        </w:rPr>
        <w:t>the monitoring mechanism</w:t>
      </w:r>
      <w:r w:rsidRPr="00C12801">
        <w:rPr>
          <w:noProof/>
        </w:rPr>
        <w:t xml:space="preserve"> conducted by the EUAA</w:t>
      </w:r>
      <w:r w:rsidR="00F20B5B">
        <w:rPr>
          <w:noProof/>
        </w:rPr>
        <w:t xml:space="preserve"> or</w:t>
      </w:r>
      <w:r w:rsidRPr="00C12801">
        <w:rPr>
          <w:noProof/>
        </w:rPr>
        <w:t xml:space="preserve"> </w:t>
      </w:r>
      <w:r>
        <w:rPr>
          <w:noProof/>
        </w:rPr>
        <w:t xml:space="preserve">the Schengen evaluation and monitoring mechanism, </w:t>
      </w:r>
      <w:r w:rsidRPr="00C12801">
        <w:rPr>
          <w:noProof/>
        </w:rPr>
        <w:t>will start</w:t>
      </w:r>
      <w:r w:rsidR="008D1F35">
        <w:rPr>
          <w:noProof/>
        </w:rPr>
        <w:t xml:space="preserve"> in relation to Pact obligations</w:t>
      </w:r>
      <w:r w:rsidRPr="00C12801">
        <w:rPr>
          <w:noProof/>
        </w:rPr>
        <w:t>.</w:t>
      </w:r>
      <w:r>
        <w:rPr>
          <w:noProof/>
        </w:rPr>
        <w:t xml:space="preserve"> </w:t>
      </w:r>
      <w:r w:rsidR="00746DA6">
        <w:rPr>
          <w:noProof/>
        </w:rPr>
        <w:t xml:space="preserve">These monitoring activities </w:t>
      </w:r>
      <w:r>
        <w:rPr>
          <w:noProof/>
        </w:rPr>
        <w:t xml:space="preserve">will allow to detect </w:t>
      </w:r>
      <w:r w:rsidR="00746DA6">
        <w:rPr>
          <w:noProof/>
        </w:rPr>
        <w:t xml:space="preserve">any </w:t>
      </w:r>
      <w:r>
        <w:rPr>
          <w:noProof/>
        </w:rPr>
        <w:t xml:space="preserve">incorrect or partial </w:t>
      </w:r>
      <w:r w:rsidRPr="00264571">
        <w:rPr>
          <w:noProof/>
        </w:rPr>
        <w:t xml:space="preserve">application of the </w:t>
      </w:r>
      <w:r w:rsidR="00746DA6">
        <w:rPr>
          <w:noProof/>
        </w:rPr>
        <w:t xml:space="preserve">legal and operational </w:t>
      </w:r>
      <w:r w:rsidRPr="00264571">
        <w:rPr>
          <w:noProof/>
        </w:rPr>
        <w:t xml:space="preserve">framework </w:t>
      </w:r>
      <w:r w:rsidR="00746DA6">
        <w:rPr>
          <w:noProof/>
        </w:rPr>
        <w:t>to ensure the</w:t>
      </w:r>
      <w:r w:rsidRPr="00264571">
        <w:rPr>
          <w:noProof/>
        </w:rPr>
        <w:t xml:space="preserve"> timely implementation of any necessary remedial action. The Commission </w:t>
      </w:r>
      <w:r w:rsidR="00264571" w:rsidRPr="00264571">
        <w:rPr>
          <w:noProof/>
        </w:rPr>
        <w:t>stand</w:t>
      </w:r>
      <w:r w:rsidR="005B66BF">
        <w:rPr>
          <w:noProof/>
        </w:rPr>
        <w:t>s</w:t>
      </w:r>
      <w:r w:rsidR="00264571" w:rsidRPr="00264571">
        <w:rPr>
          <w:noProof/>
        </w:rPr>
        <w:t xml:space="preserve"> also ready to </w:t>
      </w:r>
      <w:r w:rsidR="00264571" w:rsidRPr="00264571">
        <w:rPr>
          <w:noProof/>
          <w:szCs w:val="24"/>
          <w:lang w:val="en-IE"/>
        </w:rPr>
        <w:t>engage the appropriate procedures, where deemed necessary and justified, including infringement procedures to play its part fully as guardian of the Treaties.</w:t>
      </w:r>
    </w:p>
    <w:p w14:paraId="65088ED0" w14:textId="4C61BC5E" w:rsidR="002140BE" w:rsidRPr="00F75FF2" w:rsidRDefault="002140BE" w:rsidP="002140BE">
      <w:pPr>
        <w:pStyle w:val="ListBullet3"/>
        <w:numPr>
          <w:ilvl w:val="0"/>
          <w:numId w:val="0"/>
        </w:numPr>
        <w:spacing w:after="120"/>
        <w:rPr>
          <w:noProof/>
        </w:rPr>
      </w:pPr>
      <w:r w:rsidRPr="00C12801">
        <w:rPr>
          <w:noProof/>
        </w:rPr>
        <w:t xml:space="preserve">The </w:t>
      </w:r>
      <w:r w:rsidRPr="00E64E68">
        <w:rPr>
          <w:b/>
          <w:bCs/>
          <w:noProof/>
        </w:rPr>
        <w:t>EUAA</w:t>
      </w:r>
      <w:r w:rsidRPr="00C12801">
        <w:rPr>
          <w:noProof/>
        </w:rPr>
        <w:t xml:space="preserve"> will </w:t>
      </w:r>
      <w:r>
        <w:rPr>
          <w:noProof/>
        </w:rPr>
        <w:t xml:space="preserve">start its </w:t>
      </w:r>
      <w:r w:rsidRPr="00C12801">
        <w:rPr>
          <w:noProof/>
        </w:rPr>
        <w:t xml:space="preserve">programme </w:t>
      </w:r>
      <w:r>
        <w:rPr>
          <w:noProof/>
        </w:rPr>
        <w:t xml:space="preserve">to </w:t>
      </w:r>
      <w:r w:rsidRPr="00E64E68">
        <w:rPr>
          <w:b/>
          <w:bCs/>
          <w:noProof/>
        </w:rPr>
        <w:t>monitor the operational and technical application</w:t>
      </w:r>
      <w:r w:rsidRPr="00C12801">
        <w:rPr>
          <w:noProof/>
        </w:rPr>
        <w:t xml:space="preserve"> of </w:t>
      </w:r>
      <w:r w:rsidRPr="00316309">
        <w:rPr>
          <w:noProof/>
        </w:rPr>
        <w:t>the Europe’s asylum system in mid-</w:t>
      </w:r>
      <w:r w:rsidRPr="00C12801">
        <w:rPr>
          <w:noProof/>
        </w:rPr>
        <w:t>2026. In accordance with the EUAA Regulation, each Member State should be monitored at least once in five years. The Agency may also launch thematic monitoring for specific aspects</w:t>
      </w:r>
      <w:r>
        <w:rPr>
          <w:noProof/>
        </w:rPr>
        <w:t>.</w:t>
      </w:r>
      <w:r w:rsidR="00F75FF2">
        <w:rPr>
          <w:noProof/>
        </w:rPr>
        <w:t xml:space="preserve"> </w:t>
      </w:r>
      <w:r w:rsidRPr="00C12801">
        <w:rPr>
          <w:noProof/>
          <w:lang w:val="en-US"/>
        </w:rPr>
        <w:t xml:space="preserve">Where there are serious concerns regarding the functioning of a Member State’s asylum or reception system, the EUAA shall initiate an </w:t>
      </w:r>
      <w:r w:rsidRPr="00E64E68">
        <w:rPr>
          <w:i/>
          <w:iCs/>
          <w:noProof/>
          <w:lang w:val="en-US"/>
        </w:rPr>
        <w:t>ad</w:t>
      </w:r>
      <w:r w:rsidR="00746DA6" w:rsidRPr="00E64E68">
        <w:rPr>
          <w:i/>
          <w:iCs/>
          <w:noProof/>
          <w:lang w:val="en-US"/>
        </w:rPr>
        <w:t xml:space="preserve"> </w:t>
      </w:r>
      <w:r w:rsidRPr="00E64E68">
        <w:rPr>
          <w:i/>
          <w:iCs/>
          <w:noProof/>
          <w:lang w:val="en-US"/>
        </w:rPr>
        <w:t>hoc</w:t>
      </w:r>
      <w:r w:rsidRPr="00C12801">
        <w:rPr>
          <w:noProof/>
          <w:lang w:val="en-US"/>
        </w:rPr>
        <w:t xml:space="preserve"> monitoring exercise on its own initiative or at the request of the Commission.</w:t>
      </w:r>
    </w:p>
    <w:p w14:paraId="1B84D7A6" w14:textId="5CCF7193" w:rsidR="002140BE" w:rsidRPr="00F75FF2" w:rsidRDefault="00746DA6" w:rsidP="002140BE">
      <w:pPr>
        <w:spacing w:after="120"/>
        <w:rPr>
          <w:noProof/>
          <w:lang w:val="en-US"/>
        </w:rPr>
      </w:pPr>
      <w:r>
        <w:rPr>
          <w:noProof/>
          <w:lang w:val="en-US"/>
        </w:rPr>
        <w:t>T</w:t>
      </w:r>
      <w:r w:rsidR="002140BE">
        <w:rPr>
          <w:noProof/>
          <w:lang w:val="en-US"/>
        </w:rPr>
        <w:t xml:space="preserve">he </w:t>
      </w:r>
      <w:r w:rsidR="002140BE" w:rsidRPr="00E64E68">
        <w:rPr>
          <w:b/>
          <w:bCs/>
          <w:noProof/>
          <w:lang w:val="en-US"/>
        </w:rPr>
        <w:t>Schengen evaluation and monitoring mechanism</w:t>
      </w:r>
      <w:r>
        <w:rPr>
          <w:noProof/>
          <w:lang w:val="en-US"/>
        </w:rPr>
        <w:t xml:space="preserve"> is relevant in so far as it</w:t>
      </w:r>
      <w:r w:rsidR="002140BE" w:rsidRPr="00C12801">
        <w:rPr>
          <w:noProof/>
          <w:lang w:val="en-US"/>
        </w:rPr>
        <w:t xml:space="preserve"> will cover the Screening Regulation and the Return </w:t>
      </w:r>
      <w:r w:rsidR="003C1A28">
        <w:rPr>
          <w:noProof/>
          <w:lang w:val="en-US"/>
        </w:rPr>
        <w:t>B</w:t>
      </w:r>
      <w:r w:rsidR="002140BE" w:rsidRPr="00C12801">
        <w:rPr>
          <w:noProof/>
          <w:lang w:val="en-US"/>
        </w:rPr>
        <w:t xml:space="preserve">order </w:t>
      </w:r>
      <w:r w:rsidR="003C1A28">
        <w:rPr>
          <w:noProof/>
          <w:lang w:val="en-US"/>
        </w:rPr>
        <w:t>P</w:t>
      </w:r>
      <w:r w:rsidR="002140BE" w:rsidRPr="00C12801">
        <w:rPr>
          <w:noProof/>
          <w:lang w:val="en-US"/>
        </w:rPr>
        <w:t>rocedure</w:t>
      </w:r>
      <w:r w:rsidR="003C1A28">
        <w:rPr>
          <w:noProof/>
          <w:lang w:val="en-US"/>
        </w:rPr>
        <w:t xml:space="preserve"> Regulation</w:t>
      </w:r>
      <w:r w:rsidR="002140BE" w:rsidRPr="00C12801">
        <w:rPr>
          <w:noProof/>
          <w:lang w:val="en-US"/>
        </w:rPr>
        <w:t xml:space="preserve"> since these legal </w:t>
      </w:r>
      <w:r w:rsidR="002140BE" w:rsidRPr="005E1511">
        <w:rPr>
          <w:noProof/>
          <w:lang w:val="en-US"/>
        </w:rPr>
        <w:t xml:space="preserve">instruments of the Pact are part of the Schengen </w:t>
      </w:r>
      <w:r w:rsidR="002140BE" w:rsidRPr="005E1511">
        <w:rPr>
          <w:i/>
          <w:iCs/>
          <w:noProof/>
          <w:lang w:val="en-US"/>
        </w:rPr>
        <w:t>acquis</w:t>
      </w:r>
      <w:r w:rsidR="002140BE" w:rsidRPr="005E1511">
        <w:rPr>
          <w:noProof/>
          <w:lang w:val="en-US"/>
        </w:rPr>
        <w:t xml:space="preserve">. </w:t>
      </w:r>
      <w:r w:rsidR="00BC1156" w:rsidRPr="005E1511">
        <w:rPr>
          <w:noProof/>
          <w:lang w:val="en-US"/>
        </w:rPr>
        <w:t xml:space="preserve">Each Member State will be evaluated every </w:t>
      </w:r>
      <w:r w:rsidR="00C100EA" w:rsidRPr="005E1511">
        <w:rPr>
          <w:noProof/>
          <w:lang w:val="en-US"/>
        </w:rPr>
        <w:t xml:space="preserve">seven </w:t>
      </w:r>
      <w:r w:rsidR="00BC1156" w:rsidRPr="005E1511">
        <w:rPr>
          <w:noProof/>
          <w:lang w:val="en-US"/>
        </w:rPr>
        <w:t xml:space="preserve">years. </w:t>
      </w:r>
      <w:r w:rsidR="00C35D17" w:rsidRPr="005E1511">
        <w:rPr>
          <w:noProof/>
          <w:lang w:val="en-US"/>
        </w:rPr>
        <w:t>Under t</w:t>
      </w:r>
      <w:r w:rsidR="00BC1156" w:rsidRPr="005E1511">
        <w:rPr>
          <w:noProof/>
          <w:lang w:val="en-US"/>
        </w:rPr>
        <w:t>he mechanism</w:t>
      </w:r>
      <w:r w:rsidR="00C35D17" w:rsidRPr="005E1511">
        <w:rPr>
          <w:noProof/>
          <w:lang w:val="en-US"/>
        </w:rPr>
        <w:t>,</w:t>
      </w:r>
      <w:r w:rsidR="00BC1156" w:rsidRPr="005E1511">
        <w:rPr>
          <w:noProof/>
          <w:lang w:val="en-US"/>
        </w:rPr>
        <w:t xml:space="preserve"> thematic evaluations and unannounced visits</w:t>
      </w:r>
      <w:r w:rsidR="00C35D17" w:rsidRPr="005E1511">
        <w:rPr>
          <w:noProof/>
          <w:lang w:val="en-US"/>
        </w:rPr>
        <w:t xml:space="preserve"> can also be carried out</w:t>
      </w:r>
      <w:r w:rsidR="00BC1156" w:rsidRPr="005E1511">
        <w:rPr>
          <w:noProof/>
          <w:lang w:val="en-US"/>
        </w:rPr>
        <w:t xml:space="preserve">. </w:t>
      </w:r>
      <w:r w:rsidR="00726017" w:rsidRPr="005E1511">
        <w:rPr>
          <w:noProof/>
          <w:lang w:val="en-US"/>
        </w:rPr>
        <w:t xml:space="preserve">A specific procedure </w:t>
      </w:r>
      <w:r w:rsidR="00C100EA" w:rsidRPr="005E1511">
        <w:rPr>
          <w:noProof/>
          <w:lang w:val="en-US"/>
        </w:rPr>
        <w:t xml:space="preserve">with shorter deadlines </w:t>
      </w:r>
      <w:r w:rsidR="00726017" w:rsidRPr="005E1511">
        <w:rPr>
          <w:noProof/>
          <w:lang w:val="en-US"/>
        </w:rPr>
        <w:t>is foresee</w:t>
      </w:r>
      <w:r w:rsidR="00C35D17" w:rsidRPr="005E1511">
        <w:rPr>
          <w:noProof/>
          <w:lang w:val="en-US"/>
        </w:rPr>
        <w:t>n</w:t>
      </w:r>
      <w:r w:rsidR="00726017" w:rsidRPr="005E1511">
        <w:rPr>
          <w:noProof/>
          <w:lang w:val="en-US"/>
        </w:rPr>
        <w:t xml:space="preserve"> </w:t>
      </w:r>
      <w:r w:rsidR="00C100EA" w:rsidRPr="005E1511">
        <w:rPr>
          <w:noProof/>
          <w:lang w:val="en-US"/>
        </w:rPr>
        <w:t xml:space="preserve">in the Schengen evaluation and monitoring mechanism Regulation </w:t>
      </w:r>
      <w:r w:rsidR="00726017" w:rsidRPr="005E1511">
        <w:rPr>
          <w:noProof/>
          <w:lang w:val="en-US"/>
        </w:rPr>
        <w:t>for cases in which serious deficiencies are identified</w:t>
      </w:r>
      <w:r w:rsidR="00C100EA" w:rsidRPr="005E1511">
        <w:rPr>
          <w:noProof/>
          <w:lang w:val="en-US"/>
        </w:rPr>
        <w:t>.</w:t>
      </w:r>
    </w:p>
    <w:p w14:paraId="5251C914" w14:textId="0741BEDE" w:rsidR="002140BE" w:rsidRPr="00C12801" w:rsidRDefault="002140BE" w:rsidP="002140BE">
      <w:pPr>
        <w:pStyle w:val="Heading1"/>
        <w:numPr>
          <w:ilvl w:val="0"/>
          <w:numId w:val="0"/>
        </w:numPr>
        <w:spacing w:before="0" w:after="120"/>
        <w:rPr>
          <w:b w:val="0"/>
          <w:caps/>
          <w:noProof/>
        </w:rPr>
      </w:pPr>
      <w:r w:rsidRPr="00C12801">
        <w:rPr>
          <w:caps/>
          <w:noProof/>
        </w:rPr>
        <w:t>Conclusion</w:t>
      </w:r>
    </w:p>
    <w:p w14:paraId="5DAFAF36" w14:textId="78F02CA2" w:rsidR="006233DB" w:rsidRDefault="00264571" w:rsidP="00012145">
      <w:pPr>
        <w:spacing w:after="120"/>
        <w:rPr>
          <w:noProof/>
        </w:rPr>
      </w:pPr>
      <w:r w:rsidRPr="00660360">
        <w:rPr>
          <w:noProof/>
        </w:rPr>
        <w:t xml:space="preserve">The Common Implementation Plan is </w:t>
      </w:r>
      <w:r w:rsidR="005C247C">
        <w:rPr>
          <w:noProof/>
        </w:rPr>
        <w:t>the operational blueprint</w:t>
      </w:r>
      <w:r w:rsidRPr="00660360">
        <w:rPr>
          <w:noProof/>
        </w:rPr>
        <w:t xml:space="preserve"> </w:t>
      </w:r>
      <w:r w:rsidR="00683B72">
        <w:rPr>
          <w:noProof/>
        </w:rPr>
        <w:t xml:space="preserve">on the basis of which the Commission proposes to take forward the implementation of the Pact on Migration and Asylum together with Member States and relevant EU agencies. It will guide our work </w:t>
      </w:r>
      <w:r w:rsidR="00F016B1" w:rsidRPr="00660360">
        <w:rPr>
          <w:noProof/>
          <w:szCs w:val="24"/>
        </w:rPr>
        <w:t>to achieve our common objective of having a well-prepared system in place by the end of the transition period</w:t>
      </w:r>
      <w:r w:rsidR="006233DB">
        <w:rPr>
          <w:noProof/>
          <w:szCs w:val="24"/>
        </w:rPr>
        <w:t>, in</w:t>
      </w:r>
      <w:r w:rsidR="00F016B1">
        <w:rPr>
          <w:noProof/>
          <w:szCs w:val="24"/>
        </w:rPr>
        <w:t xml:space="preserve"> mid-2026. </w:t>
      </w:r>
      <w:r w:rsidR="005C247C">
        <w:rPr>
          <w:noProof/>
        </w:rPr>
        <w:t>The next</w:t>
      </w:r>
      <w:r w:rsidR="00D22A79">
        <w:rPr>
          <w:noProof/>
        </w:rPr>
        <w:t xml:space="preserve"> important step will be the preparation by Member States of their National implementation Plan</w:t>
      </w:r>
      <w:r w:rsidR="006233DB">
        <w:rPr>
          <w:noProof/>
        </w:rPr>
        <w:t>s</w:t>
      </w:r>
      <w:r w:rsidR="00D22A79">
        <w:rPr>
          <w:noProof/>
        </w:rPr>
        <w:t xml:space="preserve"> by 12 December</w:t>
      </w:r>
      <w:r w:rsidR="00DC4B76">
        <w:rPr>
          <w:noProof/>
        </w:rPr>
        <w:t xml:space="preserve"> 2024</w:t>
      </w:r>
      <w:r w:rsidR="00D22A79">
        <w:rPr>
          <w:noProof/>
        </w:rPr>
        <w:t>.</w:t>
      </w:r>
    </w:p>
    <w:p w14:paraId="34A4F5C5" w14:textId="1F4EA7F1" w:rsidR="00012145" w:rsidRPr="00660360" w:rsidRDefault="00DC4B76" w:rsidP="00012145">
      <w:pPr>
        <w:spacing w:after="120"/>
        <w:rPr>
          <w:noProof/>
        </w:rPr>
      </w:pPr>
      <w:r>
        <w:rPr>
          <w:noProof/>
          <w:szCs w:val="24"/>
        </w:rPr>
        <w:t>With our shared and coordinated commitment</w:t>
      </w:r>
      <w:r w:rsidR="006233DB">
        <w:rPr>
          <w:noProof/>
          <w:szCs w:val="24"/>
        </w:rPr>
        <w:t>,</w:t>
      </w:r>
      <w:r>
        <w:rPr>
          <w:noProof/>
          <w:szCs w:val="24"/>
        </w:rPr>
        <w:t xml:space="preserve"> </w:t>
      </w:r>
      <w:r w:rsidRPr="00660360">
        <w:rPr>
          <w:noProof/>
        </w:rPr>
        <w:t xml:space="preserve">the Pact on Migration and Asylum </w:t>
      </w:r>
      <w:r>
        <w:rPr>
          <w:noProof/>
        </w:rPr>
        <w:t>will become a</w:t>
      </w:r>
      <w:r w:rsidRPr="00660360">
        <w:rPr>
          <w:noProof/>
        </w:rPr>
        <w:t xml:space="preserve"> reality.</w:t>
      </w:r>
      <w:r>
        <w:rPr>
          <w:noProof/>
        </w:rPr>
        <w:t xml:space="preserve"> </w:t>
      </w:r>
      <w:r w:rsidR="00264571" w:rsidRPr="00660360">
        <w:rPr>
          <w:noProof/>
        </w:rPr>
        <w:t xml:space="preserve">Member States can count on </w:t>
      </w:r>
      <w:r w:rsidR="002140BE" w:rsidRPr="00660360">
        <w:rPr>
          <w:noProof/>
        </w:rPr>
        <w:t>the Commission</w:t>
      </w:r>
      <w:r w:rsidR="00264571" w:rsidRPr="00660360">
        <w:rPr>
          <w:noProof/>
        </w:rPr>
        <w:t xml:space="preserve"> and the EU Agencies</w:t>
      </w:r>
      <w:r w:rsidR="002140BE" w:rsidRPr="00660360">
        <w:rPr>
          <w:noProof/>
        </w:rPr>
        <w:t xml:space="preserve"> at every step of the way, including </w:t>
      </w:r>
      <w:r w:rsidR="006233DB">
        <w:rPr>
          <w:noProof/>
        </w:rPr>
        <w:t>for the provision of</w:t>
      </w:r>
      <w:r w:rsidR="002140BE" w:rsidRPr="00660360">
        <w:rPr>
          <w:noProof/>
        </w:rPr>
        <w:t xml:space="preserve"> operational, technical, and financial support.</w:t>
      </w:r>
      <w:r w:rsidR="005C247C" w:rsidRPr="005C247C">
        <w:rPr>
          <w:noProof/>
          <w:szCs w:val="24"/>
        </w:rPr>
        <w:t xml:space="preserve"> </w:t>
      </w:r>
    </w:p>
    <w:sectPr w:rsidR="00012145" w:rsidRPr="00660360" w:rsidSect="00115749">
      <w:headerReference w:type="even" r:id="rId40"/>
      <w:headerReference w:type="default" r:id="rId41"/>
      <w:footerReference w:type="even" r:id="rId42"/>
      <w:footerReference w:type="default" r:id="rId43"/>
      <w:headerReference w:type="first" r:id="rId44"/>
      <w:footerReference w:type="first" r:id="rId4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974B" w14:textId="77777777" w:rsidR="00453992" w:rsidRDefault="00453992">
      <w:pPr>
        <w:spacing w:after="0"/>
      </w:pPr>
      <w:r>
        <w:separator/>
      </w:r>
    </w:p>
  </w:endnote>
  <w:endnote w:type="continuationSeparator" w:id="0">
    <w:p w14:paraId="3F9E44C3" w14:textId="77777777" w:rsidR="00453992" w:rsidRDefault="00453992">
      <w:pPr>
        <w:spacing w:after="0"/>
      </w:pPr>
      <w:r>
        <w:continuationSeparator/>
      </w:r>
    </w:p>
  </w:endnote>
  <w:endnote w:type="continuationNotice" w:id="1">
    <w:p w14:paraId="407BA868" w14:textId="77777777" w:rsidR="00453992" w:rsidRDefault="004539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DB8C" w14:textId="3E141E31" w:rsidR="00A2365E" w:rsidRPr="00A2365E" w:rsidRDefault="00A2365E" w:rsidP="00A2365E">
    <w:pPr>
      <w:pStyle w:val="FooterCoverPage"/>
      <w:rPr>
        <w:rFonts w:ascii="Arial" w:hAnsi="Arial" w:cs="Arial"/>
        <w:b/>
        <w:sz w:val="48"/>
      </w:rPr>
    </w:pPr>
    <w:r w:rsidRPr="00A2365E">
      <w:rPr>
        <w:rFonts w:ascii="Arial" w:hAnsi="Arial" w:cs="Arial"/>
        <w:b/>
        <w:sz w:val="48"/>
      </w:rPr>
      <w:t>EN</w:t>
    </w:r>
    <w:r w:rsidRPr="00A2365E">
      <w:rPr>
        <w:rFonts w:ascii="Arial" w:hAnsi="Arial" w:cs="Arial"/>
        <w:b/>
        <w:sz w:val="48"/>
      </w:rPr>
      <w:tab/>
    </w:r>
    <w:r w:rsidRPr="00A2365E">
      <w:rPr>
        <w:rFonts w:ascii="Arial" w:hAnsi="Arial" w:cs="Arial"/>
        <w:b/>
        <w:sz w:val="48"/>
      </w:rPr>
      <w:tab/>
    </w:r>
    <w:r w:rsidRPr="00A2365E">
      <w:tab/>
    </w:r>
    <w:r w:rsidRPr="00A2365E">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3843" w14:textId="3F4901E2" w:rsidR="00A2365E" w:rsidRPr="00A2365E" w:rsidRDefault="00A2365E" w:rsidP="00A2365E">
    <w:pPr>
      <w:pStyle w:val="FooterCoverPage"/>
      <w:rPr>
        <w:rFonts w:ascii="Arial" w:hAnsi="Arial" w:cs="Arial"/>
        <w:b/>
        <w:sz w:val="48"/>
      </w:rPr>
    </w:pPr>
    <w:r w:rsidRPr="00A2365E">
      <w:rPr>
        <w:rFonts w:ascii="Arial" w:hAnsi="Arial" w:cs="Arial"/>
        <w:b/>
        <w:sz w:val="48"/>
      </w:rPr>
      <w:t>EN</w:t>
    </w:r>
    <w:r w:rsidRPr="00A2365E">
      <w:rPr>
        <w:rFonts w:ascii="Arial" w:hAnsi="Arial" w:cs="Arial"/>
        <w:b/>
        <w:sz w:val="48"/>
      </w:rPr>
      <w:tab/>
    </w:r>
    <w:r w:rsidRPr="00A2365E">
      <w:rPr>
        <w:rFonts w:ascii="Arial" w:hAnsi="Arial" w:cs="Arial"/>
        <w:b/>
        <w:sz w:val="48"/>
      </w:rPr>
      <w:tab/>
    </w:r>
    <w:r w:rsidRPr="00A2365E">
      <w:tab/>
    </w:r>
    <w:r w:rsidRPr="00A2365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5216" w14:textId="77777777" w:rsidR="00A2365E" w:rsidRPr="00A2365E" w:rsidRDefault="00A2365E" w:rsidP="00A2365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2599" w14:textId="77777777" w:rsidR="00115749" w:rsidRDefault="00115749">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3394" w14:textId="331D33B5" w:rsidR="00115749" w:rsidRDefault="00115749">
    <w:pPr>
      <w:pStyle w:val="FooterLine"/>
      <w:jc w:val="center"/>
    </w:pPr>
    <w:r>
      <w:fldChar w:fldCharType="begin"/>
    </w:r>
    <w:r>
      <w:instrText>PAGE   \* MERGEFORMAT</w:instrText>
    </w:r>
    <w:r>
      <w:fldChar w:fldCharType="separate"/>
    </w:r>
    <w:r w:rsidR="00A2365E">
      <w:rPr>
        <w:noProof/>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258BE" w14:textId="5136E528" w:rsidR="00D605C4" w:rsidRPr="00D605C4" w:rsidRDefault="00D605C4">
    <w:pPr>
      <w:pStyle w:val="Footer"/>
      <w:jc w:val="center"/>
      <w:rPr>
        <w:caps/>
        <w:noProof/>
        <w:color w:val="000000" w:themeColor="text1"/>
      </w:rPr>
    </w:pPr>
    <w:r w:rsidRPr="00D605C4">
      <w:rPr>
        <w:caps/>
        <w:color w:val="000000" w:themeColor="text1"/>
      </w:rPr>
      <w:fldChar w:fldCharType="begin"/>
    </w:r>
    <w:r w:rsidRPr="00D605C4">
      <w:rPr>
        <w:caps/>
        <w:color w:val="000000" w:themeColor="text1"/>
      </w:rPr>
      <w:instrText xml:space="preserve"> PAGE   \* MERGEFORMAT </w:instrText>
    </w:r>
    <w:r w:rsidRPr="00D605C4">
      <w:rPr>
        <w:caps/>
        <w:color w:val="000000" w:themeColor="text1"/>
      </w:rPr>
      <w:fldChar w:fldCharType="separate"/>
    </w:r>
    <w:r w:rsidR="00A2365E">
      <w:rPr>
        <w:caps/>
        <w:noProof/>
        <w:color w:val="000000" w:themeColor="text1"/>
      </w:rPr>
      <w:t>1</w:t>
    </w:r>
    <w:r w:rsidRPr="00D605C4">
      <w:rPr>
        <w:caps/>
        <w:noProof/>
        <w:color w:val="000000" w:themeColor="text1"/>
      </w:rPr>
      <w:fldChar w:fldCharType="end"/>
    </w:r>
  </w:p>
  <w:p w14:paraId="30884D79" w14:textId="36BE373D" w:rsidR="00115749" w:rsidRDefault="0011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C8C6B" w14:textId="77777777" w:rsidR="00453992" w:rsidRDefault="00453992">
      <w:pPr>
        <w:spacing w:after="0"/>
      </w:pPr>
      <w:r>
        <w:separator/>
      </w:r>
    </w:p>
  </w:footnote>
  <w:footnote w:type="continuationSeparator" w:id="0">
    <w:p w14:paraId="735CC9D0" w14:textId="77777777" w:rsidR="00453992" w:rsidRDefault="00453992">
      <w:pPr>
        <w:spacing w:after="0"/>
      </w:pPr>
      <w:r>
        <w:continuationSeparator/>
      </w:r>
    </w:p>
  </w:footnote>
  <w:footnote w:type="continuationNotice" w:id="1">
    <w:p w14:paraId="13B9E23F" w14:textId="77777777" w:rsidR="00453992" w:rsidRDefault="00453992">
      <w:pPr>
        <w:spacing w:after="0"/>
      </w:pPr>
    </w:p>
  </w:footnote>
  <w:footnote w:id="2">
    <w:p w14:paraId="7098C66E" w14:textId="740AD580" w:rsidR="00C70B55" w:rsidRPr="00970C00" w:rsidRDefault="00C70B55" w:rsidP="001228CD">
      <w:pPr>
        <w:pStyle w:val="FootnoteText"/>
        <w:spacing w:after="0"/>
        <w:ind w:left="425" w:right="-313" w:hanging="425"/>
        <w:rPr>
          <w:lang w:val="fr-BE"/>
        </w:rPr>
      </w:pPr>
      <w:r>
        <w:rPr>
          <w:rStyle w:val="FootnoteReference"/>
        </w:rPr>
        <w:footnoteRef/>
      </w:r>
      <w:r>
        <w:tab/>
      </w:r>
      <w:hyperlink r:id="rId1" w:history="1">
        <w:r w:rsidR="004E6B65" w:rsidRPr="00970C00">
          <w:rPr>
            <w:rStyle w:val="Hyperlink"/>
            <w:lang w:val="en-IE"/>
          </w:rPr>
          <w:t>https://home-affairs.ec.europa.eu/policies/migration-and-asylum/pact-migration-and-asylum/legislative-files-nutshell_en</w:t>
        </w:r>
      </w:hyperlink>
    </w:p>
  </w:footnote>
  <w:footnote w:id="3">
    <w:p w14:paraId="68F4B2FF" w14:textId="558556D7" w:rsidR="002140BE" w:rsidRPr="00970C00" w:rsidRDefault="002140BE" w:rsidP="001228CD">
      <w:pPr>
        <w:pStyle w:val="FootnoteText"/>
        <w:spacing w:after="0"/>
        <w:ind w:left="425" w:hanging="425"/>
      </w:pPr>
      <w:r w:rsidRPr="00970C00">
        <w:rPr>
          <w:rStyle w:val="FootnoteReference"/>
        </w:rPr>
        <w:footnoteRef/>
      </w:r>
      <w:r w:rsidRPr="00970C00">
        <w:tab/>
        <w:t xml:space="preserve">Communication </w:t>
      </w:r>
      <w:r w:rsidR="006D5A50" w:rsidRPr="00970C00">
        <w:t xml:space="preserve">from the </w:t>
      </w:r>
      <w:r w:rsidRPr="00970C00">
        <w:t>Commission, Striking a balance on migration: an approach that is both fair and firm, COM/2024/126 final.</w:t>
      </w:r>
    </w:p>
  </w:footnote>
  <w:footnote w:id="4">
    <w:p w14:paraId="0E83DFA5" w14:textId="3678FEA2" w:rsidR="002140BE" w:rsidRPr="00970C00" w:rsidRDefault="002140BE" w:rsidP="001228CD">
      <w:pPr>
        <w:pStyle w:val="FootnoteText"/>
        <w:spacing w:after="0"/>
        <w:ind w:left="425" w:hanging="425"/>
        <w:rPr>
          <w:highlight w:val="yellow"/>
        </w:rPr>
      </w:pPr>
      <w:r w:rsidRPr="00970C00">
        <w:rPr>
          <w:rStyle w:val="FootnoteReference"/>
        </w:rPr>
        <w:footnoteRef/>
      </w:r>
      <w:r w:rsidRPr="00970C00">
        <w:tab/>
      </w:r>
      <w:r w:rsidR="00014943" w:rsidRPr="00970C00">
        <w:t>E</w:t>
      </w:r>
      <w:r w:rsidRPr="00970C00">
        <w:t>xcept Regulation (EU) 2024/1350 of the European Parliament and of the Council of 14 May 2024 establishing a Union Resettlement and Humanitarian Admission Framework and amending Regulation (EU) 2021/1147 that became applicable on 1</w:t>
      </w:r>
      <w:r>
        <w:t>1</w:t>
      </w:r>
      <w:r w:rsidRPr="00970C00">
        <w:t xml:space="preserve"> June 2024.</w:t>
      </w:r>
    </w:p>
  </w:footnote>
  <w:footnote w:id="5">
    <w:p w14:paraId="2F68ACD0" w14:textId="42CB374F" w:rsidR="00FE2280" w:rsidRPr="00970C00" w:rsidRDefault="00FE2280" w:rsidP="001228CD">
      <w:pPr>
        <w:pStyle w:val="FootnoteText"/>
        <w:spacing w:after="0"/>
        <w:ind w:left="425" w:hanging="425"/>
      </w:pPr>
      <w:r w:rsidRPr="00970C00">
        <w:rPr>
          <w:rStyle w:val="FootnoteReference"/>
        </w:rPr>
        <w:footnoteRef/>
      </w:r>
      <w:r w:rsidRPr="00970C00">
        <w:tab/>
        <w:t>Article 84, Regulation (EU) 2024/1351 of the European Parliament and of the Council of 14 May 2024 on asylum and migration management, OJ L, 2024/1351, 22.5.2024; Article 75, Regulation (EU) 2024/1348 of the European Parliament and of the Council of 14 May 2024 establishing a common procedure for international protection in the Union, OJ L, 2024/1348, 22.5.2024.</w:t>
      </w:r>
    </w:p>
  </w:footnote>
  <w:footnote w:id="6">
    <w:p w14:paraId="2761326F" w14:textId="3F95E36F" w:rsidR="002140BE" w:rsidRPr="00970C00" w:rsidRDefault="002140BE" w:rsidP="001228CD">
      <w:pPr>
        <w:pStyle w:val="title-bold"/>
        <w:shd w:val="clear" w:color="auto" w:fill="FFFFFF"/>
        <w:spacing w:before="0" w:beforeAutospacing="0" w:after="0" w:afterAutospacing="0"/>
        <w:ind w:left="425" w:hanging="425"/>
        <w:jc w:val="both"/>
        <w:rPr>
          <w:rFonts w:ascii="Roboto" w:hAnsi="Roboto"/>
          <w:b/>
          <w:sz w:val="20"/>
          <w:szCs w:val="20"/>
        </w:rPr>
      </w:pPr>
      <w:r w:rsidRPr="00970C00">
        <w:rPr>
          <w:rStyle w:val="FootnoteReference"/>
          <w:sz w:val="20"/>
          <w:szCs w:val="20"/>
        </w:rPr>
        <w:footnoteRef/>
      </w:r>
      <w:r w:rsidRPr="00970C00">
        <w:rPr>
          <w:sz w:val="20"/>
          <w:szCs w:val="20"/>
        </w:rPr>
        <w:tab/>
        <w:t xml:space="preserve">Regulation (EU) 2024/1351 of the European Parliament and of the Council of 14 May 2024 on asylum and migration management, amending Regulations (EU) 2021/1147 and (EU) 2021/1060 and repealing Regulation (EU) No 604/2013, </w:t>
      </w:r>
      <w:r w:rsidRPr="00970C00">
        <w:rPr>
          <w:rStyle w:val="Emphasis"/>
          <w:i w:val="0"/>
          <w:sz w:val="20"/>
          <w:szCs w:val="20"/>
        </w:rPr>
        <w:t>OJ L, 2024/1351, 22.5.2024.</w:t>
      </w:r>
    </w:p>
  </w:footnote>
  <w:footnote w:id="7">
    <w:p w14:paraId="2A479DD9" w14:textId="4819E98F" w:rsidR="00CF7B71" w:rsidRPr="00970C00" w:rsidRDefault="00CF7B71" w:rsidP="002666A6">
      <w:pPr>
        <w:pStyle w:val="FootnoteText"/>
        <w:spacing w:after="0"/>
        <w:ind w:left="426" w:hanging="426"/>
        <w:rPr>
          <w:lang w:val="en-IE"/>
        </w:rPr>
      </w:pPr>
      <w:r w:rsidRPr="00970C00">
        <w:rPr>
          <w:rStyle w:val="FootnoteReference"/>
        </w:rPr>
        <w:footnoteRef/>
      </w:r>
      <w:r w:rsidRPr="00970C00">
        <w:tab/>
        <w:t>The Eurodac Regulation sets that the Commission shall be assisted by a committee within the meaning of Regulation (EU) No 182/2011 when exercising its implementing powers when the Commission need to adopt an implementing act in accordance with the Regulation. See governance section.</w:t>
      </w:r>
    </w:p>
  </w:footnote>
  <w:footnote w:id="8">
    <w:p w14:paraId="187F6174" w14:textId="2A94D2B3" w:rsidR="00CF7B71" w:rsidRPr="00970C00" w:rsidRDefault="00CF7B71" w:rsidP="002666A6">
      <w:pPr>
        <w:pStyle w:val="FootnoteText"/>
        <w:spacing w:after="0"/>
        <w:ind w:left="426" w:hanging="426"/>
      </w:pPr>
      <w:r w:rsidRPr="00970C00">
        <w:rPr>
          <w:rStyle w:val="FootnoteReference"/>
        </w:rPr>
        <w:footnoteRef/>
      </w:r>
      <w:r w:rsidRPr="00970C00">
        <w:t xml:space="preserve"> </w:t>
      </w:r>
      <w:r w:rsidRPr="00970C00">
        <w:tab/>
        <w:t xml:space="preserve">Regulation (EU) 2019/817 and Regulation (EU) 2019/818 of the European Parliament and the Council on establishing a framework for interoperability between EU information systems, Regulation (EU) 2018/1240 of the European Parliament and the Council establishing a European Travel Information and Authorisation System (ETIAS), Regulation (EC) 767/2008 of the European Parliament and the Council concerning the Visa Information System (VIS) and the exchange of information between Member States on short-stay visas, long-stay visas and residence permits. </w:t>
      </w:r>
    </w:p>
  </w:footnote>
  <w:footnote w:id="9">
    <w:p w14:paraId="69CA6DE3" w14:textId="4E1ECD4E" w:rsidR="00CF7B71" w:rsidRPr="00970C00" w:rsidRDefault="00CF7B71" w:rsidP="002666A6">
      <w:pPr>
        <w:pStyle w:val="FootnoteText"/>
        <w:spacing w:after="0"/>
        <w:ind w:left="426" w:hanging="426"/>
        <w:rPr>
          <w:lang w:val="en-IE"/>
        </w:rPr>
      </w:pPr>
      <w:r w:rsidRPr="00970C00">
        <w:rPr>
          <w:rStyle w:val="FootnoteReference"/>
        </w:rPr>
        <w:footnoteRef/>
      </w:r>
      <w:r w:rsidRPr="00970C00">
        <w:tab/>
        <w:t>The Eurodac Contact Committee is an existing Commission informal expert group established in accordance with Commission Decision C(2016) 3301. In accordance with that Decision, the expert group provides advice and expertise on the implementation of Union legislation as well as coordination and cooperation with Member States and stakeholders in that regard, on the preparation of legislative proposals and policy initiatives and delegated acts and can also provide advice and expertise where necessary on the early preparation of implementing acts before submission to the Regulatory committee.</w:t>
      </w:r>
    </w:p>
  </w:footnote>
  <w:footnote w:id="10">
    <w:p w14:paraId="718515D5" w14:textId="7442F868" w:rsidR="001D3C7A" w:rsidRPr="00EC4ED4" w:rsidRDefault="001D3C7A" w:rsidP="001228CD">
      <w:pPr>
        <w:pStyle w:val="FootnoteText"/>
        <w:spacing w:after="0"/>
        <w:ind w:left="425" w:hanging="425"/>
      </w:pPr>
      <w:r>
        <w:rPr>
          <w:rStyle w:val="FootnoteReference"/>
        </w:rPr>
        <w:footnoteRef/>
      </w:r>
      <w:r>
        <w:tab/>
      </w:r>
      <w:r w:rsidRPr="008F7A7A">
        <w:t>The concept of ‘adequate capacity</w:t>
      </w:r>
      <w:r w:rsidR="00B32D3E" w:rsidRPr="008F7A7A">
        <w:t>’</w:t>
      </w:r>
      <w:r w:rsidRPr="008F7A7A">
        <w:t xml:space="preserve"> requires Member States to set up the reception capacity and human resources, including qualified and well-trained personnel, required to examine at any given moment an identified number of applications and to enforce return decisions.</w:t>
      </w:r>
      <w:r w:rsidR="00BE6045" w:rsidRPr="008F7A7A">
        <w:t xml:space="preserve"> When the adequate capacity of a given Member State is reached, the Member State concerned is no longer obliged to place additional people in the border procedure; instead, the Member State can channel applicants to the accelerated procedure within the territory.</w:t>
      </w:r>
      <w:r w:rsidR="005C5F46" w:rsidRPr="008F7A7A">
        <w:t xml:space="preserve"> Similarly</w:t>
      </w:r>
      <w:r w:rsidR="005A7032" w:rsidRPr="008F7A7A">
        <w:t>,</w:t>
      </w:r>
      <w:r w:rsidR="005C5F46" w:rsidRPr="008F7A7A">
        <w:t xml:space="preserve"> </w:t>
      </w:r>
      <w:r w:rsidR="007E755E" w:rsidRPr="008F7A7A">
        <w:t xml:space="preserve">where the Member State </w:t>
      </w:r>
      <w:r w:rsidR="005C5F46" w:rsidRPr="008F7A7A">
        <w:t>has reached the annual cap of applications</w:t>
      </w:r>
      <w:r w:rsidR="00341711" w:rsidRPr="008F7A7A">
        <w:t xml:space="preserve"> </w:t>
      </w:r>
      <w:r w:rsidR="00441821" w:rsidRPr="008F7A7A">
        <w:t xml:space="preserve">as set out in the legislation </w:t>
      </w:r>
      <w:r w:rsidR="00341711" w:rsidRPr="008F7A7A">
        <w:t>(</w:t>
      </w:r>
      <w:r w:rsidR="00441821" w:rsidRPr="008F7A7A">
        <w:t>adequate capacity multiplied by two in 2026, by three in 2027, and by four in 2028)</w:t>
      </w:r>
      <w:r w:rsidR="005C5F46" w:rsidRPr="008F7A7A">
        <w:t>, the Member State is no longer obliged to apply the border procedure</w:t>
      </w:r>
      <w:r w:rsidR="00036193" w:rsidRPr="008F7A7A">
        <w:t xml:space="preserve"> and can </w:t>
      </w:r>
      <w:r w:rsidR="005A7032" w:rsidRPr="008F7A7A">
        <w:t>channel</w:t>
      </w:r>
      <w:r w:rsidR="00036193" w:rsidRPr="008F7A7A">
        <w:t xml:space="preserve"> applicants to the accelerated procedure </w:t>
      </w:r>
      <w:r w:rsidR="0066479B" w:rsidRPr="008F7A7A">
        <w:t xml:space="preserve">within the territory </w:t>
      </w:r>
      <w:r w:rsidR="00036193" w:rsidRPr="008F7A7A">
        <w:t xml:space="preserve">even if capacity is </w:t>
      </w:r>
      <w:r w:rsidR="005A7032" w:rsidRPr="008F7A7A">
        <w:t>available</w:t>
      </w:r>
      <w:r w:rsidR="00036193" w:rsidRPr="008F7A7A">
        <w:t xml:space="preserve"> for the border procedure. However, applicants </w:t>
      </w:r>
      <w:r w:rsidR="0066479B" w:rsidRPr="008F7A7A">
        <w:t>who</w:t>
      </w:r>
      <w:r w:rsidR="005A7032" w:rsidRPr="008F7A7A">
        <w:t xml:space="preserve"> </w:t>
      </w:r>
      <w:r w:rsidR="00036193" w:rsidRPr="008F7A7A">
        <w:t xml:space="preserve">may pose a threat to national security and public order must always be </w:t>
      </w:r>
      <w:r w:rsidR="005A7032" w:rsidRPr="008F7A7A">
        <w:t>subject to the border procedure.</w:t>
      </w:r>
    </w:p>
  </w:footnote>
  <w:footnote w:id="11">
    <w:p w14:paraId="0DCFD6E3" w14:textId="541D0132" w:rsidR="006B25DA" w:rsidRPr="00970C00" w:rsidRDefault="006B25DA" w:rsidP="001228CD">
      <w:pPr>
        <w:pStyle w:val="FootnoteText"/>
        <w:spacing w:after="0"/>
        <w:ind w:left="425" w:hanging="425"/>
        <w:rPr>
          <w:lang w:val="en-IE"/>
        </w:rPr>
      </w:pPr>
      <w:r w:rsidRPr="00970C00">
        <w:rPr>
          <w:rStyle w:val="FootnoteReference"/>
        </w:rPr>
        <w:footnoteRef/>
      </w:r>
      <w:r w:rsidRPr="00970C00">
        <w:tab/>
        <w:t>See building block 9</w:t>
      </w:r>
      <w:r w:rsidRPr="001228CD">
        <w:t>.</w:t>
      </w:r>
    </w:p>
  </w:footnote>
  <w:footnote w:id="12">
    <w:p w14:paraId="797374F7" w14:textId="2B87C794" w:rsidR="006B25DA" w:rsidRPr="00970C00" w:rsidRDefault="006B25DA" w:rsidP="001228CD">
      <w:pPr>
        <w:pStyle w:val="FootnoteText"/>
        <w:spacing w:after="0"/>
        <w:ind w:left="425" w:hanging="425"/>
        <w:rPr>
          <w:lang w:val="en-IE"/>
        </w:rPr>
      </w:pPr>
      <w:r w:rsidRPr="00970C00">
        <w:rPr>
          <w:rStyle w:val="FootnoteReference"/>
        </w:rPr>
        <w:footnoteRef/>
      </w:r>
      <w:r w:rsidRPr="00970C00">
        <w:tab/>
        <w:t>Any measure taken by Member States to prevent unauthorised entry has to be in accordance with the recast Reception Conditions Directive (see building block 3).</w:t>
      </w:r>
    </w:p>
  </w:footnote>
  <w:footnote w:id="13">
    <w:p w14:paraId="5D5B11E7" w14:textId="0B7CB7DE"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3.</w:t>
      </w:r>
    </w:p>
  </w:footnote>
  <w:footnote w:id="14">
    <w:p w14:paraId="09CAB399" w14:textId="6F5EDB80"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9.</w:t>
      </w:r>
    </w:p>
  </w:footnote>
  <w:footnote w:id="15">
    <w:p w14:paraId="40589E8B" w14:textId="1903C917" w:rsidR="006B25DA" w:rsidRPr="00970C00" w:rsidRDefault="006B25DA" w:rsidP="002666A6">
      <w:pPr>
        <w:pStyle w:val="FootnoteText"/>
        <w:spacing w:after="0"/>
        <w:ind w:left="426" w:hanging="426"/>
        <w:rPr>
          <w:lang w:val="en-IE"/>
        </w:rPr>
      </w:pPr>
      <w:r w:rsidRPr="00970C00">
        <w:rPr>
          <w:rStyle w:val="FootnoteReference"/>
        </w:rPr>
        <w:footnoteRef/>
      </w:r>
      <w:r w:rsidRPr="00970C00">
        <w:tab/>
        <w:t>E.g., border guards, asylum officials, return case workers, interpreters, specialists on vulnerability checks, medical staff for health checks, staff specialised on age assessment, legal counsellors, child protection officers, etc.</w:t>
      </w:r>
    </w:p>
  </w:footnote>
  <w:footnote w:id="16">
    <w:p w14:paraId="22C7098C" w14:textId="3F303929" w:rsidR="006B25DA" w:rsidRPr="00970C00" w:rsidRDefault="006B25DA" w:rsidP="002666A6">
      <w:pPr>
        <w:pStyle w:val="FootnoteText"/>
        <w:spacing w:after="0"/>
        <w:ind w:left="426" w:hanging="426"/>
        <w:rPr>
          <w:lang w:val="en-IE"/>
        </w:rPr>
      </w:pPr>
      <w:r w:rsidRPr="00970C00">
        <w:rPr>
          <w:rStyle w:val="FootnoteReference"/>
        </w:rPr>
        <w:footnoteRef/>
      </w:r>
      <w:r w:rsidRPr="00970C00">
        <w:tab/>
        <w:t>For specific obligations linked to the new requirements for vulnerable applicants, including children, see building block 9.</w:t>
      </w:r>
    </w:p>
  </w:footnote>
  <w:footnote w:id="17">
    <w:p w14:paraId="48C60B89" w14:textId="7DE9452B"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2.</w:t>
      </w:r>
    </w:p>
  </w:footnote>
  <w:footnote w:id="18">
    <w:p w14:paraId="70B57224" w14:textId="61969BC8"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9.</w:t>
      </w:r>
    </w:p>
  </w:footnote>
  <w:footnote w:id="19">
    <w:p w14:paraId="7BE8B414" w14:textId="4C5D3638"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9.</w:t>
      </w:r>
    </w:p>
  </w:footnote>
  <w:footnote w:id="20">
    <w:p w14:paraId="29515DC6" w14:textId="28940E2E"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9.</w:t>
      </w:r>
    </w:p>
  </w:footnote>
  <w:footnote w:id="21">
    <w:p w14:paraId="31874E2C" w14:textId="79371800"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8.</w:t>
      </w:r>
    </w:p>
  </w:footnote>
  <w:footnote w:id="22">
    <w:p w14:paraId="11582BD4" w14:textId="1AD65686" w:rsidR="006B25DA" w:rsidRPr="00970C00" w:rsidRDefault="006B25DA" w:rsidP="002666A6">
      <w:pPr>
        <w:pStyle w:val="FootnoteText"/>
        <w:spacing w:after="0"/>
        <w:ind w:left="426" w:hanging="426"/>
        <w:rPr>
          <w:lang w:val="en-IE"/>
        </w:rPr>
      </w:pPr>
      <w:r w:rsidRPr="00970C00">
        <w:rPr>
          <w:rStyle w:val="FootnoteReference"/>
        </w:rPr>
        <w:footnoteRef/>
      </w:r>
      <w:r w:rsidRPr="00970C00">
        <w:tab/>
        <w:t>This is an existing Commission informal expert group established in accordance with Commission Decision C(2016) 3301.</w:t>
      </w:r>
    </w:p>
  </w:footnote>
  <w:footnote w:id="23">
    <w:p w14:paraId="612C7621" w14:textId="3EECEFC8" w:rsidR="006B25DA" w:rsidRPr="00970C00" w:rsidRDefault="006B25DA" w:rsidP="002666A6">
      <w:pPr>
        <w:pStyle w:val="FootnoteText"/>
        <w:spacing w:after="0"/>
        <w:ind w:left="426" w:hanging="426"/>
        <w:rPr>
          <w:lang w:val="en-IE"/>
        </w:rPr>
      </w:pPr>
      <w:r w:rsidRPr="00970C00">
        <w:rPr>
          <w:rStyle w:val="FootnoteReference"/>
        </w:rPr>
        <w:footnoteRef/>
      </w:r>
      <w:r w:rsidRPr="00970C00">
        <w:tab/>
        <w:t>See building block 9.</w:t>
      </w:r>
    </w:p>
  </w:footnote>
  <w:footnote w:id="24">
    <w:p w14:paraId="551BD55C" w14:textId="4F02EB1F" w:rsidR="00710917" w:rsidRPr="001228CD" w:rsidRDefault="00710917">
      <w:pPr>
        <w:pStyle w:val="FootnoteText"/>
        <w:rPr>
          <w:lang w:val="en-IE"/>
        </w:rPr>
      </w:pPr>
      <w:r>
        <w:rPr>
          <w:rStyle w:val="FootnoteReference"/>
        </w:rPr>
        <w:footnoteRef/>
      </w:r>
      <w:r>
        <w:tab/>
        <w:t>These are existing Common informal expert groups established in accordance with Commission Decision C(2016) 3301.</w:t>
      </w:r>
    </w:p>
  </w:footnote>
  <w:footnote w:id="25">
    <w:p w14:paraId="01BCC867" w14:textId="7B549F4C" w:rsidR="006B25DA" w:rsidRPr="002666A6" w:rsidRDefault="006B25DA" w:rsidP="001228CD">
      <w:pPr>
        <w:pStyle w:val="FootnoteText"/>
        <w:spacing w:after="0"/>
        <w:ind w:left="425" w:hanging="425"/>
        <w:rPr>
          <w:lang w:val="en-IE"/>
        </w:rPr>
      </w:pPr>
      <w:r w:rsidRPr="00970C00">
        <w:rPr>
          <w:rStyle w:val="FootnoteReference"/>
        </w:rPr>
        <w:footnoteRef/>
      </w:r>
      <w:r w:rsidRPr="00970C00">
        <w:tab/>
        <w:t xml:space="preserve">Where a return decision is issued as a separate act, it may be appealed in separate judicial proceedings and timelines for lodging the appeal have to be between 5 and 10 days for the border procedure, </w:t>
      </w:r>
      <w:r w:rsidRPr="002666A6">
        <w:t>accelerated procedure, inadmissibility checks and implicit withdrawal. Timelines for lodging the appeal in all other cases have to be between 2 weeks and one month.</w:t>
      </w:r>
    </w:p>
  </w:footnote>
  <w:footnote w:id="26">
    <w:p w14:paraId="3371F9AC" w14:textId="7E439146" w:rsidR="00091A24" w:rsidRPr="002666A6" w:rsidRDefault="00091A24" w:rsidP="001228CD">
      <w:pPr>
        <w:pStyle w:val="FootnoteText"/>
        <w:spacing w:after="0"/>
        <w:ind w:left="425" w:hanging="425"/>
        <w:rPr>
          <w:lang w:val="en-IE"/>
        </w:rPr>
      </w:pPr>
      <w:r w:rsidRPr="002666A6">
        <w:rPr>
          <w:rStyle w:val="FootnoteReference"/>
        </w:rPr>
        <w:footnoteRef/>
      </w:r>
      <w:r w:rsidRPr="002666A6">
        <w:tab/>
        <w:t>The Commission will adopt the report and proposal for Council recommendations in the first quarter of 2025.</w:t>
      </w:r>
    </w:p>
  </w:footnote>
  <w:footnote w:id="27">
    <w:p w14:paraId="4260C6EC" w14:textId="533F6858" w:rsidR="006B25DA" w:rsidRPr="00970C00" w:rsidRDefault="006B25DA" w:rsidP="001228CD">
      <w:pPr>
        <w:pStyle w:val="FootnoteText"/>
        <w:spacing w:after="0"/>
        <w:ind w:left="425" w:hanging="425"/>
        <w:rPr>
          <w:lang w:val="en-IE"/>
        </w:rPr>
      </w:pPr>
      <w:r w:rsidRPr="00970C00">
        <w:rPr>
          <w:rStyle w:val="FootnoteReference"/>
        </w:rPr>
        <w:footnoteRef/>
      </w:r>
      <w:r w:rsidRPr="00970C00">
        <w:tab/>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w:t>
      </w:r>
      <w:r w:rsidR="00FB3404">
        <w:t>.</w:t>
      </w:r>
    </w:p>
  </w:footnote>
  <w:footnote w:id="28">
    <w:p w14:paraId="5BB565DA" w14:textId="6F987A78" w:rsidR="007A653B" w:rsidRPr="007A653B" w:rsidRDefault="006B25DA" w:rsidP="001228CD">
      <w:pPr>
        <w:pStyle w:val="FootnoteText"/>
        <w:spacing w:after="0"/>
        <w:ind w:left="425" w:hanging="425"/>
      </w:pPr>
      <w:r w:rsidRPr="00970C00">
        <w:rPr>
          <w:rStyle w:val="FootnoteReference"/>
        </w:rPr>
        <w:footnoteRef/>
      </w:r>
      <w:r w:rsidRPr="00970C00">
        <w:tab/>
        <w:t>See building block 9.</w:t>
      </w:r>
    </w:p>
  </w:footnote>
  <w:footnote w:id="29">
    <w:p w14:paraId="07CB00FC" w14:textId="45785CDB" w:rsidR="007A653B" w:rsidRPr="007A653B" w:rsidRDefault="007A653B" w:rsidP="001228CD">
      <w:pPr>
        <w:pStyle w:val="FootnoteText"/>
        <w:spacing w:after="0"/>
        <w:ind w:left="425" w:hanging="425"/>
      </w:pPr>
      <w:r>
        <w:rPr>
          <w:rStyle w:val="FootnoteReference"/>
        </w:rPr>
        <w:footnoteRef/>
      </w:r>
      <w:r>
        <w:tab/>
      </w:r>
      <w:r w:rsidRPr="00970C00">
        <w:t>Report from the Commission to the European Parliament and the Council: Long-term forecast of future inflows and outflows of the EU budget (2024-2028) COM/2023/390 final.</w:t>
      </w:r>
    </w:p>
  </w:footnote>
  <w:footnote w:id="30">
    <w:p w14:paraId="0BF8F7A0" w14:textId="4E7B8A7A" w:rsidR="006B25DA" w:rsidRPr="00970C00" w:rsidRDefault="006B25DA" w:rsidP="001228CD">
      <w:pPr>
        <w:pStyle w:val="FootnoteText"/>
        <w:spacing w:after="0"/>
        <w:ind w:left="425" w:hanging="425"/>
        <w:rPr>
          <w:lang w:val="en-IE"/>
        </w:rPr>
      </w:pPr>
      <w:r w:rsidRPr="00970C00">
        <w:rPr>
          <w:rStyle w:val="FootnoteReference"/>
        </w:rPr>
        <w:footnoteRef/>
      </w:r>
      <w:r w:rsidRPr="00970C00">
        <w:tab/>
        <w:t>See also building block 9.</w:t>
      </w:r>
    </w:p>
  </w:footnote>
  <w:footnote w:id="31">
    <w:p w14:paraId="69407CAE" w14:textId="5C41A23B" w:rsidR="006B25DA" w:rsidRPr="00970C00" w:rsidRDefault="006B25DA" w:rsidP="002666A6">
      <w:pPr>
        <w:pStyle w:val="FootnoteText"/>
        <w:spacing w:after="0"/>
        <w:ind w:left="426" w:hanging="426"/>
        <w:rPr>
          <w:lang w:val="en-IE"/>
        </w:rPr>
      </w:pPr>
      <w:r w:rsidRPr="00970C00">
        <w:rPr>
          <w:rStyle w:val="FootnoteReference"/>
        </w:rPr>
        <w:footnoteRef/>
      </w:r>
      <w:r w:rsidRPr="00970C00">
        <w:tab/>
        <w:t>For example, by having more personnel monitoring presence in accommodation centres, by creating accommodation centres for Dublin transfers purposes. For more examples, see SWD (2023) 390 final.</w:t>
      </w:r>
    </w:p>
  </w:footnote>
  <w:footnote w:id="32">
    <w:p w14:paraId="69FC0AF5" w14:textId="701B232A" w:rsidR="006B25DA" w:rsidRPr="00970C00" w:rsidRDefault="006B25DA" w:rsidP="002666A6">
      <w:pPr>
        <w:pStyle w:val="FootnoteText"/>
        <w:spacing w:after="0"/>
        <w:ind w:left="426" w:hanging="426"/>
        <w:rPr>
          <w:lang w:val="en-IE"/>
        </w:rPr>
      </w:pPr>
      <w:r w:rsidRPr="00970C00">
        <w:rPr>
          <w:rStyle w:val="FootnoteReference"/>
        </w:rPr>
        <w:footnoteRef/>
      </w:r>
      <w:r w:rsidRPr="00970C00">
        <w:tab/>
        <w:t>For example, by showing flexibility on the number of transfers they can accept per day/per month, on the hours where transfers can take place, giving more alternative days for carrying out transfers, allowing Dublin transfers at different border crossing points. For more examples, see SWD (2023) 390 final.</w:t>
      </w:r>
    </w:p>
  </w:footnote>
  <w:footnote w:id="33">
    <w:p w14:paraId="053D3A7D" w14:textId="7585A75C" w:rsidR="006B25DA" w:rsidRPr="00970C00" w:rsidRDefault="006B25DA" w:rsidP="002666A6">
      <w:pPr>
        <w:pStyle w:val="FootnoteText"/>
        <w:spacing w:after="0"/>
        <w:ind w:left="426" w:hanging="426"/>
        <w:rPr>
          <w:lang w:val="en-IE"/>
        </w:rPr>
      </w:pPr>
      <w:r w:rsidRPr="00970C00">
        <w:rPr>
          <w:rStyle w:val="FootnoteReference"/>
        </w:rPr>
        <w:footnoteRef/>
      </w:r>
      <w:r w:rsidRPr="00970C00">
        <w:tab/>
        <w:t>Commission Regulation (EC) No 1560/2003 of 2 September 2003 laying down detailed rules for the application of Council Regulation (EC) No 343/2003 establishing the criteria and mechanisms for determining the Member State responsible for examining an asylum application lodged in one of the Member States by a third-country national.</w:t>
      </w:r>
    </w:p>
  </w:footnote>
  <w:footnote w:id="34">
    <w:p w14:paraId="106A3818" w14:textId="48409AE0" w:rsidR="0016401F" w:rsidRPr="001228CD" w:rsidRDefault="0016401F">
      <w:pPr>
        <w:pStyle w:val="FootnoteText"/>
        <w:rPr>
          <w:lang w:val="en-IE"/>
        </w:rPr>
      </w:pPr>
      <w:r>
        <w:rPr>
          <w:rStyle w:val="FootnoteReference"/>
        </w:rPr>
        <w:footnoteRef/>
      </w:r>
      <w:r>
        <w:t xml:space="preserve"> </w:t>
      </w:r>
      <w:r w:rsidRPr="0016401F">
        <w:t>https://europass.europa.eu/en</w:t>
      </w:r>
      <w:r w:rsidR="00985042">
        <w:t>.</w:t>
      </w:r>
    </w:p>
  </w:footnote>
  <w:footnote w:id="35">
    <w:p w14:paraId="38A12151" w14:textId="420097EA" w:rsidR="006B25DA" w:rsidRPr="00970C00" w:rsidRDefault="006B25DA" w:rsidP="002666A6">
      <w:pPr>
        <w:pStyle w:val="FootnoteText"/>
        <w:spacing w:after="0"/>
        <w:ind w:left="426" w:hanging="426"/>
      </w:pPr>
      <w:r w:rsidRPr="00970C00">
        <w:rPr>
          <w:rStyle w:val="FootnoteReference"/>
        </w:rPr>
        <w:footnoteRef/>
      </w:r>
      <w:r w:rsidRPr="00970C00">
        <w:tab/>
        <w:t xml:space="preserve">https://home-affairs.ec.europa.eu/policies/migration-and-asylum/migration-management/relocation-eu-solidarity-practice_en; French Presidency of the Council of the European Union 2022. (2022, June 22). </w:t>
      </w:r>
      <w:r w:rsidRPr="00970C00">
        <w:rPr>
          <w:i/>
        </w:rPr>
        <w:t>First step in the gradual implementation of the European Pact on Migration and Asylum: modus operandi of a voluntary solidarity mechanism</w:t>
      </w:r>
      <w:r w:rsidRPr="00970C00">
        <w:t>.</w:t>
      </w:r>
    </w:p>
  </w:footnote>
  <w:footnote w:id="36">
    <w:p w14:paraId="4A8F67C0" w14:textId="488C207A" w:rsidR="008A0715" w:rsidRPr="001228CD" w:rsidRDefault="008A0715" w:rsidP="001228CD">
      <w:pPr>
        <w:pStyle w:val="FootnoteText"/>
        <w:ind w:left="425" w:hanging="425"/>
        <w:rPr>
          <w:lang w:val="en-IE"/>
        </w:rPr>
      </w:pPr>
      <w:r>
        <w:t>(</w:t>
      </w:r>
      <w:r>
        <w:rPr>
          <w:rStyle w:val="FootnoteReference"/>
        </w:rPr>
        <w:footnoteRef/>
      </w:r>
      <w:r>
        <w:t>)</w:t>
      </w:r>
      <w:r>
        <w:tab/>
      </w:r>
      <w:r w:rsidRPr="003F06A6">
        <w:rPr>
          <w:lang w:val="en-IE"/>
        </w:rPr>
        <w:t>Commission Recommendation (EU) 2020/1366 of 23 September 2020 on an EU mechanism for preparedness and management of crises related to migration (Migration Preparedness and Crisis Blueprint)</w:t>
      </w:r>
      <w:r>
        <w:rPr>
          <w:lang w:val="en-IE"/>
        </w:rPr>
        <w:t>.</w:t>
      </w:r>
    </w:p>
  </w:footnote>
  <w:footnote w:id="37">
    <w:p w14:paraId="1887EE81" w14:textId="71826F32" w:rsidR="006B25DA" w:rsidRPr="00970C00" w:rsidRDefault="006B25DA" w:rsidP="001228CD">
      <w:pPr>
        <w:pStyle w:val="FootnoteText"/>
        <w:spacing w:after="0"/>
        <w:ind w:left="425" w:hanging="425"/>
        <w:rPr>
          <w:lang w:val="en-IE"/>
        </w:rPr>
      </w:pPr>
      <w:r w:rsidRPr="00970C00">
        <w:rPr>
          <w:rStyle w:val="FootnoteReference"/>
        </w:rPr>
        <w:footnoteRef/>
      </w:r>
      <w:r w:rsidRPr="00970C00">
        <w:tab/>
        <w:t>In line with Commission Recommendation on developing and strengthening integrated child protection system in the bests interests of the child, C(2</w:t>
      </w:r>
      <w:r w:rsidR="00723C76">
        <w:t>0</w:t>
      </w:r>
      <w:r w:rsidRPr="00970C00">
        <w:t>24) 2680 final.</w:t>
      </w:r>
    </w:p>
  </w:footnote>
  <w:footnote w:id="38">
    <w:p w14:paraId="529D2DCB" w14:textId="57697D3A" w:rsidR="00C664DE" w:rsidRPr="002666A6" w:rsidRDefault="00C664DE" w:rsidP="001228CD">
      <w:pPr>
        <w:pStyle w:val="FootnoteText"/>
        <w:spacing w:after="0"/>
        <w:ind w:left="425" w:hanging="425"/>
        <w:rPr>
          <w:lang w:val="en-IE"/>
        </w:rPr>
      </w:pPr>
      <w:r>
        <w:rPr>
          <w:rStyle w:val="FootnoteReference"/>
        </w:rPr>
        <w:footnoteRef/>
      </w:r>
      <w:r>
        <w:tab/>
      </w:r>
      <w:r w:rsidR="001B2F30">
        <w:t>The unaccompanied minor should be accompanied by a representative or, where a representative has not been designated, a person trained to safeguard the best interests of the child and his or her general wellbeing, throughout the time his or her biometric data are taken. Such a trained person should not be the official responsible for taking the biometric data, should act independently and should not receive orders either from the official or the service responsible for taking the biometric data.</w:t>
      </w:r>
    </w:p>
  </w:footnote>
  <w:footnote w:id="39">
    <w:p w14:paraId="697B14AD" w14:textId="350D9DF8" w:rsidR="00091A24" w:rsidRPr="002666A6" w:rsidRDefault="00091A24" w:rsidP="001228CD">
      <w:pPr>
        <w:pStyle w:val="FootnoteText"/>
        <w:spacing w:after="0"/>
        <w:ind w:left="425" w:hanging="425"/>
        <w:rPr>
          <w:lang w:val="en-IE"/>
        </w:rPr>
      </w:pPr>
      <w:r w:rsidRPr="005E1511">
        <w:rPr>
          <w:rStyle w:val="FootnoteReference"/>
        </w:rPr>
        <w:footnoteRef/>
      </w:r>
      <w:r w:rsidRPr="005E1511">
        <w:tab/>
        <w:t>Article 10</w:t>
      </w:r>
      <w:r w:rsidR="008F298C" w:rsidRPr="005E1511">
        <w:t xml:space="preserve">(2) </w:t>
      </w:r>
      <w:r w:rsidRPr="005E1511">
        <w:t xml:space="preserve">of the Screening </w:t>
      </w:r>
      <w:r w:rsidR="008F298C" w:rsidRPr="005E1511">
        <w:t>R</w:t>
      </w:r>
      <w:r w:rsidRPr="005E1511">
        <w:t>egulation.</w:t>
      </w:r>
    </w:p>
  </w:footnote>
  <w:footnote w:id="40">
    <w:p w14:paraId="31D588AE" w14:textId="48F552AA" w:rsidR="006B25DA" w:rsidRPr="00970C00" w:rsidRDefault="006B25DA" w:rsidP="001228CD">
      <w:pPr>
        <w:pStyle w:val="FootnoteText"/>
        <w:spacing w:after="0"/>
        <w:ind w:left="425" w:hanging="425"/>
        <w:rPr>
          <w:lang w:val="en-IE"/>
        </w:rPr>
      </w:pPr>
      <w:r w:rsidRPr="00970C00">
        <w:rPr>
          <w:rStyle w:val="FootnoteReference"/>
        </w:rPr>
        <w:footnoteRef/>
      </w:r>
      <w:r w:rsidRPr="00970C00">
        <w:tab/>
        <w:t>C(2024) 2680 final.</w:t>
      </w:r>
    </w:p>
  </w:footnote>
  <w:footnote w:id="41">
    <w:p w14:paraId="67E94F6E" w14:textId="3CCB6548" w:rsidR="006B25DA" w:rsidRPr="00970C00" w:rsidRDefault="006B25DA" w:rsidP="002666A6">
      <w:pPr>
        <w:pStyle w:val="FootnoteText"/>
        <w:spacing w:after="0"/>
        <w:ind w:left="426" w:hanging="426"/>
        <w:rPr>
          <w:lang w:val="en-IE"/>
        </w:rPr>
      </w:pPr>
      <w:r w:rsidRPr="00970C00">
        <w:rPr>
          <w:rStyle w:val="FootnoteReference"/>
        </w:rPr>
        <w:footnoteRef/>
      </w:r>
      <w:r w:rsidRPr="00970C00">
        <w:tab/>
      </w:r>
      <w:hyperlink r:id="rId2" w:history="1">
        <w:r w:rsidRPr="00970C00">
          <w:rPr>
            <w:rStyle w:val="Hyperlink"/>
          </w:rPr>
          <w:t>Practical guide on age assessment | European Union Agency for Asylum (europa.eu)</w:t>
        </w:r>
      </w:hyperlink>
      <w:r w:rsidRPr="00970C00">
        <w:t xml:space="preserve">. </w:t>
      </w:r>
    </w:p>
  </w:footnote>
  <w:footnote w:id="42">
    <w:p w14:paraId="7C990F17" w14:textId="32788C41" w:rsidR="006B25DA" w:rsidRPr="00970C00" w:rsidRDefault="006B25DA" w:rsidP="001228CD">
      <w:pPr>
        <w:pStyle w:val="FootnoteText"/>
        <w:spacing w:after="0"/>
        <w:ind w:left="425" w:hanging="425"/>
        <w:rPr>
          <w:lang w:val="en-IE"/>
        </w:rPr>
      </w:pPr>
      <w:r w:rsidRPr="00C72CB8">
        <w:rPr>
          <w:rStyle w:val="FootnoteReference"/>
        </w:rPr>
        <w:footnoteRef/>
      </w:r>
      <w:r w:rsidRPr="00C72CB8">
        <w:tab/>
        <w:t>Participating in European Guardianship Network activities can help share expertise and identify good practices.</w:t>
      </w:r>
    </w:p>
  </w:footnote>
  <w:footnote w:id="43">
    <w:p w14:paraId="16E4E749" w14:textId="5DFEBA7F" w:rsidR="006B25DA" w:rsidRPr="00970C00" w:rsidRDefault="006B25DA" w:rsidP="001228CD">
      <w:pPr>
        <w:pStyle w:val="FootnoteText"/>
        <w:spacing w:after="0"/>
        <w:ind w:left="425" w:hanging="425"/>
        <w:rPr>
          <w:lang w:val="en-IE"/>
        </w:rPr>
      </w:pPr>
      <w:r w:rsidRPr="00C72CB8">
        <w:rPr>
          <w:rStyle w:val="FootnoteReference"/>
        </w:rPr>
        <w:footnoteRef/>
      </w:r>
      <w:r w:rsidRPr="00C72CB8">
        <w:tab/>
        <w:t>Commission Recommendation of 15.11.2023 on the recognition of qualifications of third-country nationals, C(2023) 7700 final.</w:t>
      </w:r>
    </w:p>
  </w:footnote>
  <w:footnote w:id="44">
    <w:p w14:paraId="66898DCB" w14:textId="6641AA07" w:rsidR="006B25DA" w:rsidRPr="00970C00" w:rsidRDefault="006B25DA" w:rsidP="001228CD">
      <w:pPr>
        <w:pStyle w:val="FootnoteText"/>
        <w:spacing w:after="0"/>
        <w:ind w:left="425" w:hanging="425"/>
        <w:rPr>
          <w:lang w:val="en-IE"/>
        </w:rPr>
      </w:pPr>
      <w:r w:rsidRPr="00970C00">
        <w:rPr>
          <w:rStyle w:val="FootnoteReference"/>
        </w:rPr>
        <w:footnoteRef/>
      </w:r>
      <w:r w:rsidRPr="00970C00">
        <w:tab/>
        <w:t>If Member States opt for the possibility to refuse education related grants and loa</w:t>
      </w:r>
      <w:r w:rsidR="00794814">
        <w:t>n</w:t>
      </w:r>
      <w:r w:rsidRPr="00970C00">
        <w:t xml:space="preserve">s to adults, this has to be </w:t>
      </w:r>
      <w:r w:rsidR="001A64F1" w:rsidRPr="00970C00">
        <w:t>included</w:t>
      </w:r>
      <w:r w:rsidRPr="00970C00">
        <w:t xml:space="preserve"> in national law.</w:t>
      </w:r>
    </w:p>
  </w:footnote>
  <w:footnote w:id="45">
    <w:p w14:paraId="4611A061" w14:textId="6671F614" w:rsidR="006B25DA" w:rsidRPr="00970C00" w:rsidRDefault="006B25DA" w:rsidP="001228CD">
      <w:pPr>
        <w:pStyle w:val="FootnoteText"/>
        <w:spacing w:after="0"/>
        <w:ind w:left="425" w:hanging="425"/>
        <w:rPr>
          <w:lang w:val="en-IE"/>
        </w:rPr>
      </w:pPr>
      <w:r w:rsidRPr="00970C00">
        <w:rPr>
          <w:rStyle w:val="FootnoteReference"/>
        </w:rPr>
        <w:footnoteRef/>
      </w:r>
      <w:r w:rsidR="00090FCD">
        <w:tab/>
      </w:r>
      <w:r w:rsidRPr="00970C00">
        <w:t>Regulation (EC) No 1030/2002 for residence permits and Regulation (EC) No 2252/2004 for travel documents.</w:t>
      </w:r>
    </w:p>
  </w:footnote>
  <w:footnote w:id="46">
    <w:p w14:paraId="2D4277D7" w14:textId="2379D3A2" w:rsidR="006B25DA" w:rsidRPr="00970C00" w:rsidRDefault="006B25DA" w:rsidP="00970C00">
      <w:pPr>
        <w:pStyle w:val="FootnoteText"/>
        <w:spacing w:after="0"/>
        <w:ind w:left="426" w:hanging="426"/>
        <w:rPr>
          <w:lang w:val="en-IE"/>
        </w:rPr>
      </w:pPr>
      <w:r w:rsidRPr="00970C00">
        <w:rPr>
          <w:rStyle w:val="FootnoteReference"/>
        </w:rPr>
        <w:footnoteRef/>
      </w:r>
      <w:r w:rsidRPr="00970C00">
        <w:tab/>
        <w:t>Commission Recommendation of 15.11.2023 on the recognition of qualifications of third-country nationals, C(2023) 7700 final.</w:t>
      </w:r>
    </w:p>
  </w:footnote>
  <w:footnote w:id="47">
    <w:p w14:paraId="0C7D2FFB" w14:textId="0E38807F" w:rsidR="006B25DA" w:rsidRPr="00970C00" w:rsidRDefault="006B25DA" w:rsidP="001228CD">
      <w:pPr>
        <w:pStyle w:val="FootnoteText"/>
        <w:spacing w:after="0"/>
        <w:ind w:left="425" w:hanging="425"/>
        <w:rPr>
          <w:lang w:val="en-IE"/>
        </w:rPr>
      </w:pPr>
      <w:r w:rsidRPr="00970C00">
        <w:rPr>
          <w:rStyle w:val="FootnoteReference"/>
        </w:rPr>
        <w:footnoteRef/>
      </w:r>
      <w:r w:rsidRPr="00970C00">
        <w:tab/>
      </w:r>
      <w:r w:rsidRPr="00970C00">
        <w:rPr>
          <w:lang w:val="en-IE"/>
        </w:rPr>
        <w:t>Income support, illness/pregnancy assistance, parental/childcare assistance, and housing benefits if provided to nationals of the Member States under national law.</w:t>
      </w:r>
    </w:p>
  </w:footnote>
  <w:footnote w:id="48">
    <w:p w14:paraId="77953B6F" w14:textId="0F604425" w:rsidR="002140BE" w:rsidRPr="00970C00" w:rsidRDefault="002140BE" w:rsidP="001228CD">
      <w:pPr>
        <w:pStyle w:val="FootnoteText"/>
        <w:spacing w:after="0"/>
        <w:ind w:left="425" w:hanging="425"/>
      </w:pPr>
      <w:r w:rsidRPr="00970C00">
        <w:rPr>
          <w:rStyle w:val="FootnoteReference"/>
        </w:rPr>
        <w:footnoteRef/>
      </w:r>
      <w:r w:rsidRPr="00970C00">
        <w:tab/>
        <w:t xml:space="preserve">Regulation (EU) 2021/1147 of the European Parliament and of the Council of 7 July 2021 establishing the Asylum, Migration and Integration Fund, OJ L 251, 15/07/2021, p. </w:t>
      </w:r>
      <w:r w:rsidR="001A64F1" w:rsidRPr="00970C00">
        <w:t>1.</w:t>
      </w:r>
    </w:p>
  </w:footnote>
  <w:footnote w:id="49">
    <w:p w14:paraId="3315FAF9" w14:textId="0960356E" w:rsidR="002140BE" w:rsidRPr="00970C00" w:rsidRDefault="002140BE" w:rsidP="00970C00">
      <w:pPr>
        <w:pStyle w:val="FootnoteText"/>
        <w:spacing w:after="0"/>
        <w:ind w:left="426" w:hanging="426"/>
      </w:pPr>
      <w:r w:rsidRPr="00970C00">
        <w:rPr>
          <w:rStyle w:val="FootnoteReference"/>
        </w:rPr>
        <w:footnoteRef/>
      </w:r>
      <w:r w:rsidRPr="00970C00">
        <w:tab/>
        <w:t xml:space="preserve">Regulation (EU) 2021/1148 of the European Parliament and of the Council of 7 July 2021 establishing, as part of the Integrated Border Management Fund, the Instrument for Financial Support for Border Management and Visa Policy, </w:t>
      </w:r>
      <w:r w:rsidRPr="00970C00">
        <w:rPr>
          <w:i/>
          <w:iCs/>
        </w:rPr>
        <w:t>OJ L 251, 15.7.2021, p. 48</w:t>
      </w:r>
    </w:p>
  </w:footnote>
  <w:footnote w:id="50">
    <w:p w14:paraId="21372335" w14:textId="7B5F8544" w:rsidR="00014943" w:rsidRPr="00970C00" w:rsidRDefault="00014943" w:rsidP="00970C00">
      <w:pPr>
        <w:pStyle w:val="FootnoteText"/>
        <w:spacing w:after="0"/>
        <w:ind w:left="426" w:hanging="426"/>
      </w:pPr>
      <w:r w:rsidRPr="00970C00">
        <w:rPr>
          <w:rStyle w:val="FootnoteReference"/>
        </w:rPr>
        <w:footnoteRef/>
      </w:r>
      <w:r w:rsidRPr="00970C00">
        <w:tab/>
        <w:t>Recital 72 and Article 21 (8) of Regulation (EU) 2024/1351 of the European Parliament and of the Council of 14 May 2024 on asylum and migration management, OJ L, 2024/1351, 22.5.2024; Recital 11 and Article 16(4) of</w:t>
      </w:r>
      <w:r w:rsidR="005F0618">
        <w:t xml:space="preserve"> </w:t>
      </w:r>
      <w:r w:rsidRPr="00970C00">
        <w:rPr>
          <w:lang w:eastAsia="en-GB"/>
        </w:rPr>
        <w:t>Regulation (EU) 2024/1348 of the European Parliament and of the Council of 14 May 2024 establishing a common procedure for international protection in the Union and repealing Directive 2013/32/EU, OJ L, 2024/1348, 22.5.2024.</w:t>
      </w:r>
    </w:p>
  </w:footnote>
  <w:footnote w:id="51">
    <w:p w14:paraId="4B0D3985" w14:textId="2FE36BF0" w:rsidR="002140BE" w:rsidRPr="00970C00" w:rsidRDefault="002140BE" w:rsidP="00970C00">
      <w:pPr>
        <w:pStyle w:val="FootnoteText"/>
        <w:spacing w:after="0"/>
        <w:ind w:left="426" w:hanging="426"/>
        <w:rPr>
          <w:lang w:val="en-IE"/>
        </w:rPr>
      </w:pPr>
      <w:r w:rsidRPr="00970C00">
        <w:rPr>
          <w:rStyle w:val="FootnoteReference"/>
        </w:rPr>
        <w:footnoteRef/>
      </w:r>
      <w:r w:rsidRPr="00970C00">
        <w:tab/>
      </w:r>
      <w:r w:rsidR="00886F07" w:rsidRPr="00970C00">
        <w:t>European Council</w:t>
      </w:r>
      <w:r w:rsidR="00014943" w:rsidRPr="00970C00">
        <w:t>,</w:t>
      </w:r>
      <w:r w:rsidR="00886F07" w:rsidRPr="00970C00">
        <w:t xml:space="preserve"> </w:t>
      </w:r>
      <w:r w:rsidR="00012145" w:rsidRPr="00970C00">
        <w:t>Conclusions</w:t>
      </w:r>
      <w:r w:rsidR="00886F07" w:rsidRPr="00970C00">
        <w:t xml:space="preserve">, 1 February 2024, </w:t>
      </w:r>
      <w:r w:rsidR="00012145" w:rsidRPr="00970C00">
        <w:t>EUCO 2/24.</w:t>
      </w:r>
    </w:p>
  </w:footnote>
  <w:footnote w:id="52">
    <w:p w14:paraId="55649222" w14:textId="3CFA45F1" w:rsidR="002140BE" w:rsidRPr="00970C00" w:rsidRDefault="002140BE" w:rsidP="00970C00">
      <w:pPr>
        <w:pStyle w:val="FootnoteText"/>
        <w:spacing w:after="0"/>
        <w:ind w:left="426" w:hanging="426"/>
        <w:rPr>
          <w:lang w:val="en-US"/>
        </w:rPr>
      </w:pPr>
      <w:r w:rsidRPr="00970C00">
        <w:rPr>
          <w:rStyle w:val="FootnoteReference"/>
        </w:rPr>
        <w:footnoteRef/>
      </w:r>
      <w:r w:rsidR="00A93C45">
        <w:rPr>
          <w:lang w:val="en-US"/>
        </w:rPr>
        <w:tab/>
      </w:r>
      <w:r w:rsidR="00012145" w:rsidRPr="00970C00">
        <w:rPr>
          <w:lang w:val="en-US"/>
        </w:rPr>
        <w:t>Toolkit on the use of EU funds for the integration of people with a migrant background, 2021–2027 programming period, European Commission, November 2021.</w:t>
      </w:r>
    </w:p>
  </w:footnote>
  <w:footnote w:id="53">
    <w:p w14:paraId="1F121F68" w14:textId="77777777" w:rsidR="00994D16" w:rsidRPr="00F4784F" w:rsidRDefault="00994D16" w:rsidP="00994D16">
      <w:pPr>
        <w:pStyle w:val="FootnoteText"/>
        <w:ind w:left="425" w:hanging="425"/>
      </w:pPr>
      <w:r>
        <w:rPr>
          <w:rStyle w:val="FootnoteReference"/>
        </w:rPr>
        <w:footnoteRef/>
      </w:r>
      <w:r>
        <w:tab/>
      </w:r>
      <w:r w:rsidRPr="00F4784F">
        <w:t>COM(2024) 126 final, IV.1  A new paradigm based on comprehensive partnerships</w:t>
      </w:r>
      <w:r>
        <w:t>.</w:t>
      </w:r>
    </w:p>
  </w:footnote>
  <w:footnote w:id="54">
    <w:p w14:paraId="0E4714FF" w14:textId="6C61826D" w:rsidR="002140BE" w:rsidRPr="00970C00" w:rsidRDefault="002140BE" w:rsidP="008D02A8">
      <w:pPr>
        <w:pStyle w:val="title-bold"/>
        <w:shd w:val="clear" w:color="auto" w:fill="FFFFFF"/>
        <w:spacing w:before="0" w:beforeAutospacing="0" w:after="0" w:afterAutospacing="0"/>
        <w:ind w:left="425" w:hanging="425"/>
        <w:jc w:val="both"/>
        <w:rPr>
          <w:rFonts w:ascii="Roboto" w:hAnsi="Roboto"/>
          <w:b/>
          <w:bCs/>
          <w:color w:val="333333"/>
          <w:sz w:val="20"/>
          <w:szCs w:val="20"/>
        </w:rPr>
      </w:pPr>
      <w:r w:rsidRPr="00970C00">
        <w:rPr>
          <w:rStyle w:val="FootnoteReference"/>
          <w:sz w:val="20"/>
          <w:szCs w:val="20"/>
        </w:rPr>
        <w:footnoteRef/>
      </w:r>
      <w:r w:rsidRPr="00970C00">
        <w:rPr>
          <w:sz w:val="20"/>
          <w:szCs w:val="20"/>
          <w:lang w:eastAsia="en-IE"/>
        </w:rPr>
        <w:tab/>
        <w:t>Regulation (EU) 2021/947 of the European Parliament and of the Council of 9 June 2021 establishing the Neighbourhood, Development</w:t>
      </w:r>
      <w:r w:rsidR="00541DF4">
        <w:rPr>
          <w:sz w:val="20"/>
          <w:szCs w:val="20"/>
          <w:lang w:eastAsia="en-IE"/>
        </w:rPr>
        <w:t>,</w:t>
      </w:r>
      <w:r w:rsidRPr="00970C00">
        <w:rPr>
          <w:sz w:val="20"/>
          <w:szCs w:val="20"/>
          <w:lang w:eastAsia="en-IE"/>
        </w:rPr>
        <w:t xml:space="preserve"> and International Cooperation Instrument – Global Europe, amending and repealing Decision No 466/2014/EU of the European Parliament and of the Council and repealing Regulation (EU) 2017/1601 of the European Parliament and of the Council and Council Regulation (EC, Euratom) No 480/2009, OJ L 209, 14.6.2021, p. </w:t>
      </w:r>
      <w:r w:rsidR="001A64F1" w:rsidRPr="00970C00">
        <w:rPr>
          <w:sz w:val="20"/>
          <w:szCs w:val="20"/>
          <w:lang w:eastAsia="en-IE"/>
        </w:rPr>
        <w:t>1.</w:t>
      </w:r>
    </w:p>
  </w:footnote>
  <w:footnote w:id="55">
    <w:p w14:paraId="57FD2AAA" w14:textId="5FC74227" w:rsidR="002140BE" w:rsidRPr="00970C00" w:rsidRDefault="002140BE" w:rsidP="008D02A8">
      <w:pPr>
        <w:pStyle w:val="FootnoteText"/>
        <w:spacing w:after="0"/>
        <w:ind w:left="425" w:hanging="425"/>
        <w:rPr>
          <w:lang w:val="en-IE"/>
        </w:rPr>
      </w:pPr>
      <w:r w:rsidRPr="00970C00">
        <w:rPr>
          <w:rStyle w:val="FootnoteReference"/>
        </w:rPr>
        <w:footnoteRef/>
      </w:r>
      <w:r w:rsidRPr="00970C00">
        <w:tab/>
        <w:t xml:space="preserve">Call for Proposals for Common Operational Partnership projects for €12 million is currently open </w:t>
      </w:r>
      <w:hyperlink r:id="rId3" w:history="1">
        <w:r w:rsidRPr="00970C00">
          <w:rPr>
            <w:rStyle w:val="Hyperlink"/>
          </w:rPr>
          <w:t>EU Funding &amp; Tenders Portal (europa.eu)</w:t>
        </w:r>
      </w:hyperlink>
      <w:r w:rsidRPr="00970C00">
        <w:t>.</w:t>
      </w:r>
    </w:p>
  </w:footnote>
  <w:footnote w:id="56">
    <w:p w14:paraId="265AA628" w14:textId="44429C78" w:rsidR="002140BE" w:rsidRPr="00970C00" w:rsidRDefault="002140BE" w:rsidP="008D02A8">
      <w:pPr>
        <w:pStyle w:val="FootnoteText"/>
        <w:spacing w:after="0"/>
        <w:ind w:left="425" w:hanging="425"/>
        <w:rPr>
          <w:lang w:val="en-IE"/>
        </w:rPr>
      </w:pPr>
      <w:r w:rsidRPr="00970C00">
        <w:rPr>
          <w:rStyle w:val="FootnoteReference"/>
        </w:rPr>
        <w:footnoteRef/>
      </w:r>
      <w:r w:rsidRPr="00970C00">
        <w:tab/>
        <w:t>Anti-Smuggling Operational Partnerships were launched in 2022 with Morocco, Niger (suspended) and Western Balkans and in 2023 with Tunisia.</w:t>
      </w:r>
    </w:p>
  </w:footnote>
  <w:footnote w:id="57">
    <w:p w14:paraId="1CA7EEE8" w14:textId="77777777" w:rsidR="00FD496C" w:rsidRPr="00970C00" w:rsidRDefault="00FD496C" w:rsidP="00FD496C">
      <w:pPr>
        <w:pStyle w:val="FootnoteText"/>
        <w:spacing w:after="0"/>
        <w:ind w:left="426" w:hanging="426"/>
        <w:rPr>
          <w:lang w:val="en-IE"/>
        </w:rPr>
      </w:pPr>
      <w:r w:rsidRPr="00970C00">
        <w:rPr>
          <w:rStyle w:val="FootnoteReference"/>
        </w:rPr>
        <w:footnoteRef/>
      </w:r>
      <w:r w:rsidRPr="00970C00">
        <w:tab/>
        <w:t>See Action Plan on Labour and Skills Shortages in the EU, COM(2024) 131.</w:t>
      </w:r>
    </w:p>
  </w:footnote>
  <w:footnote w:id="58">
    <w:p w14:paraId="2CCDEC8D" w14:textId="0E4913E5" w:rsidR="002140BE" w:rsidRPr="00970C00" w:rsidRDefault="002140BE" w:rsidP="00970C00">
      <w:pPr>
        <w:pStyle w:val="FootnoteText"/>
        <w:spacing w:after="0"/>
        <w:ind w:left="426" w:hanging="426"/>
        <w:rPr>
          <w:lang w:val="en-IE"/>
        </w:rPr>
      </w:pPr>
      <w:r w:rsidRPr="00970C00">
        <w:rPr>
          <w:rStyle w:val="FootnoteReference"/>
        </w:rPr>
        <w:footnoteRef/>
      </w:r>
      <w:r w:rsidRPr="00970C00">
        <w:tab/>
        <w:t>For some implementing acts, the Regulations foresee that the Commission will not be assisted by the Committee. This is for example the case of the implementing act setting each Member State’s adequate capacity.</w:t>
      </w:r>
    </w:p>
  </w:footnote>
  <w:footnote w:id="59">
    <w:p w14:paraId="72F8ABE5" w14:textId="4F3F3984" w:rsidR="002140BE" w:rsidRPr="00970C00" w:rsidRDefault="002140BE" w:rsidP="00970C00">
      <w:pPr>
        <w:pStyle w:val="FootnoteText"/>
        <w:spacing w:after="0"/>
        <w:ind w:left="426" w:hanging="426"/>
      </w:pPr>
      <w:r w:rsidRPr="00970C00">
        <w:rPr>
          <w:rStyle w:val="FootnoteReference"/>
        </w:rPr>
        <w:footnoteRef/>
      </w:r>
      <w:r w:rsidRPr="00970C00">
        <w:tab/>
        <w:t>These include the Dublin Contact Committee, the Qualifications Contact Committee, the Eurodac Contact Committee, the Reception Contact Committee, the Asylum Procedures Contact Committee, the Contact Group on the Return Directive, the Expert Group on Readmission, the Management of External Borders expert group, the Resettlement expert group and the European Integration Network, the EU mechanism for preparedness and management of crisis. The terms of reference for these expert groups might need to be reviewed and adapted to ensure they now refer to the Pact instruments (instead of the old instruments).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2A87D" w14:textId="77777777" w:rsidR="00A2365E" w:rsidRPr="00A2365E" w:rsidRDefault="00A2365E" w:rsidP="00A2365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CE6F" w14:textId="77777777" w:rsidR="00A2365E" w:rsidRPr="00A2365E" w:rsidRDefault="00A2365E" w:rsidP="00A2365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DDA8" w14:textId="77777777" w:rsidR="00A2365E" w:rsidRPr="00A2365E" w:rsidRDefault="00A2365E" w:rsidP="00A2365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C97A" w14:textId="77777777" w:rsidR="00115749" w:rsidRDefault="001157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BC55" w14:textId="77777777" w:rsidR="00115749" w:rsidRDefault="001157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34EC" w14:textId="77777777" w:rsidR="00115749" w:rsidRDefault="0011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B07C11C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BB374FF"/>
    <w:multiLevelType w:val="hybridMultilevel"/>
    <w:tmpl w:val="F53A58F0"/>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606EB8D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F2A61AC"/>
    <w:multiLevelType w:val="hybridMultilevel"/>
    <w:tmpl w:val="AE0CA8E0"/>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0B7201"/>
    <w:multiLevelType w:val="multilevel"/>
    <w:tmpl w:val="6B82C84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DD46449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E14600B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037C74"/>
    <w:multiLevelType w:val="hybridMultilevel"/>
    <w:tmpl w:val="EC6A3B0C"/>
    <w:lvl w:ilvl="0" w:tplc="1809000F">
      <w:start w:val="1"/>
      <w:numFmt w:val="decimal"/>
      <w:lvlText w:val="%1."/>
      <w:lvlJc w:val="left"/>
      <w:pPr>
        <w:ind w:left="360" w:hanging="360"/>
      </w:pPr>
      <w:rPr>
        <w:color w:val="00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43D0A16"/>
    <w:multiLevelType w:val="multilevel"/>
    <w:tmpl w:val="477A620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72F0AC5"/>
    <w:multiLevelType w:val="multilevel"/>
    <w:tmpl w:val="CEBC7BD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2B5940"/>
    <w:multiLevelType w:val="hybridMultilevel"/>
    <w:tmpl w:val="615205DA"/>
    <w:lvl w:ilvl="0" w:tplc="04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C7B624F"/>
    <w:multiLevelType w:val="multilevel"/>
    <w:tmpl w:val="2AF2FB7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DB97C65"/>
    <w:multiLevelType w:val="hybridMultilevel"/>
    <w:tmpl w:val="F0A8F50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76CC3"/>
    <w:multiLevelType w:val="hybridMultilevel"/>
    <w:tmpl w:val="9F88D25E"/>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300151"/>
    <w:multiLevelType w:val="hybridMultilevel"/>
    <w:tmpl w:val="D17E6C3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05078E"/>
    <w:multiLevelType w:val="multilevel"/>
    <w:tmpl w:val="655A855E"/>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C8DFDF8"/>
    <w:multiLevelType w:val="multilevel"/>
    <w:tmpl w:val="B128DB4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129C3D9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F4"/>
    <w:multiLevelType w:val="multilevel"/>
    <w:tmpl w:val="FE1AF84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44B588B"/>
    <w:multiLevelType w:val="hybridMultilevel"/>
    <w:tmpl w:val="2D045E7A"/>
    <w:lvl w:ilvl="0" w:tplc="04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6324F1E"/>
    <w:multiLevelType w:val="multilevel"/>
    <w:tmpl w:val="263E80B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6483953"/>
    <w:multiLevelType w:val="hybridMultilevel"/>
    <w:tmpl w:val="D5BE79E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E4134"/>
    <w:multiLevelType w:val="hybridMultilevel"/>
    <w:tmpl w:val="21A88EE4"/>
    <w:lvl w:ilvl="0" w:tplc="04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7CB1E1C"/>
    <w:multiLevelType w:val="multilevel"/>
    <w:tmpl w:val="7D98C28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92E5A41"/>
    <w:multiLevelType w:val="hybridMultilevel"/>
    <w:tmpl w:val="8CA62828"/>
    <w:lvl w:ilvl="0" w:tplc="04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A7730C4"/>
    <w:multiLevelType w:val="multilevel"/>
    <w:tmpl w:val="F71C9E4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BF27C05"/>
    <w:multiLevelType w:val="hybridMultilevel"/>
    <w:tmpl w:val="3D72908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90E8F"/>
    <w:multiLevelType w:val="hybridMultilevel"/>
    <w:tmpl w:val="748E0F6A"/>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9E662A"/>
    <w:multiLevelType w:val="multilevel"/>
    <w:tmpl w:val="3F6A121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4DBC696B"/>
    <w:multiLevelType w:val="hybridMultilevel"/>
    <w:tmpl w:val="1CEE327A"/>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1A63DF"/>
    <w:multiLevelType w:val="multilevel"/>
    <w:tmpl w:val="DC3C933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4E1A982C"/>
    <w:multiLevelType w:val="multilevel"/>
    <w:tmpl w:val="D4BE2B2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FBA60AF"/>
    <w:multiLevelType w:val="hybridMultilevel"/>
    <w:tmpl w:val="148825FC"/>
    <w:lvl w:ilvl="0" w:tplc="04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072619B"/>
    <w:multiLevelType w:val="multilevel"/>
    <w:tmpl w:val="7B76FB2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6EDA0BE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65C054F2"/>
    <w:multiLevelType w:val="hybridMultilevel"/>
    <w:tmpl w:val="0AEC4D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977472E"/>
    <w:multiLevelType w:val="multilevel"/>
    <w:tmpl w:val="7BB2ED8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7" w15:restartNumberingAfterBreak="0">
    <w:nsid w:val="704734B2"/>
    <w:multiLevelType w:val="hybridMultilevel"/>
    <w:tmpl w:val="8DFA2A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8655D4"/>
    <w:multiLevelType w:val="multilevel"/>
    <w:tmpl w:val="609CABAE"/>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65145E"/>
    <w:multiLevelType w:val="multilevel"/>
    <w:tmpl w:val="9E86F2F0"/>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145"/>
        </w:tabs>
        <w:ind w:left="1145" w:hanging="720"/>
      </w:p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1" w15:restartNumberingAfterBreak="0">
    <w:nsid w:val="7DC53130"/>
    <w:multiLevelType w:val="hybridMultilevel"/>
    <w:tmpl w:val="78C493C8"/>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FD26B3E"/>
    <w:multiLevelType w:val="hybridMultilevel"/>
    <w:tmpl w:val="CEEA9148"/>
    <w:lvl w:ilvl="0" w:tplc="04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3"/>
  </w:num>
  <w:num w:numId="5">
    <w:abstractNumId w:val="33"/>
  </w:num>
  <w:num w:numId="6">
    <w:abstractNumId w:val="36"/>
  </w:num>
  <w:num w:numId="7">
    <w:abstractNumId w:val="9"/>
  </w:num>
  <w:num w:numId="8">
    <w:abstractNumId w:val="28"/>
  </w:num>
  <w:num w:numId="9">
    <w:abstractNumId w:val="4"/>
  </w:num>
  <w:num w:numId="10">
    <w:abstractNumId w:val="6"/>
  </w:num>
  <w:num w:numId="11">
    <w:abstractNumId w:val="8"/>
  </w:num>
  <w:num w:numId="12">
    <w:abstractNumId w:val="16"/>
  </w:num>
  <w:num w:numId="13">
    <w:abstractNumId w:val="25"/>
  </w:num>
  <w:num w:numId="14">
    <w:abstractNumId w:val="31"/>
  </w:num>
  <w:num w:numId="15">
    <w:abstractNumId w:val="17"/>
  </w:num>
  <w:num w:numId="16">
    <w:abstractNumId w:val="18"/>
  </w:num>
  <w:num w:numId="17">
    <w:abstractNumId w:val="40"/>
  </w:num>
  <w:num w:numId="18">
    <w:abstractNumId w:val="30"/>
  </w:num>
  <w:num w:numId="19">
    <w:abstractNumId w:val="34"/>
  </w:num>
  <w:num w:numId="20">
    <w:abstractNumId w:val="5"/>
  </w:num>
  <w:num w:numId="21">
    <w:abstractNumId w:val="2"/>
  </w:num>
  <w:num w:numId="22">
    <w:abstractNumId w:val="15"/>
  </w:num>
  <w:num w:numId="23">
    <w:abstractNumId w:val="38"/>
  </w:num>
  <w:num w:numId="24">
    <w:abstractNumId w:val="12"/>
  </w:num>
  <w:num w:numId="25">
    <w:abstractNumId w:val="21"/>
  </w:num>
  <w:num w:numId="26">
    <w:abstractNumId w:val="22"/>
  </w:num>
  <w:num w:numId="27">
    <w:abstractNumId w:val="24"/>
  </w:num>
  <w:num w:numId="28">
    <w:abstractNumId w:val="32"/>
  </w:num>
  <w:num w:numId="29">
    <w:abstractNumId w:val="19"/>
  </w:num>
  <w:num w:numId="30">
    <w:abstractNumId w:val="42"/>
  </w:num>
  <w:num w:numId="31">
    <w:abstractNumId w:val="26"/>
  </w:num>
  <w:num w:numId="32">
    <w:abstractNumId w:val="10"/>
  </w:num>
  <w:num w:numId="33">
    <w:abstractNumId w:val="27"/>
  </w:num>
  <w:num w:numId="34">
    <w:abstractNumId w:val="3"/>
  </w:num>
  <w:num w:numId="35">
    <w:abstractNumId w:val="13"/>
  </w:num>
  <w:num w:numId="36">
    <w:abstractNumId w:val="14"/>
  </w:num>
  <w:num w:numId="37">
    <w:abstractNumId w:val="1"/>
  </w:num>
  <w:num w:numId="38">
    <w:abstractNumId w:val="29"/>
  </w:num>
  <w:num w:numId="39">
    <w:abstractNumId w:val="37"/>
  </w:num>
  <w:num w:numId="40">
    <w:abstractNumId w:val="41"/>
  </w:num>
  <w:num w:numId="41">
    <w:abstractNumId w:val="35"/>
  </w:num>
  <w:num w:numId="42">
    <w:abstractNumId w:val="15"/>
  </w:num>
  <w:num w:numId="43">
    <w:abstractNumId w:val="15"/>
  </w:num>
  <w:num w:numId="44">
    <w:abstractNumId w:val="7"/>
    <w:lvlOverride w:ilvl="0">
      <w:startOverride w:val="1"/>
    </w:lvlOverride>
    <w:lvlOverride w:ilvl="1"/>
    <w:lvlOverride w:ilvl="2"/>
    <w:lvlOverride w:ilvl="3"/>
    <w:lvlOverride w:ilvl="4"/>
    <w:lvlOverride w:ilvl="5"/>
    <w:lvlOverride w:ilvl="6"/>
    <w:lvlOverride w:ilvl="7"/>
    <w:lvlOverride w:ilvl="8"/>
  </w:num>
  <w:num w:numId="45">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73"/>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8F608936-FE8F-4B02-9A94-B3C0AC5B2524"/>
    <w:docVar w:name="LW_COVERPAGE_TYPE" w:val="1"/>
    <w:docVar w:name="LW_CROSSREFERENCE" w:val="{SWD(2024) 251 final}"/>
    <w:docVar w:name="LW_DocType" w:val="EUROLOOK"/>
    <w:docVar w:name="LW_EMISSION" w:val="12.6.2024"/>
    <w:docVar w:name="LW_EMISSION_ISODATE" w:val="2024-06-12"/>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2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mmon Implementation Plan for the Pact on Migration and Asylum "/>
    <w:docVar w:name="LW_TYPE.DOC.CP" w:val="COMMUNICATION FROM THE COMMISSION TO THE EUROPEAN PARLIAMENT, THE COUNCIL, THE EUROPEAN ECONOMIC AND SOCIAL COMMITTEE AND THE COMMITTEE OF THE REGIONS"/>
    <w:docVar w:name="LW_TYPE.DOC.CP.USERTEXT" w:val="&lt;EMPTY&gt;"/>
    <w:docVar w:name="LwApiVersions" w:val="LW4CoDe 1.24.5.0; LW 9.0, Build 20240221"/>
  </w:docVars>
  <w:rsids>
    <w:rsidRoot w:val="00505840"/>
    <w:rsid w:val="0000050B"/>
    <w:rsid w:val="000007B2"/>
    <w:rsid w:val="00000B4F"/>
    <w:rsid w:val="00000B74"/>
    <w:rsid w:val="00000D18"/>
    <w:rsid w:val="000015D1"/>
    <w:rsid w:val="00001729"/>
    <w:rsid w:val="00001F11"/>
    <w:rsid w:val="00001FC1"/>
    <w:rsid w:val="00002280"/>
    <w:rsid w:val="0000229D"/>
    <w:rsid w:val="00002716"/>
    <w:rsid w:val="00002E6A"/>
    <w:rsid w:val="00003508"/>
    <w:rsid w:val="000036FC"/>
    <w:rsid w:val="000039E4"/>
    <w:rsid w:val="00004B70"/>
    <w:rsid w:val="00004C6B"/>
    <w:rsid w:val="00004EE2"/>
    <w:rsid w:val="00005020"/>
    <w:rsid w:val="000054DC"/>
    <w:rsid w:val="000056BE"/>
    <w:rsid w:val="00005D59"/>
    <w:rsid w:val="000063B7"/>
    <w:rsid w:val="000066AE"/>
    <w:rsid w:val="0000695C"/>
    <w:rsid w:val="0000730A"/>
    <w:rsid w:val="0000754E"/>
    <w:rsid w:val="00007AC1"/>
    <w:rsid w:val="00007E8D"/>
    <w:rsid w:val="00010064"/>
    <w:rsid w:val="000100F9"/>
    <w:rsid w:val="0001075E"/>
    <w:rsid w:val="000107BB"/>
    <w:rsid w:val="00010D85"/>
    <w:rsid w:val="000111EC"/>
    <w:rsid w:val="00011776"/>
    <w:rsid w:val="0001177D"/>
    <w:rsid w:val="000118A8"/>
    <w:rsid w:val="00011B99"/>
    <w:rsid w:val="00011C2B"/>
    <w:rsid w:val="00012145"/>
    <w:rsid w:val="00012204"/>
    <w:rsid w:val="00012583"/>
    <w:rsid w:val="000126B2"/>
    <w:rsid w:val="00013572"/>
    <w:rsid w:val="0001390F"/>
    <w:rsid w:val="00013A99"/>
    <w:rsid w:val="00013DD7"/>
    <w:rsid w:val="00014116"/>
    <w:rsid w:val="00014943"/>
    <w:rsid w:val="00015342"/>
    <w:rsid w:val="00015B31"/>
    <w:rsid w:val="00015E92"/>
    <w:rsid w:val="00016786"/>
    <w:rsid w:val="000168CE"/>
    <w:rsid w:val="00016C03"/>
    <w:rsid w:val="00017F03"/>
    <w:rsid w:val="00020134"/>
    <w:rsid w:val="00020523"/>
    <w:rsid w:val="000208FD"/>
    <w:rsid w:val="00020A21"/>
    <w:rsid w:val="00020A60"/>
    <w:rsid w:val="00020B17"/>
    <w:rsid w:val="00020C99"/>
    <w:rsid w:val="00020EE2"/>
    <w:rsid w:val="000217B8"/>
    <w:rsid w:val="00021D32"/>
    <w:rsid w:val="00021F57"/>
    <w:rsid w:val="00022530"/>
    <w:rsid w:val="0002274C"/>
    <w:rsid w:val="00022837"/>
    <w:rsid w:val="00023160"/>
    <w:rsid w:val="00023855"/>
    <w:rsid w:val="00023D89"/>
    <w:rsid w:val="00023DD7"/>
    <w:rsid w:val="00024D1F"/>
    <w:rsid w:val="00024F84"/>
    <w:rsid w:val="00024FDE"/>
    <w:rsid w:val="000254A9"/>
    <w:rsid w:val="000257F9"/>
    <w:rsid w:val="000262F9"/>
    <w:rsid w:val="000265D9"/>
    <w:rsid w:val="00026B52"/>
    <w:rsid w:val="000270E8"/>
    <w:rsid w:val="000271CC"/>
    <w:rsid w:val="00027A66"/>
    <w:rsid w:val="00027B12"/>
    <w:rsid w:val="000301E9"/>
    <w:rsid w:val="0003066A"/>
    <w:rsid w:val="00030EF4"/>
    <w:rsid w:val="000310D2"/>
    <w:rsid w:val="000310EA"/>
    <w:rsid w:val="000315BF"/>
    <w:rsid w:val="000316B2"/>
    <w:rsid w:val="00031B08"/>
    <w:rsid w:val="00031DF7"/>
    <w:rsid w:val="00031E3C"/>
    <w:rsid w:val="0003245D"/>
    <w:rsid w:val="00032820"/>
    <w:rsid w:val="00033061"/>
    <w:rsid w:val="00033AAA"/>
    <w:rsid w:val="00034252"/>
    <w:rsid w:val="000343C6"/>
    <w:rsid w:val="00034791"/>
    <w:rsid w:val="00034A1D"/>
    <w:rsid w:val="00034DCF"/>
    <w:rsid w:val="00034F62"/>
    <w:rsid w:val="000350AC"/>
    <w:rsid w:val="000355DC"/>
    <w:rsid w:val="000357FE"/>
    <w:rsid w:val="00035CE4"/>
    <w:rsid w:val="00036193"/>
    <w:rsid w:val="000364E6"/>
    <w:rsid w:val="00036BB0"/>
    <w:rsid w:val="000377C2"/>
    <w:rsid w:val="00037BA2"/>
    <w:rsid w:val="00037D40"/>
    <w:rsid w:val="00040117"/>
    <w:rsid w:val="00040432"/>
    <w:rsid w:val="00040A69"/>
    <w:rsid w:val="000419C7"/>
    <w:rsid w:val="00041BDE"/>
    <w:rsid w:val="00041CE8"/>
    <w:rsid w:val="00041DA3"/>
    <w:rsid w:val="0004217D"/>
    <w:rsid w:val="0004219F"/>
    <w:rsid w:val="000429C8"/>
    <w:rsid w:val="00042BD8"/>
    <w:rsid w:val="00043006"/>
    <w:rsid w:val="0004343C"/>
    <w:rsid w:val="00043B3C"/>
    <w:rsid w:val="00043C81"/>
    <w:rsid w:val="000441AA"/>
    <w:rsid w:val="000442B5"/>
    <w:rsid w:val="00044441"/>
    <w:rsid w:val="00044A13"/>
    <w:rsid w:val="00044B65"/>
    <w:rsid w:val="00044D61"/>
    <w:rsid w:val="000455C7"/>
    <w:rsid w:val="0004582A"/>
    <w:rsid w:val="00045953"/>
    <w:rsid w:val="00045A2D"/>
    <w:rsid w:val="00045F2B"/>
    <w:rsid w:val="00046783"/>
    <w:rsid w:val="00046D6B"/>
    <w:rsid w:val="00050F4B"/>
    <w:rsid w:val="00051224"/>
    <w:rsid w:val="000517ED"/>
    <w:rsid w:val="000518D5"/>
    <w:rsid w:val="00051C76"/>
    <w:rsid w:val="00052121"/>
    <w:rsid w:val="00052712"/>
    <w:rsid w:val="00052AA4"/>
    <w:rsid w:val="00052D0E"/>
    <w:rsid w:val="00052E35"/>
    <w:rsid w:val="00053104"/>
    <w:rsid w:val="00053448"/>
    <w:rsid w:val="00053DDF"/>
    <w:rsid w:val="00053F3A"/>
    <w:rsid w:val="000541CC"/>
    <w:rsid w:val="000544A7"/>
    <w:rsid w:val="00054509"/>
    <w:rsid w:val="00054681"/>
    <w:rsid w:val="0005471C"/>
    <w:rsid w:val="0005474C"/>
    <w:rsid w:val="000548C0"/>
    <w:rsid w:val="00054956"/>
    <w:rsid w:val="00054D33"/>
    <w:rsid w:val="000552CF"/>
    <w:rsid w:val="000553AB"/>
    <w:rsid w:val="00055554"/>
    <w:rsid w:val="000559DB"/>
    <w:rsid w:val="00055D0E"/>
    <w:rsid w:val="00056482"/>
    <w:rsid w:val="000564C6"/>
    <w:rsid w:val="0005680A"/>
    <w:rsid w:val="000570F6"/>
    <w:rsid w:val="0005732F"/>
    <w:rsid w:val="0005738A"/>
    <w:rsid w:val="00057699"/>
    <w:rsid w:val="00060963"/>
    <w:rsid w:val="00060B2F"/>
    <w:rsid w:val="00060F71"/>
    <w:rsid w:val="0006203A"/>
    <w:rsid w:val="00062315"/>
    <w:rsid w:val="000628FE"/>
    <w:rsid w:val="00062D75"/>
    <w:rsid w:val="00063203"/>
    <w:rsid w:val="000633EA"/>
    <w:rsid w:val="00063577"/>
    <w:rsid w:val="00063935"/>
    <w:rsid w:val="000640EC"/>
    <w:rsid w:val="00064D81"/>
    <w:rsid w:val="00064E5B"/>
    <w:rsid w:val="00064FCC"/>
    <w:rsid w:val="0006578E"/>
    <w:rsid w:val="000657BF"/>
    <w:rsid w:val="00065A19"/>
    <w:rsid w:val="00065EE2"/>
    <w:rsid w:val="00066034"/>
    <w:rsid w:val="0006611A"/>
    <w:rsid w:val="00066327"/>
    <w:rsid w:val="00066652"/>
    <w:rsid w:val="00066653"/>
    <w:rsid w:val="000667EB"/>
    <w:rsid w:val="0006680F"/>
    <w:rsid w:val="000676E8"/>
    <w:rsid w:val="0006774C"/>
    <w:rsid w:val="0006774F"/>
    <w:rsid w:val="000700BE"/>
    <w:rsid w:val="00070979"/>
    <w:rsid w:val="00070BEC"/>
    <w:rsid w:val="00070DFC"/>
    <w:rsid w:val="0007126D"/>
    <w:rsid w:val="000713C7"/>
    <w:rsid w:val="000713E7"/>
    <w:rsid w:val="000719D9"/>
    <w:rsid w:val="0007210D"/>
    <w:rsid w:val="000722B9"/>
    <w:rsid w:val="0007250E"/>
    <w:rsid w:val="00072A66"/>
    <w:rsid w:val="00072BEA"/>
    <w:rsid w:val="00072F17"/>
    <w:rsid w:val="00073176"/>
    <w:rsid w:val="000732D0"/>
    <w:rsid w:val="000733B6"/>
    <w:rsid w:val="00073574"/>
    <w:rsid w:val="0007388B"/>
    <w:rsid w:val="00073A96"/>
    <w:rsid w:val="00073BB9"/>
    <w:rsid w:val="000749C8"/>
    <w:rsid w:val="00074C56"/>
    <w:rsid w:val="000750E0"/>
    <w:rsid w:val="00075BEE"/>
    <w:rsid w:val="00075CDA"/>
    <w:rsid w:val="0007673A"/>
    <w:rsid w:val="0007684A"/>
    <w:rsid w:val="0007750E"/>
    <w:rsid w:val="00077783"/>
    <w:rsid w:val="00077A30"/>
    <w:rsid w:val="00077A81"/>
    <w:rsid w:val="00077D30"/>
    <w:rsid w:val="00077E10"/>
    <w:rsid w:val="00077ED3"/>
    <w:rsid w:val="000807E7"/>
    <w:rsid w:val="000807FC"/>
    <w:rsid w:val="00081013"/>
    <w:rsid w:val="0008164C"/>
    <w:rsid w:val="000817F0"/>
    <w:rsid w:val="00081A1A"/>
    <w:rsid w:val="00081DD3"/>
    <w:rsid w:val="00081F14"/>
    <w:rsid w:val="00082322"/>
    <w:rsid w:val="00082DAE"/>
    <w:rsid w:val="00083910"/>
    <w:rsid w:val="000841E7"/>
    <w:rsid w:val="00084EB0"/>
    <w:rsid w:val="00084F0C"/>
    <w:rsid w:val="00085AF9"/>
    <w:rsid w:val="00086130"/>
    <w:rsid w:val="00086858"/>
    <w:rsid w:val="00086CBC"/>
    <w:rsid w:val="00087049"/>
    <w:rsid w:val="0008720D"/>
    <w:rsid w:val="0008735C"/>
    <w:rsid w:val="0008766A"/>
    <w:rsid w:val="00090401"/>
    <w:rsid w:val="0009042F"/>
    <w:rsid w:val="00090A93"/>
    <w:rsid w:val="00090B4F"/>
    <w:rsid w:val="00090E23"/>
    <w:rsid w:val="00090FCD"/>
    <w:rsid w:val="0009105A"/>
    <w:rsid w:val="0009105E"/>
    <w:rsid w:val="00091A24"/>
    <w:rsid w:val="00091A9A"/>
    <w:rsid w:val="00091D0E"/>
    <w:rsid w:val="00091E01"/>
    <w:rsid w:val="00092099"/>
    <w:rsid w:val="000920C5"/>
    <w:rsid w:val="0009215B"/>
    <w:rsid w:val="000923A6"/>
    <w:rsid w:val="00092422"/>
    <w:rsid w:val="00092565"/>
    <w:rsid w:val="000930DA"/>
    <w:rsid w:val="000932A7"/>
    <w:rsid w:val="00093EB3"/>
    <w:rsid w:val="0009475D"/>
    <w:rsid w:val="00094860"/>
    <w:rsid w:val="00094B92"/>
    <w:rsid w:val="00094F3A"/>
    <w:rsid w:val="000957A9"/>
    <w:rsid w:val="00095A22"/>
    <w:rsid w:val="00096005"/>
    <w:rsid w:val="000966AC"/>
    <w:rsid w:val="00096CF8"/>
    <w:rsid w:val="00097251"/>
    <w:rsid w:val="000972FD"/>
    <w:rsid w:val="00097752"/>
    <w:rsid w:val="0009785E"/>
    <w:rsid w:val="00097D69"/>
    <w:rsid w:val="00097E08"/>
    <w:rsid w:val="000A0044"/>
    <w:rsid w:val="000A00C5"/>
    <w:rsid w:val="000A01BB"/>
    <w:rsid w:val="000A01FA"/>
    <w:rsid w:val="000A0473"/>
    <w:rsid w:val="000A0E6F"/>
    <w:rsid w:val="000A1006"/>
    <w:rsid w:val="000A1294"/>
    <w:rsid w:val="000A130E"/>
    <w:rsid w:val="000A2ACD"/>
    <w:rsid w:val="000A32DB"/>
    <w:rsid w:val="000A3A3F"/>
    <w:rsid w:val="000A3D07"/>
    <w:rsid w:val="000A3E89"/>
    <w:rsid w:val="000A400D"/>
    <w:rsid w:val="000A409E"/>
    <w:rsid w:val="000A4208"/>
    <w:rsid w:val="000A4464"/>
    <w:rsid w:val="000A4CB0"/>
    <w:rsid w:val="000A4EE7"/>
    <w:rsid w:val="000A53D1"/>
    <w:rsid w:val="000A55EB"/>
    <w:rsid w:val="000A5F8F"/>
    <w:rsid w:val="000A6B76"/>
    <w:rsid w:val="000A6D34"/>
    <w:rsid w:val="000A739B"/>
    <w:rsid w:val="000A7473"/>
    <w:rsid w:val="000A74D2"/>
    <w:rsid w:val="000A77E3"/>
    <w:rsid w:val="000A7C81"/>
    <w:rsid w:val="000A7DAC"/>
    <w:rsid w:val="000A7F4D"/>
    <w:rsid w:val="000A7FD2"/>
    <w:rsid w:val="000B006D"/>
    <w:rsid w:val="000B015D"/>
    <w:rsid w:val="000B10D8"/>
    <w:rsid w:val="000B11E2"/>
    <w:rsid w:val="000B19C6"/>
    <w:rsid w:val="000B1C67"/>
    <w:rsid w:val="000B1CF0"/>
    <w:rsid w:val="000B1D76"/>
    <w:rsid w:val="000B1FCF"/>
    <w:rsid w:val="000B2125"/>
    <w:rsid w:val="000B23D6"/>
    <w:rsid w:val="000B23DB"/>
    <w:rsid w:val="000B2837"/>
    <w:rsid w:val="000B2A2C"/>
    <w:rsid w:val="000B30D5"/>
    <w:rsid w:val="000B3403"/>
    <w:rsid w:val="000B3786"/>
    <w:rsid w:val="000B3D1C"/>
    <w:rsid w:val="000B41E9"/>
    <w:rsid w:val="000B432F"/>
    <w:rsid w:val="000B45AC"/>
    <w:rsid w:val="000B4859"/>
    <w:rsid w:val="000B4AAC"/>
    <w:rsid w:val="000B4F87"/>
    <w:rsid w:val="000B5109"/>
    <w:rsid w:val="000B545C"/>
    <w:rsid w:val="000B5A2A"/>
    <w:rsid w:val="000B5A36"/>
    <w:rsid w:val="000B5D1F"/>
    <w:rsid w:val="000B5E52"/>
    <w:rsid w:val="000B6CAD"/>
    <w:rsid w:val="000B713B"/>
    <w:rsid w:val="000B73A0"/>
    <w:rsid w:val="000B74F0"/>
    <w:rsid w:val="000B7B34"/>
    <w:rsid w:val="000C0DEF"/>
    <w:rsid w:val="000C0F1D"/>
    <w:rsid w:val="000C1B19"/>
    <w:rsid w:val="000C270A"/>
    <w:rsid w:val="000C2903"/>
    <w:rsid w:val="000C29C6"/>
    <w:rsid w:val="000C29FF"/>
    <w:rsid w:val="000C3A5F"/>
    <w:rsid w:val="000C3B41"/>
    <w:rsid w:val="000C3C5D"/>
    <w:rsid w:val="000C427F"/>
    <w:rsid w:val="000C4A05"/>
    <w:rsid w:val="000C4BD8"/>
    <w:rsid w:val="000C66A1"/>
    <w:rsid w:val="000C67F8"/>
    <w:rsid w:val="000C7820"/>
    <w:rsid w:val="000D0645"/>
    <w:rsid w:val="000D0714"/>
    <w:rsid w:val="000D0935"/>
    <w:rsid w:val="000D0BFF"/>
    <w:rsid w:val="000D0F50"/>
    <w:rsid w:val="000D0F6A"/>
    <w:rsid w:val="000D12D9"/>
    <w:rsid w:val="000D14D4"/>
    <w:rsid w:val="000D16FD"/>
    <w:rsid w:val="000D1B42"/>
    <w:rsid w:val="000D1E64"/>
    <w:rsid w:val="000D2092"/>
    <w:rsid w:val="000D2490"/>
    <w:rsid w:val="000D25B0"/>
    <w:rsid w:val="000D2717"/>
    <w:rsid w:val="000D4260"/>
    <w:rsid w:val="000D5AC2"/>
    <w:rsid w:val="000D5B8A"/>
    <w:rsid w:val="000D5B9E"/>
    <w:rsid w:val="000D5CAD"/>
    <w:rsid w:val="000D5ED4"/>
    <w:rsid w:val="000D6334"/>
    <w:rsid w:val="000D67B0"/>
    <w:rsid w:val="000D67D4"/>
    <w:rsid w:val="000D68CC"/>
    <w:rsid w:val="000D6B6B"/>
    <w:rsid w:val="000D6F71"/>
    <w:rsid w:val="000D715B"/>
    <w:rsid w:val="000D74DD"/>
    <w:rsid w:val="000D765D"/>
    <w:rsid w:val="000D79C9"/>
    <w:rsid w:val="000E0097"/>
    <w:rsid w:val="000E021F"/>
    <w:rsid w:val="000E0332"/>
    <w:rsid w:val="000E0419"/>
    <w:rsid w:val="000E0EF7"/>
    <w:rsid w:val="000E0FC8"/>
    <w:rsid w:val="000E1009"/>
    <w:rsid w:val="000E17B0"/>
    <w:rsid w:val="000E193B"/>
    <w:rsid w:val="000E19E4"/>
    <w:rsid w:val="000E1AE2"/>
    <w:rsid w:val="000E1C4F"/>
    <w:rsid w:val="000E1EEE"/>
    <w:rsid w:val="000E27DA"/>
    <w:rsid w:val="000E2F2A"/>
    <w:rsid w:val="000E2FEC"/>
    <w:rsid w:val="000E318C"/>
    <w:rsid w:val="000E388C"/>
    <w:rsid w:val="000E3B3B"/>
    <w:rsid w:val="000E3CAE"/>
    <w:rsid w:val="000E3E82"/>
    <w:rsid w:val="000E3F1F"/>
    <w:rsid w:val="000E40BB"/>
    <w:rsid w:val="000E47E2"/>
    <w:rsid w:val="000E49AD"/>
    <w:rsid w:val="000E4A89"/>
    <w:rsid w:val="000E4CAF"/>
    <w:rsid w:val="000E4D20"/>
    <w:rsid w:val="000E542B"/>
    <w:rsid w:val="000E5FEB"/>
    <w:rsid w:val="000E687E"/>
    <w:rsid w:val="000E694D"/>
    <w:rsid w:val="000E6968"/>
    <w:rsid w:val="000E69F2"/>
    <w:rsid w:val="000E7003"/>
    <w:rsid w:val="000E7031"/>
    <w:rsid w:val="000E724C"/>
    <w:rsid w:val="000E728A"/>
    <w:rsid w:val="000F05B9"/>
    <w:rsid w:val="000F0965"/>
    <w:rsid w:val="000F0AC7"/>
    <w:rsid w:val="000F0AEF"/>
    <w:rsid w:val="000F176F"/>
    <w:rsid w:val="000F1BF8"/>
    <w:rsid w:val="000F206E"/>
    <w:rsid w:val="000F21D1"/>
    <w:rsid w:val="000F2228"/>
    <w:rsid w:val="000F24A6"/>
    <w:rsid w:val="000F255D"/>
    <w:rsid w:val="000F267D"/>
    <w:rsid w:val="000F28A4"/>
    <w:rsid w:val="000F2E0A"/>
    <w:rsid w:val="000F2F0D"/>
    <w:rsid w:val="000F2FD4"/>
    <w:rsid w:val="000F3564"/>
    <w:rsid w:val="000F3A34"/>
    <w:rsid w:val="000F3BD2"/>
    <w:rsid w:val="000F3EEF"/>
    <w:rsid w:val="000F4188"/>
    <w:rsid w:val="000F43CA"/>
    <w:rsid w:val="000F4F77"/>
    <w:rsid w:val="000F5103"/>
    <w:rsid w:val="000F5125"/>
    <w:rsid w:val="000F5A2D"/>
    <w:rsid w:val="000F61C4"/>
    <w:rsid w:val="000F6B1D"/>
    <w:rsid w:val="000F6B42"/>
    <w:rsid w:val="000F6C92"/>
    <w:rsid w:val="000F6F65"/>
    <w:rsid w:val="000F741F"/>
    <w:rsid w:val="000F7749"/>
    <w:rsid w:val="000F77B3"/>
    <w:rsid w:val="000F7895"/>
    <w:rsid w:val="000F7910"/>
    <w:rsid w:val="000F798A"/>
    <w:rsid w:val="000F7D92"/>
    <w:rsid w:val="000F7E5E"/>
    <w:rsid w:val="001001A6"/>
    <w:rsid w:val="001009C9"/>
    <w:rsid w:val="00100ADD"/>
    <w:rsid w:val="00100B61"/>
    <w:rsid w:val="0010109E"/>
    <w:rsid w:val="0010123C"/>
    <w:rsid w:val="00101241"/>
    <w:rsid w:val="00101334"/>
    <w:rsid w:val="001014FC"/>
    <w:rsid w:val="001016BE"/>
    <w:rsid w:val="001016E9"/>
    <w:rsid w:val="00101C8E"/>
    <w:rsid w:val="00101CB5"/>
    <w:rsid w:val="0010203F"/>
    <w:rsid w:val="00102390"/>
    <w:rsid w:val="001026D9"/>
    <w:rsid w:val="00102AD6"/>
    <w:rsid w:val="00102BD3"/>
    <w:rsid w:val="00103688"/>
    <w:rsid w:val="00103DC5"/>
    <w:rsid w:val="00104FDA"/>
    <w:rsid w:val="00105DF0"/>
    <w:rsid w:val="00106080"/>
    <w:rsid w:val="00106276"/>
    <w:rsid w:val="00106876"/>
    <w:rsid w:val="00106F49"/>
    <w:rsid w:val="00107677"/>
    <w:rsid w:val="00107C61"/>
    <w:rsid w:val="00110180"/>
    <w:rsid w:val="00110189"/>
    <w:rsid w:val="00110A94"/>
    <w:rsid w:val="00110EBC"/>
    <w:rsid w:val="00110FC2"/>
    <w:rsid w:val="0011125B"/>
    <w:rsid w:val="00111266"/>
    <w:rsid w:val="001113A7"/>
    <w:rsid w:val="001116EE"/>
    <w:rsid w:val="0011249D"/>
    <w:rsid w:val="0011287E"/>
    <w:rsid w:val="00112A29"/>
    <w:rsid w:val="00112CD5"/>
    <w:rsid w:val="00112E7D"/>
    <w:rsid w:val="001132A7"/>
    <w:rsid w:val="00114A4F"/>
    <w:rsid w:val="00114CFE"/>
    <w:rsid w:val="00114D31"/>
    <w:rsid w:val="00115749"/>
    <w:rsid w:val="00116F6F"/>
    <w:rsid w:val="0011711F"/>
    <w:rsid w:val="001173F5"/>
    <w:rsid w:val="001175F9"/>
    <w:rsid w:val="001176AC"/>
    <w:rsid w:val="00117965"/>
    <w:rsid w:val="001179C1"/>
    <w:rsid w:val="001200CC"/>
    <w:rsid w:val="001204F4"/>
    <w:rsid w:val="00120647"/>
    <w:rsid w:val="00120A3B"/>
    <w:rsid w:val="00120ACD"/>
    <w:rsid w:val="00121732"/>
    <w:rsid w:val="0012181E"/>
    <w:rsid w:val="001221DF"/>
    <w:rsid w:val="0012220C"/>
    <w:rsid w:val="001225E6"/>
    <w:rsid w:val="0012262B"/>
    <w:rsid w:val="0012274F"/>
    <w:rsid w:val="001228CD"/>
    <w:rsid w:val="00122A65"/>
    <w:rsid w:val="00122BA4"/>
    <w:rsid w:val="00122DBB"/>
    <w:rsid w:val="00122E96"/>
    <w:rsid w:val="0012312D"/>
    <w:rsid w:val="00123358"/>
    <w:rsid w:val="001233EC"/>
    <w:rsid w:val="00124200"/>
    <w:rsid w:val="00124B13"/>
    <w:rsid w:val="00124DB3"/>
    <w:rsid w:val="001252F9"/>
    <w:rsid w:val="00125C41"/>
    <w:rsid w:val="00125F4C"/>
    <w:rsid w:val="001266BA"/>
    <w:rsid w:val="0012767A"/>
    <w:rsid w:val="001279F4"/>
    <w:rsid w:val="00127EE3"/>
    <w:rsid w:val="00127F09"/>
    <w:rsid w:val="00130042"/>
    <w:rsid w:val="00130167"/>
    <w:rsid w:val="0013115F"/>
    <w:rsid w:val="00131174"/>
    <w:rsid w:val="00131516"/>
    <w:rsid w:val="00131C1B"/>
    <w:rsid w:val="0013209B"/>
    <w:rsid w:val="00132143"/>
    <w:rsid w:val="00132511"/>
    <w:rsid w:val="0013286F"/>
    <w:rsid w:val="001339DC"/>
    <w:rsid w:val="00133BDE"/>
    <w:rsid w:val="001340C9"/>
    <w:rsid w:val="00134527"/>
    <w:rsid w:val="00134A01"/>
    <w:rsid w:val="00134CDD"/>
    <w:rsid w:val="001351EC"/>
    <w:rsid w:val="001357E9"/>
    <w:rsid w:val="00135849"/>
    <w:rsid w:val="00135AE8"/>
    <w:rsid w:val="001361EB"/>
    <w:rsid w:val="0013623A"/>
    <w:rsid w:val="001364C3"/>
    <w:rsid w:val="00136978"/>
    <w:rsid w:val="00136D9B"/>
    <w:rsid w:val="001379B9"/>
    <w:rsid w:val="00137E58"/>
    <w:rsid w:val="00140020"/>
    <w:rsid w:val="0014028C"/>
    <w:rsid w:val="001405DA"/>
    <w:rsid w:val="0014078D"/>
    <w:rsid w:val="00140877"/>
    <w:rsid w:val="00140D08"/>
    <w:rsid w:val="00141193"/>
    <w:rsid w:val="001411DA"/>
    <w:rsid w:val="00141274"/>
    <w:rsid w:val="00141948"/>
    <w:rsid w:val="00141960"/>
    <w:rsid w:val="0014196F"/>
    <w:rsid w:val="00141D3B"/>
    <w:rsid w:val="00142A03"/>
    <w:rsid w:val="00142E2E"/>
    <w:rsid w:val="00143475"/>
    <w:rsid w:val="00143715"/>
    <w:rsid w:val="00143C80"/>
    <w:rsid w:val="001445F6"/>
    <w:rsid w:val="001449E4"/>
    <w:rsid w:val="00144EDE"/>
    <w:rsid w:val="00145013"/>
    <w:rsid w:val="00145487"/>
    <w:rsid w:val="0014553D"/>
    <w:rsid w:val="00145750"/>
    <w:rsid w:val="00145811"/>
    <w:rsid w:val="00145D20"/>
    <w:rsid w:val="0014614D"/>
    <w:rsid w:val="00146465"/>
    <w:rsid w:val="001465B6"/>
    <w:rsid w:val="00146694"/>
    <w:rsid w:val="00146904"/>
    <w:rsid w:val="00146CEF"/>
    <w:rsid w:val="001472DB"/>
    <w:rsid w:val="001474CE"/>
    <w:rsid w:val="0014766D"/>
    <w:rsid w:val="00147AF8"/>
    <w:rsid w:val="00147B3B"/>
    <w:rsid w:val="001501A9"/>
    <w:rsid w:val="00150421"/>
    <w:rsid w:val="00150537"/>
    <w:rsid w:val="00150E3D"/>
    <w:rsid w:val="00151298"/>
    <w:rsid w:val="00151504"/>
    <w:rsid w:val="001516BF"/>
    <w:rsid w:val="001518D2"/>
    <w:rsid w:val="00151962"/>
    <w:rsid w:val="00151984"/>
    <w:rsid w:val="00151D96"/>
    <w:rsid w:val="00151E3D"/>
    <w:rsid w:val="00152254"/>
    <w:rsid w:val="0015233A"/>
    <w:rsid w:val="00152A33"/>
    <w:rsid w:val="00152CAF"/>
    <w:rsid w:val="00153DBB"/>
    <w:rsid w:val="00154389"/>
    <w:rsid w:val="00154764"/>
    <w:rsid w:val="00154F4C"/>
    <w:rsid w:val="00155358"/>
    <w:rsid w:val="001554DE"/>
    <w:rsid w:val="0015580F"/>
    <w:rsid w:val="00155C9A"/>
    <w:rsid w:val="00155E07"/>
    <w:rsid w:val="00155F10"/>
    <w:rsid w:val="00156158"/>
    <w:rsid w:val="00156667"/>
    <w:rsid w:val="001568EC"/>
    <w:rsid w:val="00156C54"/>
    <w:rsid w:val="00156F0E"/>
    <w:rsid w:val="00157557"/>
    <w:rsid w:val="00157A88"/>
    <w:rsid w:val="00157B4E"/>
    <w:rsid w:val="00157CEA"/>
    <w:rsid w:val="00160209"/>
    <w:rsid w:val="001602F3"/>
    <w:rsid w:val="001603AA"/>
    <w:rsid w:val="0016068C"/>
    <w:rsid w:val="001607B6"/>
    <w:rsid w:val="0016174D"/>
    <w:rsid w:val="00161A35"/>
    <w:rsid w:val="00161B68"/>
    <w:rsid w:val="00162496"/>
    <w:rsid w:val="0016263B"/>
    <w:rsid w:val="00162691"/>
    <w:rsid w:val="001630EB"/>
    <w:rsid w:val="0016322D"/>
    <w:rsid w:val="00163313"/>
    <w:rsid w:val="00163FF0"/>
    <w:rsid w:val="0016401F"/>
    <w:rsid w:val="0016428B"/>
    <w:rsid w:val="001643C1"/>
    <w:rsid w:val="00164741"/>
    <w:rsid w:val="00164836"/>
    <w:rsid w:val="00165B3D"/>
    <w:rsid w:val="00165C83"/>
    <w:rsid w:val="00166420"/>
    <w:rsid w:val="00166423"/>
    <w:rsid w:val="00167093"/>
    <w:rsid w:val="001671B2"/>
    <w:rsid w:val="001673E5"/>
    <w:rsid w:val="00167414"/>
    <w:rsid w:val="0016751D"/>
    <w:rsid w:val="00167EC1"/>
    <w:rsid w:val="001701D4"/>
    <w:rsid w:val="0017095C"/>
    <w:rsid w:val="00170C00"/>
    <w:rsid w:val="00170CE3"/>
    <w:rsid w:val="0017111B"/>
    <w:rsid w:val="0017160B"/>
    <w:rsid w:val="00171AA7"/>
    <w:rsid w:val="00171BF3"/>
    <w:rsid w:val="00171DB8"/>
    <w:rsid w:val="0017213B"/>
    <w:rsid w:val="00172823"/>
    <w:rsid w:val="00172A20"/>
    <w:rsid w:val="00172C89"/>
    <w:rsid w:val="00172D6C"/>
    <w:rsid w:val="00172DFB"/>
    <w:rsid w:val="0017368B"/>
    <w:rsid w:val="00173C23"/>
    <w:rsid w:val="0017400F"/>
    <w:rsid w:val="0017459E"/>
    <w:rsid w:val="00174757"/>
    <w:rsid w:val="00174939"/>
    <w:rsid w:val="00174C3E"/>
    <w:rsid w:val="00174CAE"/>
    <w:rsid w:val="00174D80"/>
    <w:rsid w:val="001755A7"/>
    <w:rsid w:val="00175628"/>
    <w:rsid w:val="00175B78"/>
    <w:rsid w:val="00175E50"/>
    <w:rsid w:val="00177384"/>
    <w:rsid w:val="001773B6"/>
    <w:rsid w:val="00177BB9"/>
    <w:rsid w:val="00177C44"/>
    <w:rsid w:val="001802DE"/>
    <w:rsid w:val="00180C24"/>
    <w:rsid w:val="00180EE5"/>
    <w:rsid w:val="0018126F"/>
    <w:rsid w:val="0018172B"/>
    <w:rsid w:val="00182327"/>
    <w:rsid w:val="001827F3"/>
    <w:rsid w:val="00182D5C"/>
    <w:rsid w:val="00183151"/>
    <w:rsid w:val="001832D1"/>
    <w:rsid w:val="00183376"/>
    <w:rsid w:val="001841ED"/>
    <w:rsid w:val="00184A64"/>
    <w:rsid w:val="00184D86"/>
    <w:rsid w:val="00184EC5"/>
    <w:rsid w:val="001852AD"/>
    <w:rsid w:val="00185606"/>
    <w:rsid w:val="001856EA"/>
    <w:rsid w:val="0018581E"/>
    <w:rsid w:val="00185D96"/>
    <w:rsid w:val="0018603F"/>
    <w:rsid w:val="00186081"/>
    <w:rsid w:val="0018646C"/>
    <w:rsid w:val="001867FC"/>
    <w:rsid w:val="001868F3"/>
    <w:rsid w:val="001870A4"/>
    <w:rsid w:val="001871C1"/>
    <w:rsid w:val="0018788D"/>
    <w:rsid w:val="001878ED"/>
    <w:rsid w:val="00187BDE"/>
    <w:rsid w:val="00187DD0"/>
    <w:rsid w:val="00190290"/>
    <w:rsid w:val="00190B46"/>
    <w:rsid w:val="00191592"/>
    <w:rsid w:val="00191F83"/>
    <w:rsid w:val="00192905"/>
    <w:rsid w:val="00192F5C"/>
    <w:rsid w:val="00193C42"/>
    <w:rsid w:val="00193CC2"/>
    <w:rsid w:val="001943AC"/>
    <w:rsid w:val="00194573"/>
    <w:rsid w:val="0019462B"/>
    <w:rsid w:val="00194785"/>
    <w:rsid w:val="001955AD"/>
    <w:rsid w:val="0019564B"/>
    <w:rsid w:val="00195D6A"/>
    <w:rsid w:val="00195EF7"/>
    <w:rsid w:val="00195F92"/>
    <w:rsid w:val="001961DF"/>
    <w:rsid w:val="00196610"/>
    <w:rsid w:val="00196C70"/>
    <w:rsid w:val="00196DA2"/>
    <w:rsid w:val="00197390"/>
    <w:rsid w:val="001973CE"/>
    <w:rsid w:val="0019758F"/>
    <w:rsid w:val="0019769E"/>
    <w:rsid w:val="001976B0"/>
    <w:rsid w:val="001976F2"/>
    <w:rsid w:val="00197C6A"/>
    <w:rsid w:val="001A0399"/>
    <w:rsid w:val="001A134A"/>
    <w:rsid w:val="001A1659"/>
    <w:rsid w:val="001A1ACE"/>
    <w:rsid w:val="001A222D"/>
    <w:rsid w:val="001A2B6D"/>
    <w:rsid w:val="001A3007"/>
    <w:rsid w:val="001A3298"/>
    <w:rsid w:val="001A35A4"/>
    <w:rsid w:val="001A37C4"/>
    <w:rsid w:val="001A3CE3"/>
    <w:rsid w:val="001A40D7"/>
    <w:rsid w:val="001A4645"/>
    <w:rsid w:val="001A4824"/>
    <w:rsid w:val="001A499F"/>
    <w:rsid w:val="001A4C12"/>
    <w:rsid w:val="001A53C1"/>
    <w:rsid w:val="001A54A4"/>
    <w:rsid w:val="001A58A1"/>
    <w:rsid w:val="001A64F1"/>
    <w:rsid w:val="001A654F"/>
    <w:rsid w:val="001A7060"/>
    <w:rsid w:val="001A7531"/>
    <w:rsid w:val="001A77F3"/>
    <w:rsid w:val="001A7866"/>
    <w:rsid w:val="001A791A"/>
    <w:rsid w:val="001A7FD8"/>
    <w:rsid w:val="001B0684"/>
    <w:rsid w:val="001B083D"/>
    <w:rsid w:val="001B0C1E"/>
    <w:rsid w:val="001B0F4C"/>
    <w:rsid w:val="001B1CD4"/>
    <w:rsid w:val="001B2A2D"/>
    <w:rsid w:val="001B2F30"/>
    <w:rsid w:val="001B340C"/>
    <w:rsid w:val="001B3C21"/>
    <w:rsid w:val="001B4130"/>
    <w:rsid w:val="001B4DA4"/>
    <w:rsid w:val="001B4ED4"/>
    <w:rsid w:val="001B5003"/>
    <w:rsid w:val="001B55B0"/>
    <w:rsid w:val="001B58F0"/>
    <w:rsid w:val="001B5924"/>
    <w:rsid w:val="001B60F1"/>
    <w:rsid w:val="001B62E8"/>
    <w:rsid w:val="001B63B6"/>
    <w:rsid w:val="001B6A1D"/>
    <w:rsid w:val="001B6E4B"/>
    <w:rsid w:val="001B7073"/>
    <w:rsid w:val="001B7331"/>
    <w:rsid w:val="001B7E46"/>
    <w:rsid w:val="001C0051"/>
    <w:rsid w:val="001C091B"/>
    <w:rsid w:val="001C169F"/>
    <w:rsid w:val="001C1741"/>
    <w:rsid w:val="001C198A"/>
    <w:rsid w:val="001C19BF"/>
    <w:rsid w:val="001C1B63"/>
    <w:rsid w:val="001C1CD2"/>
    <w:rsid w:val="001C1E35"/>
    <w:rsid w:val="001C204A"/>
    <w:rsid w:val="001C232C"/>
    <w:rsid w:val="001C24D3"/>
    <w:rsid w:val="001C2F40"/>
    <w:rsid w:val="001C32C9"/>
    <w:rsid w:val="001C351C"/>
    <w:rsid w:val="001C3C02"/>
    <w:rsid w:val="001C451F"/>
    <w:rsid w:val="001C525C"/>
    <w:rsid w:val="001C5F8F"/>
    <w:rsid w:val="001C6054"/>
    <w:rsid w:val="001C62FD"/>
    <w:rsid w:val="001C68C9"/>
    <w:rsid w:val="001C6AF4"/>
    <w:rsid w:val="001C7114"/>
    <w:rsid w:val="001C7C43"/>
    <w:rsid w:val="001C7D66"/>
    <w:rsid w:val="001D02C7"/>
    <w:rsid w:val="001D0763"/>
    <w:rsid w:val="001D0E81"/>
    <w:rsid w:val="001D17B2"/>
    <w:rsid w:val="001D24FA"/>
    <w:rsid w:val="001D2532"/>
    <w:rsid w:val="001D2CE9"/>
    <w:rsid w:val="001D3598"/>
    <w:rsid w:val="001D3732"/>
    <w:rsid w:val="001D3A88"/>
    <w:rsid w:val="001D3C49"/>
    <w:rsid w:val="001D3C7A"/>
    <w:rsid w:val="001D3F99"/>
    <w:rsid w:val="001D4102"/>
    <w:rsid w:val="001D432B"/>
    <w:rsid w:val="001D4880"/>
    <w:rsid w:val="001D4C74"/>
    <w:rsid w:val="001D5190"/>
    <w:rsid w:val="001D55F1"/>
    <w:rsid w:val="001D5741"/>
    <w:rsid w:val="001D585F"/>
    <w:rsid w:val="001D58C2"/>
    <w:rsid w:val="001D5D74"/>
    <w:rsid w:val="001D5DE2"/>
    <w:rsid w:val="001D5E0A"/>
    <w:rsid w:val="001D6423"/>
    <w:rsid w:val="001D690A"/>
    <w:rsid w:val="001D69AE"/>
    <w:rsid w:val="001D6A81"/>
    <w:rsid w:val="001D6D2F"/>
    <w:rsid w:val="001D7D1A"/>
    <w:rsid w:val="001E049D"/>
    <w:rsid w:val="001E0810"/>
    <w:rsid w:val="001E0E2E"/>
    <w:rsid w:val="001E1AD0"/>
    <w:rsid w:val="001E2338"/>
    <w:rsid w:val="001E2455"/>
    <w:rsid w:val="001E2A94"/>
    <w:rsid w:val="001E30CC"/>
    <w:rsid w:val="001E3928"/>
    <w:rsid w:val="001E3A2A"/>
    <w:rsid w:val="001E4A9B"/>
    <w:rsid w:val="001E5292"/>
    <w:rsid w:val="001E52FB"/>
    <w:rsid w:val="001E5706"/>
    <w:rsid w:val="001E5E7F"/>
    <w:rsid w:val="001E6358"/>
    <w:rsid w:val="001E653C"/>
    <w:rsid w:val="001E68CB"/>
    <w:rsid w:val="001E6945"/>
    <w:rsid w:val="001E6967"/>
    <w:rsid w:val="001E7D8B"/>
    <w:rsid w:val="001F12B9"/>
    <w:rsid w:val="001F132A"/>
    <w:rsid w:val="001F1C77"/>
    <w:rsid w:val="001F1EFE"/>
    <w:rsid w:val="001F21CD"/>
    <w:rsid w:val="001F25D6"/>
    <w:rsid w:val="001F2669"/>
    <w:rsid w:val="001F2946"/>
    <w:rsid w:val="001F2E74"/>
    <w:rsid w:val="001F3975"/>
    <w:rsid w:val="001F3C10"/>
    <w:rsid w:val="001F3D14"/>
    <w:rsid w:val="001F3FB8"/>
    <w:rsid w:val="001F527E"/>
    <w:rsid w:val="001F52B2"/>
    <w:rsid w:val="001F52C8"/>
    <w:rsid w:val="001F58AD"/>
    <w:rsid w:val="001F5AE3"/>
    <w:rsid w:val="001F5CCE"/>
    <w:rsid w:val="001F6CF3"/>
    <w:rsid w:val="001F7602"/>
    <w:rsid w:val="001F7B5F"/>
    <w:rsid w:val="001F7F63"/>
    <w:rsid w:val="0020119E"/>
    <w:rsid w:val="002012D3"/>
    <w:rsid w:val="002014A6"/>
    <w:rsid w:val="00201592"/>
    <w:rsid w:val="002016DB"/>
    <w:rsid w:val="0020177F"/>
    <w:rsid w:val="00201CC8"/>
    <w:rsid w:val="002022A8"/>
    <w:rsid w:val="002024D3"/>
    <w:rsid w:val="00202590"/>
    <w:rsid w:val="00202946"/>
    <w:rsid w:val="00202AFC"/>
    <w:rsid w:val="002032F0"/>
    <w:rsid w:val="00203652"/>
    <w:rsid w:val="0020427B"/>
    <w:rsid w:val="00204616"/>
    <w:rsid w:val="0020468A"/>
    <w:rsid w:val="00204E4C"/>
    <w:rsid w:val="00205065"/>
    <w:rsid w:val="002050C4"/>
    <w:rsid w:val="002055FC"/>
    <w:rsid w:val="00205845"/>
    <w:rsid w:val="00205D36"/>
    <w:rsid w:val="002061D0"/>
    <w:rsid w:val="00206C19"/>
    <w:rsid w:val="00206E04"/>
    <w:rsid w:val="00206E8E"/>
    <w:rsid w:val="002070EF"/>
    <w:rsid w:val="002077F1"/>
    <w:rsid w:val="002079F9"/>
    <w:rsid w:val="00207B47"/>
    <w:rsid w:val="00207C36"/>
    <w:rsid w:val="00210025"/>
    <w:rsid w:val="00210277"/>
    <w:rsid w:val="002102F1"/>
    <w:rsid w:val="002107D3"/>
    <w:rsid w:val="00210938"/>
    <w:rsid w:val="00210965"/>
    <w:rsid w:val="00210C62"/>
    <w:rsid w:val="00210CC4"/>
    <w:rsid w:val="00210E36"/>
    <w:rsid w:val="00210E9E"/>
    <w:rsid w:val="002112B2"/>
    <w:rsid w:val="002120CD"/>
    <w:rsid w:val="002122BD"/>
    <w:rsid w:val="00212471"/>
    <w:rsid w:val="00212CEC"/>
    <w:rsid w:val="002132BF"/>
    <w:rsid w:val="00213708"/>
    <w:rsid w:val="002138F3"/>
    <w:rsid w:val="00213D4E"/>
    <w:rsid w:val="00213EA4"/>
    <w:rsid w:val="002140BE"/>
    <w:rsid w:val="002143D9"/>
    <w:rsid w:val="00214939"/>
    <w:rsid w:val="00214BF3"/>
    <w:rsid w:val="00214F5E"/>
    <w:rsid w:val="0021507C"/>
    <w:rsid w:val="002151EA"/>
    <w:rsid w:val="002152DD"/>
    <w:rsid w:val="00216618"/>
    <w:rsid w:val="002168A3"/>
    <w:rsid w:val="0021762C"/>
    <w:rsid w:val="00217873"/>
    <w:rsid w:val="00217B6D"/>
    <w:rsid w:val="00220092"/>
    <w:rsid w:val="00220690"/>
    <w:rsid w:val="002206C8"/>
    <w:rsid w:val="002218AD"/>
    <w:rsid w:val="00221FD0"/>
    <w:rsid w:val="002224CA"/>
    <w:rsid w:val="00222573"/>
    <w:rsid w:val="002225D7"/>
    <w:rsid w:val="00222CA9"/>
    <w:rsid w:val="00222E29"/>
    <w:rsid w:val="002230A5"/>
    <w:rsid w:val="00223A69"/>
    <w:rsid w:val="00223C01"/>
    <w:rsid w:val="0022412D"/>
    <w:rsid w:val="0022492D"/>
    <w:rsid w:val="00226213"/>
    <w:rsid w:val="00226256"/>
    <w:rsid w:val="00226721"/>
    <w:rsid w:val="00226776"/>
    <w:rsid w:val="00226869"/>
    <w:rsid w:val="002269F0"/>
    <w:rsid w:val="00226A77"/>
    <w:rsid w:val="00226A9D"/>
    <w:rsid w:val="00226C41"/>
    <w:rsid w:val="00226EAA"/>
    <w:rsid w:val="00227392"/>
    <w:rsid w:val="00227DB7"/>
    <w:rsid w:val="0022DCBC"/>
    <w:rsid w:val="002300C1"/>
    <w:rsid w:val="0023040B"/>
    <w:rsid w:val="00231932"/>
    <w:rsid w:val="00231DFB"/>
    <w:rsid w:val="002325DE"/>
    <w:rsid w:val="00232C28"/>
    <w:rsid w:val="00232CFA"/>
    <w:rsid w:val="00232D67"/>
    <w:rsid w:val="002331BE"/>
    <w:rsid w:val="00233261"/>
    <w:rsid w:val="002337D8"/>
    <w:rsid w:val="00234252"/>
    <w:rsid w:val="002349FE"/>
    <w:rsid w:val="00234F59"/>
    <w:rsid w:val="00235669"/>
    <w:rsid w:val="00235926"/>
    <w:rsid w:val="00235CAB"/>
    <w:rsid w:val="00235F00"/>
    <w:rsid w:val="00235F80"/>
    <w:rsid w:val="00236011"/>
    <w:rsid w:val="0023613D"/>
    <w:rsid w:val="00236421"/>
    <w:rsid w:val="00236D86"/>
    <w:rsid w:val="0023727D"/>
    <w:rsid w:val="00237AB8"/>
    <w:rsid w:val="002410E1"/>
    <w:rsid w:val="00241265"/>
    <w:rsid w:val="00241553"/>
    <w:rsid w:val="002415FB"/>
    <w:rsid w:val="002419F8"/>
    <w:rsid w:val="00241D3D"/>
    <w:rsid w:val="00241E86"/>
    <w:rsid w:val="00241F0F"/>
    <w:rsid w:val="002424D1"/>
    <w:rsid w:val="002424F3"/>
    <w:rsid w:val="00242C97"/>
    <w:rsid w:val="002436E7"/>
    <w:rsid w:val="002437AA"/>
    <w:rsid w:val="0024448C"/>
    <w:rsid w:val="00244C21"/>
    <w:rsid w:val="00244F6C"/>
    <w:rsid w:val="002458A7"/>
    <w:rsid w:val="00245C39"/>
    <w:rsid w:val="00245DCD"/>
    <w:rsid w:val="00245DF6"/>
    <w:rsid w:val="00245E1B"/>
    <w:rsid w:val="0024631A"/>
    <w:rsid w:val="00246790"/>
    <w:rsid w:val="002469AC"/>
    <w:rsid w:val="00246E1C"/>
    <w:rsid w:val="00247027"/>
    <w:rsid w:val="0024708F"/>
    <w:rsid w:val="00247A21"/>
    <w:rsid w:val="00247A23"/>
    <w:rsid w:val="00247CB7"/>
    <w:rsid w:val="00247DE5"/>
    <w:rsid w:val="0025082C"/>
    <w:rsid w:val="00250E71"/>
    <w:rsid w:val="0025100D"/>
    <w:rsid w:val="002510CC"/>
    <w:rsid w:val="002511A9"/>
    <w:rsid w:val="00251695"/>
    <w:rsid w:val="002517AC"/>
    <w:rsid w:val="00251AA5"/>
    <w:rsid w:val="00251B36"/>
    <w:rsid w:val="00251B4F"/>
    <w:rsid w:val="00253078"/>
    <w:rsid w:val="002538BE"/>
    <w:rsid w:val="00254BC7"/>
    <w:rsid w:val="00255587"/>
    <w:rsid w:val="00257373"/>
    <w:rsid w:val="00260191"/>
    <w:rsid w:val="002603AB"/>
    <w:rsid w:val="00260A38"/>
    <w:rsid w:val="00260A6F"/>
    <w:rsid w:val="002612C3"/>
    <w:rsid w:val="002615EC"/>
    <w:rsid w:val="00261986"/>
    <w:rsid w:val="0026212B"/>
    <w:rsid w:val="00262390"/>
    <w:rsid w:val="002624A3"/>
    <w:rsid w:val="00262766"/>
    <w:rsid w:val="0026289C"/>
    <w:rsid w:val="00262A44"/>
    <w:rsid w:val="002633B2"/>
    <w:rsid w:val="00263B62"/>
    <w:rsid w:val="00264571"/>
    <w:rsid w:val="00264769"/>
    <w:rsid w:val="00265059"/>
    <w:rsid w:val="002656D2"/>
    <w:rsid w:val="00265C08"/>
    <w:rsid w:val="00265DBF"/>
    <w:rsid w:val="002666A6"/>
    <w:rsid w:val="00267020"/>
    <w:rsid w:val="00267044"/>
    <w:rsid w:val="00267094"/>
    <w:rsid w:val="002674DA"/>
    <w:rsid w:val="0026759F"/>
    <w:rsid w:val="00267C3D"/>
    <w:rsid w:val="0027053A"/>
    <w:rsid w:val="0027097C"/>
    <w:rsid w:val="00270B6C"/>
    <w:rsid w:val="002713C6"/>
    <w:rsid w:val="002714FF"/>
    <w:rsid w:val="00271A8C"/>
    <w:rsid w:val="00271B57"/>
    <w:rsid w:val="00271DF2"/>
    <w:rsid w:val="0027201A"/>
    <w:rsid w:val="002723B3"/>
    <w:rsid w:val="002733B7"/>
    <w:rsid w:val="00273555"/>
    <w:rsid w:val="002738AD"/>
    <w:rsid w:val="00273E8B"/>
    <w:rsid w:val="002740C8"/>
    <w:rsid w:val="002740E8"/>
    <w:rsid w:val="0027438D"/>
    <w:rsid w:val="002743D0"/>
    <w:rsid w:val="00274960"/>
    <w:rsid w:val="00275469"/>
    <w:rsid w:val="00275963"/>
    <w:rsid w:val="00275DAC"/>
    <w:rsid w:val="00275EE1"/>
    <w:rsid w:val="00276C38"/>
    <w:rsid w:val="00276E1D"/>
    <w:rsid w:val="00277103"/>
    <w:rsid w:val="00277155"/>
    <w:rsid w:val="00277541"/>
    <w:rsid w:val="002776A1"/>
    <w:rsid w:val="00277C93"/>
    <w:rsid w:val="00277E91"/>
    <w:rsid w:val="00280211"/>
    <w:rsid w:val="0028118A"/>
    <w:rsid w:val="00281339"/>
    <w:rsid w:val="002813EB"/>
    <w:rsid w:val="002818B0"/>
    <w:rsid w:val="00282836"/>
    <w:rsid w:val="002833C8"/>
    <w:rsid w:val="0028362B"/>
    <w:rsid w:val="0028379D"/>
    <w:rsid w:val="00283A4E"/>
    <w:rsid w:val="00283E82"/>
    <w:rsid w:val="00284686"/>
    <w:rsid w:val="002847B2"/>
    <w:rsid w:val="00284A16"/>
    <w:rsid w:val="00285715"/>
    <w:rsid w:val="00285E29"/>
    <w:rsid w:val="00285E44"/>
    <w:rsid w:val="00285F57"/>
    <w:rsid w:val="00286031"/>
    <w:rsid w:val="0028658E"/>
    <w:rsid w:val="0028707C"/>
    <w:rsid w:val="00287296"/>
    <w:rsid w:val="00287A41"/>
    <w:rsid w:val="00287B23"/>
    <w:rsid w:val="0029032A"/>
    <w:rsid w:val="0029054E"/>
    <w:rsid w:val="00290B6F"/>
    <w:rsid w:val="00290DF6"/>
    <w:rsid w:val="0029196D"/>
    <w:rsid w:val="00291A59"/>
    <w:rsid w:val="00292590"/>
    <w:rsid w:val="00292C3C"/>
    <w:rsid w:val="002931F8"/>
    <w:rsid w:val="00293434"/>
    <w:rsid w:val="00293D57"/>
    <w:rsid w:val="00293F2D"/>
    <w:rsid w:val="00294215"/>
    <w:rsid w:val="00294390"/>
    <w:rsid w:val="0029467E"/>
    <w:rsid w:val="0029475D"/>
    <w:rsid w:val="0029489C"/>
    <w:rsid w:val="00294B92"/>
    <w:rsid w:val="00294DE4"/>
    <w:rsid w:val="0029517F"/>
    <w:rsid w:val="00295617"/>
    <w:rsid w:val="00295837"/>
    <w:rsid w:val="00295D03"/>
    <w:rsid w:val="00295E7E"/>
    <w:rsid w:val="0029615C"/>
    <w:rsid w:val="00296170"/>
    <w:rsid w:val="00296171"/>
    <w:rsid w:val="00296524"/>
    <w:rsid w:val="00296912"/>
    <w:rsid w:val="00296E05"/>
    <w:rsid w:val="00296FB9"/>
    <w:rsid w:val="00297174"/>
    <w:rsid w:val="00297805"/>
    <w:rsid w:val="00297BF6"/>
    <w:rsid w:val="002A00E6"/>
    <w:rsid w:val="002A0406"/>
    <w:rsid w:val="002A0ADA"/>
    <w:rsid w:val="002A0EAE"/>
    <w:rsid w:val="002A172C"/>
    <w:rsid w:val="002A18E0"/>
    <w:rsid w:val="002A1D3E"/>
    <w:rsid w:val="002A1DF0"/>
    <w:rsid w:val="002A1F8A"/>
    <w:rsid w:val="002A24F2"/>
    <w:rsid w:val="002A2CA6"/>
    <w:rsid w:val="002A313D"/>
    <w:rsid w:val="002A3FC7"/>
    <w:rsid w:val="002A419F"/>
    <w:rsid w:val="002A41D5"/>
    <w:rsid w:val="002A44C7"/>
    <w:rsid w:val="002A470E"/>
    <w:rsid w:val="002A4811"/>
    <w:rsid w:val="002A4D42"/>
    <w:rsid w:val="002A5785"/>
    <w:rsid w:val="002A5C0C"/>
    <w:rsid w:val="002A5D84"/>
    <w:rsid w:val="002A61EE"/>
    <w:rsid w:val="002A635F"/>
    <w:rsid w:val="002A6366"/>
    <w:rsid w:val="002A66A6"/>
    <w:rsid w:val="002A6EDB"/>
    <w:rsid w:val="002A6FD9"/>
    <w:rsid w:val="002A76D2"/>
    <w:rsid w:val="002B0985"/>
    <w:rsid w:val="002B11B3"/>
    <w:rsid w:val="002B1364"/>
    <w:rsid w:val="002B1C89"/>
    <w:rsid w:val="002B2481"/>
    <w:rsid w:val="002B24EC"/>
    <w:rsid w:val="002B277E"/>
    <w:rsid w:val="002B2863"/>
    <w:rsid w:val="002B2F63"/>
    <w:rsid w:val="002B2F75"/>
    <w:rsid w:val="002B30E4"/>
    <w:rsid w:val="002B3E16"/>
    <w:rsid w:val="002B46E7"/>
    <w:rsid w:val="002B4AF6"/>
    <w:rsid w:val="002B4E37"/>
    <w:rsid w:val="002B5021"/>
    <w:rsid w:val="002B50FA"/>
    <w:rsid w:val="002B5230"/>
    <w:rsid w:val="002B52E1"/>
    <w:rsid w:val="002B53EE"/>
    <w:rsid w:val="002B57CA"/>
    <w:rsid w:val="002B5BB7"/>
    <w:rsid w:val="002B5BC2"/>
    <w:rsid w:val="002B5C59"/>
    <w:rsid w:val="002B5F31"/>
    <w:rsid w:val="002B6071"/>
    <w:rsid w:val="002B6303"/>
    <w:rsid w:val="002B63B3"/>
    <w:rsid w:val="002B6672"/>
    <w:rsid w:val="002B6733"/>
    <w:rsid w:val="002B7173"/>
    <w:rsid w:val="002B7727"/>
    <w:rsid w:val="002B7933"/>
    <w:rsid w:val="002C019E"/>
    <w:rsid w:val="002C048E"/>
    <w:rsid w:val="002C06F1"/>
    <w:rsid w:val="002C081C"/>
    <w:rsid w:val="002C08C9"/>
    <w:rsid w:val="002C0B02"/>
    <w:rsid w:val="002C0BE9"/>
    <w:rsid w:val="002C13BB"/>
    <w:rsid w:val="002C14BD"/>
    <w:rsid w:val="002C1514"/>
    <w:rsid w:val="002C16D1"/>
    <w:rsid w:val="002C1BCA"/>
    <w:rsid w:val="002C1C67"/>
    <w:rsid w:val="002C1CC7"/>
    <w:rsid w:val="002C201E"/>
    <w:rsid w:val="002C2542"/>
    <w:rsid w:val="002C2E8B"/>
    <w:rsid w:val="002C3C17"/>
    <w:rsid w:val="002C40E5"/>
    <w:rsid w:val="002C465C"/>
    <w:rsid w:val="002C4E34"/>
    <w:rsid w:val="002C55C5"/>
    <w:rsid w:val="002C569D"/>
    <w:rsid w:val="002C5CDD"/>
    <w:rsid w:val="002C5D03"/>
    <w:rsid w:val="002C5ED2"/>
    <w:rsid w:val="002C662E"/>
    <w:rsid w:val="002C6C3F"/>
    <w:rsid w:val="002C7401"/>
    <w:rsid w:val="002D007E"/>
    <w:rsid w:val="002D00B3"/>
    <w:rsid w:val="002D0AD0"/>
    <w:rsid w:val="002D0D97"/>
    <w:rsid w:val="002D1161"/>
    <w:rsid w:val="002D1300"/>
    <w:rsid w:val="002D1793"/>
    <w:rsid w:val="002D1898"/>
    <w:rsid w:val="002D1E20"/>
    <w:rsid w:val="002D2BD8"/>
    <w:rsid w:val="002D2F23"/>
    <w:rsid w:val="002D3016"/>
    <w:rsid w:val="002D3341"/>
    <w:rsid w:val="002D35FF"/>
    <w:rsid w:val="002D3D1A"/>
    <w:rsid w:val="002D3F7D"/>
    <w:rsid w:val="002D411F"/>
    <w:rsid w:val="002D45B1"/>
    <w:rsid w:val="002D500D"/>
    <w:rsid w:val="002D51F5"/>
    <w:rsid w:val="002D5FA8"/>
    <w:rsid w:val="002D6352"/>
    <w:rsid w:val="002D69DA"/>
    <w:rsid w:val="002D75DA"/>
    <w:rsid w:val="002D7838"/>
    <w:rsid w:val="002D796D"/>
    <w:rsid w:val="002D7EDB"/>
    <w:rsid w:val="002E143C"/>
    <w:rsid w:val="002E1497"/>
    <w:rsid w:val="002E1ADE"/>
    <w:rsid w:val="002E1D10"/>
    <w:rsid w:val="002E1F0C"/>
    <w:rsid w:val="002E207A"/>
    <w:rsid w:val="002E27E7"/>
    <w:rsid w:val="002E2817"/>
    <w:rsid w:val="002E2888"/>
    <w:rsid w:val="002E2A08"/>
    <w:rsid w:val="002E2C69"/>
    <w:rsid w:val="002E3912"/>
    <w:rsid w:val="002E42DE"/>
    <w:rsid w:val="002E4988"/>
    <w:rsid w:val="002E4FB3"/>
    <w:rsid w:val="002E56CB"/>
    <w:rsid w:val="002E5B7B"/>
    <w:rsid w:val="002E5C77"/>
    <w:rsid w:val="002E6D13"/>
    <w:rsid w:val="002E730F"/>
    <w:rsid w:val="002E76D9"/>
    <w:rsid w:val="002E77F6"/>
    <w:rsid w:val="002E7B7F"/>
    <w:rsid w:val="002E7E16"/>
    <w:rsid w:val="002F0159"/>
    <w:rsid w:val="002F0674"/>
    <w:rsid w:val="002F20AA"/>
    <w:rsid w:val="002F23E5"/>
    <w:rsid w:val="002F2E32"/>
    <w:rsid w:val="002F3124"/>
    <w:rsid w:val="002F313B"/>
    <w:rsid w:val="002F3FAC"/>
    <w:rsid w:val="002F4116"/>
    <w:rsid w:val="002F4160"/>
    <w:rsid w:val="002F41C6"/>
    <w:rsid w:val="002F4257"/>
    <w:rsid w:val="002F4511"/>
    <w:rsid w:val="002F4917"/>
    <w:rsid w:val="002F494D"/>
    <w:rsid w:val="002F5365"/>
    <w:rsid w:val="002F55CF"/>
    <w:rsid w:val="002F5602"/>
    <w:rsid w:val="002F58AC"/>
    <w:rsid w:val="002F5BF5"/>
    <w:rsid w:val="002F5E41"/>
    <w:rsid w:val="002F60E6"/>
    <w:rsid w:val="002F650B"/>
    <w:rsid w:val="002F69F7"/>
    <w:rsid w:val="002F6B8B"/>
    <w:rsid w:val="002F7569"/>
    <w:rsid w:val="002F7844"/>
    <w:rsid w:val="002F78D8"/>
    <w:rsid w:val="002F7CED"/>
    <w:rsid w:val="0030000D"/>
    <w:rsid w:val="00300674"/>
    <w:rsid w:val="00300817"/>
    <w:rsid w:val="003008D1"/>
    <w:rsid w:val="00300D32"/>
    <w:rsid w:val="00301138"/>
    <w:rsid w:val="00302A2D"/>
    <w:rsid w:val="00302AA3"/>
    <w:rsid w:val="00302E1D"/>
    <w:rsid w:val="00303093"/>
    <w:rsid w:val="003033AE"/>
    <w:rsid w:val="003033C5"/>
    <w:rsid w:val="00303467"/>
    <w:rsid w:val="003047F7"/>
    <w:rsid w:val="00305231"/>
    <w:rsid w:val="0030557A"/>
    <w:rsid w:val="00305AD0"/>
    <w:rsid w:val="00305F64"/>
    <w:rsid w:val="00306270"/>
    <w:rsid w:val="00307654"/>
    <w:rsid w:val="00307900"/>
    <w:rsid w:val="00307BAF"/>
    <w:rsid w:val="0031002A"/>
    <w:rsid w:val="00310934"/>
    <w:rsid w:val="0031120B"/>
    <w:rsid w:val="0031123D"/>
    <w:rsid w:val="003113BE"/>
    <w:rsid w:val="003118CC"/>
    <w:rsid w:val="00312E4C"/>
    <w:rsid w:val="00312E74"/>
    <w:rsid w:val="003131AD"/>
    <w:rsid w:val="00313970"/>
    <w:rsid w:val="00313A80"/>
    <w:rsid w:val="00314873"/>
    <w:rsid w:val="0031497D"/>
    <w:rsid w:val="00314A99"/>
    <w:rsid w:val="003151D5"/>
    <w:rsid w:val="00315FBF"/>
    <w:rsid w:val="0031692A"/>
    <w:rsid w:val="003169B1"/>
    <w:rsid w:val="003176F9"/>
    <w:rsid w:val="00317C77"/>
    <w:rsid w:val="00317C83"/>
    <w:rsid w:val="00317CBE"/>
    <w:rsid w:val="00320370"/>
    <w:rsid w:val="0032062D"/>
    <w:rsid w:val="00321185"/>
    <w:rsid w:val="00321663"/>
    <w:rsid w:val="003217A6"/>
    <w:rsid w:val="00321F9B"/>
    <w:rsid w:val="00322682"/>
    <w:rsid w:val="00322C28"/>
    <w:rsid w:val="00322E16"/>
    <w:rsid w:val="00323583"/>
    <w:rsid w:val="003235E7"/>
    <w:rsid w:val="00323958"/>
    <w:rsid w:val="00323B74"/>
    <w:rsid w:val="00323EB5"/>
    <w:rsid w:val="0032440D"/>
    <w:rsid w:val="00324647"/>
    <w:rsid w:val="00324806"/>
    <w:rsid w:val="003251C5"/>
    <w:rsid w:val="0032543E"/>
    <w:rsid w:val="00325650"/>
    <w:rsid w:val="00325801"/>
    <w:rsid w:val="00325A75"/>
    <w:rsid w:val="00325CA8"/>
    <w:rsid w:val="00325DA7"/>
    <w:rsid w:val="00326137"/>
    <w:rsid w:val="00326AA1"/>
    <w:rsid w:val="00326EA1"/>
    <w:rsid w:val="00326EC3"/>
    <w:rsid w:val="0032714E"/>
    <w:rsid w:val="00327835"/>
    <w:rsid w:val="00327851"/>
    <w:rsid w:val="0032792A"/>
    <w:rsid w:val="00327C36"/>
    <w:rsid w:val="00327DF3"/>
    <w:rsid w:val="0033089E"/>
    <w:rsid w:val="00330B59"/>
    <w:rsid w:val="0033124C"/>
    <w:rsid w:val="00331746"/>
    <w:rsid w:val="0033191E"/>
    <w:rsid w:val="00331A92"/>
    <w:rsid w:val="00331B80"/>
    <w:rsid w:val="00331EAA"/>
    <w:rsid w:val="00331EAE"/>
    <w:rsid w:val="00332370"/>
    <w:rsid w:val="0033309E"/>
    <w:rsid w:val="00333626"/>
    <w:rsid w:val="00333EA2"/>
    <w:rsid w:val="003340DA"/>
    <w:rsid w:val="003345DF"/>
    <w:rsid w:val="00334AA3"/>
    <w:rsid w:val="00334F38"/>
    <w:rsid w:val="0033544A"/>
    <w:rsid w:val="003354ED"/>
    <w:rsid w:val="0033692B"/>
    <w:rsid w:val="00336ADC"/>
    <w:rsid w:val="00336F6C"/>
    <w:rsid w:val="0033746D"/>
    <w:rsid w:val="00337B65"/>
    <w:rsid w:val="00337CA0"/>
    <w:rsid w:val="00340359"/>
    <w:rsid w:val="00340544"/>
    <w:rsid w:val="00340FD0"/>
    <w:rsid w:val="00341667"/>
    <w:rsid w:val="00341711"/>
    <w:rsid w:val="00341767"/>
    <w:rsid w:val="00342015"/>
    <w:rsid w:val="00342830"/>
    <w:rsid w:val="00342B62"/>
    <w:rsid w:val="00342BFC"/>
    <w:rsid w:val="0034304E"/>
    <w:rsid w:val="003436B2"/>
    <w:rsid w:val="00343E3E"/>
    <w:rsid w:val="00343EB9"/>
    <w:rsid w:val="003444DD"/>
    <w:rsid w:val="003445E3"/>
    <w:rsid w:val="0034480E"/>
    <w:rsid w:val="00344A9D"/>
    <w:rsid w:val="00345350"/>
    <w:rsid w:val="00345D55"/>
    <w:rsid w:val="003461FF"/>
    <w:rsid w:val="003464DF"/>
    <w:rsid w:val="0034697C"/>
    <w:rsid w:val="003469BB"/>
    <w:rsid w:val="00347463"/>
    <w:rsid w:val="00347C5C"/>
    <w:rsid w:val="003509AE"/>
    <w:rsid w:val="003515A4"/>
    <w:rsid w:val="00351BA5"/>
    <w:rsid w:val="0035250E"/>
    <w:rsid w:val="00352AA3"/>
    <w:rsid w:val="00352D6E"/>
    <w:rsid w:val="003532CC"/>
    <w:rsid w:val="0035366D"/>
    <w:rsid w:val="0035370A"/>
    <w:rsid w:val="00353CFE"/>
    <w:rsid w:val="003540BE"/>
    <w:rsid w:val="0035413E"/>
    <w:rsid w:val="003541D3"/>
    <w:rsid w:val="00354B46"/>
    <w:rsid w:val="00354F0A"/>
    <w:rsid w:val="00355331"/>
    <w:rsid w:val="0035565B"/>
    <w:rsid w:val="0035568C"/>
    <w:rsid w:val="00355991"/>
    <w:rsid w:val="00355D64"/>
    <w:rsid w:val="0035601C"/>
    <w:rsid w:val="003563EF"/>
    <w:rsid w:val="003564B0"/>
    <w:rsid w:val="003564E3"/>
    <w:rsid w:val="00356681"/>
    <w:rsid w:val="00356A42"/>
    <w:rsid w:val="00356B79"/>
    <w:rsid w:val="003573D3"/>
    <w:rsid w:val="00357A21"/>
    <w:rsid w:val="003602E2"/>
    <w:rsid w:val="00360967"/>
    <w:rsid w:val="00360981"/>
    <w:rsid w:val="0036108C"/>
    <w:rsid w:val="003611A0"/>
    <w:rsid w:val="0036123E"/>
    <w:rsid w:val="003619FE"/>
    <w:rsid w:val="00361A08"/>
    <w:rsid w:val="00361A6E"/>
    <w:rsid w:val="00362A74"/>
    <w:rsid w:val="00362D94"/>
    <w:rsid w:val="00362DDB"/>
    <w:rsid w:val="00362E2E"/>
    <w:rsid w:val="003633CF"/>
    <w:rsid w:val="00363833"/>
    <w:rsid w:val="00363880"/>
    <w:rsid w:val="0036389F"/>
    <w:rsid w:val="00363B9A"/>
    <w:rsid w:val="003644E6"/>
    <w:rsid w:val="0036467A"/>
    <w:rsid w:val="003649DE"/>
    <w:rsid w:val="00364BD9"/>
    <w:rsid w:val="00364D80"/>
    <w:rsid w:val="0036519D"/>
    <w:rsid w:val="00365570"/>
    <w:rsid w:val="00365BD9"/>
    <w:rsid w:val="00365D5B"/>
    <w:rsid w:val="00366510"/>
    <w:rsid w:val="00366DD1"/>
    <w:rsid w:val="00367742"/>
    <w:rsid w:val="0036780D"/>
    <w:rsid w:val="003678B8"/>
    <w:rsid w:val="00367B30"/>
    <w:rsid w:val="00367F61"/>
    <w:rsid w:val="00370B78"/>
    <w:rsid w:val="003710D6"/>
    <w:rsid w:val="003711ED"/>
    <w:rsid w:val="00372043"/>
    <w:rsid w:val="00372A78"/>
    <w:rsid w:val="00372BAD"/>
    <w:rsid w:val="00373ACF"/>
    <w:rsid w:val="00374141"/>
    <w:rsid w:val="00374A8F"/>
    <w:rsid w:val="00374A9E"/>
    <w:rsid w:val="00374E7A"/>
    <w:rsid w:val="0037574A"/>
    <w:rsid w:val="00375850"/>
    <w:rsid w:val="00375B95"/>
    <w:rsid w:val="00375C74"/>
    <w:rsid w:val="00375DE6"/>
    <w:rsid w:val="00376129"/>
    <w:rsid w:val="003767F2"/>
    <w:rsid w:val="00376C1F"/>
    <w:rsid w:val="00376E46"/>
    <w:rsid w:val="00377066"/>
    <w:rsid w:val="0037774E"/>
    <w:rsid w:val="00377DD4"/>
    <w:rsid w:val="00377E4A"/>
    <w:rsid w:val="00380066"/>
    <w:rsid w:val="00380641"/>
    <w:rsid w:val="0038086D"/>
    <w:rsid w:val="00380919"/>
    <w:rsid w:val="00380B90"/>
    <w:rsid w:val="0038108D"/>
    <w:rsid w:val="003811CA"/>
    <w:rsid w:val="00381279"/>
    <w:rsid w:val="003819B2"/>
    <w:rsid w:val="0038211B"/>
    <w:rsid w:val="00382C40"/>
    <w:rsid w:val="003834BC"/>
    <w:rsid w:val="003838FB"/>
    <w:rsid w:val="00384113"/>
    <w:rsid w:val="00384212"/>
    <w:rsid w:val="003847DA"/>
    <w:rsid w:val="00384E2E"/>
    <w:rsid w:val="0038502E"/>
    <w:rsid w:val="003853CA"/>
    <w:rsid w:val="00385440"/>
    <w:rsid w:val="00385712"/>
    <w:rsid w:val="0038589A"/>
    <w:rsid w:val="003863C6"/>
    <w:rsid w:val="00386721"/>
    <w:rsid w:val="003868B6"/>
    <w:rsid w:val="003868E4"/>
    <w:rsid w:val="003869F9"/>
    <w:rsid w:val="00386CE7"/>
    <w:rsid w:val="00387505"/>
    <w:rsid w:val="00387796"/>
    <w:rsid w:val="00387820"/>
    <w:rsid w:val="00387837"/>
    <w:rsid w:val="0039017D"/>
    <w:rsid w:val="003901F9"/>
    <w:rsid w:val="003906C1"/>
    <w:rsid w:val="0039080E"/>
    <w:rsid w:val="00390AAD"/>
    <w:rsid w:val="00390BEB"/>
    <w:rsid w:val="00390CAF"/>
    <w:rsid w:val="00391010"/>
    <w:rsid w:val="00391015"/>
    <w:rsid w:val="00391145"/>
    <w:rsid w:val="0039138C"/>
    <w:rsid w:val="00391C42"/>
    <w:rsid w:val="00391E0D"/>
    <w:rsid w:val="00391E30"/>
    <w:rsid w:val="00392032"/>
    <w:rsid w:val="00392205"/>
    <w:rsid w:val="00392AE4"/>
    <w:rsid w:val="00392DDF"/>
    <w:rsid w:val="003936DA"/>
    <w:rsid w:val="0039407D"/>
    <w:rsid w:val="00395C91"/>
    <w:rsid w:val="00395FAC"/>
    <w:rsid w:val="00396461"/>
    <w:rsid w:val="00396A1C"/>
    <w:rsid w:val="00396DF7"/>
    <w:rsid w:val="00397F01"/>
    <w:rsid w:val="003A01DA"/>
    <w:rsid w:val="003A07F3"/>
    <w:rsid w:val="003A0878"/>
    <w:rsid w:val="003A156E"/>
    <w:rsid w:val="003A1C8F"/>
    <w:rsid w:val="003A1E2B"/>
    <w:rsid w:val="003A2779"/>
    <w:rsid w:val="003A2BDD"/>
    <w:rsid w:val="003A3169"/>
    <w:rsid w:val="003A318C"/>
    <w:rsid w:val="003A3618"/>
    <w:rsid w:val="003A378F"/>
    <w:rsid w:val="003A3CA2"/>
    <w:rsid w:val="003A3F3C"/>
    <w:rsid w:val="003A3FA3"/>
    <w:rsid w:val="003A3FA8"/>
    <w:rsid w:val="003A4066"/>
    <w:rsid w:val="003A429D"/>
    <w:rsid w:val="003A5055"/>
    <w:rsid w:val="003A53F6"/>
    <w:rsid w:val="003A58D2"/>
    <w:rsid w:val="003A5E47"/>
    <w:rsid w:val="003A61B4"/>
    <w:rsid w:val="003A6506"/>
    <w:rsid w:val="003A69C7"/>
    <w:rsid w:val="003A77C2"/>
    <w:rsid w:val="003A77FF"/>
    <w:rsid w:val="003A782F"/>
    <w:rsid w:val="003B0406"/>
    <w:rsid w:val="003B072D"/>
    <w:rsid w:val="003B0B46"/>
    <w:rsid w:val="003B1303"/>
    <w:rsid w:val="003B2369"/>
    <w:rsid w:val="003B24A5"/>
    <w:rsid w:val="003B272E"/>
    <w:rsid w:val="003B2C57"/>
    <w:rsid w:val="003B3360"/>
    <w:rsid w:val="003B433A"/>
    <w:rsid w:val="003B4398"/>
    <w:rsid w:val="003B4B18"/>
    <w:rsid w:val="003B4D26"/>
    <w:rsid w:val="003B4D7F"/>
    <w:rsid w:val="003B4DE8"/>
    <w:rsid w:val="003B5021"/>
    <w:rsid w:val="003B521C"/>
    <w:rsid w:val="003B5303"/>
    <w:rsid w:val="003B6AD7"/>
    <w:rsid w:val="003B7550"/>
    <w:rsid w:val="003B790F"/>
    <w:rsid w:val="003B7A69"/>
    <w:rsid w:val="003C0FB2"/>
    <w:rsid w:val="003C1A28"/>
    <w:rsid w:val="003C1A61"/>
    <w:rsid w:val="003C1AFC"/>
    <w:rsid w:val="003C1D1D"/>
    <w:rsid w:val="003C1ED7"/>
    <w:rsid w:val="003C2112"/>
    <w:rsid w:val="003C223B"/>
    <w:rsid w:val="003C228C"/>
    <w:rsid w:val="003C25E8"/>
    <w:rsid w:val="003C2D50"/>
    <w:rsid w:val="003C3317"/>
    <w:rsid w:val="003C342D"/>
    <w:rsid w:val="003C3BAA"/>
    <w:rsid w:val="003C3C91"/>
    <w:rsid w:val="003C3EA3"/>
    <w:rsid w:val="003C47F6"/>
    <w:rsid w:val="003C4CCC"/>
    <w:rsid w:val="003C50F1"/>
    <w:rsid w:val="003C5306"/>
    <w:rsid w:val="003C5642"/>
    <w:rsid w:val="003C5A70"/>
    <w:rsid w:val="003C75A4"/>
    <w:rsid w:val="003C75C1"/>
    <w:rsid w:val="003C7E58"/>
    <w:rsid w:val="003C7EA1"/>
    <w:rsid w:val="003D0595"/>
    <w:rsid w:val="003D133D"/>
    <w:rsid w:val="003D1348"/>
    <w:rsid w:val="003D196B"/>
    <w:rsid w:val="003D1CF1"/>
    <w:rsid w:val="003D1F5B"/>
    <w:rsid w:val="003D2066"/>
    <w:rsid w:val="003D2718"/>
    <w:rsid w:val="003D3FA2"/>
    <w:rsid w:val="003D412C"/>
    <w:rsid w:val="003D45FE"/>
    <w:rsid w:val="003D481C"/>
    <w:rsid w:val="003D5A8A"/>
    <w:rsid w:val="003D5B47"/>
    <w:rsid w:val="003D6B77"/>
    <w:rsid w:val="003D6BAD"/>
    <w:rsid w:val="003D6EA5"/>
    <w:rsid w:val="003D71B8"/>
    <w:rsid w:val="003D74ED"/>
    <w:rsid w:val="003D7803"/>
    <w:rsid w:val="003D7C2C"/>
    <w:rsid w:val="003D7C4C"/>
    <w:rsid w:val="003E0440"/>
    <w:rsid w:val="003E0511"/>
    <w:rsid w:val="003E08BC"/>
    <w:rsid w:val="003E0A04"/>
    <w:rsid w:val="003E1164"/>
    <w:rsid w:val="003E1707"/>
    <w:rsid w:val="003E190D"/>
    <w:rsid w:val="003E274F"/>
    <w:rsid w:val="003E27C2"/>
    <w:rsid w:val="003E285F"/>
    <w:rsid w:val="003E286E"/>
    <w:rsid w:val="003E2880"/>
    <w:rsid w:val="003E2C16"/>
    <w:rsid w:val="003E2E57"/>
    <w:rsid w:val="003E3382"/>
    <w:rsid w:val="003E3688"/>
    <w:rsid w:val="003E38CE"/>
    <w:rsid w:val="003E405D"/>
    <w:rsid w:val="003E41AF"/>
    <w:rsid w:val="003E4FAE"/>
    <w:rsid w:val="003E5297"/>
    <w:rsid w:val="003E56A7"/>
    <w:rsid w:val="003E68A3"/>
    <w:rsid w:val="003E6C38"/>
    <w:rsid w:val="003E6DB5"/>
    <w:rsid w:val="003E7001"/>
    <w:rsid w:val="003E7ED4"/>
    <w:rsid w:val="003F033D"/>
    <w:rsid w:val="003F0479"/>
    <w:rsid w:val="003F07DE"/>
    <w:rsid w:val="003F0E47"/>
    <w:rsid w:val="003F104B"/>
    <w:rsid w:val="003F147A"/>
    <w:rsid w:val="003F18BB"/>
    <w:rsid w:val="003F1A73"/>
    <w:rsid w:val="003F1B99"/>
    <w:rsid w:val="003F1C70"/>
    <w:rsid w:val="003F1C77"/>
    <w:rsid w:val="003F2557"/>
    <w:rsid w:val="003F282E"/>
    <w:rsid w:val="003F28DB"/>
    <w:rsid w:val="003F29DE"/>
    <w:rsid w:val="003F2FC3"/>
    <w:rsid w:val="003F3275"/>
    <w:rsid w:val="003F32AF"/>
    <w:rsid w:val="003F3322"/>
    <w:rsid w:val="003F3490"/>
    <w:rsid w:val="003F34DE"/>
    <w:rsid w:val="003F3626"/>
    <w:rsid w:val="003F3D02"/>
    <w:rsid w:val="003F48D0"/>
    <w:rsid w:val="003F4E39"/>
    <w:rsid w:val="003F5709"/>
    <w:rsid w:val="003F5998"/>
    <w:rsid w:val="003F5ABD"/>
    <w:rsid w:val="003F5FFE"/>
    <w:rsid w:val="003F60C4"/>
    <w:rsid w:val="003F61CF"/>
    <w:rsid w:val="003F6574"/>
    <w:rsid w:val="003F686E"/>
    <w:rsid w:val="003F6929"/>
    <w:rsid w:val="003F6CC1"/>
    <w:rsid w:val="003F6E98"/>
    <w:rsid w:val="003F6EE8"/>
    <w:rsid w:val="003F77DC"/>
    <w:rsid w:val="003F78DD"/>
    <w:rsid w:val="003F79C7"/>
    <w:rsid w:val="003F7DF7"/>
    <w:rsid w:val="00400268"/>
    <w:rsid w:val="00400BF3"/>
    <w:rsid w:val="00400D9F"/>
    <w:rsid w:val="0040138D"/>
    <w:rsid w:val="004015F5"/>
    <w:rsid w:val="00401B38"/>
    <w:rsid w:val="00402852"/>
    <w:rsid w:val="00402EF9"/>
    <w:rsid w:val="00402F57"/>
    <w:rsid w:val="004031B2"/>
    <w:rsid w:val="0040374E"/>
    <w:rsid w:val="00404999"/>
    <w:rsid w:val="00404A86"/>
    <w:rsid w:val="00404DCF"/>
    <w:rsid w:val="00404F83"/>
    <w:rsid w:val="00405C62"/>
    <w:rsid w:val="00406332"/>
    <w:rsid w:val="00406FEC"/>
    <w:rsid w:val="00407763"/>
    <w:rsid w:val="00407D47"/>
    <w:rsid w:val="00410207"/>
    <w:rsid w:val="0041033D"/>
    <w:rsid w:val="004103AC"/>
    <w:rsid w:val="004108D8"/>
    <w:rsid w:val="00410FBE"/>
    <w:rsid w:val="004112DD"/>
    <w:rsid w:val="004115F8"/>
    <w:rsid w:val="004117B3"/>
    <w:rsid w:val="004125A5"/>
    <w:rsid w:val="004127CE"/>
    <w:rsid w:val="00412801"/>
    <w:rsid w:val="00412885"/>
    <w:rsid w:val="00412F4B"/>
    <w:rsid w:val="004136D4"/>
    <w:rsid w:val="00413D94"/>
    <w:rsid w:val="004143DB"/>
    <w:rsid w:val="00414B2B"/>
    <w:rsid w:val="00414DEC"/>
    <w:rsid w:val="00414ECE"/>
    <w:rsid w:val="00415AE2"/>
    <w:rsid w:val="00415B2E"/>
    <w:rsid w:val="00415DA8"/>
    <w:rsid w:val="00415EFC"/>
    <w:rsid w:val="0041601A"/>
    <w:rsid w:val="00416487"/>
    <w:rsid w:val="00416797"/>
    <w:rsid w:val="004168FD"/>
    <w:rsid w:val="00416EAF"/>
    <w:rsid w:val="00416EF2"/>
    <w:rsid w:val="0041737B"/>
    <w:rsid w:val="004178E4"/>
    <w:rsid w:val="00417930"/>
    <w:rsid w:val="004179B1"/>
    <w:rsid w:val="00417D4A"/>
    <w:rsid w:val="0042078C"/>
    <w:rsid w:val="004207D1"/>
    <w:rsid w:val="00420B53"/>
    <w:rsid w:val="004210F1"/>
    <w:rsid w:val="00421589"/>
    <w:rsid w:val="00421D25"/>
    <w:rsid w:val="00422180"/>
    <w:rsid w:val="00422678"/>
    <w:rsid w:val="004228BD"/>
    <w:rsid w:val="00422A87"/>
    <w:rsid w:val="00422F11"/>
    <w:rsid w:val="00422F28"/>
    <w:rsid w:val="0042310C"/>
    <w:rsid w:val="0042335A"/>
    <w:rsid w:val="0042362A"/>
    <w:rsid w:val="00423758"/>
    <w:rsid w:val="00424966"/>
    <w:rsid w:val="00424EAF"/>
    <w:rsid w:val="00424F1E"/>
    <w:rsid w:val="00425141"/>
    <w:rsid w:val="0042525D"/>
    <w:rsid w:val="00425374"/>
    <w:rsid w:val="00425B36"/>
    <w:rsid w:val="00425B54"/>
    <w:rsid w:val="0042607A"/>
    <w:rsid w:val="00426529"/>
    <w:rsid w:val="00426884"/>
    <w:rsid w:val="00426ACF"/>
    <w:rsid w:val="00426BEA"/>
    <w:rsid w:val="004305D0"/>
    <w:rsid w:val="00430752"/>
    <w:rsid w:val="00430993"/>
    <w:rsid w:val="00430A2A"/>
    <w:rsid w:val="00430AB7"/>
    <w:rsid w:val="004312F8"/>
    <w:rsid w:val="00431340"/>
    <w:rsid w:val="0043234E"/>
    <w:rsid w:val="0043252A"/>
    <w:rsid w:val="004325B1"/>
    <w:rsid w:val="0043294C"/>
    <w:rsid w:val="00432C17"/>
    <w:rsid w:val="0043362F"/>
    <w:rsid w:val="00433649"/>
    <w:rsid w:val="004336DD"/>
    <w:rsid w:val="00433798"/>
    <w:rsid w:val="00433BC3"/>
    <w:rsid w:val="00433DDD"/>
    <w:rsid w:val="00433EB4"/>
    <w:rsid w:val="004340FF"/>
    <w:rsid w:val="00434468"/>
    <w:rsid w:val="00435214"/>
    <w:rsid w:val="004353A0"/>
    <w:rsid w:val="004358E8"/>
    <w:rsid w:val="0043598F"/>
    <w:rsid w:val="004361B6"/>
    <w:rsid w:val="004364AD"/>
    <w:rsid w:val="00436868"/>
    <w:rsid w:val="00436E5C"/>
    <w:rsid w:val="00436EAC"/>
    <w:rsid w:val="004379E0"/>
    <w:rsid w:val="00437E47"/>
    <w:rsid w:val="00440559"/>
    <w:rsid w:val="004406A0"/>
    <w:rsid w:val="00440866"/>
    <w:rsid w:val="00440FD6"/>
    <w:rsid w:val="004413C1"/>
    <w:rsid w:val="0044161A"/>
    <w:rsid w:val="0044176E"/>
    <w:rsid w:val="004417FF"/>
    <w:rsid w:val="00441821"/>
    <w:rsid w:val="00441BD0"/>
    <w:rsid w:val="00441D7B"/>
    <w:rsid w:val="00442403"/>
    <w:rsid w:val="00442A24"/>
    <w:rsid w:val="00442E1D"/>
    <w:rsid w:val="00442E76"/>
    <w:rsid w:val="00443265"/>
    <w:rsid w:val="00443DA1"/>
    <w:rsid w:val="004445B4"/>
    <w:rsid w:val="00444728"/>
    <w:rsid w:val="00445B19"/>
    <w:rsid w:val="00445CBA"/>
    <w:rsid w:val="00446384"/>
    <w:rsid w:val="00446C37"/>
    <w:rsid w:val="00450020"/>
    <w:rsid w:val="00450470"/>
    <w:rsid w:val="0045049B"/>
    <w:rsid w:val="00450DF7"/>
    <w:rsid w:val="00450E6A"/>
    <w:rsid w:val="004515AD"/>
    <w:rsid w:val="004517BD"/>
    <w:rsid w:val="004529A5"/>
    <w:rsid w:val="00452D52"/>
    <w:rsid w:val="00452DE6"/>
    <w:rsid w:val="0045337E"/>
    <w:rsid w:val="00453804"/>
    <w:rsid w:val="0045398E"/>
    <w:rsid w:val="00453992"/>
    <w:rsid w:val="00453A41"/>
    <w:rsid w:val="00453E32"/>
    <w:rsid w:val="00454C2D"/>
    <w:rsid w:val="0045524B"/>
    <w:rsid w:val="0045590E"/>
    <w:rsid w:val="0045611C"/>
    <w:rsid w:val="004561C4"/>
    <w:rsid w:val="00456412"/>
    <w:rsid w:val="0045646B"/>
    <w:rsid w:val="004564F7"/>
    <w:rsid w:val="004567D4"/>
    <w:rsid w:val="00456EC5"/>
    <w:rsid w:val="00456F34"/>
    <w:rsid w:val="00456FF8"/>
    <w:rsid w:val="004578C6"/>
    <w:rsid w:val="00457C67"/>
    <w:rsid w:val="0046111F"/>
    <w:rsid w:val="00461287"/>
    <w:rsid w:val="0046168E"/>
    <w:rsid w:val="004616D9"/>
    <w:rsid w:val="004619A7"/>
    <w:rsid w:val="00461DE6"/>
    <w:rsid w:val="00463634"/>
    <w:rsid w:val="004638BA"/>
    <w:rsid w:val="004642B5"/>
    <w:rsid w:val="004642C7"/>
    <w:rsid w:val="00464475"/>
    <w:rsid w:val="004649F3"/>
    <w:rsid w:val="00464B17"/>
    <w:rsid w:val="00464D2D"/>
    <w:rsid w:val="00464FEE"/>
    <w:rsid w:val="0046569C"/>
    <w:rsid w:val="004656EB"/>
    <w:rsid w:val="00465759"/>
    <w:rsid w:val="00465983"/>
    <w:rsid w:val="00466433"/>
    <w:rsid w:val="00466867"/>
    <w:rsid w:val="00466B30"/>
    <w:rsid w:val="00467FE2"/>
    <w:rsid w:val="0047026E"/>
    <w:rsid w:val="00470293"/>
    <w:rsid w:val="00470711"/>
    <w:rsid w:val="004707BF"/>
    <w:rsid w:val="00470E7F"/>
    <w:rsid w:val="00470EAD"/>
    <w:rsid w:val="004714A6"/>
    <w:rsid w:val="00471FA9"/>
    <w:rsid w:val="00472076"/>
    <w:rsid w:val="0047213A"/>
    <w:rsid w:val="004727DC"/>
    <w:rsid w:val="004730E1"/>
    <w:rsid w:val="0047310C"/>
    <w:rsid w:val="004733E5"/>
    <w:rsid w:val="0047387C"/>
    <w:rsid w:val="00473C21"/>
    <w:rsid w:val="00474319"/>
    <w:rsid w:val="00474548"/>
    <w:rsid w:val="00474D99"/>
    <w:rsid w:val="00474FBB"/>
    <w:rsid w:val="00475520"/>
    <w:rsid w:val="004756E4"/>
    <w:rsid w:val="004759F3"/>
    <w:rsid w:val="00475BCC"/>
    <w:rsid w:val="00475C46"/>
    <w:rsid w:val="00476060"/>
    <w:rsid w:val="004763D2"/>
    <w:rsid w:val="004765E3"/>
    <w:rsid w:val="00476855"/>
    <w:rsid w:val="004768BA"/>
    <w:rsid w:val="00476B25"/>
    <w:rsid w:val="00477056"/>
    <w:rsid w:val="00477243"/>
    <w:rsid w:val="0047738C"/>
    <w:rsid w:val="00477B4F"/>
    <w:rsid w:val="00480ACE"/>
    <w:rsid w:val="0048165E"/>
    <w:rsid w:val="0048255F"/>
    <w:rsid w:val="00482FF0"/>
    <w:rsid w:val="00483308"/>
    <w:rsid w:val="00483AD6"/>
    <w:rsid w:val="00483C38"/>
    <w:rsid w:val="00483CFD"/>
    <w:rsid w:val="0048419E"/>
    <w:rsid w:val="00485B1D"/>
    <w:rsid w:val="00486178"/>
    <w:rsid w:val="004868B0"/>
    <w:rsid w:val="0048692B"/>
    <w:rsid w:val="00486EF0"/>
    <w:rsid w:val="0048737A"/>
    <w:rsid w:val="00487582"/>
    <w:rsid w:val="00487982"/>
    <w:rsid w:val="00490399"/>
    <w:rsid w:val="00490992"/>
    <w:rsid w:val="00490C58"/>
    <w:rsid w:val="00491182"/>
    <w:rsid w:val="00491246"/>
    <w:rsid w:val="00491F34"/>
    <w:rsid w:val="004924A6"/>
    <w:rsid w:val="00492DAB"/>
    <w:rsid w:val="00492EAB"/>
    <w:rsid w:val="00492F19"/>
    <w:rsid w:val="00492FBD"/>
    <w:rsid w:val="00493032"/>
    <w:rsid w:val="0049308A"/>
    <w:rsid w:val="00493DDD"/>
    <w:rsid w:val="004942AF"/>
    <w:rsid w:val="00494302"/>
    <w:rsid w:val="00494C8D"/>
    <w:rsid w:val="00494DC9"/>
    <w:rsid w:val="004950D0"/>
    <w:rsid w:val="00495159"/>
    <w:rsid w:val="00495782"/>
    <w:rsid w:val="00495E22"/>
    <w:rsid w:val="00495EB4"/>
    <w:rsid w:val="00495F7A"/>
    <w:rsid w:val="00496293"/>
    <w:rsid w:val="00496733"/>
    <w:rsid w:val="00496871"/>
    <w:rsid w:val="00496A44"/>
    <w:rsid w:val="00496D13"/>
    <w:rsid w:val="00496D40"/>
    <w:rsid w:val="0049754D"/>
    <w:rsid w:val="004A004C"/>
    <w:rsid w:val="004A0460"/>
    <w:rsid w:val="004A131E"/>
    <w:rsid w:val="004A13F5"/>
    <w:rsid w:val="004A15D5"/>
    <w:rsid w:val="004A1837"/>
    <w:rsid w:val="004A1A0A"/>
    <w:rsid w:val="004A1A36"/>
    <w:rsid w:val="004A3362"/>
    <w:rsid w:val="004A3597"/>
    <w:rsid w:val="004A37E4"/>
    <w:rsid w:val="004A3971"/>
    <w:rsid w:val="004A3C2A"/>
    <w:rsid w:val="004A3D63"/>
    <w:rsid w:val="004A4246"/>
    <w:rsid w:val="004A451D"/>
    <w:rsid w:val="004A466E"/>
    <w:rsid w:val="004A4E8F"/>
    <w:rsid w:val="004A4F53"/>
    <w:rsid w:val="004A6017"/>
    <w:rsid w:val="004A62CF"/>
    <w:rsid w:val="004A64DA"/>
    <w:rsid w:val="004A6CEB"/>
    <w:rsid w:val="004A7056"/>
    <w:rsid w:val="004A76DD"/>
    <w:rsid w:val="004A7FB6"/>
    <w:rsid w:val="004B094D"/>
    <w:rsid w:val="004B0AB8"/>
    <w:rsid w:val="004B1981"/>
    <w:rsid w:val="004B245D"/>
    <w:rsid w:val="004B2774"/>
    <w:rsid w:val="004B284F"/>
    <w:rsid w:val="004B2A09"/>
    <w:rsid w:val="004B2D3C"/>
    <w:rsid w:val="004B401B"/>
    <w:rsid w:val="004B432D"/>
    <w:rsid w:val="004B4425"/>
    <w:rsid w:val="004B4D52"/>
    <w:rsid w:val="004B5210"/>
    <w:rsid w:val="004B59D4"/>
    <w:rsid w:val="004B59DA"/>
    <w:rsid w:val="004B5C0C"/>
    <w:rsid w:val="004B6585"/>
    <w:rsid w:val="004B67DF"/>
    <w:rsid w:val="004B7557"/>
    <w:rsid w:val="004B75E4"/>
    <w:rsid w:val="004B7780"/>
    <w:rsid w:val="004B7946"/>
    <w:rsid w:val="004B7C4A"/>
    <w:rsid w:val="004B7CAC"/>
    <w:rsid w:val="004C077F"/>
    <w:rsid w:val="004C0CC8"/>
    <w:rsid w:val="004C1109"/>
    <w:rsid w:val="004C11EE"/>
    <w:rsid w:val="004C1299"/>
    <w:rsid w:val="004C1CEE"/>
    <w:rsid w:val="004C2BF2"/>
    <w:rsid w:val="004C2C1D"/>
    <w:rsid w:val="004C3016"/>
    <w:rsid w:val="004C3640"/>
    <w:rsid w:val="004C3937"/>
    <w:rsid w:val="004C39DD"/>
    <w:rsid w:val="004C4027"/>
    <w:rsid w:val="004C41D6"/>
    <w:rsid w:val="004C4708"/>
    <w:rsid w:val="004C48C4"/>
    <w:rsid w:val="004C4B3C"/>
    <w:rsid w:val="004C4BE7"/>
    <w:rsid w:val="004C52C2"/>
    <w:rsid w:val="004C5663"/>
    <w:rsid w:val="004C5FFA"/>
    <w:rsid w:val="004C686E"/>
    <w:rsid w:val="004C73DF"/>
    <w:rsid w:val="004C748C"/>
    <w:rsid w:val="004C751F"/>
    <w:rsid w:val="004C7A76"/>
    <w:rsid w:val="004C7D5B"/>
    <w:rsid w:val="004D01F9"/>
    <w:rsid w:val="004D0402"/>
    <w:rsid w:val="004D052A"/>
    <w:rsid w:val="004D15D9"/>
    <w:rsid w:val="004D1666"/>
    <w:rsid w:val="004D179E"/>
    <w:rsid w:val="004D1EAB"/>
    <w:rsid w:val="004D1EF4"/>
    <w:rsid w:val="004D212D"/>
    <w:rsid w:val="004D2F78"/>
    <w:rsid w:val="004D35CA"/>
    <w:rsid w:val="004D37E7"/>
    <w:rsid w:val="004D395F"/>
    <w:rsid w:val="004D3A94"/>
    <w:rsid w:val="004D41EC"/>
    <w:rsid w:val="004D4456"/>
    <w:rsid w:val="004D44E6"/>
    <w:rsid w:val="004D46B2"/>
    <w:rsid w:val="004D493E"/>
    <w:rsid w:val="004D4E03"/>
    <w:rsid w:val="004D4EAE"/>
    <w:rsid w:val="004D5514"/>
    <w:rsid w:val="004D58FB"/>
    <w:rsid w:val="004D5962"/>
    <w:rsid w:val="004D5FDA"/>
    <w:rsid w:val="004D650B"/>
    <w:rsid w:val="004D67C7"/>
    <w:rsid w:val="004D72AA"/>
    <w:rsid w:val="004D72DD"/>
    <w:rsid w:val="004D7A33"/>
    <w:rsid w:val="004E042A"/>
    <w:rsid w:val="004E0C61"/>
    <w:rsid w:val="004E1038"/>
    <w:rsid w:val="004E17B3"/>
    <w:rsid w:val="004E2183"/>
    <w:rsid w:val="004E2306"/>
    <w:rsid w:val="004E2511"/>
    <w:rsid w:val="004E277C"/>
    <w:rsid w:val="004E2960"/>
    <w:rsid w:val="004E2B26"/>
    <w:rsid w:val="004E2CB7"/>
    <w:rsid w:val="004E314B"/>
    <w:rsid w:val="004E3409"/>
    <w:rsid w:val="004E3454"/>
    <w:rsid w:val="004E34F0"/>
    <w:rsid w:val="004E3F0D"/>
    <w:rsid w:val="004E3FE9"/>
    <w:rsid w:val="004E400F"/>
    <w:rsid w:val="004E41E9"/>
    <w:rsid w:val="004E4E6A"/>
    <w:rsid w:val="004E4FA2"/>
    <w:rsid w:val="004E53B4"/>
    <w:rsid w:val="004E6445"/>
    <w:rsid w:val="004E6570"/>
    <w:rsid w:val="004E6B65"/>
    <w:rsid w:val="004E77A0"/>
    <w:rsid w:val="004E7829"/>
    <w:rsid w:val="004E7A94"/>
    <w:rsid w:val="004E7BAD"/>
    <w:rsid w:val="004F0218"/>
    <w:rsid w:val="004F0C64"/>
    <w:rsid w:val="004F15D5"/>
    <w:rsid w:val="004F19A2"/>
    <w:rsid w:val="004F1BF0"/>
    <w:rsid w:val="004F2E91"/>
    <w:rsid w:val="004F3447"/>
    <w:rsid w:val="004F3C72"/>
    <w:rsid w:val="004F408C"/>
    <w:rsid w:val="004F4DD3"/>
    <w:rsid w:val="004F58CC"/>
    <w:rsid w:val="004F58CE"/>
    <w:rsid w:val="004F593B"/>
    <w:rsid w:val="004F5D95"/>
    <w:rsid w:val="004F5EDB"/>
    <w:rsid w:val="004F7041"/>
    <w:rsid w:val="004F70F2"/>
    <w:rsid w:val="004F72CA"/>
    <w:rsid w:val="004F7391"/>
    <w:rsid w:val="004F7AF0"/>
    <w:rsid w:val="004F7D4C"/>
    <w:rsid w:val="004F7E33"/>
    <w:rsid w:val="00500AF5"/>
    <w:rsid w:val="00500CF1"/>
    <w:rsid w:val="00500E9D"/>
    <w:rsid w:val="00500F96"/>
    <w:rsid w:val="0050142A"/>
    <w:rsid w:val="0050159F"/>
    <w:rsid w:val="00501A5F"/>
    <w:rsid w:val="00501B9A"/>
    <w:rsid w:val="00501C76"/>
    <w:rsid w:val="00501E9E"/>
    <w:rsid w:val="00502865"/>
    <w:rsid w:val="00502E2C"/>
    <w:rsid w:val="0050322D"/>
    <w:rsid w:val="005036ED"/>
    <w:rsid w:val="00503792"/>
    <w:rsid w:val="005038C7"/>
    <w:rsid w:val="00503B16"/>
    <w:rsid w:val="00503C08"/>
    <w:rsid w:val="0050404E"/>
    <w:rsid w:val="0050429A"/>
    <w:rsid w:val="00504A16"/>
    <w:rsid w:val="00504AF8"/>
    <w:rsid w:val="00505840"/>
    <w:rsid w:val="00505BE7"/>
    <w:rsid w:val="00505C0E"/>
    <w:rsid w:val="00505DA2"/>
    <w:rsid w:val="00505E14"/>
    <w:rsid w:val="0050611E"/>
    <w:rsid w:val="005065C2"/>
    <w:rsid w:val="005067AC"/>
    <w:rsid w:val="00506B63"/>
    <w:rsid w:val="00506F7D"/>
    <w:rsid w:val="005075CD"/>
    <w:rsid w:val="00510885"/>
    <w:rsid w:val="00510DA5"/>
    <w:rsid w:val="00511079"/>
    <w:rsid w:val="005112D7"/>
    <w:rsid w:val="00511662"/>
    <w:rsid w:val="0051176C"/>
    <w:rsid w:val="00511BFD"/>
    <w:rsid w:val="0051255B"/>
    <w:rsid w:val="0051260E"/>
    <w:rsid w:val="00512A86"/>
    <w:rsid w:val="00512AA2"/>
    <w:rsid w:val="00512CCE"/>
    <w:rsid w:val="005138EB"/>
    <w:rsid w:val="00513D16"/>
    <w:rsid w:val="0051404B"/>
    <w:rsid w:val="005142EF"/>
    <w:rsid w:val="0051435F"/>
    <w:rsid w:val="00514E37"/>
    <w:rsid w:val="005150BD"/>
    <w:rsid w:val="00515145"/>
    <w:rsid w:val="00515632"/>
    <w:rsid w:val="00515795"/>
    <w:rsid w:val="00515E08"/>
    <w:rsid w:val="00516944"/>
    <w:rsid w:val="00516DDA"/>
    <w:rsid w:val="005206ED"/>
    <w:rsid w:val="00521333"/>
    <w:rsid w:val="00521565"/>
    <w:rsid w:val="005216C6"/>
    <w:rsid w:val="005216E2"/>
    <w:rsid w:val="00521CCD"/>
    <w:rsid w:val="005222A3"/>
    <w:rsid w:val="005223B1"/>
    <w:rsid w:val="005227FB"/>
    <w:rsid w:val="00522B5F"/>
    <w:rsid w:val="00523988"/>
    <w:rsid w:val="00523B4D"/>
    <w:rsid w:val="00523D1F"/>
    <w:rsid w:val="00523F7E"/>
    <w:rsid w:val="00524160"/>
    <w:rsid w:val="005241B0"/>
    <w:rsid w:val="005245A8"/>
    <w:rsid w:val="00524667"/>
    <w:rsid w:val="005254F4"/>
    <w:rsid w:val="00525D18"/>
    <w:rsid w:val="00525E1A"/>
    <w:rsid w:val="005271AF"/>
    <w:rsid w:val="0052731E"/>
    <w:rsid w:val="005274D8"/>
    <w:rsid w:val="0052750F"/>
    <w:rsid w:val="00527B84"/>
    <w:rsid w:val="00527BEB"/>
    <w:rsid w:val="00527F1C"/>
    <w:rsid w:val="00530246"/>
    <w:rsid w:val="00530338"/>
    <w:rsid w:val="00531AA5"/>
    <w:rsid w:val="00531FA8"/>
    <w:rsid w:val="00532181"/>
    <w:rsid w:val="0053251F"/>
    <w:rsid w:val="005326FE"/>
    <w:rsid w:val="00532E59"/>
    <w:rsid w:val="00532F8F"/>
    <w:rsid w:val="00533056"/>
    <w:rsid w:val="0053329A"/>
    <w:rsid w:val="00533B57"/>
    <w:rsid w:val="00534237"/>
    <w:rsid w:val="00534342"/>
    <w:rsid w:val="005349F8"/>
    <w:rsid w:val="00534E51"/>
    <w:rsid w:val="00535476"/>
    <w:rsid w:val="00535542"/>
    <w:rsid w:val="005356A1"/>
    <w:rsid w:val="0053671A"/>
    <w:rsid w:val="00536857"/>
    <w:rsid w:val="00536C51"/>
    <w:rsid w:val="00536CB5"/>
    <w:rsid w:val="00536FE7"/>
    <w:rsid w:val="00537704"/>
    <w:rsid w:val="005377F7"/>
    <w:rsid w:val="00537A2C"/>
    <w:rsid w:val="0054039E"/>
    <w:rsid w:val="00540500"/>
    <w:rsid w:val="005409B8"/>
    <w:rsid w:val="00541DF4"/>
    <w:rsid w:val="00541E8F"/>
    <w:rsid w:val="005420E3"/>
    <w:rsid w:val="005426A7"/>
    <w:rsid w:val="00542A59"/>
    <w:rsid w:val="00542C57"/>
    <w:rsid w:val="00543557"/>
    <w:rsid w:val="00543826"/>
    <w:rsid w:val="00543983"/>
    <w:rsid w:val="00543E8D"/>
    <w:rsid w:val="0054403F"/>
    <w:rsid w:val="005443F8"/>
    <w:rsid w:val="005445DF"/>
    <w:rsid w:val="00544766"/>
    <w:rsid w:val="00544E61"/>
    <w:rsid w:val="00544EC5"/>
    <w:rsid w:val="00545900"/>
    <w:rsid w:val="00545B7D"/>
    <w:rsid w:val="00545D7E"/>
    <w:rsid w:val="00546160"/>
    <w:rsid w:val="00546459"/>
    <w:rsid w:val="0054691C"/>
    <w:rsid w:val="00546C79"/>
    <w:rsid w:val="00546CFA"/>
    <w:rsid w:val="0054702C"/>
    <w:rsid w:val="00547312"/>
    <w:rsid w:val="00547D48"/>
    <w:rsid w:val="0055121A"/>
    <w:rsid w:val="00551AAC"/>
    <w:rsid w:val="00551D02"/>
    <w:rsid w:val="00551E16"/>
    <w:rsid w:val="00551FD9"/>
    <w:rsid w:val="005523A2"/>
    <w:rsid w:val="005523DF"/>
    <w:rsid w:val="0055281E"/>
    <w:rsid w:val="00552934"/>
    <w:rsid w:val="00552A63"/>
    <w:rsid w:val="00552A70"/>
    <w:rsid w:val="00552E54"/>
    <w:rsid w:val="00553219"/>
    <w:rsid w:val="00553637"/>
    <w:rsid w:val="0055363F"/>
    <w:rsid w:val="0055378D"/>
    <w:rsid w:val="005537CD"/>
    <w:rsid w:val="0055397E"/>
    <w:rsid w:val="00553F0D"/>
    <w:rsid w:val="0055429C"/>
    <w:rsid w:val="0055553E"/>
    <w:rsid w:val="00555775"/>
    <w:rsid w:val="00555843"/>
    <w:rsid w:val="00555A6D"/>
    <w:rsid w:val="00556153"/>
    <w:rsid w:val="005567C4"/>
    <w:rsid w:val="00556C44"/>
    <w:rsid w:val="00556C71"/>
    <w:rsid w:val="00556DE0"/>
    <w:rsid w:val="00556DFF"/>
    <w:rsid w:val="00556FF2"/>
    <w:rsid w:val="0055772D"/>
    <w:rsid w:val="00557A95"/>
    <w:rsid w:val="00557DDF"/>
    <w:rsid w:val="00557FAB"/>
    <w:rsid w:val="00560ADC"/>
    <w:rsid w:val="0056118D"/>
    <w:rsid w:val="00561EFA"/>
    <w:rsid w:val="0056211D"/>
    <w:rsid w:val="005627FB"/>
    <w:rsid w:val="0056298D"/>
    <w:rsid w:val="00563868"/>
    <w:rsid w:val="00564BD3"/>
    <w:rsid w:val="00565079"/>
    <w:rsid w:val="00565303"/>
    <w:rsid w:val="00565313"/>
    <w:rsid w:val="0056595B"/>
    <w:rsid w:val="005659DF"/>
    <w:rsid w:val="00565E8E"/>
    <w:rsid w:val="00566012"/>
    <w:rsid w:val="00566061"/>
    <w:rsid w:val="0056649A"/>
    <w:rsid w:val="00566B74"/>
    <w:rsid w:val="00566B7F"/>
    <w:rsid w:val="00566D0C"/>
    <w:rsid w:val="00567947"/>
    <w:rsid w:val="00567A97"/>
    <w:rsid w:val="0057020A"/>
    <w:rsid w:val="00570301"/>
    <w:rsid w:val="00570355"/>
    <w:rsid w:val="00570637"/>
    <w:rsid w:val="005707EA"/>
    <w:rsid w:val="00570861"/>
    <w:rsid w:val="00570896"/>
    <w:rsid w:val="00570E11"/>
    <w:rsid w:val="00570E68"/>
    <w:rsid w:val="005710D8"/>
    <w:rsid w:val="00571676"/>
    <w:rsid w:val="00571F2E"/>
    <w:rsid w:val="00572662"/>
    <w:rsid w:val="00572994"/>
    <w:rsid w:val="00572F11"/>
    <w:rsid w:val="00572F7B"/>
    <w:rsid w:val="00573078"/>
    <w:rsid w:val="0057375E"/>
    <w:rsid w:val="005739FF"/>
    <w:rsid w:val="00573CC6"/>
    <w:rsid w:val="00573CFC"/>
    <w:rsid w:val="00573D3A"/>
    <w:rsid w:val="00574691"/>
    <w:rsid w:val="0057474E"/>
    <w:rsid w:val="005747F9"/>
    <w:rsid w:val="00575148"/>
    <w:rsid w:val="00575497"/>
    <w:rsid w:val="0057583C"/>
    <w:rsid w:val="00575DA5"/>
    <w:rsid w:val="00576526"/>
    <w:rsid w:val="00576594"/>
    <w:rsid w:val="005767B9"/>
    <w:rsid w:val="005768CC"/>
    <w:rsid w:val="00576950"/>
    <w:rsid w:val="00576A27"/>
    <w:rsid w:val="00576D62"/>
    <w:rsid w:val="00576DA7"/>
    <w:rsid w:val="00576FA2"/>
    <w:rsid w:val="00577789"/>
    <w:rsid w:val="00577ABD"/>
    <w:rsid w:val="00580F6D"/>
    <w:rsid w:val="005814FA"/>
    <w:rsid w:val="005816DD"/>
    <w:rsid w:val="00581AAC"/>
    <w:rsid w:val="00582508"/>
    <w:rsid w:val="005826FD"/>
    <w:rsid w:val="00583236"/>
    <w:rsid w:val="00583344"/>
    <w:rsid w:val="005836D7"/>
    <w:rsid w:val="00583E47"/>
    <w:rsid w:val="00584658"/>
    <w:rsid w:val="005846AB"/>
    <w:rsid w:val="0058477C"/>
    <w:rsid w:val="005848F6"/>
    <w:rsid w:val="005852EA"/>
    <w:rsid w:val="0058531C"/>
    <w:rsid w:val="005855AC"/>
    <w:rsid w:val="005868B0"/>
    <w:rsid w:val="00587373"/>
    <w:rsid w:val="00587393"/>
    <w:rsid w:val="00587B38"/>
    <w:rsid w:val="00587E01"/>
    <w:rsid w:val="00587E84"/>
    <w:rsid w:val="00590105"/>
    <w:rsid w:val="00590670"/>
    <w:rsid w:val="0059074A"/>
    <w:rsid w:val="00590C27"/>
    <w:rsid w:val="005914EE"/>
    <w:rsid w:val="005919AE"/>
    <w:rsid w:val="00591A50"/>
    <w:rsid w:val="00591F5E"/>
    <w:rsid w:val="005920BC"/>
    <w:rsid w:val="00592937"/>
    <w:rsid w:val="00592A31"/>
    <w:rsid w:val="00593845"/>
    <w:rsid w:val="00593A74"/>
    <w:rsid w:val="00593B23"/>
    <w:rsid w:val="00593B90"/>
    <w:rsid w:val="0059419D"/>
    <w:rsid w:val="005944DE"/>
    <w:rsid w:val="0059474F"/>
    <w:rsid w:val="00594A90"/>
    <w:rsid w:val="00594CD9"/>
    <w:rsid w:val="00594D0B"/>
    <w:rsid w:val="005955A3"/>
    <w:rsid w:val="005956E1"/>
    <w:rsid w:val="00595701"/>
    <w:rsid w:val="005958B1"/>
    <w:rsid w:val="005962E3"/>
    <w:rsid w:val="00596872"/>
    <w:rsid w:val="00596A32"/>
    <w:rsid w:val="00596AA3"/>
    <w:rsid w:val="00597A79"/>
    <w:rsid w:val="00597BF6"/>
    <w:rsid w:val="00597F5A"/>
    <w:rsid w:val="005A0083"/>
    <w:rsid w:val="005A03DC"/>
    <w:rsid w:val="005A0F17"/>
    <w:rsid w:val="005A1DF9"/>
    <w:rsid w:val="005A212A"/>
    <w:rsid w:val="005A2572"/>
    <w:rsid w:val="005A25B8"/>
    <w:rsid w:val="005A26AE"/>
    <w:rsid w:val="005A276C"/>
    <w:rsid w:val="005A2DAA"/>
    <w:rsid w:val="005A3195"/>
    <w:rsid w:val="005A38AE"/>
    <w:rsid w:val="005A39FF"/>
    <w:rsid w:val="005A3E7E"/>
    <w:rsid w:val="005A405A"/>
    <w:rsid w:val="005A4113"/>
    <w:rsid w:val="005A4195"/>
    <w:rsid w:val="005A42CD"/>
    <w:rsid w:val="005A43F5"/>
    <w:rsid w:val="005A46F9"/>
    <w:rsid w:val="005A4814"/>
    <w:rsid w:val="005A4B9F"/>
    <w:rsid w:val="005A4CCB"/>
    <w:rsid w:val="005A5359"/>
    <w:rsid w:val="005A589F"/>
    <w:rsid w:val="005A5E23"/>
    <w:rsid w:val="005A606E"/>
    <w:rsid w:val="005A7032"/>
    <w:rsid w:val="005A798F"/>
    <w:rsid w:val="005B0098"/>
    <w:rsid w:val="005B00D0"/>
    <w:rsid w:val="005B0BF7"/>
    <w:rsid w:val="005B0C83"/>
    <w:rsid w:val="005B10D0"/>
    <w:rsid w:val="005B1671"/>
    <w:rsid w:val="005B17E4"/>
    <w:rsid w:val="005B1CA8"/>
    <w:rsid w:val="005B21C4"/>
    <w:rsid w:val="005B22CE"/>
    <w:rsid w:val="005B24E8"/>
    <w:rsid w:val="005B253A"/>
    <w:rsid w:val="005B32AD"/>
    <w:rsid w:val="005B361B"/>
    <w:rsid w:val="005B3AC2"/>
    <w:rsid w:val="005B4150"/>
    <w:rsid w:val="005B4426"/>
    <w:rsid w:val="005B45F7"/>
    <w:rsid w:val="005B4A30"/>
    <w:rsid w:val="005B4A63"/>
    <w:rsid w:val="005B4D7F"/>
    <w:rsid w:val="005B507D"/>
    <w:rsid w:val="005B5AEA"/>
    <w:rsid w:val="005B5B5C"/>
    <w:rsid w:val="005B651E"/>
    <w:rsid w:val="005B66BF"/>
    <w:rsid w:val="005B66CB"/>
    <w:rsid w:val="005B774D"/>
    <w:rsid w:val="005B78E1"/>
    <w:rsid w:val="005B7D6E"/>
    <w:rsid w:val="005B8B20"/>
    <w:rsid w:val="005C01D9"/>
    <w:rsid w:val="005C050E"/>
    <w:rsid w:val="005C107B"/>
    <w:rsid w:val="005C1490"/>
    <w:rsid w:val="005C1557"/>
    <w:rsid w:val="005C1ACD"/>
    <w:rsid w:val="005C1F0B"/>
    <w:rsid w:val="005C2403"/>
    <w:rsid w:val="005C247C"/>
    <w:rsid w:val="005C2AC3"/>
    <w:rsid w:val="005C2D6E"/>
    <w:rsid w:val="005C338F"/>
    <w:rsid w:val="005C484F"/>
    <w:rsid w:val="005C497E"/>
    <w:rsid w:val="005C51A1"/>
    <w:rsid w:val="005C5E5A"/>
    <w:rsid w:val="005C5F46"/>
    <w:rsid w:val="005C6205"/>
    <w:rsid w:val="005C66D9"/>
    <w:rsid w:val="005C6F37"/>
    <w:rsid w:val="005C7DD5"/>
    <w:rsid w:val="005D0216"/>
    <w:rsid w:val="005D05B3"/>
    <w:rsid w:val="005D0E75"/>
    <w:rsid w:val="005D0F11"/>
    <w:rsid w:val="005D17AA"/>
    <w:rsid w:val="005D1C8D"/>
    <w:rsid w:val="005D23A5"/>
    <w:rsid w:val="005D36DE"/>
    <w:rsid w:val="005D3750"/>
    <w:rsid w:val="005D3A34"/>
    <w:rsid w:val="005D3DC5"/>
    <w:rsid w:val="005D456E"/>
    <w:rsid w:val="005D4C8E"/>
    <w:rsid w:val="005D5DF0"/>
    <w:rsid w:val="005D6851"/>
    <w:rsid w:val="005D6D0C"/>
    <w:rsid w:val="005D6FCF"/>
    <w:rsid w:val="005D7355"/>
    <w:rsid w:val="005D76FC"/>
    <w:rsid w:val="005E014B"/>
    <w:rsid w:val="005E0274"/>
    <w:rsid w:val="005E0623"/>
    <w:rsid w:val="005E0C49"/>
    <w:rsid w:val="005E0D45"/>
    <w:rsid w:val="005E1511"/>
    <w:rsid w:val="005E183E"/>
    <w:rsid w:val="005E1F43"/>
    <w:rsid w:val="005E20D4"/>
    <w:rsid w:val="005E2819"/>
    <w:rsid w:val="005E294B"/>
    <w:rsid w:val="005E2D99"/>
    <w:rsid w:val="005E3646"/>
    <w:rsid w:val="005E3EED"/>
    <w:rsid w:val="005E4670"/>
    <w:rsid w:val="005E4822"/>
    <w:rsid w:val="005E499D"/>
    <w:rsid w:val="005E4BAC"/>
    <w:rsid w:val="005E4C83"/>
    <w:rsid w:val="005E4F4C"/>
    <w:rsid w:val="005E5126"/>
    <w:rsid w:val="005E54EA"/>
    <w:rsid w:val="005E56C0"/>
    <w:rsid w:val="005E58C4"/>
    <w:rsid w:val="005E5C11"/>
    <w:rsid w:val="005E5C67"/>
    <w:rsid w:val="005E5EB5"/>
    <w:rsid w:val="005E60DF"/>
    <w:rsid w:val="005E63FB"/>
    <w:rsid w:val="005E641A"/>
    <w:rsid w:val="005E6642"/>
    <w:rsid w:val="005E698E"/>
    <w:rsid w:val="005F060E"/>
    <w:rsid w:val="005F0618"/>
    <w:rsid w:val="005F0B3F"/>
    <w:rsid w:val="005F145D"/>
    <w:rsid w:val="005F15D9"/>
    <w:rsid w:val="005F1915"/>
    <w:rsid w:val="005F2423"/>
    <w:rsid w:val="005F2BF0"/>
    <w:rsid w:val="005F3A94"/>
    <w:rsid w:val="005F3D4A"/>
    <w:rsid w:val="005F40DE"/>
    <w:rsid w:val="005F45D5"/>
    <w:rsid w:val="005F4B81"/>
    <w:rsid w:val="005F4BA9"/>
    <w:rsid w:val="005F4DA9"/>
    <w:rsid w:val="005F56C5"/>
    <w:rsid w:val="005F5819"/>
    <w:rsid w:val="005F5B51"/>
    <w:rsid w:val="005F5D4B"/>
    <w:rsid w:val="005F6078"/>
    <w:rsid w:val="005F6BFF"/>
    <w:rsid w:val="005F6D11"/>
    <w:rsid w:val="005F6E63"/>
    <w:rsid w:val="005F7402"/>
    <w:rsid w:val="005F75FA"/>
    <w:rsid w:val="005F7AFE"/>
    <w:rsid w:val="005F7F2A"/>
    <w:rsid w:val="005F7FCB"/>
    <w:rsid w:val="00600414"/>
    <w:rsid w:val="00600A3B"/>
    <w:rsid w:val="00600FAD"/>
    <w:rsid w:val="00600FB6"/>
    <w:rsid w:val="00601F28"/>
    <w:rsid w:val="00602095"/>
    <w:rsid w:val="00602829"/>
    <w:rsid w:val="00602A07"/>
    <w:rsid w:val="00603AE5"/>
    <w:rsid w:val="0060433C"/>
    <w:rsid w:val="00604CF7"/>
    <w:rsid w:val="00605404"/>
    <w:rsid w:val="006056DD"/>
    <w:rsid w:val="00605B16"/>
    <w:rsid w:val="00605E8E"/>
    <w:rsid w:val="00605EF1"/>
    <w:rsid w:val="00606135"/>
    <w:rsid w:val="00606949"/>
    <w:rsid w:val="00610313"/>
    <w:rsid w:val="00610320"/>
    <w:rsid w:val="0061090A"/>
    <w:rsid w:val="006111E2"/>
    <w:rsid w:val="00611492"/>
    <w:rsid w:val="006114EE"/>
    <w:rsid w:val="006118E7"/>
    <w:rsid w:val="00611A5E"/>
    <w:rsid w:val="006120F0"/>
    <w:rsid w:val="0061219B"/>
    <w:rsid w:val="0061302A"/>
    <w:rsid w:val="0061304E"/>
    <w:rsid w:val="006130A9"/>
    <w:rsid w:val="00613472"/>
    <w:rsid w:val="0061391F"/>
    <w:rsid w:val="00614683"/>
    <w:rsid w:val="0061546D"/>
    <w:rsid w:val="00615897"/>
    <w:rsid w:val="00615C38"/>
    <w:rsid w:val="00615EB2"/>
    <w:rsid w:val="006161ED"/>
    <w:rsid w:val="00616CB6"/>
    <w:rsid w:val="00616CFD"/>
    <w:rsid w:val="00616E9E"/>
    <w:rsid w:val="006171B7"/>
    <w:rsid w:val="006178BD"/>
    <w:rsid w:val="00617A7A"/>
    <w:rsid w:val="00617AAD"/>
    <w:rsid w:val="00617CBC"/>
    <w:rsid w:val="00620A65"/>
    <w:rsid w:val="006216CD"/>
    <w:rsid w:val="00621918"/>
    <w:rsid w:val="006220E3"/>
    <w:rsid w:val="006221D1"/>
    <w:rsid w:val="00622D90"/>
    <w:rsid w:val="00622E55"/>
    <w:rsid w:val="006233DB"/>
    <w:rsid w:val="0062358F"/>
    <w:rsid w:val="006235E0"/>
    <w:rsid w:val="00624259"/>
    <w:rsid w:val="00624386"/>
    <w:rsid w:val="00624832"/>
    <w:rsid w:val="006248A1"/>
    <w:rsid w:val="00624BBF"/>
    <w:rsid w:val="00624F19"/>
    <w:rsid w:val="0062525C"/>
    <w:rsid w:val="0062597C"/>
    <w:rsid w:val="00625B6F"/>
    <w:rsid w:val="00626164"/>
    <w:rsid w:val="0062632C"/>
    <w:rsid w:val="006265DB"/>
    <w:rsid w:val="006269D7"/>
    <w:rsid w:val="00626A1C"/>
    <w:rsid w:val="00626A60"/>
    <w:rsid w:val="006272BD"/>
    <w:rsid w:val="006275B1"/>
    <w:rsid w:val="00627E86"/>
    <w:rsid w:val="00630499"/>
    <w:rsid w:val="00630615"/>
    <w:rsid w:val="0063062E"/>
    <w:rsid w:val="00630805"/>
    <w:rsid w:val="00630EA9"/>
    <w:rsid w:val="00631286"/>
    <w:rsid w:val="0063196A"/>
    <w:rsid w:val="00631DB6"/>
    <w:rsid w:val="0063204A"/>
    <w:rsid w:val="0063209B"/>
    <w:rsid w:val="00632125"/>
    <w:rsid w:val="006329E1"/>
    <w:rsid w:val="00632FDC"/>
    <w:rsid w:val="006331F2"/>
    <w:rsid w:val="006334AC"/>
    <w:rsid w:val="00633D45"/>
    <w:rsid w:val="00633E3C"/>
    <w:rsid w:val="00633FB2"/>
    <w:rsid w:val="00634220"/>
    <w:rsid w:val="006342F4"/>
    <w:rsid w:val="006344D7"/>
    <w:rsid w:val="006346B9"/>
    <w:rsid w:val="00634EDE"/>
    <w:rsid w:val="006353EC"/>
    <w:rsid w:val="0063567D"/>
    <w:rsid w:val="006357A5"/>
    <w:rsid w:val="00636196"/>
    <w:rsid w:val="0063625C"/>
    <w:rsid w:val="006363F2"/>
    <w:rsid w:val="0063695F"/>
    <w:rsid w:val="006370C8"/>
    <w:rsid w:val="006373EB"/>
    <w:rsid w:val="006379C9"/>
    <w:rsid w:val="006409B6"/>
    <w:rsid w:val="00640AA3"/>
    <w:rsid w:val="00641559"/>
    <w:rsid w:val="00641A63"/>
    <w:rsid w:val="00641E7E"/>
    <w:rsid w:val="0064202F"/>
    <w:rsid w:val="0064224A"/>
    <w:rsid w:val="00642F6C"/>
    <w:rsid w:val="00643136"/>
    <w:rsid w:val="006440B6"/>
    <w:rsid w:val="00644677"/>
    <w:rsid w:val="00644B30"/>
    <w:rsid w:val="00644EC7"/>
    <w:rsid w:val="00644FC7"/>
    <w:rsid w:val="00645707"/>
    <w:rsid w:val="006461F7"/>
    <w:rsid w:val="00646318"/>
    <w:rsid w:val="00646EDD"/>
    <w:rsid w:val="00646EF9"/>
    <w:rsid w:val="00646FA0"/>
    <w:rsid w:val="00647033"/>
    <w:rsid w:val="00647830"/>
    <w:rsid w:val="00647EF3"/>
    <w:rsid w:val="00647F4A"/>
    <w:rsid w:val="006508D4"/>
    <w:rsid w:val="00650B8C"/>
    <w:rsid w:val="00651482"/>
    <w:rsid w:val="0065155A"/>
    <w:rsid w:val="00651A7A"/>
    <w:rsid w:val="00651B07"/>
    <w:rsid w:val="00651E4A"/>
    <w:rsid w:val="00651E50"/>
    <w:rsid w:val="00652085"/>
    <w:rsid w:val="0065260B"/>
    <w:rsid w:val="00652867"/>
    <w:rsid w:val="00652D02"/>
    <w:rsid w:val="00652D3A"/>
    <w:rsid w:val="006534F0"/>
    <w:rsid w:val="00653DF2"/>
    <w:rsid w:val="00654922"/>
    <w:rsid w:val="006552D0"/>
    <w:rsid w:val="006552E9"/>
    <w:rsid w:val="00655347"/>
    <w:rsid w:val="006555F2"/>
    <w:rsid w:val="006559B8"/>
    <w:rsid w:val="00655C5A"/>
    <w:rsid w:val="00655CA0"/>
    <w:rsid w:val="00655E6F"/>
    <w:rsid w:val="0065629A"/>
    <w:rsid w:val="0065641A"/>
    <w:rsid w:val="00656C58"/>
    <w:rsid w:val="00657785"/>
    <w:rsid w:val="00657899"/>
    <w:rsid w:val="00657DB9"/>
    <w:rsid w:val="00657DCC"/>
    <w:rsid w:val="0066002D"/>
    <w:rsid w:val="00660360"/>
    <w:rsid w:val="00660380"/>
    <w:rsid w:val="006603BE"/>
    <w:rsid w:val="006605B9"/>
    <w:rsid w:val="00660FD0"/>
    <w:rsid w:val="00661E2A"/>
    <w:rsid w:val="00662435"/>
    <w:rsid w:val="0066271B"/>
    <w:rsid w:val="00662F16"/>
    <w:rsid w:val="0066349F"/>
    <w:rsid w:val="00664383"/>
    <w:rsid w:val="0066479B"/>
    <w:rsid w:val="0066484B"/>
    <w:rsid w:val="00666233"/>
    <w:rsid w:val="006663B1"/>
    <w:rsid w:val="006664D1"/>
    <w:rsid w:val="00667273"/>
    <w:rsid w:val="006674AF"/>
    <w:rsid w:val="006679D9"/>
    <w:rsid w:val="00667E37"/>
    <w:rsid w:val="00667FC6"/>
    <w:rsid w:val="00671265"/>
    <w:rsid w:val="00671627"/>
    <w:rsid w:val="00671BA1"/>
    <w:rsid w:val="00671E7C"/>
    <w:rsid w:val="00672344"/>
    <w:rsid w:val="006725AC"/>
    <w:rsid w:val="00672E09"/>
    <w:rsid w:val="00674D58"/>
    <w:rsid w:val="00674EB0"/>
    <w:rsid w:val="00675661"/>
    <w:rsid w:val="0067587F"/>
    <w:rsid w:val="00675C7E"/>
    <w:rsid w:val="00675EC6"/>
    <w:rsid w:val="00676D46"/>
    <w:rsid w:val="00676ECF"/>
    <w:rsid w:val="00677207"/>
    <w:rsid w:val="0067740F"/>
    <w:rsid w:val="00677958"/>
    <w:rsid w:val="006801D9"/>
    <w:rsid w:val="006806EF"/>
    <w:rsid w:val="00680BE8"/>
    <w:rsid w:val="00680F7E"/>
    <w:rsid w:val="0068152A"/>
    <w:rsid w:val="006815ED"/>
    <w:rsid w:val="00681892"/>
    <w:rsid w:val="00681C0C"/>
    <w:rsid w:val="00682289"/>
    <w:rsid w:val="00682404"/>
    <w:rsid w:val="00682413"/>
    <w:rsid w:val="00682786"/>
    <w:rsid w:val="00683B72"/>
    <w:rsid w:val="00683E6A"/>
    <w:rsid w:val="00683E97"/>
    <w:rsid w:val="00683ED6"/>
    <w:rsid w:val="00684485"/>
    <w:rsid w:val="00684BCB"/>
    <w:rsid w:val="00684E92"/>
    <w:rsid w:val="006850D0"/>
    <w:rsid w:val="00685512"/>
    <w:rsid w:val="00685522"/>
    <w:rsid w:val="00685607"/>
    <w:rsid w:val="0068564D"/>
    <w:rsid w:val="0068576B"/>
    <w:rsid w:val="006859B6"/>
    <w:rsid w:val="0068615C"/>
    <w:rsid w:val="0068697A"/>
    <w:rsid w:val="00686CBB"/>
    <w:rsid w:val="0068752E"/>
    <w:rsid w:val="00687839"/>
    <w:rsid w:val="00687963"/>
    <w:rsid w:val="00687D1E"/>
    <w:rsid w:val="00691178"/>
    <w:rsid w:val="0069178C"/>
    <w:rsid w:val="00691F55"/>
    <w:rsid w:val="00691F61"/>
    <w:rsid w:val="00692A6D"/>
    <w:rsid w:val="00692C5B"/>
    <w:rsid w:val="00692C67"/>
    <w:rsid w:val="00692E65"/>
    <w:rsid w:val="00692E99"/>
    <w:rsid w:val="00693715"/>
    <w:rsid w:val="006939C0"/>
    <w:rsid w:val="00694EEF"/>
    <w:rsid w:val="006954B0"/>
    <w:rsid w:val="006955ED"/>
    <w:rsid w:val="006957A7"/>
    <w:rsid w:val="00695B1B"/>
    <w:rsid w:val="00695EF8"/>
    <w:rsid w:val="006960A9"/>
    <w:rsid w:val="0069653C"/>
    <w:rsid w:val="0069661F"/>
    <w:rsid w:val="00697237"/>
    <w:rsid w:val="006977ED"/>
    <w:rsid w:val="006A0D9D"/>
    <w:rsid w:val="006A11C7"/>
    <w:rsid w:val="006A1253"/>
    <w:rsid w:val="006A190A"/>
    <w:rsid w:val="006A1FC8"/>
    <w:rsid w:val="006A33DB"/>
    <w:rsid w:val="006A353B"/>
    <w:rsid w:val="006A3A3E"/>
    <w:rsid w:val="006A3A5A"/>
    <w:rsid w:val="006A3B5F"/>
    <w:rsid w:val="006A3B8A"/>
    <w:rsid w:val="006A5863"/>
    <w:rsid w:val="006A63F3"/>
    <w:rsid w:val="006A670F"/>
    <w:rsid w:val="006A6B00"/>
    <w:rsid w:val="006A6DA6"/>
    <w:rsid w:val="006A6E32"/>
    <w:rsid w:val="006A70BF"/>
    <w:rsid w:val="006A7833"/>
    <w:rsid w:val="006B0022"/>
    <w:rsid w:val="006B0571"/>
    <w:rsid w:val="006B081F"/>
    <w:rsid w:val="006B0898"/>
    <w:rsid w:val="006B09D7"/>
    <w:rsid w:val="006B0DD6"/>
    <w:rsid w:val="006B1F77"/>
    <w:rsid w:val="006B2218"/>
    <w:rsid w:val="006B25DA"/>
    <w:rsid w:val="006B27E8"/>
    <w:rsid w:val="006B27F7"/>
    <w:rsid w:val="006B2DFF"/>
    <w:rsid w:val="006B334E"/>
    <w:rsid w:val="006B359C"/>
    <w:rsid w:val="006B3949"/>
    <w:rsid w:val="006B3CE1"/>
    <w:rsid w:val="006B3F4A"/>
    <w:rsid w:val="006B4187"/>
    <w:rsid w:val="006B44A7"/>
    <w:rsid w:val="006B47ED"/>
    <w:rsid w:val="006B4DEF"/>
    <w:rsid w:val="006B5521"/>
    <w:rsid w:val="006B5525"/>
    <w:rsid w:val="006B69E0"/>
    <w:rsid w:val="006B6B96"/>
    <w:rsid w:val="006B70E1"/>
    <w:rsid w:val="006B7169"/>
    <w:rsid w:val="006B733D"/>
    <w:rsid w:val="006B74FC"/>
    <w:rsid w:val="006B75E1"/>
    <w:rsid w:val="006B7E92"/>
    <w:rsid w:val="006C0234"/>
    <w:rsid w:val="006C088A"/>
    <w:rsid w:val="006C0A58"/>
    <w:rsid w:val="006C0B7C"/>
    <w:rsid w:val="006C0BBA"/>
    <w:rsid w:val="006C18BE"/>
    <w:rsid w:val="006C196B"/>
    <w:rsid w:val="006C1CC1"/>
    <w:rsid w:val="006C1D56"/>
    <w:rsid w:val="006C1FB3"/>
    <w:rsid w:val="006C2636"/>
    <w:rsid w:val="006C2A0C"/>
    <w:rsid w:val="006C2E44"/>
    <w:rsid w:val="006C3135"/>
    <w:rsid w:val="006C3138"/>
    <w:rsid w:val="006C33A4"/>
    <w:rsid w:val="006C3FF6"/>
    <w:rsid w:val="006C4099"/>
    <w:rsid w:val="006C412C"/>
    <w:rsid w:val="006C485B"/>
    <w:rsid w:val="006C4DB4"/>
    <w:rsid w:val="006C51A2"/>
    <w:rsid w:val="006C5243"/>
    <w:rsid w:val="006C582B"/>
    <w:rsid w:val="006C5D3E"/>
    <w:rsid w:val="006C5EA5"/>
    <w:rsid w:val="006C61FF"/>
    <w:rsid w:val="006C629A"/>
    <w:rsid w:val="006C6404"/>
    <w:rsid w:val="006C68DB"/>
    <w:rsid w:val="006C761E"/>
    <w:rsid w:val="006C76F3"/>
    <w:rsid w:val="006C7C64"/>
    <w:rsid w:val="006C7D95"/>
    <w:rsid w:val="006D0A9F"/>
    <w:rsid w:val="006D14DC"/>
    <w:rsid w:val="006D15BB"/>
    <w:rsid w:val="006D162B"/>
    <w:rsid w:val="006D168F"/>
    <w:rsid w:val="006D18A4"/>
    <w:rsid w:val="006D19F2"/>
    <w:rsid w:val="006D1C7C"/>
    <w:rsid w:val="006D20D3"/>
    <w:rsid w:val="006D2909"/>
    <w:rsid w:val="006D297A"/>
    <w:rsid w:val="006D29BA"/>
    <w:rsid w:val="006D2C99"/>
    <w:rsid w:val="006D2FCC"/>
    <w:rsid w:val="006D3E2A"/>
    <w:rsid w:val="006D429A"/>
    <w:rsid w:val="006D4694"/>
    <w:rsid w:val="006D46D7"/>
    <w:rsid w:val="006D4869"/>
    <w:rsid w:val="006D48E8"/>
    <w:rsid w:val="006D496C"/>
    <w:rsid w:val="006D58E0"/>
    <w:rsid w:val="006D5A50"/>
    <w:rsid w:val="006D6077"/>
    <w:rsid w:val="006D6BA4"/>
    <w:rsid w:val="006D6BDF"/>
    <w:rsid w:val="006D6EBC"/>
    <w:rsid w:val="006D724E"/>
    <w:rsid w:val="006D7569"/>
    <w:rsid w:val="006D7C10"/>
    <w:rsid w:val="006D7E0C"/>
    <w:rsid w:val="006D7FCC"/>
    <w:rsid w:val="006E063B"/>
    <w:rsid w:val="006E08BF"/>
    <w:rsid w:val="006E1206"/>
    <w:rsid w:val="006E13DD"/>
    <w:rsid w:val="006E1AFC"/>
    <w:rsid w:val="006E1F25"/>
    <w:rsid w:val="006E2130"/>
    <w:rsid w:val="006E2226"/>
    <w:rsid w:val="006E251D"/>
    <w:rsid w:val="006E2638"/>
    <w:rsid w:val="006E2867"/>
    <w:rsid w:val="006E2B19"/>
    <w:rsid w:val="006E2C25"/>
    <w:rsid w:val="006E2C38"/>
    <w:rsid w:val="006E3270"/>
    <w:rsid w:val="006E364F"/>
    <w:rsid w:val="006E39EE"/>
    <w:rsid w:val="006E3CAA"/>
    <w:rsid w:val="006E40DB"/>
    <w:rsid w:val="006E416A"/>
    <w:rsid w:val="006E4272"/>
    <w:rsid w:val="006E452A"/>
    <w:rsid w:val="006E467B"/>
    <w:rsid w:val="006E4F38"/>
    <w:rsid w:val="006E5098"/>
    <w:rsid w:val="006E5234"/>
    <w:rsid w:val="006E571C"/>
    <w:rsid w:val="006E5E6A"/>
    <w:rsid w:val="006E6532"/>
    <w:rsid w:val="006E6A7E"/>
    <w:rsid w:val="006E7875"/>
    <w:rsid w:val="006F033F"/>
    <w:rsid w:val="006F070F"/>
    <w:rsid w:val="006F07CE"/>
    <w:rsid w:val="006F0B4C"/>
    <w:rsid w:val="006F1048"/>
    <w:rsid w:val="006F122B"/>
    <w:rsid w:val="006F164C"/>
    <w:rsid w:val="006F1B36"/>
    <w:rsid w:val="006F1CB6"/>
    <w:rsid w:val="006F1E92"/>
    <w:rsid w:val="006F216F"/>
    <w:rsid w:val="006F2397"/>
    <w:rsid w:val="006F23B2"/>
    <w:rsid w:val="006F25B5"/>
    <w:rsid w:val="006F25B8"/>
    <w:rsid w:val="006F2E37"/>
    <w:rsid w:val="006F329D"/>
    <w:rsid w:val="006F332E"/>
    <w:rsid w:val="006F362A"/>
    <w:rsid w:val="006F3A4C"/>
    <w:rsid w:val="006F3A57"/>
    <w:rsid w:val="006F3C9B"/>
    <w:rsid w:val="006F3DB7"/>
    <w:rsid w:val="006F402B"/>
    <w:rsid w:val="006F44F3"/>
    <w:rsid w:val="006F64D5"/>
    <w:rsid w:val="006F6E3F"/>
    <w:rsid w:val="006F73E6"/>
    <w:rsid w:val="006F740A"/>
    <w:rsid w:val="0070008D"/>
    <w:rsid w:val="0070015A"/>
    <w:rsid w:val="00700450"/>
    <w:rsid w:val="007005F6"/>
    <w:rsid w:val="00700A4B"/>
    <w:rsid w:val="007017D9"/>
    <w:rsid w:val="00701A53"/>
    <w:rsid w:val="00701CB2"/>
    <w:rsid w:val="00701F9A"/>
    <w:rsid w:val="0070205E"/>
    <w:rsid w:val="00702433"/>
    <w:rsid w:val="00702939"/>
    <w:rsid w:val="00703206"/>
    <w:rsid w:val="007033FE"/>
    <w:rsid w:val="00704171"/>
    <w:rsid w:val="0070443D"/>
    <w:rsid w:val="00704606"/>
    <w:rsid w:val="00704652"/>
    <w:rsid w:val="00704CDF"/>
    <w:rsid w:val="00704CE8"/>
    <w:rsid w:val="00704FC1"/>
    <w:rsid w:val="007050D0"/>
    <w:rsid w:val="007051FF"/>
    <w:rsid w:val="00705541"/>
    <w:rsid w:val="007057F3"/>
    <w:rsid w:val="00705B8F"/>
    <w:rsid w:val="00705D8E"/>
    <w:rsid w:val="00706D40"/>
    <w:rsid w:val="00706EC5"/>
    <w:rsid w:val="007072F4"/>
    <w:rsid w:val="00707961"/>
    <w:rsid w:val="00707A22"/>
    <w:rsid w:val="00707C78"/>
    <w:rsid w:val="00707E35"/>
    <w:rsid w:val="0071002C"/>
    <w:rsid w:val="007103A9"/>
    <w:rsid w:val="0071066B"/>
    <w:rsid w:val="00710917"/>
    <w:rsid w:val="00710E5A"/>
    <w:rsid w:val="0071122D"/>
    <w:rsid w:val="0071169C"/>
    <w:rsid w:val="0071202B"/>
    <w:rsid w:val="007126F3"/>
    <w:rsid w:val="00712855"/>
    <w:rsid w:val="00713006"/>
    <w:rsid w:val="00713C07"/>
    <w:rsid w:val="00714001"/>
    <w:rsid w:val="007145A6"/>
    <w:rsid w:val="00714663"/>
    <w:rsid w:val="00714D56"/>
    <w:rsid w:val="00714FB7"/>
    <w:rsid w:val="00714FEA"/>
    <w:rsid w:val="007150E1"/>
    <w:rsid w:val="007158E9"/>
    <w:rsid w:val="0071607F"/>
    <w:rsid w:val="00716127"/>
    <w:rsid w:val="00716E9E"/>
    <w:rsid w:val="00717435"/>
    <w:rsid w:val="007174AE"/>
    <w:rsid w:val="00717C13"/>
    <w:rsid w:val="00717E8E"/>
    <w:rsid w:val="00717F16"/>
    <w:rsid w:val="00720304"/>
    <w:rsid w:val="00720B42"/>
    <w:rsid w:val="00720B45"/>
    <w:rsid w:val="00720EAA"/>
    <w:rsid w:val="00720FBF"/>
    <w:rsid w:val="007211EE"/>
    <w:rsid w:val="00721329"/>
    <w:rsid w:val="007218C1"/>
    <w:rsid w:val="00721CD1"/>
    <w:rsid w:val="00721E6A"/>
    <w:rsid w:val="0072227F"/>
    <w:rsid w:val="00722A0F"/>
    <w:rsid w:val="00723263"/>
    <w:rsid w:val="00723911"/>
    <w:rsid w:val="00723929"/>
    <w:rsid w:val="0072394C"/>
    <w:rsid w:val="00723982"/>
    <w:rsid w:val="00723C76"/>
    <w:rsid w:val="0072409D"/>
    <w:rsid w:val="00724237"/>
    <w:rsid w:val="00724CEA"/>
    <w:rsid w:val="00725296"/>
    <w:rsid w:val="00726017"/>
    <w:rsid w:val="00726870"/>
    <w:rsid w:val="007268B0"/>
    <w:rsid w:val="00726EBD"/>
    <w:rsid w:val="00727275"/>
    <w:rsid w:val="0072727A"/>
    <w:rsid w:val="00727360"/>
    <w:rsid w:val="00727BC8"/>
    <w:rsid w:val="00727F50"/>
    <w:rsid w:val="00730424"/>
    <w:rsid w:val="00730A0D"/>
    <w:rsid w:val="00730A41"/>
    <w:rsid w:val="00730D3E"/>
    <w:rsid w:val="00730DEE"/>
    <w:rsid w:val="00730EA7"/>
    <w:rsid w:val="0073114B"/>
    <w:rsid w:val="007318B6"/>
    <w:rsid w:val="007319EE"/>
    <w:rsid w:val="00731A30"/>
    <w:rsid w:val="00731B95"/>
    <w:rsid w:val="0073204B"/>
    <w:rsid w:val="00732693"/>
    <w:rsid w:val="007329B0"/>
    <w:rsid w:val="007335F2"/>
    <w:rsid w:val="00733939"/>
    <w:rsid w:val="00733DF9"/>
    <w:rsid w:val="00733E9E"/>
    <w:rsid w:val="0073409A"/>
    <w:rsid w:val="00734220"/>
    <w:rsid w:val="007342A2"/>
    <w:rsid w:val="0073477B"/>
    <w:rsid w:val="00734CFE"/>
    <w:rsid w:val="00734E04"/>
    <w:rsid w:val="007358FA"/>
    <w:rsid w:val="00735BD1"/>
    <w:rsid w:val="00736018"/>
    <w:rsid w:val="00736169"/>
    <w:rsid w:val="00736203"/>
    <w:rsid w:val="007369D5"/>
    <w:rsid w:val="00736EBD"/>
    <w:rsid w:val="00737794"/>
    <w:rsid w:val="007404CD"/>
    <w:rsid w:val="0074081B"/>
    <w:rsid w:val="0074081F"/>
    <w:rsid w:val="007409CE"/>
    <w:rsid w:val="00740CD1"/>
    <w:rsid w:val="00740D25"/>
    <w:rsid w:val="00740EE2"/>
    <w:rsid w:val="007413A9"/>
    <w:rsid w:val="0074170A"/>
    <w:rsid w:val="00741B33"/>
    <w:rsid w:val="00741BE8"/>
    <w:rsid w:val="00741E2F"/>
    <w:rsid w:val="00742327"/>
    <w:rsid w:val="007426F1"/>
    <w:rsid w:val="007428C6"/>
    <w:rsid w:val="00742954"/>
    <w:rsid w:val="00742C83"/>
    <w:rsid w:val="00742CAE"/>
    <w:rsid w:val="0074302C"/>
    <w:rsid w:val="00743656"/>
    <w:rsid w:val="00743679"/>
    <w:rsid w:val="00743E64"/>
    <w:rsid w:val="00744541"/>
    <w:rsid w:val="00744EA7"/>
    <w:rsid w:val="0074574A"/>
    <w:rsid w:val="007459D2"/>
    <w:rsid w:val="00745D96"/>
    <w:rsid w:val="0074614D"/>
    <w:rsid w:val="0074645A"/>
    <w:rsid w:val="007466BD"/>
    <w:rsid w:val="007467AE"/>
    <w:rsid w:val="00746DA6"/>
    <w:rsid w:val="00747F60"/>
    <w:rsid w:val="007501F6"/>
    <w:rsid w:val="00750A72"/>
    <w:rsid w:val="00751579"/>
    <w:rsid w:val="00751D66"/>
    <w:rsid w:val="00751E3C"/>
    <w:rsid w:val="007528CF"/>
    <w:rsid w:val="00753737"/>
    <w:rsid w:val="007537FB"/>
    <w:rsid w:val="00753A16"/>
    <w:rsid w:val="00753BA2"/>
    <w:rsid w:val="007542B1"/>
    <w:rsid w:val="0075453C"/>
    <w:rsid w:val="0075481C"/>
    <w:rsid w:val="00754B18"/>
    <w:rsid w:val="00754B93"/>
    <w:rsid w:val="00755067"/>
    <w:rsid w:val="0075514B"/>
    <w:rsid w:val="0075538C"/>
    <w:rsid w:val="00755B8B"/>
    <w:rsid w:val="00755E8D"/>
    <w:rsid w:val="0075604F"/>
    <w:rsid w:val="007565FC"/>
    <w:rsid w:val="007569E1"/>
    <w:rsid w:val="00756CCF"/>
    <w:rsid w:val="00756DAC"/>
    <w:rsid w:val="00756F29"/>
    <w:rsid w:val="007570DA"/>
    <w:rsid w:val="007574D3"/>
    <w:rsid w:val="007575D0"/>
    <w:rsid w:val="007575E1"/>
    <w:rsid w:val="0075778B"/>
    <w:rsid w:val="00757872"/>
    <w:rsid w:val="00760047"/>
    <w:rsid w:val="00760201"/>
    <w:rsid w:val="00760205"/>
    <w:rsid w:val="0076047E"/>
    <w:rsid w:val="00760FEC"/>
    <w:rsid w:val="00761F7C"/>
    <w:rsid w:val="00762320"/>
    <w:rsid w:val="00762A78"/>
    <w:rsid w:val="00763420"/>
    <w:rsid w:val="00763702"/>
    <w:rsid w:val="00763FB6"/>
    <w:rsid w:val="007642CD"/>
    <w:rsid w:val="007642F2"/>
    <w:rsid w:val="007645E4"/>
    <w:rsid w:val="00764A29"/>
    <w:rsid w:val="00764E89"/>
    <w:rsid w:val="00764FE6"/>
    <w:rsid w:val="007664D5"/>
    <w:rsid w:val="007666D3"/>
    <w:rsid w:val="00770653"/>
    <w:rsid w:val="007708F1"/>
    <w:rsid w:val="00770A3B"/>
    <w:rsid w:val="00770F96"/>
    <w:rsid w:val="00771624"/>
    <w:rsid w:val="007722CE"/>
    <w:rsid w:val="0077295E"/>
    <w:rsid w:val="00773471"/>
    <w:rsid w:val="007735B5"/>
    <w:rsid w:val="00773752"/>
    <w:rsid w:val="0077386E"/>
    <w:rsid w:val="00773CE5"/>
    <w:rsid w:val="00773E4D"/>
    <w:rsid w:val="0077415B"/>
    <w:rsid w:val="00774301"/>
    <w:rsid w:val="00774E4A"/>
    <w:rsid w:val="00775436"/>
    <w:rsid w:val="00775D24"/>
    <w:rsid w:val="00775D86"/>
    <w:rsid w:val="00775F90"/>
    <w:rsid w:val="00776119"/>
    <w:rsid w:val="00776219"/>
    <w:rsid w:val="007762B7"/>
    <w:rsid w:val="0077645D"/>
    <w:rsid w:val="007767E2"/>
    <w:rsid w:val="00776829"/>
    <w:rsid w:val="00776873"/>
    <w:rsid w:val="00776C0B"/>
    <w:rsid w:val="00776C6A"/>
    <w:rsid w:val="00776EC8"/>
    <w:rsid w:val="00776F71"/>
    <w:rsid w:val="007770FD"/>
    <w:rsid w:val="007772BC"/>
    <w:rsid w:val="007776D8"/>
    <w:rsid w:val="0077796F"/>
    <w:rsid w:val="00777A21"/>
    <w:rsid w:val="00777DF5"/>
    <w:rsid w:val="00777E37"/>
    <w:rsid w:val="007801A0"/>
    <w:rsid w:val="00780B02"/>
    <w:rsid w:val="00780C20"/>
    <w:rsid w:val="00780FB2"/>
    <w:rsid w:val="00781BD7"/>
    <w:rsid w:val="00781D6A"/>
    <w:rsid w:val="00782355"/>
    <w:rsid w:val="00782FA2"/>
    <w:rsid w:val="00782FCF"/>
    <w:rsid w:val="00783385"/>
    <w:rsid w:val="007836E1"/>
    <w:rsid w:val="007837A4"/>
    <w:rsid w:val="00783DF9"/>
    <w:rsid w:val="00783E50"/>
    <w:rsid w:val="007844B7"/>
    <w:rsid w:val="007844DC"/>
    <w:rsid w:val="00784C4C"/>
    <w:rsid w:val="007858F8"/>
    <w:rsid w:val="007859BA"/>
    <w:rsid w:val="00785C12"/>
    <w:rsid w:val="007866AD"/>
    <w:rsid w:val="00786E5D"/>
    <w:rsid w:val="007876F8"/>
    <w:rsid w:val="00787C75"/>
    <w:rsid w:val="00787D0A"/>
    <w:rsid w:val="007905FB"/>
    <w:rsid w:val="0079086A"/>
    <w:rsid w:val="00790CAF"/>
    <w:rsid w:val="0079162C"/>
    <w:rsid w:val="0079168B"/>
    <w:rsid w:val="007917B6"/>
    <w:rsid w:val="00791C82"/>
    <w:rsid w:val="00791EBC"/>
    <w:rsid w:val="007921FD"/>
    <w:rsid w:val="00792289"/>
    <w:rsid w:val="00792626"/>
    <w:rsid w:val="007929D2"/>
    <w:rsid w:val="00793A35"/>
    <w:rsid w:val="00793E37"/>
    <w:rsid w:val="007943BA"/>
    <w:rsid w:val="00794814"/>
    <w:rsid w:val="00794B7A"/>
    <w:rsid w:val="00794FEA"/>
    <w:rsid w:val="007952F8"/>
    <w:rsid w:val="00795741"/>
    <w:rsid w:val="00795EE7"/>
    <w:rsid w:val="00795F0C"/>
    <w:rsid w:val="00796220"/>
    <w:rsid w:val="00796F2A"/>
    <w:rsid w:val="007A0237"/>
    <w:rsid w:val="007A0CC4"/>
    <w:rsid w:val="007A1CFF"/>
    <w:rsid w:val="007A1F50"/>
    <w:rsid w:val="007A1FCF"/>
    <w:rsid w:val="007A212B"/>
    <w:rsid w:val="007A2587"/>
    <w:rsid w:val="007A278C"/>
    <w:rsid w:val="007A3BFB"/>
    <w:rsid w:val="007A3C2D"/>
    <w:rsid w:val="007A3D65"/>
    <w:rsid w:val="007A410A"/>
    <w:rsid w:val="007A4E76"/>
    <w:rsid w:val="007A5598"/>
    <w:rsid w:val="007A592D"/>
    <w:rsid w:val="007A5F72"/>
    <w:rsid w:val="007A61EC"/>
    <w:rsid w:val="007A64C8"/>
    <w:rsid w:val="007A653B"/>
    <w:rsid w:val="007A655A"/>
    <w:rsid w:val="007A6AFF"/>
    <w:rsid w:val="007A7136"/>
    <w:rsid w:val="007A7489"/>
    <w:rsid w:val="007A794B"/>
    <w:rsid w:val="007A7CEF"/>
    <w:rsid w:val="007B008F"/>
    <w:rsid w:val="007B02FF"/>
    <w:rsid w:val="007B0BD1"/>
    <w:rsid w:val="007B0E45"/>
    <w:rsid w:val="007B1918"/>
    <w:rsid w:val="007B1CBE"/>
    <w:rsid w:val="007B219E"/>
    <w:rsid w:val="007B2912"/>
    <w:rsid w:val="007B2AD3"/>
    <w:rsid w:val="007B32A9"/>
    <w:rsid w:val="007B37A4"/>
    <w:rsid w:val="007B395E"/>
    <w:rsid w:val="007B3C0F"/>
    <w:rsid w:val="007B41DF"/>
    <w:rsid w:val="007B42CD"/>
    <w:rsid w:val="007B444A"/>
    <w:rsid w:val="007B5566"/>
    <w:rsid w:val="007B568E"/>
    <w:rsid w:val="007B5728"/>
    <w:rsid w:val="007B5847"/>
    <w:rsid w:val="007B627F"/>
    <w:rsid w:val="007B648F"/>
    <w:rsid w:val="007B6549"/>
    <w:rsid w:val="007B65E6"/>
    <w:rsid w:val="007B68FD"/>
    <w:rsid w:val="007B714D"/>
    <w:rsid w:val="007B7295"/>
    <w:rsid w:val="007B72DE"/>
    <w:rsid w:val="007B7FBE"/>
    <w:rsid w:val="007C0918"/>
    <w:rsid w:val="007C11E8"/>
    <w:rsid w:val="007C1A50"/>
    <w:rsid w:val="007C20D7"/>
    <w:rsid w:val="007C2CBB"/>
    <w:rsid w:val="007C2FAB"/>
    <w:rsid w:val="007C2FBB"/>
    <w:rsid w:val="007C3238"/>
    <w:rsid w:val="007C35A3"/>
    <w:rsid w:val="007C3E6E"/>
    <w:rsid w:val="007C4818"/>
    <w:rsid w:val="007C4934"/>
    <w:rsid w:val="007C516C"/>
    <w:rsid w:val="007C5389"/>
    <w:rsid w:val="007C546B"/>
    <w:rsid w:val="007C55B5"/>
    <w:rsid w:val="007C5CC6"/>
    <w:rsid w:val="007C6F28"/>
    <w:rsid w:val="007C718E"/>
    <w:rsid w:val="007C749F"/>
    <w:rsid w:val="007C75B9"/>
    <w:rsid w:val="007C7756"/>
    <w:rsid w:val="007D018E"/>
    <w:rsid w:val="007D0207"/>
    <w:rsid w:val="007D0703"/>
    <w:rsid w:val="007D0729"/>
    <w:rsid w:val="007D0DA9"/>
    <w:rsid w:val="007D157D"/>
    <w:rsid w:val="007D1948"/>
    <w:rsid w:val="007D1A24"/>
    <w:rsid w:val="007D1BA6"/>
    <w:rsid w:val="007D1DF0"/>
    <w:rsid w:val="007D2584"/>
    <w:rsid w:val="007D25C0"/>
    <w:rsid w:val="007D25EC"/>
    <w:rsid w:val="007D2D8F"/>
    <w:rsid w:val="007D2F8A"/>
    <w:rsid w:val="007D36DF"/>
    <w:rsid w:val="007D3713"/>
    <w:rsid w:val="007D3A1A"/>
    <w:rsid w:val="007D40C6"/>
    <w:rsid w:val="007D42DC"/>
    <w:rsid w:val="007D42E0"/>
    <w:rsid w:val="007D430F"/>
    <w:rsid w:val="007D461F"/>
    <w:rsid w:val="007D4636"/>
    <w:rsid w:val="007D4706"/>
    <w:rsid w:val="007D4779"/>
    <w:rsid w:val="007D4C6D"/>
    <w:rsid w:val="007D4E23"/>
    <w:rsid w:val="007D539F"/>
    <w:rsid w:val="007D5C68"/>
    <w:rsid w:val="007D6069"/>
    <w:rsid w:val="007D6153"/>
    <w:rsid w:val="007D637A"/>
    <w:rsid w:val="007D66C5"/>
    <w:rsid w:val="007D6CDE"/>
    <w:rsid w:val="007D71FD"/>
    <w:rsid w:val="007D7361"/>
    <w:rsid w:val="007E050A"/>
    <w:rsid w:val="007E06AF"/>
    <w:rsid w:val="007E096C"/>
    <w:rsid w:val="007E0C78"/>
    <w:rsid w:val="007E0E2C"/>
    <w:rsid w:val="007E0FF6"/>
    <w:rsid w:val="007E1105"/>
    <w:rsid w:val="007E1601"/>
    <w:rsid w:val="007E1DFC"/>
    <w:rsid w:val="007E1F53"/>
    <w:rsid w:val="007E1FCE"/>
    <w:rsid w:val="007E230F"/>
    <w:rsid w:val="007E26C4"/>
    <w:rsid w:val="007E272C"/>
    <w:rsid w:val="007E2B0D"/>
    <w:rsid w:val="007E2E98"/>
    <w:rsid w:val="007E305E"/>
    <w:rsid w:val="007E36D9"/>
    <w:rsid w:val="007E3E18"/>
    <w:rsid w:val="007E41A6"/>
    <w:rsid w:val="007E41D8"/>
    <w:rsid w:val="007E4320"/>
    <w:rsid w:val="007E4809"/>
    <w:rsid w:val="007E4AE6"/>
    <w:rsid w:val="007E5291"/>
    <w:rsid w:val="007E5BA9"/>
    <w:rsid w:val="007E5C68"/>
    <w:rsid w:val="007E6595"/>
    <w:rsid w:val="007E69D0"/>
    <w:rsid w:val="007E6D28"/>
    <w:rsid w:val="007E7454"/>
    <w:rsid w:val="007E755E"/>
    <w:rsid w:val="007E7884"/>
    <w:rsid w:val="007E7E2F"/>
    <w:rsid w:val="007F0050"/>
    <w:rsid w:val="007F0136"/>
    <w:rsid w:val="007F0220"/>
    <w:rsid w:val="007F0379"/>
    <w:rsid w:val="007F0549"/>
    <w:rsid w:val="007F0A25"/>
    <w:rsid w:val="007F10A0"/>
    <w:rsid w:val="007F117A"/>
    <w:rsid w:val="007F15D2"/>
    <w:rsid w:val="007F1716"/>
    <w:rsid w:val="007F1769"/>
    <w:rsid w:val="007F1CC6"/>
    <w:rsid w:val="007F28D4"/>
    <w:rsid w:val="007F2901"/>
    <w:rsid w:val="007F2CE4"/>
    <w:rsid w:val="007F2F21"/>
    <w:rsid w:val="007F3072"/>
    <w:rsid w:val="007F33C7"/>
    <w:rsid w:val="007F33CD"/>
    <w:rsid w:val="007F3436"/>
    <w:rsid w:val="007F3437"/>
    <w:rsid w:val="007F34B4"/>
    <w:rsid w:val="007F3683"/>
    <w:rsid w:val="007F3928"/>
    <w:rsid w:val="007F3A2A"/>
    <w:rsid w:val="007F3F78"/>
    <w:rsid w:val="007F4356"/>
    <w:rsid w:val="007F4963"/>
    <w:rsid w:val="007F49D8"/>
    <w:rsid w:val="007F5A87"/>
    <w:rsid w:val="007F5D32"/>
    <w:rsid w:val="007F6680"/>
    <w:rsid w:val="007F66D5"/>
    <w:rsid w:val="007F6C09"/>
    <w:rsid w:val="007F7861"/>
    <w:rsid w:val="007F7EF5"/>
    <w:rsid w:val="008002C2"/>
    <w:rsid w:val="008002DC"/>
    <w:rsid w:val="0080097F"/>
    <w:rsid w:val="008011F3"/>
    <w:rsid w:val="008015BA"/>
    <w:rsid w:val="008023DA"/>
    <w:rsid w:val="008026A8"/>
    <w:rsid w:val="00802BC7"/>
    <w:rsid w:val="0080355E"/>
    <w:rsid w:val="0080356C"/>
    <w:rsid w:val="00803A55"/>
    <w:rsid w:val="00803AA9"/>
    <w:rsid w:val="00803BFA"/>
    <w:rsid w:val="00803E70"/>
    <w:rsid w:val="00804EF1"/>
    <w:rsid w:val="00805D8B"/>
    <w:rsid w:val="0080692B"/>
    <w:rsid w:val="00806E64"/>
    <w:rsid w:val="0080747D"/>
    <w:rsid w:val="0080789C"/>
    <w:rsid w:val="008079BC"/>
    <w:rsid w:val="008100CA"/>
    <w:rsid w:val="00810579"/>
    <w:rsid w:val="00810CF1"/>
    <w:rsid w:val="00810DF4"/>
    <w:rsid w:val="008122F2"/>
    <w:rsid w:val="00812357"/>
    <w:rsid w:val="00812F34"/>
    <w:rsid w:val="00813624"/>
    <w:rsid w:val="008138E2"/>
    <w:rsid w:val="00813DF0"/>
    <w:rsid w:val="00813FDF"/>
    <w:rsid w:val="00814795"/>
    <w:rsid w:val="008153BF"/>
    <w:rsid w:val="0081584C"/>
    <w:rsid w:val="00815870"/>
    <w:rsid w:val="00815D38"/>
    <w:rsid w:val="00815D5F"/>
    <w:rsid w:val="00816D2C"/>
    <w:rsid w:val="00816DF4"/>
    <w:rsid w:val="008176B6"/>
    <w:rsid w:val="00817A9A"/>
    <w:rsid w:val="00817C34"/>
    <w:rsid w:val="00817E48"/>
    <w:rsid w:val="008201DE"/>
    <w:rsid w:val="0082090C"/>
    <w:rsid w:val="00820AA8"/>
    <w:rsid w:val="008212F7"/>
    <w:rsid w:val="008223A1"/>
    <w:rsid w:val="008223FF"/>
    <w:rsid w:val="00822E69"/>
    <w:rsid w:val="00823299"/>
    <w:rsid w:val="008238A1"/>
    <w:rsid w:val="008238C7"/>
    <w:rsid w:val="00823C5E"/>
    <w:rsid w:val="00823E27"/>
    <w:rsid w:val="008243CB"/>
    <w:rsid w:val="00824FF1"/>
    <w:rsid w:val="00825004"/>
    <w:rsid w:val="0082519A"/>
    <w:rsid w:val="0082546D"/>
    <w:rsid w:val="00825FB7"/>
    <w:rsid w:val="00826151"/>
    <w:rsid w:val="0082712C"/>
    <w:rsid w:val="00827139"/>
    <w:rsid w:val="0082722A"/>
    <w:rsid w:val="0082754C"/>
    <w:rsid w:val="00827BF5"/>
    <w:rsid w:val="00827D8A"/>
    <w:rsid w:val="00830350"/>
    <w:rsid w:val="008311A5"/>
    <w:rsid w:val="008311C6"/>
    <w:rsid w:val="00831808"/>
    <w:rsid w:val="00831A92"/>
    <w:rsid w:val="00831D87"/>
    <w:rsid w:val="00831F55"/>
    <w:rsid w:val="008329FD"/>
    <w:rsid w:val="00832C3D"/>
    <w:rsid w:val="00833166"/>
    <w:rsid w:val="008339AC"/>
    <w:rsid w:val="00833BB3"/>
    <w:rsid w:val="00833E13"/>
    <w:rsid w:val="00834188"/>
    <w:rsid w:val="008342C3"/>
    <w:rsid w:val="00834470"/>
    <w:rsid w:val="00834859"/>
    <w:rsid w:val="00834CE7"/>
    <w:rsid w:val="00835161"/>
    <w:rsid w:val="00835E4C"/>
    <w:rsid w:val="008360FF"/>
    <w:rsid w:val="00836207"/>
    <w:rsid w:val="00836266"/>
    <w:rsid w:val="0083636A"/>
    <w:rsid w:val="00836FEF"/>
    <w:rsid w:val="00837752"/>
    <w:rsid w:val="008377A9"/>
    <w:rsid w:val="0083786F"/>
    <w:rsid w:val="00837AC9"/>
    <w:rsid w:val="00837D32"/>
    <w:rsid w:val="00837D8E"/>
    <w:rsid w:val="0084009A"/>
    <w:rsid w:val="00840286"/>
    <w:rsid w:val="008405E8"/>
    <w:rsid w:val="00840838"/>
    <w:rsid w:val="008408AA"/>
    <w:rsid w:val="00840B95"/>
    <w:rsid w:val="00840E47"/>
    <w:rsid w:val="008410FA"/>
    <w:rsid w:val="00841116"/>
    <w:rsid w:val="008415D6"/>
    <w:rsid w:val="00841E11"/>
    <w:rsid w:val="00842191"/>
    <w:rsid w:val="00842C58"/>
    <w:rsid w:val="00842E1F"/>
    <w:rsid w:val="008430FB"/>
    <w:rsid w:val="008433A5"/>
    <w:rsid w:val="008433E1"/>
    <w:rsid w:val="008434F6"/>
    <w:rsid w:val="00843A73"/>
    <w:rsid w:val="00843C52"/>
    <w:rsid w:val="00843C79"/>
    <w:rsid w:val="00843E6F"/>
    <w:rsid w:val="008440C5"/>
    <w:rsid w:val="0084470E"/>
    <w:rsid w:val="00844984"/>
    <w:rsid w:val="00844CC7"/>
    <w:rsid w:val="008453D2"/>
    <w:rsid w:val="00845B5D"/>
    <w:rsid w:val="0084606D"/>
    <w:rsid w:val="008461DA"/>
    <w:rsid w:val="00846299"/>
    <w:rsid w:val="008464C3"/>
    <w:rsid w:val="0084747B"/>
    <w:rsid w:val="00847819"/>
    <w:rsid w:val="008478FC"/>
    <w:rsid w:val="00850BBD"/>
    <w:rsid w:val="00850D7B"/>
    <w:rsid w:val="00850F5E"/>
    <w:rsid w:val="008517FE"/>
    <w:rsid w:val="00851AA5"/>
    <w:rsid w:val="008522E5"/>
    <w:rsid w:val="00852425"/>
    <w:rsid w:val="00852B63"/>
    <w:rsid w:val="0085344B"/>
    <w:rsid w:val="008537E7"/>
    <w:rsid w:val="00853EA1"/>
    <w:rsid w:val="0085411C"/>
    <w:rsid w:val="00854442"/>
    <w:rsid w:val="00854CC8"/>
    <w:rsid w:val="0085572C"/>
    <w:rsid w:val="00855B77"/>
    <w:rsid w:val="008560A6"/>
    <w:rsid w:val="00856724"/>
    <w:rsid w:val="00857519"/>
    <w:rsid w:val="00857B29"/>
    <w:rsid w:val="00857B2D"/>
    <w:rsid w:val="00857DC6"/>
    <w:rsid w:val="00860685"/>
    <w:rsid w:val="0086080F"/>
    <w:rsid w:val="0086087F"/>
    <w:rsid w:val="00860AC3"/>
    <w:rsid w:val="00860B8A"/>
    <w:rsid w:val="0086102F"/>
    <w:rsid w:val="0086171F"/>
    <w:rsid w:val="00861731"/>
    <w:rsid w:val="00861768"/>
    <w:rsid w:val="008624BC"/>
    <w:rsid w:val="00862E25"/>
    <w:rsid w:val="00862E9B"/>
    <w:rsid w:val="0086312A"/>
    <w:rsid w:val="0086367F"/>
    <w:rsid w:val="00863BE3"/>
    <w:rsid w:val="00864098"/>
    <w:rsid w:val="0086454D"/>
    <w:rsid w:val="008647FC"/>
    <w:rsid w:val="00864B52"/>
    <w:rsid w:val="00864D75"/>
    <w:rsid w:val="00864F04"/>
    <w:rsid w:val="00866276"/>
    <w:rsid w:val="00866315"/>
    <w:rsid w:val="00867199"/>
    <w:rsid w:val="008676E0"/>
    <w:rsid w:val="00867880"/>
    <w:rsid w:val="00867C1C"/>
    <w:rsid w:val="008706ED"/>
    <w:rsid w:val="00870F6D"/>
    <w:rsid w:val="008717E4"/>
    <w:rsid w:val="008717F0"/>
    <w:rsid w:val="008718BF"/>
    <w:rsid w:val="00871E3B"/>
    <w:rsid w:val="008724A6"/>
    <w:rsid w:val="00872EF9"/>
    <w:rsid w:val="00873048"/>
    <w:rsid w:val="0087369F"/>
    <w:rsid w:val="0087389D"/>
    <w:rsid w:val="00874394"/>
    <w:rsid w:val="0087439B"/>
    <w:rsid w:val="00874798"/>
    <w:rsid w:val="00874AFB"/>
    <w:rsid w:val="0087520D"/>
    <w:rsid w:val="0087567D"/>
    <w:rsid w:val="00875934"/>
    <w:rsid w:val="00875ABC"/>
    <w:rsid w:val="00875D88"/>
    <w:rsid w:val="00876471"/>
    <w:rsid w:val="008764C9"/>
    <w:rsid w:val="00876941"/>
    <w:rsid w:val="00876EDC"/>
    <w:rsid w:val="00876F5F"/>
    <w:rsid w:val="00877537"/>
    <w:rsid w:val="008777EF"/>
    <w:rsid w:val="00877937"/>
    <w:rsid w:val="00877A18"/>
    <w:rsid w:val="00877D2B"/>
    <w:rsid w:val="00877E7D"/>
    <w:rsid w:val="00880668"/>
    <w:rsid w:val="00880DD7"/>
    <w:rsid w:val="00881BF2"/>
    <w:rsid w:val="00881C48"/>
    <w:rsid w:val="00881FD3"/>
    <w:rsid w:val="00882099"/>
    <w:rsid w:val="00882105"/>
    <w:rsid w:val="0088284A"/>
    <w:rsid w:val="00882A1D"/>
    <w:rsid w:val="00882BAB"/>
    <w:rsid w:val="00883823"/>
    <w:rsid w:val="008839B5"/>
    <w:rsid w:val="00884001"/>
    <w:rsid w:val="008840DC"/>
    <w:rsid w:val="008841EA"/>
    <w:rsid w:val="00884884"/>
    <w:rsid w:val="00884D13"/>
    <w:rsid w:val="00884F59"/>
    <w:rsid w:val="00885114"/>
    <w:rsid w:val="008851D1"/>
    <w:rsid w:val="00885364"/>
    <w:rsid w:val="008855AA"/>
    <w:rsid w:val="008855F5"/>
    <w:rsid w:val="00885839"/>
    <w:rsid w:val="00885CAB"/>
    <w:rsid w:val="00885E65"/>
    <w:rsid w:val="00886243"/>
    <w:rsid w:val="00886316"/>
    <w:rsid w:val="0088641A"/>
    <w:rsid w:val="00886528"/>
    <w:rsid w:val="00886C66"/>
    <w:rsid w:val="00886F07"/>
    <w:rsid w:val="00886FC2"/>
    <w:rsid w:val="00887600"/>
    <w:rsid w:val="0088780A"/>
    <w:rsid w:val="008878A1"/>
    <w:rsid w:val="00887BBF"/>
    <w:rsid w:val="008900D7"/>
    <w:rsid w:val="00890199"/>
    <w:rsid w:val="00890C1A"/>
    <w:rsid w:val="00890D5C"/>
    <w:rsid w:val="008913B3"/>
    <w:rsid w:val="008915C5"/>
    <w:rsid w:val="00891B22"/>
    <w:rsid w:val="00891FE8"/>
    <w:rsid w:val="00892128"/>
    <w:rsid w:val="00892DAE"/>
    <w:rsid w:val="0089317F"/>
    <w:rsid w:val="00893267"/>
    <w:rsid w:val="00893354"/>
    <w:rsid w:val="00893717"/>
    <w:rsid w:val="00893854"/>
    <w:rsid w:val="00893F42"/>
    <w:rsid w:val="008941FB"/>
    <w:rsid w:val="0089460B"/>
    <w:rsid w:val="00894A01"/>
    <w:rsid w:val="00895AA7"/>
    <w:rsid w:val="00895D81"/>
    <w:rsid w:val="00895DFA"/>
    <w:rsid w:val="00895FB5"/>
    <w:rsid w:val="008961FB"/>
    <w:rsid w:val="00896770"/>
    <w:rsid w:val="008968C9"/>
    <w:rsid w:val="00896945"/>
    <w:rsid w:val="00896AE2"/>
    <w:rsid w:val="00896BFF"/>
    <w:rsid w:val="00896C41"/>
    <w:rsid w:val="00896D46"/>
    <w:rsid w:val="00897067"/>
    <w:rsid w:val="00897071"/>
    <w:rsid w:val="00897C43"/>
    <w:rsid w:val="00897CB0"/>
    <w:rsid w:val="00897D26"/>
    <w:rsid w:val="008A0715"/>
    <w:rsid w:val="008A073D"/>
    <w:rsid w:val="008A07B0"/>
    <w:rsid w:val="008A0AC5"/>
    <w:rsid w:val="008A0E4F"/>
    <w:rsid w:val="008A12FE"/>
    <w:rsid w:val="008A1A06"/>
    <w:rsid w:val="008A29DB"/>
    <w:rsid w:val="008A3C0F"/>
    <w:rsid w:val="008A3C62"/>
    <w:rsid w:val="008A3D71"/>
    <w:rsid w:val="008A414B"/>
    <w:rsid w:val="008A42CD"/>
    <w:rsid w:val="008A51D9"/>
    <w:rsid w:val="008A5261"/>
    <w:rsid w:val="008A5318"/>
    <w:rsid w:val="008A59BB"/>
    <w:rsid w:val="008A5F64"/>
    <w:rsid w:val="008A6C0C"/>
    <w:rsid w:val="008A6C54"/>
    <w:rsid w:val="008A7368"/>
    <w:rsid w:val="008A76EC"/>
    <w:rsid w:val="008A782E"/>
    <w:rsid w:val="008B08FD"/>
    <w:rsid w:val="008B0AA5"/>
    <w:rsid w:val="008B0C91"/>
    <w:rsid w:val="008B0F72"/>
    <w:rsid w:val="008B0F89"/>
    <w:rsid w:val="008B143F"/>
    <w:rsid w:val="008B1A7A"/>
    <w:rsid w:val="008B1AE8"/>
    <w:rsid w:val="008B1C26"/>
    <w:rsid w:val="008B2399"/>
    <w:rsid w:val="008B24D6"/>
    <w:rsid w:val="008B29CC"/>
    <w:rsid w:val="008B3331"/>
    <w:rsid w:val="008B3721"/>
    <w:rsid w:val="008B3CB5"/>
    <w:rsid w:val="008B3DE5"/>
    <w:rsid w:val="008B3EEC"/>
    <w:rsid w:val="008B411A"/>
    <w:rsid w:val="008B4202"/>
    <w:rsid w:val="008B4AF7"/>
    <w:rsid w:val="008B536E"/>
    <w:rsid w:val="008B5FF8"/>
    <w:rsid w:val="008B6ABC"/>
    <w:rsid w:val="008B6FE8"/>
    <w:rsid w:val="008B7399"/>
    <w:rsid w:val="008B74BA"/>
    <w:rsid w:val="008B7528"/>
    <w:rsid w:val="008B7800"/>
    <w:rsid w:val="008B7C4B"/>
    <w:rsid w:val="008B7DC6"/>
    <w:rsid w:val="008C0A2C"/>
    <w:rsid w:val="008C0C49"/>
    <w:rsid w:val="008C108B"/>
    <w:rsid w:val="008C1545"/>
    <w:rsid w:val="008C1F78"/>
    <w:rsid w:val="008C2332"/>
    <w:rsid w:val="008C23CE"/>
    <w:rsid w:val="008C2541"/>
    <w:rsid w:val="008C25FF"/>
    <w:rsid w:val="008C28A1"/>
    <w:rsid w:val="008C2D03"/>
    <w:rsid w:val="008C2D89"/>
    <w:rsid w:val="008C2F34"/>
    <w:rsid w:val="008C3598"/>
    <w:rsid w:val="008C3874"/>
    <w:rsid w:val="008C38C1"/>
    <w:rsid w:val="008C3D81"/>
    <w:rsid w:val="008C49FD"/>
    <w:rsid w:val="008C4AE6"/>
    <w:rsid w:val="008C4C4E"/>
    <w:rsid w:val="008C5EAE"/>
    <w:rsid w:val="008C6330"/>
    <w:rsid w:val="008C6B71"/>
    <w:rsid w:val="008C70D7"/>
    <w:rsid w:val="008C745C"/>
    <w:rsid w:val="008C768B"/>
    <w:rsid w:val="008C7ECE"/>
    <w:rsid w:val="008C7F80"/>
    <w:rsid w:val="008D013A"/>
    <w:rsid w:val="008D02A8"/>
    <w:rsid w:val="008D0AB7"/>
    <w:rsid w:val="008D0DB4"/>
    <w:rsid w:val="008D150B"/>
    <w:rsid w:val="008D1DD9"/>
    <w:rsid w:val="008D1F35"/>
    <w:rsid w:val="008D1F4B"/>
    <w:rsid w:val="008D2094"/>
    <w:rsid w:val="008D20A2"/>
    <w:rsid w:val="008D2C31"/>
    <w:rsid w:val="008D317B"/>
    <w:rsid w:val="008D324B"/>
    <w:rsid w:val="008D34EA"/>
    <w:rsid w:val="008D3D0B"/>
    <w:rsid w:val="008D4B30"/>
    <w:rsid w:val="008D55D2"/>
    <w:rsid w:val="008D57F0"/>
    <w:rsid w:val="008D5867"/>
    <w:rsid w:val="008D681E"/>
    <w:rsid w:val="008D7276"/>
    <w:rsid w:val="008D7731"/>
    <w:rsid w:val="008D7BAB"/>
    <w:rsid w:val="008D7E3E"/>
    <w:rsid w:val="008D7EEB"/>
    <w:rsid w:val="008E01CD"/>
    <w:rsid w:val="008E0259"/>
    <w:rsid w:val="008E0405"/>
    <w:rsid w:val="008E0CCA"/>
    <w:rsid w:val="008E0DE8"/>
    <w:rsid w:val="008E0ED6"/>
    <w:rsid w:val="008E1740"/>
    <w:rsid w:val="008E180D"/>
    <w:rsid w:val="008E1FB7"/>
    <w:rsid w:val="008E209B"/>
    <w:rsid w:val="008E217B"/>
    <w:rsid w:val="008E21AA"/>
    <w:rsid w:val="008E233C"/>
    <w:rsid w:val="008E2F8F"/>
    <w:rsid w:val="008E38AC"/>
    <w:rsid w:val="008E39A6"/>
    <w:rsid w:val="008E40FB"/>
    <w:rsid w:val="008E4257"/>
    <w:rsid w:val="008E4423"/>
    <w:rsid w:val="008E44A6"/>
    <w:rsid w:val="008E4F2E"/>
    <w:rsid w:val="008E50A0"/>
    <w:rsid w:val="008E67B5"/>
    <w:rsid w:val="008E6AA0"/>
    <w:rsid w:val="008E6CB4"/>
    <w:rsid w:val="008E7127"/>
    <w:rsid w:val="008F041C"/>
    <w:rsid w:val="008F0945"/>
    <w:rsid w:val="008F13E9"/>
    <w:rsid w:val="008F155E"/>
    <w:rsid w:val="008F166D"/>
    <w:rsid w:val="008F18C1"/>
    <w:rsid w:val="008F1A58"/>
    <w:rsid w:val="008F1E6D"/>
    <w:rsid w:val="008F2515"/>
    <w:rsid w:val="008F298C"/>
    <w:rsid w:val="008F29D8"/>
    <w:rsid w:val="008F2C23"/>
    <w:rsid w:val="008F2E7B"/>
    <w:rsid w:val="008F30C9"/>
    <w:rsid w:val="008F3691"/>
    <w:rsid w:val="008F432F"/>
    <w:rsid w:val="008F478F"/>
    <w:rsid w:val="008F4AF2"/>
    <w:rsid w:val="008F4D60"/>
    <w:rsid w:val="008F4EB4"/>
    <w:rsid w:val="008F4F77"/>
    <w:rsid w:val="008F50E8"/>
    <w:rsid w:val="008F543C"/>
    <w:rsid w:val="008F56DF"/>
    <w:rsid w:val="008F57A1"/>
    <w:rsid w:val="008F5942"/>
    <w:rsid w:val="008F5F9F"/>
    <w:rsid w:val="008F603D"/>
    <w:rsid w:val="008F63D8"/>
    <w:rsid w:val="008F64BD"/>
    <w:rsid w:val="008F659B"/>
    <w:rsid w:val="008F6657"/>
    <w:rsid w:val="008F680F"/>
    <w:rsid w:val="008F6E5B"/>
    <w:rsid w:val="008F723A"/>
    <w:rsid w:val="008F7A7A"/>
    <w:rsid w:val="008F7CC3"/>
    <w:rsid w:val="008F7D01"/>
    <w:rsid w:val="0090060E"/>
    <w:rsid w:val="00900838"/>
    <w:rsid w:val="00900DEE"/>
    <w:rsid w:val="0090100B"/>
    <w:rsid w:val="0090136F"/>
    <w:rsid w:val="00901D53"/>
    <w:rsid w:val="00901E5C"/>
    <w:rsid w:val="009020B8"/>
    <w:rsid w:val="009034D9"/>
    <w:rsid w:val="00903CBC"/>
    <w:rsid w:val="00903D06"/>
    <w:rsid w:val="009040BB"/>
    <w:rsid w:val="00904BC7"/>
    <w:rsid w:val="00904E66"/>
    <w:rsid w:val="009051AE"/>
    <w:rsid w:val="009052B0"/>
    <w:rsid w:val="009058A4"/>
    <w:rsid w:val="0090598B"/>
    <w:rsid w:val="00905AA8"/>
    <w:rsid w:val="00906E81"/>
    <w:rsid w:val="009072B8"/>
    <w:rsid w:val="00907689"/>
    <w:rsid w:val="009076CA"/>
    <w:rsid w:val="00907904"/>
    <w:rsid w:val="00907C61"/>
    <w:rsid w:val="009100A6"/>
    <w:rsid w:val="0091033F"/>
    <w:rsid w:val="00910A78"/>
    <w:rsid w:val="00910F6B"/>
    <w:rsid w:val="00911202"/>
    <w:rsid w:val="00911B0B"/>
    <w:rsid w:val="00911FEB"/>
    <w:rsid w:val="00912307"/>
    <w:rsid w:val="009124E5"/>
    <w:rsid w:val="009128CE"/>
    <w:rsid w:val="00912A27"/>
    <w:rsid w:val="00912B5C"/>
    <w:rsid w:val="00912BCD"/>
    <w:rsid w:val="009131E8"/>
    <w:rsid w:val="0091324F"/>
    <w:rsid w:val="00913725"/>
    <w:rsid w:val="00913A3C"/>
    <w:rsid w:val="00913C9C"/>
    <w:rsid w:val="00913D21"/>
    <w:rsid w:val="00913ED2"/>
    <w:rsid w:val="009145AF"/>
    <w:rsid w:val="009146FF"/>
    <w:rsid w:val="00914778"/>
    <w:rsid w:val="00914922"/>
    <w:rsid w:val="00914D93"/>
    <w:rsid w:val="00914F6C"/>
    <w:rsid w:val="009151D6"/>
    <w:rsid w:val="009156E3"/>
    <w:rsid w:val="00915B72"/>
    <w:rsid w:val="00915F17"/>
    <w:rsid w:val="009169F3"/>
    <w:rsid w:val="00916B27"/>
    <w:rsid w:val="00916FFE"/>
    <w:rsid w:val="00920090"/>
    <w:rsid w:val="00920C21"/>
    <w:rsid w:val="00921A32"/>
    <w:rsid w:val="00921A4D"/>
    <w:rsid w:val="0092204F"/>
    <w:rsid w:val="0092272A"/>
    <w:rsid w:val="00922A31"/>
    <w:rsid w:val="0092332D"/>
    <w:rsid w:val="00923C8F"/>
    <w:rsid w:val="00924704"/>
    <w:rsid w:val="00924D9A"/>
    <w:rsid w:val="009257FA"/>
    <w:rsid w:val="00925A22"/>
    <w:rsid w:val="00926148"/>
    <w:rsid w:val="00926BB4"/>
    <w:rsid w:val="00926DC9"/>
    <w:rsid w:val="009270FB"/>
    <w:rsid w:val="0092719C"/>
    <w:rsid w:val="00927E00"/>
    <w:rsid w:val="0093089B"/>
    <w:rsid w:val="009309E4"/>
    <w:rsid w:val="00930DC9"/>
    <w:rsid w:val="00931026"/>
    <w:rsid w:val="009310B9"/>
    <w:rsid w:val="009318B8"/>
    <w:rsid w:val="00931D1F"/>
    <w:rsid w:val="00931F10"/>
    <w:rsid w:val="00931FAB"/>
    <w:rsid w:val="00932BCB"/>
    <w:rsid w:val="00933231"/>
    <w:rsid w:val="0093375D"/>
    <w:rsid w:val="009337AF"/>
    <w:rsid w:val="0093423F"/>
    <w:rsid w:val="00935233"/>
    <w:rsid w:val="009357EF"/>
    <w:rsid w:val="00935BC5"/>
    <w:rsid w:val="00936A77"/>
    <w:rsid w:val="00936FD4"/>
    <w:rsid w:val="0093747A"/>
    <w:rsid w:val="00937951"/>
    <w:rsid w:val="00937DC6"/>
    <w:rsid w:val="00940BE6"/>
    <w:rsid w:val="00940F6E"/>
    <w:rsid w:val="00941233"/>
    <w:rsid w:val="00941638"/>
    <w:rsid w:val="00941E8A"/>
    <w:rsid w:val="00942135"/>
    <w:rsid w:val="0094229C"/>
    <w:rsid w:val="00942B1D"/>
    <w:rsid w:val="00942DBC"/>
    <w:rsid w:val="00943245"/>
    <w:rsid w:val="0094328A"/>
    <w:rsid w:val="0094369A"/>
    <w:rsid w:val="009436C0"/>
    <w:rsid w:val="00943999"/>
    <w:rsid w:val="00943D05"/>
    <w:rsid w:val="00943DC2"/>
    <w:rsid w:val="00943F78"/>
    <w:rsid w:val="00944DA6"/>
    <w:rsid w:val="009453D4"/>
    <w:rsid w:val="0094569A"/>
    <w:rsid w:val="00945B20"/>
    <w:rsid w:val="00945BB2"/>
    <w:rsid w:val="00946665"/>
    <w:rsid w:val="009467E6"/>
    <w:rsid w:val="00946965"/>
    <w:rsid w:val="00946B96"/>
    <w:rsid w:val="00946E07"/>
    <w:rsid w:val="0094703C"/>
    <w:rsid w:val="0094756E"/>
    <w:rsid w:val="0094771D"/>
    <w:rsid w:val="00950A86"/>
    <w:rsid w:val="00950B17"/>
    <w:rsid w:val="009515B1"/>
    <w:rsid w:val="009526E2"/>
    <w:rsid w:val="00952B47"/>
    <w:rsid w:val="00952F9C"/>
    <w:rsid w:val="0095312E"/>
    <w:rsid w:val="009531FB"/>
    <w:rsid w:val="009532DC"/>
    <w:rsid w:val="009536A9"/>
    <w:rsid w:val="00953954"/>
    <w:rsid w:val="009539CA"/>
    <w:rsid w:val="00954012"/>
    <w:rsid w:val="009540AB"/>
    <w:rsid w:val="00954A86"/>
    <w:rsid w:val="009555D5"/>
    <w:rsid w:val="009557AB"/>
    <w:rsid w:val="0095582E"/>
    <w:rsid w:val="00955C6B"/>
    <w:rsid w:val="00955F51"/>
    <w:rsid w:val="0095605F"/>
    <w:rsid w:val="009564AE"/>
    <w:rsid w:val="00956938"/>
    <w:rsid w:val="00956FA3"/>
    <w:rsid w:val="00956FB8"/>
    <w:rsid w:val="0095722F"/>
    <w:rsid w:val="00957B67"/>
    <w:rsid w:val="00957B76"/>
    <w:rsid w:val="0096059E"/>
    <w:rsid w:val="00960E97"/>
    <w:rsid w:val="00961CE4"/>
    <w:rsid w:val="00961DC3"/>
    <w:rsid w:val="0096249D"/>
    <w:rsid w:val="0096257E"/>
    <w:rsid w:val="00963287"/>
    <w:rsid w:val="009632D7"/>
    <w:rsid w:val="00963713"/>
    <w:rsid w:val="00963920"/>
    <w:rsid w:val="00963BBF"/>
    <w:rsid w:val="0096461A"/>
    <w:rsid w:val="00964AE8"/>
    <w:rsid w:val="00965529"/>
    <w:rsid w:val="00965D93"/>
    <w:rsid w:val="0096615C"/>
    <w:rsid w:val="00966185"/>
    <w:rsid w:val="009670D8"/>
    <w:rsid w:val="00967832"/>
    <w:rsid w:val="00967CE5"/>
    <w:rsid w:val="00967D60"/>
    <w:rsid w:val="00967D81"/>
    <w:rsid w:val="00970079"/>
    <w:rsid w:val="00970439"/>
    <w:rsid w:val="0097080B"/>
    <w:rsid w:val="00970C00"/>
    <w:rsid w:val="00970D1B"/>
    <w:rsid w:val="00971154"/>
    <w:rsid w:val="00971D80"/>
    <w:rsid w:val="00972556"/>
    <w:rsid w:val="00972BF9"/>
    <w:rsid w:val="00972C63"/>
    <w:rsid w:val="00972DD6"/>
    <w:rsid w:val="009735A1"/>
    <w:rsid w:val="00973C2D"/>
    <w:rsid w:val="00974185"/>
    <w:rsid w:val="00974283"/>
    <w:rsid w:val="00974A4A"/>
    <w:rsid w:val="00974A69"/>
    <w:rsid w:val="00974CC1"/>
    <w:rsid w:val="0097549B"/>
    <w:rsid w:val="009756D3"/>
    <w:rsid w:val="00975C79"/>
    <w:rsid w:val="00975E4E"/>
    <w:rsid w:val="00975EEC"/>
    <w:rsid w:val="00976119"/>
    <w:rsid w:val="009764E6"/>
    <w:rsid w:val="00976C12"/>
    <w:rsid w:val="009770D0"/>
    <w:rsid w:val="009770F9"/>
    <w:rsid w:val="009771A3"/>
    <w:rsid w:val="0097728A"/>
    <w:rsid w:val="00977671"/>
    <w:rsid w:val="009776D2"/>
    <w:rsid w:val="00977B8F"/>
    <w:rsid w:val="00977D2E"/>
    <w:rsid w:val="00977DB9"/>
    <w:rsid w:val="009803D5"/>
    <w:rsid w:val="00980505"/>
    <w:rsid w:val="00980642"/>
    <w:rsid w:val="009812EC"/>
    <w:rsid w:val="009813A2"/>
    <w:rsid w:val="0098176F"/>
    <w:rsid w:val="009817F3"/>
    <w:rsid w:val="00981A61"/>
    <w:rsid w:val="00981BAE"/>
    <w:rsid w:val="009823C2"/>
    <w:rsid w:val="0098245F"/>
    <w:rsid w:val="0098310F"/>
    <w:rsid w:val="009835AE"/>
    <w:rsid w:val="00983CE6"/>
    <w:rsid w:val="00984932"/>
    <w:rsid w:val="00984AF5"/>
    <w:rsid w:val="00984E91"/>
    <w:rsid w:val="00985042"/>
    <w:rsid w:val="00985606"/>
    <w:rsid w:val="009859A7"/>
    <w:rsid w:val="0098615A"/>
    <w:rsid w:val="00986660"/>
    <w:rsid w:val="00986F91"/>
    <w:rsid w:val="00986FAA"/>
    <w:rsid w:val="009876B6"/>
    <w:rsid w:val="00987CE0"/>
    <w:rsid w:val="009900CB"/>
    <w:rsid w:val="00990290"/>
    <w:rsid w:val="00990D02"/>
    <w:rsid w:val="00990E44"/>
    <w:rsid w:val="00991877"/>
    <w:rsid w:val="009918DF"/>
    <w:rsid w:val="009925E2"/>
    <w:rsid w:val="009927B4"/>
    <w:rsid w:val="009929BF"/>
    <w:rsid w:val="00992FCA"/>
    <w:rsid w:val="0099364A"/>
    <w:rsid w:val="0099431F"/>
    <w:rsid w:val="0099482D"/>
    <w:rsid w:val="00994A95"/>
    <w:rsid w:val="00994D16"/>
    <w:rsid w:val="00994D6F"/>
    <w:rsid w:val="00994F5A"/>
    <w:rsid w:val="009958F8"/>
    <w:rsid w:val="009959E8"/>
    <w:rsid w:val="00995BCF"/>
    <w:rsid w:val="0099690E"/>
    <w:rsid w:val="00996E92"/>
    <w:rsid w:val="00996F03"/>
    <w:rsid w:val="0099704C"/>
    <w:rsid w:val="00997812"/>
    <w:rsid w:val="00997B80"/>
    <w:rsid w:val="00997CE6"/>
    <w:rsid w:val="00997F05"/>
    <w:rsid w:val="00997FD2"/>
    <w:rsid w:val="009A0345"/>
    <w:rsid w:val="009A1494"/>
    <w:rsid w:val="009A1677"/>
    <w:rsid w:val="009A175D"/>
    <w:rsid w:val="009A1D2D"/>
    <w:rsid w:val="009A1FE4"/>
    <w:rsid w:val="009A2903"/>
    <w:rsid w:val="009A3043"/>
    <w:rsid w:val="009A3059"/>
    <w:rsid w:val="009A3325"/>
    <w:rsid w:val="009A34A3"/>
    <w:rsid w:val="009A38A5"/>
    <w:rsid w:val="009A3978"/>
    <w:rsid w:val="009A46C3"/>
    <w:rsid w:val="009A4BDB"/>
    <w:rsid w:val="009A4C3C"/>
    <w:rsid w:val="009A5334"/>
    <w:rsid w:val="009A58D1"/>
    <w:rsid w:val="009A5C36"/>
    <w:rsid w:val="009A5C3B"/>
    <w:rsid w:val="009A655F"/>
    <w:rsid w:val="009A662B"/>
    <w:rsid w:val="009A671A"/>
    <w:rsid w:val="009A7733"/>
    <w:rsid w:val="009A7863"/>
    <w:rsid w:val="009A7F10"/>
    <w:rsid w:val="009B03BF"/>
    <w:rsid w:val="009B099C"/>
    <w:rsid w:val="009B0E22"/>
    <w:rsid w:val="009B127C"/>
    <w:rsid w:val="009B1515"/>
    <w:rsid w:val="009B15A7"/>
    <w:rsid w:val="009B2680"/>
    <w:rsid w:val="009B273F"/>
    <w:rsid w:val="009B292B"/>
    <w:rsid w:val="009B2975"/>
    <w:rsid w:val="009B32BB"/>
    <w:rsid w:val="009B3451"/>
    <w:rsid w:val="009B36C8"/>
    <w:rsid w:val="009B385B"/>
    <w:rsid w:val="009B4350"/>
    <w:rsid w:val="009B4363"/>
    <w:rsid w:val="009B43B5"/>
    <w:rsid w:val="009B46F0"/>
    <w:rsid w:val="009B485A"/>
    <w:rsid w:val="009B4932"/>
    <w:rsid w:val="009B4AF2"/>
    <w:rsid w:val="009B5169"/>
    <w:rsid w:val="009B5F51"/>
    <w:rsid w:val="009B6312"/>
    <w:rsid w:val="009B642D"/>
    <w:rsid w:val="009B6E08"/>
    <w:rsid w:val="009B714F"/>
    <w:rsid w:val="009B73EB"/>
    <w:rsid w:val="009B7843"/>
    <w:rsid w:val="009B7E3E"/>
    <w:rsid w:val="009B7ED5"/>
    <w:rsid w:val="009C131F"/>
    <w:rsid w:val="009C162F"/>
    <w:rsid w:val="009C1C76"/>
    <w:rsid w:val="009C1E9F"/>
    <w:rsid w:val="009C2078"/>
    <w:rsid w:val="009C224E"/>
    <w:rsid w:val="009C2370"/>
    <w:rsid w:val="009C2471"/>
    <w:rsid w:val="009C25B2"/>
    <w:rsid w:val="009C28C7"/>
    <w:rsid w:val="009C2F0B"/>
    <w:rsid w:val="009C2FCB"/>
    <w:rsid w:val="009C341E"/>
    <w:rsid w:val="009C384A"/>
    <w:rsid w:val="009C399F"/>
    <w:rsid w:val="009C3E87"/>
    <w:rsid w:val="009C465A"/>
    <w:rsid w:val="009C492D"/>
    <w:rsid w:val="009C5797"/>
    <w:rsid w:val="009C5ABD"/>
    <w:rsid w:val="009C5C24"/>
    <w:rsid w:val="009C5D86"/>
    <w:rsid w:val="009C6345"/>
    <w:rsid w:val="009C6A21"/>
    <w:rsid w:val="009C7745"/>
    <w:rsid w:val="009D06C2"/>
    <w:rsid w:val="009D0950"/>
    <w:rsid w:val="009D0D95"/>
    <w:rsid w:val="009D0FE7"/>
    <w:rsid w:val="009D11F2"/>
    <w:rsid w:val="009D18A4"/>
    <w:rsid w:val="009D18B7"/>
    <w:rsid w:val="009D19DE"/>
    <w:rsid w:val="009D2F82"/>
    <w:rsid w:val="009D3001"/>
    <w:rsid w:val="009D3111"/>
    <w:rsid w:val="009D3657"/>
    <w:rsid w:val="009D3E65"/>
    <w:rsid w:val="009D3F78"/>
    <w:rsid w:val="009D3F8C"/>
    <w:rsid w:val="009D3F99"/>
    <w:rsid w:val="009D4238"/>
    <w:rsid w:val="009D47FD"/>
    <w:rsid w:val="009D4820"/>
    <w:rsid w:val="009D4F79"/>
    <w:rsid w:val="009D60CC"/>
    <w:rsid w:val="009D6108"/>
    <w:rsid w:val="009D64FB"/>
    <w:rsid w:val="009D6C37"/>
    <w:rsid w:val="009D6DF0"/>
    <w:rsid w:val="009D7116"/>
    <w:rsid w:val="009D7526"/>
    <w:rsid w:val="009D76BB"/>
    <w:rsid w:val="009D7A5D"/>
    <w:rsid w:val="009D7D05"/>
    <w:rsid w:val="009E008B"/>
    <w:rsid w:val="009E011F"/>
    <w:rsid w:val="009E0A5A"/>
    <w:rsid w:val="009E0EB3"/>
    <w:rsid w:val="009E1285"/>
    <w:rsid w:val="009E172F"/>
    <w:rsid w:val="009E19E0"/>
    <w:rsid w:val="009E1E12"/>
    <w:rsid w:val="009E245B"/>
    <w:rsid w:val="009E252F"/>
    <w:rsid w:val="009E25DC"/>
    <w:rsid w:val="009E2BA6"/>
    <w:rsid w:val="009E338F"/>
    <w:rsid w:val="009E35CD"/>
    <w:rsid w:val="009E35D3"/>
    <w:rsid w:val="009E35EA"/>
    <w:rsid w:val="009E3A81"/>
    <w:rsid w:val="009E4013"/>
    <w:rsid w:val="009E40E3"/>
    <w:rsid w:val="009E4124"/>
    <w:rsid w:val="009E417C"/>
    <w:rsid w:val="009E424A"/>
    <w:rsid w:val="009E5AE1"/>
    <w:rsid w:val="009E5FCF"/>
    <w:rsid w:val="009E6100"/>
    <w:rsid w:val="009E616C"/>
    <w:rsid w:val="009E6257"/>
    <w:rsid w:val="009E632B"/>
    <w:rsid w:val="009E6E43"/>
    <w:rsid w:val="009E6F0D"/>
    <w:rsid w:val="009E71BC"/>
    <w:rsid w:val="009E7551"/>
    <w:rsid w:val="009E7AE5"/>
    <w:rsid w:val="009E7F9F"/>
    <w:rsid w:val="009F0286"/>
    <w:rsid w:val="009F060F"/>
    <w:rsid w:val="009F0A6E"/>
    <w:rsid w:val="009F1550"/>
    <w:rsid w:val="009F16F9"/>
    <w:rsid w:val="009F1AA8"/>
    <w:rsid w:val="009F1DCD"/>
    <w:rsid w:val="009F2774"/>
    <w:rsid w:val="009F2E86"/>
    <w:rsid w:val="009F4D54"/>
    <w:rsid w:val="009F4F53"/>
    <w:rsid w:val="009F4FDE"/>
    <w:rsid w:val="009F5211"/>
    <w:rsid w:val="009F5837"/>
    <w:rsid w:val="009F62DE"/>
    <w:rsid w:val="009F6397"/>
    <w:rsid w:val="009F63D8"/>
    <w:rsid w:val="009F6C4A"/>
    <w:rsid w:val="00A00162"/>
    <w:rsid w:val="00A00D5E"/>
    <w:rsid w:val="00A010BE"/>
    <w:rsid w:val="00A01288"/>
    <w:rsid w:val="00A01330"/>
    <w:rsid w:val="00A017F8"/>
    <w:rsid w:val="00A0191B"/>
    <w:rsid w:val="00A01A2A"/>
    <w:rsid w:val="00A01E8A"/>
    <w:rsid w:val="00A021DD"/>
    <w:rsid w:val="00A022F5"/>
    <w:rsid w:val="00A0299C"/>
    <w:rsid w:val="00A02A96"/>
    <w:rsid w:val="00A03583"/>
    <w:rsid w:val="00A03B71"/>
    <w:rsid w:val="00A03DD4"/>
    <w:rsid w:val="00A0401F"/>
    <w:rsid w:val="00A0445B"/>
    <w:rsid w:val="00A04623"/>
    <w:rsid w:val="00A04B5D"/>
    <w:rsid w:val="00A060BA"/>
    <w:rsid w:val="00A062F5"/>
    <w:rsid w:val="00A06345"/>
    <w:rsid w:val="00A06581"/>
    <w:rsid w:val="00A06733"/>
    <w:rsid w:val="00A06A6A"/>
    <w:rsid w:val="00A06DE7"/>
    <w:rsid w:val="00A07DE4"/>
    <w:rsid w:val="00A11618"/>
    <w:rsid w:val="00A11890"/>
    <w:rsid w:val="00A11A3F"/>
    <w:rsid w:val="00A11AAC"/>
    <w:rsid w:val="00A12240"/>
    <w:rsid w:val="00A12AC6"/>
    <w:rsid w:val="00A12B22"/>
    <w:rsid w:val="00A12F16"/>
    <w:rsid w:val="00A1302A"/>
    <w:rsid w:val="00A132E7"/>
    <w:rsid w:val="00A13558"/>
    <w:rsid w:val="00A1361A"/>
    <w:rsid w:val="00A13723"/>
    <w:rsid w:val="00A13B1A"/>
    <w:rsid w:val="00A13B57"/>
    <w:rsid w:val="00A144F0"/>
    <w:rsid w:val="00A14597"/>
    <w:rsid w:val="00A14B00"/>
    <w:rsid w:val="00A14C7D"/>
    <w:rsid w:val="00A14CD9"/>
    <w:rsid w:val="00A15131"/>
    <w:rsid w:val="00A15231"/>
    <w:rsid w:val="00A159C3"/>
    <w:rsid w:val="00A15DBF"/>
    <w:rsid w:val="00A16066"/>
    <w:rsid w:val="00A1614A"/>
    <w:rsid w:val="00A17EEF"/>
    <w:rsid w:val="00A20007"/>
    <w:rsid w:val="00A20653"/>
    <w:rsid w:val="00A20BA7"/>
    <w:rsid w:val="00A20E57"/>
    <w:rsid w:val="00A211C4"/>
    <w:rsid w:val="00A2177D"/>
    <w:rsid w:val="00A219D6"/>
    <w:rsid w:val="00A2353E"/>
    <w:rsid w:val="00A2365E"/>
    <w:rsid w:val="00A23E4F"/>
    <w:rsid w:val="00A241F7"/>
    <w:rsid w:val="00A249CB"/>
    <w:rsid w:val="00A25910"/>
    <w:rsid w:val="00A259A8"/>
    <w:rsid w:val="00A26B97"/>
    <w:rsid w:val="00A26F3B"/>
    <w:rsid w:val="00A26FED"/>
    <w:rsid w:val="00A2753D"/>
    <w:rsid w:val="00A27860"/>
    <w:rsid w:val="00A27A87"/>
    <w:rsid w:val="00A30267"/>
    <w:rsid w:val="00A30D17"/>
    <w:rsid w:val="00A311C7"/>
    <w:rsid w:val="00A3121E"/>
    <w:rsid w:val="00A312A2"/>
    <w:rsid w:val="00A313BC"/>
    <w:rsid w:val="00A32183"/>
    <w:rsid w:val="00A32286"/>
    <w:rsid w:val="00A329CA"/>
    <w:rsid w:val="00A32D9E"/>
    <w:rsid w:val="00A32F3F"/>
    <w:rsid w:val="00A33191"/>
    <w:rsid w:val="00A332CE"/>
    <w:rsid w:val="00A334A0"/>
    <w:rsid w:val="00A33762"/>
    <w:rsid w:val="00A33948"/>
    <w:rsid w:val="00A33C10"/>
    <w:rsid w:val="00A33FC3"/>
    <w:rsid w:val="00A34101"/>
    <w:rsid w:val="00A3413D"/>
    <w:rsid w:val="00A34183"/>
    <w:rsid w:val="00A34210"/>
    <w:rsid w:val="00A344E9"/>
    <w:rsid w:val="00A35261"/>
    <w:rsid w:val="00A3550C"/>
    <w:rsid w:val="00A360F9"/>
    <w:rsid w:val="00A362BC"/>
    <w:rsid w:val="00A36796"/>
    <w:rsid w:val="00A36C8C"/>
    <w:rsid w:val="00A3783B"/>
    <w:rsid w:val="00A37FD9"/>
    <w:rsid w:val="00A40B32"/>
    <w:rsid w:val="00A410CD"/>
    <w:rsid w:val="00A410DC"/>
    <w:rsid w:val="00A414E5"/>
    <w:rsid w:val="00A4165E"/>
    <w:rsid w:val="00A418DF"/>
    <w:rsid w:val="00A41936"/>
    <w:rsid w:val="00A41C48"/>
    <w:rsid w:val="00A42FEC"/>
    <w:rsid w:val="00A43347"/>
    <w:rsid w:val="00A43424"/>
    <w:rsid w:val="00A43514"/>
    <w:rsid w:val="00A436EC"/>
    <w:rsid w:val="00A43A07"/>
    <w:rsid w:val="00A440FD"/>
    <w:rsid w:val="00A4455D"/>
    <w:rsid w:val="00A4457E"/>
    <w:rsid w:val="00A44A3B"/>
    <w:rsid w:val="00A44B90"/>
    <w:rsid w:val="00A44D0D"/>
    <w:rsid w:val="00A458E3"/>
    <w:rsid w:val="00A45E01"/>
    <w:rsid w:val="00A465FC"/>
    <w:rsid w:val="00A50D9A"/>
    <w:rsid w:val="00A52D6E"/>
    <w:rsid w:val="00A52FA8"/>
    <w:rsid w:val="00A536D1"/>
    <w:rsid w:val="00A53763"/>
    <w:rsid w:val="00A53B47"/>
    <w:rsid w:val="00A53FDB"/>
    <w:rsid w:val="00A540F0"/>
    <w:rsid w:val="00A541A0"/>
    <w:rsid w:val="00A54244"/>
    <w:rsid w:val="00A54283"/>
    <w:rsid w:val="00A54871"/>
    <w:rsid w:val="00A56223"/>
    <w:rsid w:val="00A56261"/>
    <w:rsid w:val="00A56A32"/>
    <w:rsid w:val="00A56BA6"/>
    <w:rsid w:val="00A56CC3"/>
    <w:rsid w:val="00A57D6D"/>
    <w:rsid w:val="00A601CF"/>
    <w:rsid w:val="00A608DD"/>
    <w:rsid w:val="00A615D5"/>
    <w:rsid w:val="00A617BD"/>
    <w:rsid w:val="00A61EF9"/>
    <w:rsid w:val="00A6259B"/>
    <w:rsid w:val="00A628B5"/>
    <w:rsid w:val="00A62D4F"/>
    <w:rsid w:val="00A63B1E"/>
    <w:rsid w:val="00A64885"/>
    <w:rsid w:val="00A6499D"/>
    <w:rsid w:val="00A64A3A"/>
    <w:rsid w:val="00A64C69"/>
    <w:rsid w:val="00A64D40"/>
    <w:rsid w:val="00A65B12"/>
    <w:rsid w:val="00A65ECD"/>
    <w:rsid w:val="00A65F90"/>
    <w:rsid w:val="00A6691D"/>
    <w:rsid w:val="00A66B0C"/>
    <w:rsid w:val="00A67511"/>
    <w:rsid w:val="00A67523"/>
    <w:rsid w:val="00A67600"/>
    <w:rsid w:val="00A676A2"/>
    <w:rsid w:val="00A678AC"/>
    <w:rsid w:val="00A700CF"/>
    <w:rsid w:val="00A70132"/>
    <w:rsid w:val="00A70242"/>
    <w:rsid w:val="00A702A9"/>
    <w:rsid w:val="00A704EB"/>
    <w:rsid w:val="00A70827"/>
    <w:rsid w:val="00A70948"/>
    <w:rsid w:val="00A70AC6"/>
    <w:rsid w:val="00A70B37"/>
    <w:rsid w:val="00A710A2"/>
    <w:rsid w:val="00A713FB"/>
    <w:rsid w:val="00A71F0C"/>
    <w:rsid w:val="00A72127"/>
    <w:rsid w:val="00A72671"/>
    <w:rsid w:val="00A72BB9"/>
    <w:rsid w:val="00A72C36"/>
    <w:rsid w:val="00A72FE2"/>
    <w:rsid w:val="00A7318B"/>
    <w:rsid w:val="00A734B7"/>
    <w:rsid w:val="00A73ACB"/>
    <w:rsid w:val="00A73DFA"/>
    <w:rsid w:val="00A73E89"/>
    <w:rsid w:val="00A740BB"/>
    <w:rsid w:val="00A7416C"/>
    <w:rsid w:val="00A74484"/>
    <w:rsid w:val="00A747B8"/>
    <w:rsid w:val="00A74B36"/>
    <w:rsid w:val="00A74B55"/>
    <w:rsid w:val="00A75172"/>
    <w:rsid w:val="00A755AF"/>
    <w:rsid w:val="00A769F5"/>
    <w:rsid w:val="00A76D4E"/>
    <w:rsid w:val="00A76DEE"/>
    <w:rsid w:val="00A76EDD"/>
    <w:rsid w:val="00A77777"/>
    <w:rsid w:val="00A80782"/>
    <w:rsid w:val="00A81379"/>
    <w:rsid w:val="00A816F3"/>
    <w:rsid w:val="00A82403"/>
    <w:rsid w:val="00A824D8"/>
    <w:rsid w:val="00A82C57"/>
    <w:rsid w:val="00A82E4C"/>
    <w:rsid w:val="00A83233"/>
    <w:rsid w:val="00A8332E"/>
    <w:rsid w:val="00A8335C"/>
    <w:rsid w:val="00A8350E"/>
    <w:rsid w:val="00A83967"/>
    <w:rsid w:val="00A84163"/>
    <w:rsid w:val="00A843AA"/>
    <w:rsid w:val="00A8538D"/>
    <w:rsid w:val="00A8562C"/>
    <w:rsid w:val="00A85805"/>
    <w:rsid w:val="00A85B46"/>
    <w:rsid w:val="00A85C64"/>
    <w:rsid w:val="00A8654F"/>
    <w:rsid w:val="00A86B05"/>
    <w:rsid w:val="00A86CA3"/>
    <w:rsid w:val="00A8765C"/>
    <w:rsid w:val="00A87D46"/>
    <w:rsid w:val="00A90167"/>
    <w:rsid w:val="00A90859"/>
    <w:rsid w:val="00A90898"/>
    <w:rsid w:val="00A90D58"/>
    <w:rsid w:val="00A90EBE"/>
    <w:rsid w:val="00A9121C"/>
    <w:rsid w:val="00A91DA4"/>
    <w:rsid w:val="00A921C4"/>
    <w:rsid w:val="00A92718"/>
    <w:rsid w:val="00A92906"/>
    <w:rsid w:val="00A92985"/>
    <w:rsid w:val="00A92D74"/>
    <w:rsid w:val="00A93A5F"/>
    <w:rsid w:val="00A93C45"/>
    <w:rsid w:val="00A94171"/>
    <w:rsid w:val="00A941D9"/>
    <w:rsid w:val="00A944C1"/>
    <w:rsid w:val="00A9543F"/>
    <w:rsid w:val="00A9594D"/>
    <w:rsid w:val="00A95ADD"/>
    <w:rsid w:val="00A96A05"/>
    <w:rsid w:val="00A96F65"/>
    <w:rsid w:val="00A970FA"/>
    <w:rsid w:val="00A97836"/>
    <w:rsid w:val="00A97B18"/>
    <w:rsid w:val="00AA058B"/>
    <w:rsid w:val="00AA0918"/>
    <w:rsid w:val="00AA0EBD"/>
    <w:rsid w:val="00AA0F7A"/>
    <w:rsid w:val="00AA1B59"/>
    <w:rsid w:val="00AA1D33"/>
    <w:rsid w:val="00AA1FF6"/>
    <w:rsid w:val="00AA23EA"/>
    <w:rsid w:val="00AA290E"/>
    <w:rsid w:val="00AA3158"/>
    <w:rsid w:val="00AA3C7B"/>
    <w:rsid w:val="00AA3D74"/>
    <w:rsid w:val="00AA41A4"/>
    <w:rsid w:val="00AA4EF1"/>
    <w:rsid w:val="00AA546F"/>
    <w:rsid w:val="00AA54A4"/>
    <w:rsid w:val="00AA569B"/>
    <w:rsid w:val="00AA5D89"/>
    <w:rsid w:val="00AA62BC"/>
    <w:rsid w:val="00AA65CC"/>
    <w:rsid w:val="00AA6632"/>
    <w:rsid w:val="00AA6C4A"/>
    <w:rsid w:val="00AA6EED"/>
    <w:rsid w:val="00AA7386"/>
    <w:rsid w:val="00AA77CA"/>
    <w:rsid w:val="00AA783A"/>
    <w:rsid w:val="00AA7A1F"/>
    <w:rsid w:val="00AA7C4F"/>
    <w:rsid w:val="00AA7D73"/>
    <w:rsid w:val="00AB0265"/>
    <w:rsid w:val="00AB065B"/>
    <w:rsid w:val="00AB07AB"/>
    <w:rsid w:val="00AB0A9D"/>
    <w:rsid w:val="00AB160C"/>
    <w:rsid w:val="00AB163C"/>
    <w:rsid w:val="00AB1C43"/>
    <w:rsid w:val="00AB1F83"/>
    <w:rsid w:val="00AB2459"/>
    <w:rsid w:val="00AB3A4D"/>
    <w:rsid w:val="00AB3FD8"/>
    <w:rsid w:val="00AB40A3"/>
    <w:rsid w:val="00AB4A9D"/>
    <w:rsid w:val="00AB4C32"/>
    <w:rsid w:val="00AB4FCB"/>
    <w:rsid w:val="00AB52FD"/>
    <w:rsid w:val="00AB53E7"/>
    <w:rsid w:val="00AB5890"/>
    <w:rsid w:val="00AB5905"/>
    <w:rsid w:val="00AB5DF8"/>
    <w:rsid w:val="00AB5F69"/>
    <w:rsid w:val="00AB60F4"/>
    <w:rsid w:val="00AB6E32"/>
    <w:rsid w:val="00AB71ED"/>
    <w:rsid w:val="00AB7704"/>
    <w:rsid w:val="00AB795F"/>
    <w:rsid w:val="00AB7A6D"/>
    <w:rsid w:val="00AB7AF3"/>
    <w:rsid w:val="00AC0576"/>
    <w:rsid w:val="00AC0A46"/>
    <w:rsid w:val="00AC1130"/>
    <w:rsid w:val="00AC2C53"/>
    <w:rsid w:val="00AC2EA2"/>
    <w:rsid w:val="00AC339E"/>
    <w:rsid w:val="00AC3644"/>
    <w:rsid w:val="00AC3B78"/>
    <w:rsid w:val="00AC3DB1"/>
    <w:rsid w:val="00AC41E2"/>
    <w:rsid w:val="00AC4302"/>
    <w:rsid w:val="00AC46CB"/>
    <w:rsid w:val="00AC4EDD"/>
    <w:rsid w:val="00AC5DB4"/>
    <w:rsid w:val="00AC5FCE"/>
    <w:rsid w:val="00AC6122"/>
    <w:rsid w:val="00AC645A"/>
    <w:rsid w:val="00AC6B59"/>
    <w:rsid w:val="00AC6BF3"/>
    <w:rsid w:val="00AC73FB"/>
    <w:rsid w:val="00AC7539"/>
    <w:rsid w:val="00AC7676"/>
    <w:rsid w:val="00AC7704"/>
    <w:rsid w:val="00AC78C9"/>
    <w:rsid w:val="00AD015D"/>
    <w:rsid w:val="00AD05B5"/>
    <w:rsid w:val="00AD0B02"/>
    <w:rsid w:val="00AD0C27"/>
    <w:rsid w:val="00AD0F62"/>
    <w:rsid w:val="00AD1370"/>
    <w:rsid w:val="00AD159A"/>
    <w:rsid w:val="00AD19C1"/>
    <w:rsid w:val="00AD1AF0"/>
    <w:rsid w:val="00AD2C4B"/>
    <w:rsid w:val="00AD2C60"/>
    <w:rsid w:val="00AD36EC"/>
    <w:rsid w:val="00AD4CD4"/>
    <w:rsid w:val="00AD506C"/>
    <w:rsid w:val="00AD5245"/>
    <w:rsid w:val="00AD57CE"/>
    <w:rsid w:val="00AD593F"/>
    <w:rsid w:val="00AD5E48"/>
    <w:rsid w:val="00AD600D"/>
    <w:rsid w:val="00AD6131"/>
    <w:rsid w:val="00AD623D"/>
    <w:rsid w:val="00AD659F"/>
    <w:rsid w:val="00AD6F71"/>
    <w:rsid w:val="00AD74D2"/>
    <w:rsid w:val="00AD7F4B"/>
    <w:rsid w:val="00AD7FBB"/>
    <w:rsid w:val="00AE0471"/>
    <w:rsid w:val="00AE0490"/>
    <w:rsid w:val="00AE0B1A"/>
    <w:rsid w:val="00AE0C96"/>
    <w:rsid w:val="00AE0E05"/>
    <w:rsid w:val="00AE1357"/>
    <w:rsid w:val="00AE1494"/>
    <w:rsid w:val="00AE149D"/>
    <w:rsid w:val="00AE14BB"/>
    <w:rsid w:val="00AE1547"/>
    <w:rsid w:val="00AE1B88"/>
    <w:rsid w:val="00AE1F31"/>
    <w:rsid w:val="00AE22A4"/>
    <w:rsid w:val="00AE27D3"/>
    <w:rsid w:val="00AE2B0B"/>
    <w:rsid w:val="00AE2C04"/>
    <w:rsid w:val="00AE2DC5"/>
    <w:rsid w:val="00AE3670"/>
    <w:rsid w:val="00AE3D53"/>
    <w:rsid w:val="00AE3E27"/>
    <w:rsid w:val="00AE4088"/>
    <w:rsid w:val="00AE4236"/>
    <w:rsid w:val="00AE494F"/>
    <w:rsid w:val="00AE56D2"/>
    <w:rsid w:val="00AE5904"/>
    <w:rsid w:val="00AE597F"/>
    <w:rsid w:val="00AE5F1E"/>
    <w:rsid w:val="00AE602E"/>
    <w:rsid w:val="00AE6A92"/>
    <w:rsid w:val="00AE7106"/>
    <w:rsid w:val="00AE730A"/>
    <w:rsid w:val="00AE7B12"/>
    <w:rsid w:val="00AE7D60"/>
    <w:rsid w:val="00AF0399"/>
    <w:rsid w:val="00AF07F0"/>
    <w:rsid w:val="00AF0957"/>
    <w:rsid w:val="00AF0B48"/>
    <w:rsid w:val="00AF1571"/>
    <w:rsid w:val="00AF15CD"/>
    <w:rsid w:val="00AF184D"/>
    <w:rsid w:val="00AF223D"/>
    <w:rsid w:val="00AF2409"/>
    <w:rsid w:val="00AF30DC"/>
    <w:rsid w:val="00AF3348"/>
    <w:rsid w:val="00AF3570"/>
    <w:rsid w:val="00AF3576"/>
    <w:rsid w:val="00AF3BB5"/>
    <w:rsid w:val="00AF3BDD"/>
    <w:rsid w:val="00AF3FC5"/>
    <w:rsid w:val="00AF42A2"/>
    <w:rsid w:val="00AF45DA"/>
    <w:rsid w:val="00AF4EB5"/>
    <w:rsid w:val="00AF501C"/>
    <w:rsid w:val="00AF5118"/>
    <w:rsid w:val="00AF53A6"/>
    <w:rsid w:val="00AF5B67"/>
    <w:rsid w:val="00AF5C85"/>
    <w:rsid w:val="00AF5F61"/>
    <w:rsid w:val="00AF6384"/>
    <w:rsid w:val="00AF6A10"/>
    <w:rsid w:val="00AF6C7C"/>
    <w:rsid w:val="00AF6DD1"/>
    <w:rsid w:val="00AF7067"/>
    <w:rsid w:val="00AF72A6"/>
    <w:rsid w:val="00AF780E"/>
    <w:rsid w:val="00AF7C58"/>
    <w:rsid w:val="00B0034B"/>
    <w:rsid w:val="00B00515"/>
    <w:rsid w:val="00B00753"/>
    <w:rsid w:val="00B00A27"/>
    <w:rsid w:val="00B00AEA"/>
    <w:rsid w:val="00B0152F"/>
    <w:rsid w:val="00B015FC"/>
    <w:rsid w:val="00B01670"/>
    <w:rsid w:val="00B01FB0"/>
    <w:rsid w:val="00B021D3"/>
    <w:rsid w:val="00B02247"/>
    <w:rsid w:val="00B02285"/>
    <w:rsid w:val="00B025C1"/>
    <w:rsid w:val="00B027A4"/>
    <w:rsid w:val="00B02985"/>
    <w:rsid w:val="00B02DE7"/>
    <w:rsid w:val="00B032AB"/>
    <w:rsid w:val="00B03F0A"/>
    <w:rsid w:val="00B041F1"/>
    <w:rsid w:val="00B04638"/>
    <w:rsid w:val="00B048E0"/>
    <w:rsid w:val="00B04EC4"/>
    <w:rsid w:val="00B052B2"/>
    <w:rsid w:val="00B0564C"/>
    <w:rsid w:val="00B0689A"/>
    <w:rsid w:val="00B07335"/>
    <w:rsid w:val="00B0745A"/>
    <w:rsid w:val="00B07691"/>
    <w:rsid w:val="00B076A3"/>
    <w:rsid w:val="00B079C3"/>
    <w:rsid w:val="00B07C3B"/>
    <w:rsid w:val="00B07E8C"/>
    <w:rsid w:val="00B10030"/>
    <w:rsid w:val="00B10221"/>
    <w:rsid w:val="00B104B6"/>
    <w:rsid w:val="00B104EF"/>
    <w:rsid w:val="00B1055F"/>
    <w:rsid w:val="00B10B95"/>
    <w:rsid w:val="00B10D7B"/>
    <w:rsid w:val="00B1146B"/>
    <w:rsid w:val="00B119F2"/>
    <w:rsid w:val="00B11B92"/>
    <w:rsid w:val="00B11DC6"/>
    <w:rsid w:val="00B1209F"/>
    <w:rsid w:val="00B12201"/>
    <w:rsid w:val="00B1269E"/>
    <w:rsid w:val="00B12866"/>
    <w:rsid w:val="00B1288C"/>
    <w:rsid w:val="00B12FBF"/>
    <w:rsid w:val="00B131D4"/>
    <w:rsid w:val="00B13C05"/>
    <w:rsid w:val="00B13D4C"/>
    <w:rsid w:val="00B13DFA"/>
    <w:rsid w:val="00B13FD5"/>
    <w:rsid w:val="00B15948"/>
    <w:rsid w:val="00B15C81"/>
    <w:rsid w:val="00B1667C"/>
    <w:rsid w:val="00B168EE"/>
    <w:rsid w:val="00B16B17"/>
    <w:rsid w:val="00B175C7"/>
    <w:rsid w:val="00B20412"/>
    <w:rsid w:val="00B204B6"/>
    <w:rsid w:val="00B20C46"/>
    <w:rsid w:val="00B20F73"/>
    <w:rsid w:val="00B21074"/>
    <w:rsid w:val="00B214ED"/>
    <w:rsid w:val="00B2168D"/>
    <w:rsid w:val="00B222A0"/>
    <w:rsid w:val="00B2239F"/>
    <w:rsid w:val="00B2241A"/>
    <w:rsid w:val="00B225E7"/>
    <w:rsid w:val="00B2280E"/>
    <w:rsid w:val="00B22913"/>
    <w:rsid w:val="00B23544"/>
    <w:rsid w:val="00B23882"/>
    <w:rsid w:val="00B23883"/>
    <w:rsid w:val="00B23A9B"/>
    <w:rsid w:val="00B23C54"/>
    <w:rsid w:val="00B23C79"/>
    <w:rsid w:val="00B24167"/>
    <w:rsid w:val="00B243FA"/>
    <w:rsid w:val="00B24C98"/>
    <w:rsid w:val="00B24E10"/>
    <w:rsid w:val="00B24E17"/>
    <w:rsid w:val="00B25052"/>
    <w:rsid w:val="00B251CC"/>
    <w:rsid w:val="00B2536D"/>
    <w:rsid w:val="00B256DA"/>
    <w:rsid w:val="00B25782"/>
    <w:rsid w:val="00B25B27"/>
    <w:rsid w:val="00B26937"/>
    <w:rsid w:val="00B26A6B"/>
    <w:rsid w:val="00B26AC5"/>
    <w:rsid w:val="00B272F9"/>
    <w:rsid w:val="00B2736B"/>
    <w:rsid w:val="00B279E1"/>
    <w:rsid w:val="00B300DB"/>
    <w:rsid w:val="00B30FF3"/>
    <w:rsid w:val="00B311DC"/>
    <w:rsid w:val="00B31324"/>
    <w:rsid w:val="00B324FE"/>
    <w:rsid w:val="00B32D29"/>
    <w:rsid w:val="00B32D3E"/>
    <w:rsid w:val="00B33174"/>
    <w:rsid w:val="00B331DE"/>
    <w:rsid w:val="00B33336"/>
    <w:rsid w:val="00B33630"/>
    <w:rsid w:val="00B3363C"/>
    <w:rsid w:val="00B336FD"/>
    <w:rsid w:val="00B33943"/>
    <w:rsid w:val="00B345FB"/>
    <w:rsid w:val="00B34D06"/>
    <w:rsid w:val="00B34DBF"/>
    <w:rsid w:val="00B35688"/>
    <w:rsid w:val="00B357C7"/>
    <w:rsid w:val="00B35AA8"/>
    <w:rsid w:val="00B36597"/>
    <w:rsid w:val="00B3678D"/>
    <w:rsid w:val="00B36D1E"/>
    <w:rsid w:val="00B36F1E"/>
    <w:rsid w:val="00B37341"/>
    <w:rsid w:val="00B37433"/>
    <w:rsid w:val="00B37659"/>
    <w:rsid w:val="00B37C6A"/>
    <w:rsid w:val="00B37F7C"/>
    <w:rsid w:val="00B40072"/>
    <w:rsid w:val="00B40250"/>
    <w:rsid w:val="00B40292"/>
    <w:rsid w:val="00B40414"/>
    <w:rsid w:val="00B408E8"/>
    <w:rsid w:val="00B40A98"/>
    <w:rsid w:val="00B4130A"/>
    <w:rsid w:val="00B419A6"/>
    <w:rsid w:val="00B419E4"/>
    <w:rsid w:val="00B41EAC"/>
    <w:rsid w:val="00B428A3"/>
    <w:rsid w:val="00B42FBB"/>
    <w:rsid w:val="00B434E5"/>
    <w:rsid w:val="00B43A1E"/>
    <w:rsid w:val="00B43A80"/>
    <w:rsid w:val="00B43D88"/>
    <w:rsid w:val="00B43D93"/>
    <w:rsid w:val="00B43DFE"/>
    <w:rsid w:val="00B43E73"/>
    <w:rsid w:val="00B446F5"/>
    <w:rsid w:val="00B44C04"/>
    <w:rsid w:val="00B45449"/>
    <w:rsid w:val="00B45692"/>
    <w:rsid w:val="00B45A62"/>
    <w:rsid w:val="00B46092"/>
    <w:rsid w:val="00B460CA"/>
    <w:rsid w:val="00B46340"/>
    <w:rsid w:val="00B46E33"/>
    <w:rsid w:val="00B4718E"/>
    <w:rsid w:val="00B475AC"/>
    <w:rsid w:val="00B47C69"/>
    <w:rsid w:val="00B50411"/>
    <w:rsid w:val="00B50857"/>
    <w:rsid w:val="00B509DF"/>
    <w:rsid w:val="00B50ACA"/>
    <w:rsid w:val="00B50B09"/>
    <w:rsid w:val="00B5106A"/>
    <w:rsid w:val="00B51C9D"/>
    <w:rsid w:val="00B51D59"/>
    <w:rsid w:val="00B51E43"/>
    <w:rsid w:val="00B51FEB"/>
    <w:rsid w:val="00B526D8"/>
    <w:rsid w:val="00B52932"/>
    <w:rsid w:val="00B529FE"/>
    <w:rsid w:val="00B52A8E"/>
    <w:rsid w:val="00B52C6B"/>
    <w:rsid w:val="00B52E61"/>
    <w:rsid w:val="00B53593"/>
    <w:rsid w:val="00B53727"/>
    <w:rsid w:val="00B546AD"/>
    <w:rsid w:val="00B551E3"/>
    <w:rsid w:val="00B559CA"/>
    <w:rsid w:val="00B55B82"/>
    <w:rsid w:val="00B55FF0"/>
    <w:rsid w:val="00B56F40"/>
    <w:rsid w:val="00B574DD"/>
    <w:rsid w:val="00B578C9"/>
    <w:rsid w:val="00B57900"/>
    <w:rsid w:val="00B60550"/>
    <w:rsid w:val="00B605DB"/>
    <w:rsid w:val="00B605EB"/>
    <w:rsid w:val="00B60CE8"/>
    <w:rsid w:val="00B610CC"/>
    <w:rsid w:val="00B61282"/>
    <w:rsid w:val="00B6140A"/>
    <w:rsid w:val="00B6143F"/>
    <w:rsid w:val="00B61760"/>
    <w:rsid w:val="00B61FF0"/>
    <w:rsid w:val="00B623CC"/>
    <w:rsid w:val="00B62D2F"/>
    <w:rsid w:val="00B62F60"/>
    <w:rsid w:val="00B63B1F"/>
    <w:rsid w:val="00B6410B"/>
    <w:rsid w:val="00B64370"/>
    <w:rsid w:val="00B643A5"/>
    <w:rsid w:val="00B64679"/>
    <w:rsid w:val="00B646F4"/>
    <w:rsid w:val="00B64771"/>
    <w:rsid w:val="00B64B49"/>
    <w:rsid w:val="00B655DA"/>
    <w:rsid w:val="00B6586C"/>
    <w:rsid w:val="00B65938"/>
    <w:rsid w:val="00B65DF0"/>
    <w:rsid w:val="00B6627B"/>
    <w:rsid w:val="00B6649B"/>
    <w:rsid w:val="00B66B34"/>
    <w:rsid w:val="00B66CC8"/>
    <w:rsid w:val="00B673AE"/>
    <w:rsid w:val="00B70235"/>
    <w:rsid w:val="00B702B7"/>
    <w:rsid w:val="00B7038B"/>
    <w:rsid w:val="00B709B3"/>
    <w:rsid w:val="00B70CC1"/>
    <w:rsid w:val="00B70DC5"/>
    <w:rsid w:val="00B70EEF"/>
    <w:rsid w:val="00B711C3"/>
    <w:rsid w:val="00B713B2"/>
    <w:rsid w:val="00B71475"/>
    <w:rsid w:val="00B71773"/>
    <w:rsid w:val="00B717E9"/>
    <w:rsid w:val="00B72097"/>
    <w:rsid w:val="00B724CB"/>
    <w:rsid w:val="00B728B6"/>
    <w:rsid w:val="00B72B2C"/>
    <w:rsid w:val="00B72F36"/>
    <w:rsid w:val="00B7326A"/>
    <w:rsid w:val="00B73348"/>
    <w:rsid w:val="00B7469E"/>
    <w:rsid w:val="00B74AD7"/>
    <w:rsid w:val="00B75184"/>
    <w:rsid w:val="00B7524E"/>
    <w:rsid w:val="00B7546E"/>
    <w:rsid w:val="00B756B0"/>
    <w:rsid w:val="00B75BC0"/>
    <w:rsid w:val="00B76099"/>
    <w:rsid w:val="00B76873"/>
    <w:rsid w:val="00B802F0"/>
    <w:rsid w:val="00B8047F"/>
    <w:rsid w:val="00B804FF"/>
    <w:rsid w:val="00B80FF7"/>
    <w:rsid w:val="00B813C5"/>
    <w:rsid w:val="00B8183C"/>
    <w:rsid w:val="00B81B77"/>
    <w:rsid w:val="00B81C30"/>
    <w:rsid w:val="00B81DFD"/>
    <w:rsid w:val="00B81EC9"/>
    <w:rsid w:val="00B81F26"/>
    <w:rsid w:val="00B82317"/>
    <w:rsid w:val="00B82523"/>
    <w:rsid w:val="00B82C68"/>
    <w:rsid w:val="00B830C9"/>
    <w:rsid w:val="00B834DF"/>
    <w:rsid w:val="00B83878"/>
    <w:rsid w:val="00B84575"/>
    <w:rsid w:val="00B8459E"/>
    <w:rsid w:val="00B85221"/>
    <w:rsid w:val="00B8599C"/>
    <w:rsid w:val="00B85DA7"/>
    <w:rsid w:val="00B869B6"/>
    <w:rsid w:val="00B86A6B"/>
    <w:rsid w:val="00B86D4E"/>
    <w:rsid w:val="00B879EE"/>
    <w:rsid w:val="00B87D33"/>
    <w:rsid w:val="00B902AE"/>
    <w:rsid w:val="00B9037E"/>
    <w:rsid w:val="00B90989"/>
    <w:rsid w:val="00B90A69"/>
    <w:rsid w:val="00B90D0D"/>
    <w:rsid w:val="00B9138C"/>
    <w:rsid w:val="00B9270A"/>
    <w:rsid w:val="00B928E6"/>
    <w:rsid w:val="00B932B3"/>
    <w:rsid w:val="00B93A6D"/>
    <w:rsid w:val="00B93B51"/>
    <w:rsid w:val="00B93E95"/>
    <w:rsid w:val="00B93FC6"/>
    <w:rsid w:val="00B94ADD"/>
    <w:rsid w:val="00B94DA0"/>
    <w:rsid w:val="00B94DDB"/>
    <w:rsid w:val="00B94E62"/>
    <w:rsid w:val="00B95224"/>
    <w:rsid w:val="00B95DF5"/>
    <w:rsid w:val="00B95F51"/>
    <w:rsid w:val="00B96401"/>
    <w:rsid w:val="00B9641C"/>
    <w:rsid w:val="00B9774D"/>
    <w:rsid w:val="00B97A63"/>
    <w:rsid w:val="00B97D21"/>
    <w:rsid w:val="00B97F63"/>
    <w:rsid w:val="00BA00AD"/>
    <w:rsid w:val="00BA05A7"/>
    <w:rsid w:val="00BA0BFA"/>
    <w:rsid w:val="00BA137D"/>
    <w:rsid w:val="00BA1561"/>
    <w:rsid w:val="00BA1618"/>
    <w:rsid w:val="00BA1708"/>
    <w:rsid w:val="00BA1924"/>
    <w:rsid w:val="00BA2031"/>
    <w:rsid w:val="00BA254D"/>
    <w:rsid w:val="00BA267F"/>
    <w:rsid w:val="00BA3B3D"/>
    <w:rsid w:val="00BA42E7"/>
    <w:rsid w:val="00BA4442"/>
    <w:rsid w:val="00BA48B2"/>
    <w:rsid w:val="00BA5AF8"/>
    <w:rsid w:val="00BA5E7A"/>
    <w:rsid w:val="00BA60FB"/>
    <w:rsid w:val="00BA6445"/>
    <w:rsid w:val="00BA6996"/>
    <w:rsid w:val="00BA69FE"/>
    <w:rsid w:val="00BA6BB7"/>
    <w:rsid w:val="00BA6BE8"/>
    <w:rsid w:val="00BA70C6"/>
    <w:rsid w:val="00BA7F2D"/>
    <w:rsid w:val="00BA7F5E"/>
    <w:rsid w:val="00BB0051"/>
    <w:rsid w:val="00BB0B28"/>
    <w:rsid w:val="00BB0C58"/>
    <w:rsid w:val="00BB113C"/>
    <w:rsid w:val="00BB138D"/>
    <w:rsid w:val="00BB146F"/>
    <w:rsid w:val="00BB161D"/>
    <w:rsid w:val="00BB169D"/>
    <w:rsid w:val="00BB2669"/>
    <w:rsid w:val="00BB2806"/>
    <w:rsid w:val="00BB29D8"/>
    <w:rsid w:val="00BB2A32"/>
    <w:rsid w:val="00BB2ED2"/>
    <w:rsid w:val="00BB3706"/>
    <w:rsid w:val="00BB38BC"/>
    <w:rsid w:val="00BB3DDE"/>
    <w:rsid w:val="00BB3EAE"/>
    <w:rsid w:val="00BB3F4A"/>
    <w:rsid w:val="00BB405E"/>
    <w:rsid w:val="00BB43AB"/>
    <w:rsid w:val="00BB4B47"/>
    <w:rsid w:val="00BB4D8E"/>
    <w:rsid w:val="00BB4F79"/>
    <w:rsid w:val="00BB52AF"/>
    <w:rsid w:val="00BB5CE2"/>
    <w:rsid w:val="00BB5EAD"/>
    <w:rsid w:val="00BB636A"/>
    <w:rsid w:val="00BB66D2"/>
    <w:rsid w:val="00BB68E8"/>
    <w:rsid w:val="00BB6B18"/>
    <w:rsid w:val="00BB6D9F"/>
    <w:rsid w:val="00BB6F30"/>
    <w:rsid w:val="00BB7048"/>
    <w:rsid w:val="00BB7562"/>
    <w:rsid w:val="00BB7CDC"/>
    <w:rsid w:val="00BB7FF4"/>
    <w:rsid w:val="00BC031B"/>
    <w:rsid w:val="00BC0580"/>
    <w:rsid w:val="00BC0D80"/>
    <w:rsid w:val="00BC0F8D"/>
    <w:rsid w:val="00BC1156"/>
    <w:rsid w:val="00BC15AD"/>
    <w:rsid w:val="00BC1922"/>
    <w:rsid w:val="00BC26B5"/>
    <w:rsid w:val="00BC28B3"/>
    <w:rsid w:val="00BC2D8A"/>
    <w:rsid w:val="00BC2F9D"/>
    <w:rsid w:val="00BC3AF4"/>
    <w:rsid w:val="00BC3C38"/>
    <w:rsid w:val="00BC4078"/>
    <w:rsid w:val="00BC4196"/>
    <w:rsid w:val="00BC4315"/>
    <w:rsid w:val="00BC459B"/>
    <w:rsid w:val="00BC4C58"/>
    <w:rsid w:val="00BC4F61"/>
    <w:rsid w:val="00BC5799"/>
    <w:rsid w:val="00BC6050"/>
    <w:rsid w:val="00BC6CA2"/>
    <w:rsid w:val="00BC6DA0"/>
    <w:rsid w:val="00BC78E1"/>
    <w:rsid w:val="00BC793C"/>
    <w:rsid w:val="00BD07E8"/>
    <w:rsid w:val="00BD0BA7"/>
    <w:rsid w:val="00BD1B5B"/>
    <w:rsid w:val="00BD218E"/>
    <w:rsid w:val="00BD2365"/>
    <w:rsid w:val="00BD25BE"/>
    <w:rsid w:val="00BD26CB"/>
    <w:rsid w:val="00BD2EFE"/>
    <w:rsid w:val="00BD32D6"/>
    <w:rsid w:val="00BD36F3"/>
    <w:rsid w:val="00BD3A53"/>
    <w:rsid w:val="00BD40D8"/>
    <w:rsid w:val="00BD4396"/>
    <w:rsid w:val="00BD4C53"/>
    <w:rsid w:val="00BD50F0"/>
    <w:rsid w:val="00BD53AB"/>
    <w:rsid w:val="00BD5B65"/>
    <w:rsid w:val="00BD5BA3"/>
    <w:rsid w:val="00BD62C6"/>
    <w:rsid w:val="00BD7559"/>
    <w:rsid w:val="00BE065A"/>
    <w:rsid w:val="00BE0694"/>
    <w:rsid w:val="00BE073F"/>
    <w:rsid w:val="00BE09BE"/>
    <w:rsid w:val="00BE09D2"/>
    <w:rsid w:val="00BE1B89"/>
    <w:rsid w:val="00BE24E4"/>
    <w:rsid w:val="00BE2F56"/>
    <w:rsid w:val="00BE2FFE"/>
    <w:rsid w:val="00BE3282"/>
    <w:rsid w:val="00BE3477"/>
    <w:rsid w:val="00BE3573"/>
    <w:rsid w:val="00BE4794"/>
    <w:rsid w:val="00BE481A"/>
    <w:rsid w:val="00BE4EEA"/>
    <w:rsid w:val="00BE4F82"/>
    <w:rsid w:val="00BE50D8"/>
    <w:rsid w:val="00BE52FF"/>
    <w:rsid w:val="00BE5D40"/>
    <w:rsid w:val="00BE6045"/>
    <w:rsid w:val="00BE61C0"/>
    <w:rsid w:val="00BE633A"/>
    <w:rsid w:val="00BE71BC"/>
    <w:rsid w:val="00BE7CA6"/>
    <w:rsid w:val="00BE7F67"/>
    <w:rsid w:val="00BE7F7B"/>
    <w:rsid w:val="00BF015A"/>
    <w:rsid w:val="00BF02C2"/>
    <w:rsid w:val="00BF0835"/>
    <w:rsid w:val="00BF0B34"/>
    <w:rsid w:val="00BF14EA"/>
    <w:rsid w:val="00BF1691"/>
    <w:rsid w:val="00BF28B6"/>
    <w:rsid w:val="00BF2B18"/>
    <w:rsid w:val="00BF32D7"/>
    <w:rsid w:val="00BF3527"/>
    <w:rsid w:val="00BF3724"/>
    <w:rsid w:val="00BF3899"/>
    <w:rsid w:val="00BF3CD3"/>
    <w:rsid w:val="00BF4925"/>
    <w:rsid w:val="00BF4C5A"/>
    <w:rsid w:val="00BF4F9E"/>
    <w:rsid w:val="00BF5179"/>
    <w:rsid w:val="00BF540A"/>
    <w:rsid w:val="00BF550C"/>
    <w:rsid w:val="00BF563D"/>
    <w:rsid w:val="00BF58AF"/>
    <w:rsid w:val="00BF5C9A"/>
    <w:rsid w:val="00BF6F17"/>
    <w:rsid w:val="00BF7051"/>
    <w:rsid w:val="00C0018E"/>
    <w:rsid w:val="00C00243"/>
    <w:rsid w:val="00C0033D"/>
    <w:rsid w:val="00C00958"/>
    <w:rsid w:val="00C0135C"/>
    <w:rsid w:val="00C01890"/>
    <w:rsid w:val="00C01B8F"/>
    <w:rsid w:val="00C01E16"/>
    <w:rsid w:val="00C01E52"/>
    <w:rsid w:val="00C0218E"/>
    <w:rsid w:val="00C0263D"/>
    <w:rsid w:val="00C026DE"/>
    <w:rsid w:val="00C02ABA"/>
    <w:rsid w:val="00C0338A"/>
    <w:rsid w:val="00C033A9"/>
    <w:rsid w:val="00C033CC"/>
    <w:rsid w:val="00C03414"/>
    <w:rsid w:val="00C0341E"/>
    <w:rsid w:val="00C038F4"/>
    <w:rsid w:val="00C039FD"/>
    <w:rsid w:val="00C03AF4"/>
    <w:rsid w:val="00C03D5C"/>
    <w:rsid w:val="00C0457D"/>
    <w:rsid w:val="00C0584A"/>
    <w:rsid w:val="00C05A9A"/>
    <w:rsid w:val="00C05C9D"/>
    <w:rsid w:val="00C0640B"/>
    <w:rsid w:val="00C06CD4"/>
    <w:rsid w:val="00C07207"/>
    <w:rsid w:val="00C072DD"/>
    <w:rsid w:val="00C07571"/>
    <w:rsid w:val="00C07691"/>
    <w:rsid w:val="00C07881"/>
    <w:rsid w:val="00C07882"/>
    <w:rsid w:val="00C07EB2"/>
    <w:rsid w:val="00C100EA"/>
    <w:rsid w:val="00C101E0"/>
    <w:rsid w:val="00C102F2"/>
    <w:rsid w:val="00C105FC"/>
    <w:rsid w:val="00C108E1"/>
    <w:rsid w:val="00C10B25"/>
    <w:rsid w:val="00C10E42"/>
    <w:rsid w:val="00C10EF5"/>
    <w:rsid w:val="00C10FBC"/>
    <w:rsid w:val="00C114B3"/>
    <w:rsid w:val="00C11801"/>
    <w:rsid w:val="00C11C8A"/>
    <w:rsid w:val="00C1206A"/>
    <w:rsid w:val="00C1283A"/>
    <w:rsid w:val="00C12951"/>
    <w:rsid w:val="00C12B70"/>
    <w:rsid w:val="00C12FFE"/>
    <w:rsid w:val="00C132A6"/>
    <w:rsid w:val="00C132FF"/>
    <w:rsid w:val="00C1376D"/>
    <w:rsid w:val="00C14B4F"/>
    <w:rsid w:val="00C1530A"/>
    <w:rsid w:val="00C15492"/>
    <w:rsid w:val="00C15896"/>
    <w:rsid w:val="00C160D7"/>
    <w:rsid w:val="00C165C7"/>
    <w:rsid w:val="00C1676E"/>
    <w:rsid w:val="00C167A6"/>
    <w:rsid w:val="00C1686B"/>
    <w:rsid w:val="00C16D47"/>
    <w:rsid w:val="00C16DA3"/>
    <w:rsid w:val="00C16F73"/>
    <w:rsid w:val="00C16FAD"/>
    <w:rsid w:val="00C173F2"/>
    <w:rsid w:val="00C175B2"/>
    <w:rsid w:val="00C1771C"/>
    <w:rsid w:val="00C178B0"/>
    <w:rsid w:val="00C17A5D"/>
    <w:rsid w:val="00C207C5"/>
    <w:rsid w:val="00C2107F"/>
    <w:rsid w:val="00C219C3"/>
    <w:rsid w:val="00C21C7F"/>
    <w:rsid w:val="00C21C8F"/>
    <w:rsid w:val="00C21CC1"/>
    <w:rsid w:val="00C23803"/>
    <w:rsid w:val="00C23F77"/>
    <w:rsid w:val="00C24AF3"/>
    <w:rsid w:val="00C26149"/>
    <w:rsid w:val="00C264EF"/>
    <w:rsid w:val="00C267B1"/>
    <w:rsid w:val="00C276ED"/>
    <w:rsid w:val="00C27837"/>
    <w:rsid w:val="00C27AA6"/>
    <w:rsid w:val="00C30240"/>
    <w:rsid w:val="00C30656"/>
    <w:rsid w:val="00C30953"/>
    <w:rsid w:val="00C30E88"/>
    <w:rsid w:val="00C31042"/>
    <w:rsid w:val="00C31958"/>
    <w:rsid w:val="00C32009"/>
    <w:rsid w:val="00C322BB"/>
    <w:rsid w:val="00C324E6"/>
    <w:rsid w:val="00C3269A"/>
    <w:rsid w:val="00C32D8A"/>
    <w:rsid w:val="00C32E79"/>
    <w:rsid w:val="00C33434"/>
    <w:rsid w:val="00C338B1"/>
    <w:rsid w:val="00C33B8F"/>
    <w:rsid w:val="00C340BB"/>
    <w:rsid w:val="00C34B0E"/>
    <w:rsid w:val="00C34DBD"/>
    <w:rsid w:val="00C3570C"/>
    <w:rsid w:val="00C35834"/>
    <w:rsid w:val="00C35D17"/>
    <w:rsid w:val="00C35F19"/>
    <w:rsid w:val="00C367C6"/>
    <w:rsid w:val="00C368B5"/>
    <w:rsid w:val="00C369AE"/>
    <w:rsid w:val="00C37AF3"/>
    <w:rsid w:val="00C37B8A"/>
    <w:rsid w:val="00C4012A"/>
    <w:rsid w:val="00C4073F"/>
    <w:rsid w:val="00C408C3"/>
    <w:rsid w:val="00C409D7"/>
    <w:rsid w:val="00C40F20"/>
    <w:rsid w:val="00C41D18"/>
    <w:rsid w:val="00C4243A"/>
    <w:rsid w:val="00C4258C"/>
    <w:rsid w:val="00C429BC"/>
    <w:rsid w:val="00C43AFE"/>
    <w:rsid w:val="00C43DE2"/>
    <w:rsid w:val="00C43ED9"/>
    <w:rsid w:val="00C44046"/>
    <w:rsid w:val="00C44173"/>
    <w:rsid w:val="00C445C0"/>
    <w:rsid w:val="00C448B1"/>
    <w:rsid w:val="00C449E7"/>
    <w:rsid w:val="00C44AE3"/>
    <w:rsid w:val="00C44C3C"/>
    <w:rsid w:val="00C44CF3"/>
    <w:rsid w:val="00C452F6"/>
    <w:rsid w:val="00C45352"/>
    <w:rsid w:val="00C454F6"/>
    <w:rsid w:val="00C45BAE"/>
    <w:rsid w:val="00C4665F"/>
    <w:rsid w:val="00C46881"/>
    <w:rsid w:val="00C46887"/>
    <w:rsid w:val="00C46FBD"/>
    <w:rsid w:val="00C4700C"/>
    <w:rsid w:val="00C4737A"/>
    <w:rsid w:val="00C479A9"/>
    <w:rsid w:val="00C47F4F"/>
    <w:rsid w:val="00C50F8E"/>
    <w:rsid w:val="00C511F2"/>
    <w:rsid w:val="00C51384"/>
    <w:rsid w:val="00C51AFA"/>
    <w:rsid w:val="00C51C96"/>
    <w:rsid w:val="00C52196"/>
    <w:rsid w:val="00C52605"/>
    <w:rsid w:val="00C534DC"/>
    <w:rsid w:val="00C53D94"/>
    <w:rsid w:val="00C54104"/>
    <w:rsid w:val="00C54243"/>
    <w:rsid w:val="00C542B5"/>
    <w:rsid w:val="00C54381"/>
    <w:rsid w:val="00C5440B"/>
    <w:rsid w:val="00C54844"/>
    <w:rsid w:val="00C549C2"/>
    <w:rsid w:val="00C54FDC"/>
    <w:rsid w:val="00C55678"/>
    <w:rsid w:val="00C557A4"/>
    <w:rsid w:val="00C562A9"/>
    <w:rsid w:val="00C5643A"/>
    <w:rsid w:val="00C56BA0"/>
    <w:rsid w:val="00C56F50"/>
    <w:rsid w:val="00C57406"/>
    <w:rsid w:val="00C57936"/>
    <w:rsid w:val="00C57EBD"/>
    <w:rsid w:val="00C603E9"/>
    <w:rsid w:val="00C6084C"/>
    <w:rsid w:val="00C60A69"/>
    <w:rsid w:val="00C60CA5"/>
    <w:rsid w:val="00C60E3F"/>
    <w:rsid w:val="00C61C54"/>
    <w:rsid w:val="00C61E04"/>
    <w:rsid w:val="00C61FBD"/>
    <w:rsid w:val="00C62831"/>
    <w:rsid w:val="00C62843"/>
    <w:rsid w:val="00C63026"/>
    <w:rsid w:val="00C63581"/>
    <w:rsid w:val="00C635E7"/>
    <w:rsid w:val="00C639F0"/>
    <w:rsid w:val="00C63B73"/>
    <w:rsid w:val="00C63CAC"/>
    <w:rsid w:val="00C64024"/>
    <w:rsid w:val="00C64079"/>
    <w:rsid w:val="00C646B6"/>
    <w:rsid w:val="00C64E61"/>
    <w:rsid w:val="00C650E0"/>
    <w:rsid w:val="00C6550C"/>
    <w:rsid w:val="00C65B0A"/>
    <w:rsid w:val="00C65D03"/>
    <w:rsid w:val="00C664DE"/>
    <w:rsid w:val="00C66982"/>
    <w:rsid w:val="00C66D12"/>
    <w:rsid w:val="00C67552"/>
    <w:rsid w:val="00C67590"/>
    <w:rsid w:val="00C675AB"/>
    <w:rsid w:val="00C67A67"/>
    <w:rsid w:val="00C67D92"/>
    <w:rsid w:val="00C70B55"/>
    <w:rsid w:val="00C7106F"/>
    <w:rsid w:val="00C710B9"/>
    <w:rsid w:val="00C711FD"/>
    <w:rsid w:val="00C7162A"/>
    <w:rsid w:val="00C717FC"/>
    <w:rsid w:val="00C71A88"/>
    <w:rsid w:val="00C72B7F"/>
    <w:rsid w:val="00C72CB8"/>
    <w:rsid w:val="00C72CC5"/>
    <w:rsid w:val="00C7326A"/>
    <w:rsid w:val="00C73281"/>
    <w:rsid w:val="00C73DB4"/>
    <w:rsid w:val="00C74255"/>
    <w:rsid w:val="00C74C28"/>
    <w:rsid w:val="00C75005"/>
    <w:rsid w:val="00C7512F"/>
    <w:rsid w:val="00C75B67"/>
    <w:rsid w:val="00C763B2"/>
    <w:rsid w:val="00C76449"/>
    <w:rsid w:val="00C76459"/>
    <w:rsid w:val="00C7674C"/>
    <w:rsid w:val="00C76937"/>
    <w:rsid w:val="00C769C5"/>
    <w:rsid w:val="00C76BFC"/>
    <w:rsid w:val="00C772C7"/>
    <w:rsid w:val="00C77384"/>
    <w:rsid w:val="00C8009A"/>
    <w:rsid w:val="00C803FD"/>
    <w:rsid w:val="00C8043C"/>
    <w:rsid w:val="00C8051D"/>
    <w:rsid w:val="00C80D54"/>
    <w:rsid w:val="00C810DA"/>
    <w:rsid w:val="00C811A7"/>
    <w:rsid w:val="00C8120A"/>
    <w:rsid w:val="00C81236"/>
    <w:rsid w:val="00C817C9"/>
    <w:rsid w:val="00C818E1"/>
    <w:rsid w:val="00C81D40"/>
    <w:rsid w:val="00C82052"/>
    <w:rsid w:val="00C82974"/>
    <w:rsid w:val="00C829DB"/>
    <w:rsid w:val="00C8377C"/>
    <w:rsid w:val="00C83A56"/>
    <w:rsid w:val="00C84118"/>
    <w:rsid w:val="00C84B69"/>
    <w:rsid w:val="00C84D33"/>
    <w:rsid w:val="00C84E52"/>
    <w:rsid w:val="00C851D4"/>
    <w:rsid w:val="00C854C1"/>
    <w:rsid w:val="00C855BF"/>
    <w:rsid w:val="00C856F4"/>
    <w:rsid w:val="00C8644C"/>
    <w:rsid w:val="00C86CA1"/>
    <w:rsid w:val="00C87533"/>
    <w:rsid w:val="00C87F57"/>
    <w:rsid w:val="00C87F8A"/>
    <w:rsid w:val="00C905E8"/>
    <w:rsid w:val="00C906D7"/>
    <w:rsid w:val="00C90A66"/>
    <w:rsid w:val="00C9182F"/>
    <w:rsid w:val="00C91AE5"/>
    <w:rsid w:val="00C91CAE"/>
    <w:rsid w:val="00C91E6F"/>
    <w:rsid w:val="00C92244"/>
    <w:rsid w:val="00C92579"/>
    <w:rsid w:val="00C92B13"/>
    <w:rsid w:val="00C92C4C"/>
    <w:rsid w:val="00C92D48"/>
    <w:rsid w:val="00C92FAD"/>
    <w:rsid w:val="00C930AE"/>
    <w:rsid w:val="00C93875"/>
    <w:rsid w:val="00C93CDD"/>
    <w:rsid w:val="00C93D00"/>
    <w:rsid w:val="00C93D4E"/>
    <w:rsid w:val="00C93DAF"/>
    <w:rsid w:val="00C9428E"/>
    <w:rsid w:val="00C949CC"/>
    <w:rsid w:val="00C94B97"/>
    <w:rsid w:val="00C94C07"/>
    <w:rsid w:val="00C9502D"/>
    <w:rsid w:val="00C950CE"/>
    <w:rsid w:val="00C951A6"/>
    <w:rsid w:val="00C957DC"/>
    <w:rsid w:val="00C95E77"/>
    <w:rsid w:val="00C95F61"/>
    <w:rsid w:val="00C961B4"/>
    <w:rsid w:val="00C96377"/>
    <w:rsid w:val="00C96A3D"/>
    <w:rsid w:val="00C96E8E"/>
    <w:rsid w:val="00C9771A"/>
    <w:rsid w:val="00C97CE7"/>
    <w:rsid w:val="00C97D34"/>
    <w:rsid w:val="00C97E78"/>
    <w:rsid w:val="00CA0043"/>
    <w:rsid w:val="00CA03EF"/>
    <w:rsid w:val="00CA051D"/>
    <w:rsid w:val="00CA05DB"/>
    <w:rsid w:val="00CA0AA8"/>
    <w:rsid w:val="00CA0D0A"/>
    <w:rsid w:val="00CA25A7"/>
    <w:rsid w:val="00CA2DA6"/>
    <w:rsid w:val="00CA2E8B"/>
    <w:rsid w:val="00CA3080"/>
    <w:rsid w:val="00CA321F"/>
    <w:rsid w:val="00CA3BC5"/>
    <w:rsid w:val="00CA3F6A"/>
    <w:rsid w:val="00CA4015"/>
    <w:rsid w:val="00CA419C"/>
    <w:rsid w:val="00CA46CE"/>
    <w:rsid w:val="00CA50A4"/>
    <w:rsid w:val="00CA55C0"/>
    <w:rsid w:val="00CA5963"/>
    <w:rsid w:val="00CA5EC4"/>
    <w:rsid w:val="00CA63F4"/>
    <w:rsid w:val="00CA7948"/>
    <w:rsid w:val="00CA7CEE"/>
    <w:rsid w:val="00CB004B"/>
    <w:rsid w:val="00CB01DE"/>
    <w:rsid w:val="00CB074E"/>
    <w:rsid w:val="00CB1E7C"/>
    <w:rsid w:val="00CB232A"/>
    <w:rsid w:val="00CB2668"/>
    <w:rsid w:val="00CB28FE"/>
    <w:rsid w:val="00CB2BF7"/>
    <w:rsid w:val="00CB2D79"/>
    <w:rsid w:val="00CB3048"/>
    <w:rsid w:val="00CB36FE"/>
    <w:rsid w:val="00CB3948"/>
    <w:rsid w:val="00CB3B6A"/>
    <w:rsid w:val="00CB3CF3"/>
    <w:rsid w:val="00CB3DD8"/>
    <w:rsid w:val="00CB4C3C"/>
    <w:rsid w:val="00CB5468"/>
    <w:rsid w:val="00CB5A5A"/>
    <w:rsid w:val="00CB5E4C"/>
    <w:rsid w:val="00CB66E1"/>
    <w:rsid w:val="00CB68DB"/>
    <w:rsid w:val="00CB722C"/>
    <w:rsid w:val="00CB7683"/>
    <w:rsid w:val="00CB787D"/>
    <w:rsid w:val="00CB7D3C"/>
    <w:rsid w:val="00CC018F"/>
    <w:rsid w:val="00CC086A"/>
    <w:rsid w:val="00CC0B07"/>
    <w:rsid w:val="00CC0B8A"/>
    <w:rsid w:val="00CC2B02"/>
    <w:rsid w:val="00CC2C9F"/>
    <w:rsid w:val="00CC2E8C"/>
    <w:rsid w:val="00CC302A"/>
    <w:rsid w:val="00CC30BB"/>
    <w:rsid w:val="00CC40F0"/>
    <w:rsid w:val="00CC4740"/>
    <w:rsid w:val="00CC4819"/>
    <w:rsid w:val="00CC4A9E"/>
    <w:rsid w:val="00CC4BE1"/>
    <w:rsid w:val="00CC4CE9"/>
    <w:rsid w:val="00CC4DE6"/>
    <w:rsid w:val="00CC50B2"/>
    <w:rsid w:val="00CC5178"/>
    <w:rsid w:val="00CC528D"/>
    <w:rsid w:val="00CC5BEA"/>
    <w:rsid w:val="00CC6566"/>
    <w:rsid w:val="00CC679D"/>
    <w:rsid w:val="00CC6B97"/>
    <w:rsid w:val="00CC6BA4"/>
    <w:rsid w:val="00CC743D"/>
    <w:rsid w:val="00CC7476"/>
    <w:rsid w:val="00CD07E1"/>
    <w:rsid w:val="00CD0B6F"/>
    <w:rsid w:val="00CD0C6F"/>
    <w:rsid w:val="00CD0F2F"/>
    <w:rsid w:val="00CD0FE4"/>
    <w:rsid w:val="00CD13EA"/>
    <w:rsid w:val="00CD18B9"/>
    <w:rsid w:val="00CD193A"/>
    <w:rsid w:val="00CD193B"/>
    <w:rsid w:val="00CD19AC"/>
    <w:rsid w:val="00CD19BB"/>
    <w:rsid w:val="00CD1AA5"/>
    <w:rsid w:val="00CD2376"/>
    <w:rsid w:val="00CD272B"/>
    <w:rsid w:val="00CD2B9D"/>
    <w:rsid w:val="00CD2DB1"/>
    <w:rsid w:val="00CD2F4B"/>
    <w:rsid w:val="00CD2FDF"/>
    <w:rsid w:val="00CD3113"/>
    <w:rsid w:val="00CD33E1"/>
    <w:rsid w:val="00CD36BB"/>
    <w:rsid w:val="00CD3926"/>
    <w:rsid w:val="00CD431A"/>
    <w:rsid w:val="00CD435B"/>
    <w:rsid w:val="00CD4428"/>
    <w:rsid w:val="00CD4582"/>
    <w:rsid w:val="00CD4938"/>
    <w:rsid w:val="00CD5982"/>
    <w:rsid w:val="00CD5A96"/>
    <w:rsid w:val="00CD6161"/>
    <w:rsid w:val="00CD637C"/>
    <w:rsid w:val="00CD63E9"/>
    <w:rsid w:val="00CD6429"/>
    <w:rsid w:val="00CD6B40"/>
    <w:rsid w:val="00CD70EF"/>
    <w:rsid w:val="00CD751A"/>
    <w:rsid w:val="00CD787F"/>
    <w:rsid w:val="00CE0825"/>
    <w:rsid w:val="00CE0847"/>
    <w:rsid w:val="00CE092A"/>
    <w:rsid w:val="00CE1961"/>
    <w:rsid w:val="00CE1B90"/>
    <w:rsid w:val="00CE200B"/>
    <w:rsid w:val="00CE20D7"/>
    <w:rsid w:val="00CE25BF"/>
    <w:rsid w:val="00CE27C0"/>
    <w:rsid w:val="00CE2A21"/>
    <w:rsid w:val="00CE354B"/>
    <w:rsid w:val="00CE393A"/>
    <w:rsid w:val="00CE39C7"/>
    <w:rsid w:val="00CE3D90"/>
    <w:rsid w:val="00CE4A9A"/>
    <w:rsid w:val="00CE521C"/>
    <w:rsid w:val="00CE53C3"/>
    <w:rsid w:val="00CE583B"/>
    <w:rsid w:val="00CE58B2"/>
    <w:rsid w:val="00CE5914"/>
    <w:rsid w:val="00CE5CEE"/>
    <w:rsid w:val="00CE5D11"/>
    <w:rsid w:val="00CE64EF"/>
    <w:rsid w:val="00CE7311"/>
    <w:rsid w:val="00CE76C0"/>
    <w:rsid w:val="00CE786F"/>
    <w:rsid w:val="00CE7DE6"/>
    <w:rsid w:val="00CF0009"/>
    <w:rsid w:val="00CF0B85"/>
    <w:rsid w:val="00CF0CD9"/>
    <w:rsid w:val="00CF0FF2"/>
    <w:rsid w:val="00CF10C5"/>
    <w:rsid w:val="00CF1812"/>
    <w:rsid w:val="00CF184C"/>
    <w:rsid w:val="00CF213C"/>
    <w:rsid w:val="00CF2474"/>
    <w:rsid w:val="00CF28D6"/>
    <w:rsid w:val="00CF2EE8"/>
    <w:rsid w:val="00CF2F44"/>
    <w:rsid w:val="00CF35C8"/>
    <w:rsid w:val="00CF35EB"/>
    <w:rsid w:val="00CF386B"/>
    <w:rsid w:val="00CF3E2D"/>
    <w:rsid w:val="00CF3F1B"/>
    <w:rsid w:val="00CF42C8"/>
    <w:rsid w:val="00CF48DF"/>
    <w:rsid w:val="00CF4A51"/>
    <w:rsid w:val="00CF4B63"/>
    <w:rsid w:val="00CF4C2A"/>
    <w:rsid w:val="00CF4C79"/>
    <w:rsid w:val="00CF52E2"/>
    <w:rsid w:val="00CF5A47"/>
    <w:rsid w:val="00CF5A75"/>
    <w:rsid w:val="00CF5D65"/>
    <w:rsid w:val="00CF5F3A"/>
    <w:rsid w:val="00CF665B"/>
    <w:rsid w:val="00CF6A53"/>
    <w:rsid w:val="00CF7088"/>
    <w:rsid w:val="00CF78F0"/>
    <w:rsid w:val="00CF7980"/>
    <w:rsid w:val="00CF79CA"/>
    <w:rsid w:val="00CF7B71"/>
    <w:rsid w:val="00CF7F52"/>
    <w:rsid w:val="00D0012D"/>
    <w:rsid w:val="00D0032B"/>
    <w:rsid w:val="00D00464"/>
    <w:rsid w:val="00D014F4"/>
    <w:rsid w:val="00D019B3"/>
    <w:rsid w:val="00D01B10"/>
    <w:rsid w:val="00D01B50"/>
    <w:rsid w:val="00D0313B"/>
    <w:rsid w:val="00D03D3C"/>
    <w:rsid w:val="00D03D95"/>
    <w:rsid w:val="00D03E76"/>
    <w:rsid w:val="00D03FDB"/>
    <w:rsid w:val="00D04688"/>
    <w:rsid w:val="00D0501B"/>
    <w:rsid w:val="00D05020"/>
    <w:rsid w:val="00D0541D"/>
    <w:rsid w:val="00D05490"/>
    <w:rsid w:val="00D058DF"/>
    <w:rsid w:val="00D05969"/>
    <w:rsid w:val="00D05D54"/>
    <w:rsid w:val="00D05E9C"/>
    <w:rsid w:val="00D06061"/>
    <w:rsid w:val="00D0616D"/>
    <w:rsid w:val="00D064A2"/>
    <w:rsid w:val="00D06580"/>
    <w:rsid w:val="00D06625"/>
    <w:rsid w:val="00D06A69"/>
    <w:rsid w:val="00D06AA5"/>
    <w:rsid w:val="00D0763B"/>
    <w:rsid w:val="00D07757"/>
    <w:rsid w:val="00D07CA0"/>
    <w:rsid w:val="00D07FA1"/>
    <w:rsid w:val="00D10583"/>
    <w:rsid w:val="00D10EF2"/>
    <w:rsid w:val="00D117B7"/>
    <w:rsid w:val="00D11AA8"/>
    <w:rsid w:val="00D11DCB"/>
    <w:rsid w:val="00D12088"/>
    <w:rsid w:val="00D126FA"/>
    <w:rsid w:val="00D1301D"/>
    <w:rsid w:val="00D13483"/>
    <w:rsid w:val="00D1350D"/>
    <w:rsid w:val="00D13818"/>
    <w:rsid w:val="00D1458D"/>
    <w:rsid w:val="00D14AE0"/>
    <w:rsid w:val="00D15F64"/>
    <w:rsid w:val="00D16892"/>
    <w:rsid w:val="00D16CF5"/>
    <w:rsid w:val="00D16F77"/>
    <w:rsid w:val="00D1703D"/>
    <w:rsid w:val="00D170FC"/>
    <w:rsid w:val="00D172E3"/>
    <w:rsid w:val="00D17885"/>
    <w:rsid w:val="00D179BF"/>
    <w:rsid w:val="00D17A0A"/>
    <w:rsid w:val="00D17D99"/>
    <w:rsid w:val="00D208D1"/>
    <w:rsid w:val="00D21001"/>
    <w:rsid w:val="00D21157"/>
    <w:rsid w:val="00D21DEB"/>
    <w:rsid w:val="00D22114"/>
    <w:rsid w:val="00D22A79"/>
    <w:rsid w:val="00D22C9C"/>
    <w:rsid w:val="00D22F92"/>
    <w:rsid w:val="00D2397D"/>
    <w:rsid w:val="00D23D97"/>
    <w:rsid w:val="00D24EAE"/>
    <w:rsid w:val="00D24FBA"/>
    <w:rsid w:val="00D2569C"/>
    <w:rsid w:val="00D25C05"/>
    <w:rsid w:val="00D26B6C"/>
    <w:rsid w:val="00D26D09"/>
    <w:rsid w:val="00D273B3"/>
    <w:rsid w:val="00D2793E"/>
    <w:rsid w:val="00D279B6"/>
    <w:rsid w:val="00D30476"/>
    <w:rsid w:val="00D3065A"/>
    <w:rsid w:val="00D30CF4"/>
    <w:rsid w:val="00D3115F"/>
    <w:rsid w:val="00D3145B"/>
    <w:rsid w:val="00D314AE"/>
    <w:rsid w:val="00D31630"/>
    <w:rsid w:val="00D317B9"/>
    <w:rsid w:val="00D31DDB"/>
    <w:rsid w:val="00D32408"/>
    <w:rsid w:val="00D32422"/>
    <w:rsid w:val="00D3294C"/>
    <w:rsid w:val="00D32FC1"/>
    <w:rsid w:val="00D33465"/>
    <w:rsid w:val="00D334EA"/>
    <w:rsid w:val="00D33964"/>
    <w:rsid w:val="00D339B6"/>
    <w:rsid w:val="00D33ADD"/>
    <w:rsid w:val="00D33AE2"/>
    <w:rsid w:val="00D340AF"/>
    <w:rsid w:val="00D34972"/>
    <w:rsid w:val="00D34A9D"/>
    <w:rsid w:val="00D35454"/>
    <w:rsid w:val="00D356AA"/>
    <w:rsid w:val="00D3598A"/>
    <w:rsid w:val="00D35BCA"/>
    <w:rsid w:val="00D35D02"/>
    <w:rsid w:val="00D379A9"/>
    <w:rsid w:val="00D37ABE"/>
    <w:rsid w:val="00D37B04"/>
    <w:rsid w:val="00D40094"/>
    <w:rsid w:val="00D405D7"/>
    <w:rsid w:val="00D408D7"/>
    <w:rsid w:val="00D4096E"/>
    <w:rsid w:val="00D40A9C"/>
    <w:rsid w:val="00D40AEC"/>
    <w:rsid w:val="00D40BE7"/>
    <w:rsid w:val="00D40C1F"/>
    <w:rsid w:val="00D41B04"/>
    <w:rsid w:val="00D41DFB"/>
    <w:rsid w:val="00D421C8"/>
    <w:rsid w:val="00D421F6"/>
    <w:rsid w:val="00D427FB"/>
    <w:rsid w:val="00D42CA1"/>
    <w:rsid w:val="00D42ECC"/>
    <w:rsid w:val="00D4334B"/>
    <w:rsid w:val="00D44812"/>
    <w:rsid w:val="00D44CAC"/>
    <w:rsid w:val="00D450FE"/>
    <w:rsid w:val="00D4553E"/>
    <w:rsid w:val="00D45A46"/>
    <w:rsid w:val="00D45E15"/>
    <w:rsid w:val="00D46435"/>
    <w:rsid w:val="00D47ECA"/>
    <w:rsid w:val="00D503B1"/>
    <w:rsid w:val="00D50598"/>
    <w:rsid w:val="00D50BCF"/>
    <w:rsid w:val="00D516A6"/>
    <w:rsid w:val="00D51711"/>
    <w:rsid w:val="00D51F56"/>
    <w:rsid w:val="00D5234A"/>
    <w:rsid w:val="00D524C7"/>
    <w:rsid w:val="00D52D90"/>
    <w:rsid w:val="00D52E3A"/>
    <w:rsid w:val="00D530D3"/>
    <w:rsid w:val="00D53367"/>
    <w:rsid w:val="00D53686"/>
    <w:rsid w:val="00D538EF"/>
    <w:rsid w:val="00D53C6E"/>
    <w:rsid w:val="00D53D4A"/>
    <w:rsid w:val="00D53F26"/>
    <w:rsid w:val="00D547D8"/>
    <w:rsid w:val="00D55629"/>
    <w:rsid w:val="00D55D81"/>
    <w:rsid w:val="00D56A95"/>
    <w:rsid w:val="00D56D1C"/>
    <w:rsid w:val="00D56E71"/>
    <w:rsid w:val="00D56EE0"/>
    <w:rsid w:val="00D578A3"/>
    <w:rsid w:val="00D57F2B"/>
    <w:rsid w:val="00D6059D"/>
    <w:rsid w:val="00D605C4"/>
    <w:rsid w:val="00D60A33"/>
    <w:rsid w:val="00D610CC"/>
    <w:rsid w:val="00D6127B"/>
    <w:rsid w:val="00D612EB"/>
    <w:rsid w:val="00D617E9"/>
    <w:rsid w:val="00D6199B"/>
    <w:rsid w:val="00D62026"/>
    <w:rsid w:val="00D62173"/>
    <w:rsid w:val="00D6222D"/>
    <w:rsid w:val="00D62EB2"/>
    <w:rsid w:val="00D63588"/>
    <w:rsid w:val="00D63E44"/>
    <w:rsid w:val="00D6422F"/>
    <w:rsid w:val="00D6449A"/>
    <w:rsid w:val="00D6557C"/>
    <w:rsid w:val="00D658B2"/>
    <w:rsid w:val="00D65B81"/>
    <w:rsid w:val="00D65D94"/>
    <w:rsid w:val="00D65F3A"/>
    <w:rsid w:val="00D66253"/>
    <w:rsid w:val="00D66B8C"/>
    <w:rsid w:val="00D67276"/>
    <w:rsid w:val="00D672E7"/>
    <w:rsid w:val="00D6794B"/>
    <w:rsid w:val="00D7040F"/>
    <w:rsid w:val="00D704D5"/>
    <w:rsid w:val="00D70688"/>
    <w:rsid w:val="00D70EE0"/>
    <w:rsid w:val="00D71123"/>
    <w:rsid w:val="00D71144"/>
    <w:rsid w:val="00D71153"/>
    <w:rsid w:val="00D71ACE"/>
    <w:rsid w:val="00D71B67"/>
    <w:rsid w:val="00D71C98"/>
    <w:rsid w:val="00D72B5B"/>
    <w:rsid w:val="00D72FA0"/>
    <w:rsid w:val="00D730E0"/>
    <w:rsid w:val="00D731C7"/>
    <w:rsid w:val="00D7359D"/>
    <w:rsid w:val="00D736B5"/>
    <w:rsid w:val="00D7419B"/>
    <w:rsid w:val="00D7452A"/>
    <w:rsid w:val="00D74992"/>
    <w:rsid w:val="00D752DE"/>
    <w:rsid w:val="00D75437"/>
    <w:rsid w:val="00D755F1"/>
    <w:rsid w:val="00D756BF"/>
    <w:rsid w:val="00D75D4A"/>
    <w:rsid w:val="00D762B6"/>
    <w:rsid w:val="00D76740"/>
    <w:rsid w:val="00D76925"/>
    <w:rsid w:val="00D7699F"/>
    <w:rsid w:val="00D769F1"/>
    <w:rsid w:val="00D76B19"/>
    <w:rsid w:val="00D76F30"/>
    <w:rsid w:val="00D77381"/>
    <w:rsid w:val="00D773A2"/>
    <w:rsid w:val="00D81272"/>
    <w:rsid w:val="00D8134D"/>
    <w:rsid w:val="00D81C05"/>
    <w:rsid w:val="00D82596"/>
    <w:rsid w:val="00D829AC"/>
    <w:rsid w:val="00D83107"/>
    <w:rsid w:val="00D832AA"/>
    <w:rsid w:val="00D83411"/>
    <w:rsid w:val="00D834D0"/>
    <w:rsid w:val="00D83C27"/>
    <w:rsid w:val="00D84032"/>
    <w:rsid w:val="00D8427B"/>
    <w:rsid w:val="00D84826"/>
    <w:rsid w:val="00D84DAD"/>
    <w:rsid w:val="00D85081"/>
    <w:rsid w:val="00D85B1A"/>
    <w:rsid w:val="00D85E1C"/>
    <w:rsid w:val="00D862A1"/>
    <w:rsid w:val="00D867D7"/>
    <w:rsid w:val="00D86C48"/>
    <w:rsid w:val="00D86F86"/>
    <w:rsid w:val="00D87133"/>
    <w:rsid w:val="00D87466"/>
    <w:rsid w:val="00D8746D"/>
    <w:rsid w:val="00D87865"/>
    <w:rsid w:val="00D879F8"/>
    <w:rsid w:val="00D87ABD"/>
    <w:rsid w:val="00D87BD9"/>
    <w:rsid w:val="00D87C43"/>
    <w:rsid w:val="00D87DF3"/>
    <w:rsid w:val="00D9024E"/>
    <w:rsid w:val="00D9046C"/>
    <w:rsid w:val="00D905C2"/>
    <w:rsid w:val="00D90C7E"/>
    <w:rsid w:val="00D90D95"/>
    <w:rsid w:val="00D90E7D"/>
    <w:rsid w:val="00D91B2F"/>
    <w:rsid w:val="00D91C87"/>
    <w:rsid w:val="00D91FFF"/>
    <w:rsid w:val="00D92239"/>
    <w:rsid w:val="00D93005"/>
    <w:rsid w:val="00D930F8"/>
    <w:rsid w:val="00D9383B"/>
    <w:rsid w:val="00D93D4F"/>
    <w:rsid w:val="00D93DD8"/>
    <w:rsid w:val="00D948DD"/>
    <w:rsid w:val="00D94BBB"/>
    <w:rsid w:val="00D94E82"/>
    <w:rsid w:val="00D94FEA"/>
    <w:rsid w:val="00D95AA6"/>
    <w:rsid w:val="00D95C30"/>
    <w:rsid w:val="00D96208"/>
    <w:rsid w:val="00D96A8B"/>
    <w:rsid w:val="00D96C72"/>
    <w:rsid w:val="00D970B3"/>
    <w:rsid w:val="00D97DE0"/>
    <w:rsid w:val="00DA0947"/>
    <w:rsid w:val="00DA0B82"/>
    <w:rsid w:val="00DA0EB5"/>
    <w:rsid w:val="00DA121E"/>
    <w:rsid w:val="00DA1BB0"/>
    <w:rsid w:val="00DA1FE3"/>
    <w:rsid w:val="00DA2356"/>
    <w:rsid w:val="00DA2546"/>
    <w:rsid w:val="00DA26A2"/>
    <w:rsid w:val="00DA2B9C"/>
    <w:rsid w:val="00DA3099"/>
    <w:rsid w:val="00DA3127"/>
    <w:rsid w:val="00DA3202"/>
    <w:rsid w:val="00DA353E"/>
    <w:rsid w:val="00DA35DF"/>
    <w:rsid w:val="00DA4061"/>
    <w:rsid w:val="00DA42D7"/>
    <w:rsid w:val="00DA46BD"/>
    <w:rsid w:val="00DA47CE"/>
    <w:rsid w:val="00DA4AAA"/>
    <w:rsid w:val="00DA4ACA"/>
    <w:rsid w:val="00DA52C1"/>
    <w:rsid w:val="00DA548D"/>
    <w:rsid w:val="00DA54F0"/>
    <w:rsid w:val="00DA6458"/>
    <w:rsid w:val="00DA6AEB"/>
    <w:rsid w:val="00DA7A6C"/>
    <w:rsid w:val="00DA7D19"/>
    <w:rsid w:val="00DB0741"/>
    <w:rsid w:val="00DB10AE"/>
    <w:rsid w:val="00DB15F9"/>
    <w:rsid w:val="00DB1A68"/>
    <w:rsid w:val="00DB1FF7"/>
    <w:rsid w:val="00DB27AA"/>
    <w:rsid w:val="00DB3378"/>
    <w:rsid w:val="00DB37E8"/>
    <w:rsid w:val="00DB3A01"/>
    <w:rsid w:val="00DB42DA"/>
    <w:rsid w:val="00DB501D"/>
    <w:rsid w:val="00DB53E7"/>
    <w:rsid w:val="00DB54AA"/>
    <w:rsid w:val="00DB566D"/>
    <w:rsid w:val="00DB5DD7"/>
    <w:rsid w:val="00DB5F8B"/>
    <w:rsid w:val="00DB6082"/>
    <w:rsid w:val="00DB6143"/>
    <w:rsid w:val="00DB6A01"/>
    <w:rsid w:val="00DB6A1F"/>
    <w:rsid w:val="00DB6A6C"/>
    <w:rsid w:val="00DB766B"/>
    <w:rsid w:val="00DB7A51"/>
    <w:rsid w:val="00DB7C51"/>
    <w:rsid w:val="00DB7D3A"/>
    <w:rsid w:val="00DC06A1"/>
    <w:rsid w:val="00DC0F01"/>
    <w:rsid w:val="00DC18A8"/>
    <w:rsid w:val="00DC22A8"/>
    <w:rsid w:val="00DC22F8"/>
    <w:rsid w:val="00DC2991"/>
    <w:rsid w:val="00DC2A84"/>
    <w:rsid w:val="00DC2BBF"/>
    <w:rsid w:val="00DC3198"/>
    <w:rsid w:val="00DC492C"/>
    <w:rsid w:val="00DC49D5"/>
    <w:rsid w:val="00DC4B76"/>
    <w:rsid w:val="00DC5BD4"/>
    <w:rsid w:val="00DC6098"/>
    <w:rsid w:val="00DC6481"/>
    <w:rsid w:val="00DC65AC"/>
    <w:rsid w:val="00DC6608"/>
    <w:rsid w:val="00DC78D5"/>
    <w:rsid w:val="00DC7971"/>
    <w:rsid w:val="00DD0272"/>
    <w:rsid w:val="00DD032A"/>
    <w:rsid w:val="00DD0D3D"/>
    <w:rsid w:val="00DD16DF"/>
    <w:rsid w:val="00DD18E2"/>
    <w:rsid w:val="00DD1CF9"/>
    <w:rsid w:val="00DD1DEC"/>
    <w:rsid w:val="00DD1E45"/>
    <w:rsid w:val="00DD2271"/>
    <w:rsid w:val="00DD26A8"/>
    <w:rsid w:val="00DD35E7"/>
    <w:rsid w:val="00DD385B"/>
    <w:rsid w:val="00DD3E1A"/>
    <w:rsid w:val="00DD413E"/>
    <w:rsid w:val="00DD46E7"/>
    <w:rsid w:val="00DD507A"/>
    <w:rsid w:val="00DD5614"/>
    <w:rsid w:val="00DD5D3B"/>
    <w:rsid w:val="00DD6006"/>
    <w:rsid w:val="00DD609B"/>
    <w:rsid w:val="00DD6423"/>
    <w:rsid w:val="00DD65CD"/>
    <w:rsid w:val="00DD69ED"/>
    <w:rsid w:val="00DD6B90"/>
    <w:rsid w:val="00DD6E90"/>
    <w:rsid w:val="00DD7324"/>
    <w:rsid w:val="00DD75BB"/>
    <w:rsid w:val="00DD7670"/>
    <w:rsid w:val="00DE0203"/>
    <w:rsid w:val="00DE104E"/>
    <w:rsid w:val="00DE1224"/>
    <w:rsid w:val="00DE128B"/>
    <w:rsid w:val="00DE1292"/>
    <w:rsid w:val="00DE138F"/>
    <w:rsid w:val="00DE14E1"/>
    <w:rsid w:val="00DE15BB"/>
    <w:rsid w:val="00DE17EE"/>
    <w:rsid w:val="00DE1C4B"/>
    <w:rsid w:val="00DE1C59"/>
    <w:rsid w:val="00DE1E22"/>
    <w:rsid w:val="00DE2164"/>
    <w:rsid w:val="00DE276F"/>
    <w:rsid w:val="00DE2D9C"/>
    <w:rsid w:val="00DE2DA4"/>
    <w:rsid w:val="00DE37E0"/>
    <w:rsid w:val="00DE4264"/>
    <w:rsid w:val="00DE427D"/>
    <w:rsid w:val="00DE4436"/>
    <w:rsid w:val="00DE4547"/>
    <w:rsid w:val="00DE48CA"/>
    <w:rsid w:val="00DE5B78"/>
    <w:rsid w:val="00DE5C65"/>
    <w:rsid w:val="00DE5EB4"/>
    <w:rsid w:val="00DE5EDB"/>
    <w:rsid w:val="00DE6081"/>
    <w:rsid w:val="00DE6AF6"/>
    <w:rsid w:val="00DE6D1F"/>
    <w:rsid w:val="00DE6D63"/>
    <w:rsid w:val="00DE6E65"/>
    <w:rsid w:val="00DE70C2"/>
    <w:rsid w:val="00DE70CC"/>
    <w:rsid w:val="00DE71B8"/>
    <w:rsid w:val="00DE76D0"/>
    <w:rsid w:val="00DF02FE"/>
    <w:rsid w:val="00DF0C94"/>
    <w:rsid w:val="00DF0CB2"/>
    <w:rsid w:val="00DF1811"/>
    <w:rsid w:val="00DF1D24"/>
    <w:rsid w:val="00DF1E08"/>
    <w:rsid w:val="00DF2387"/>
    <w:rsid w:val="00DF2829"/>
    <w:rsid w:val="00DF2942"/>
    <w:rsid w:val="00DF2DF8"/>
    <w:rsid w:val="00DF3019"/>
    <w:rsid w:val="00DF3089"/>
    <w:rsid w:val="00DF32C5"/>
    <w:rsid w:val="00DF338D"/>
    <w:rsid w:val="00DF39C0"/>
    <w:rsid w:val="00DF47BC"/>
    <w:rsid w:val="00DF4C55"/>
    <w:rsid w:val="00DF4CF3"/>
    <w:rsid w:val="00DF5551"/>
    <w:rsid w:val="00DF5718"/>
    <w:rsid w:val="00DF5EC4"/>
    <w:rsid w:val="00DF5EC5"/>
    <w:rsid w:val="00DF6060"/>
    <w:rsid w:val="00DF64BF"/>
    <w:rsid w:val="00DF69CA"/>
    <w:rsid w:val="00DF6B75"/>
    <w:rsid w:val="00DF6CE6"/>
    <w:rsid w:val="00DF7483"/>
    <w:rsid w:val="00DF76E1"/>
    <w:rsid w:val="00E00517"/>
    <w:rsid w:val="00E01054"/>
    <w:rsid w:val="00E015CD"/>
    <w:rsid w:val="00E0179D"/>
    <w:rsid w:val="00E01EDD"/>
    <w:rsid w:val="00E02994"/>
    <w:rsid w:val="00E02A40"/>
    <w:rsid w:val="00E031F5"/>
    <w:rsid w:val="00E0414A"/>
    <w:rsid w:val="00E0433F"/>
    <w:rsid w:val="00E04824"/>
    <w:rsid w:val="00E04C68"/>
    <w:rsid w:val="00E05464"/>
    <w:rsid w:val="00E05BCF"/>
    <w:rsid w:val="00E05C96"/>
    <w:rsid w:val="00E0644F"/>
    <w:rsid w:val="00E0694C"/>
    <w:rsid w:val="00E06EE5"/>
    <w:rsid w:val="00E07277"/>
    <w:rsid w:val="00E07DA8"/>
    <w:rsid w:val="00E108F2"/>
    <w:rsid w:val="00E10E7E"/>
    <w:rsid w:val="00E114A5"/>
    <w:rsid w:val="00E1150D"/>
    <w:rsid w:val="00E116BC"/>
    <w:rsid w:val="00E11847"/>
    <w:rsid w:val="00E11AC0"/>
    <w:rsid w:val="00E11C96"/>
    <w:rsid w:val="00E1204F"/>
    <w:rsid w:val="00E1292D"/>
    <w:rsid w:val="00E12B25"/>
    <w:rsid w:val="00E12D82"/>
    <w:rsid w:val="00E12E06"/>
    <w:rsid w:val="00E138FB"/>
    <w:rsid w:val="00E13BA8"/>
    <w:rsid w:val="00E13E76"/>
    <w:rsid w:val="00E13F2A"/>
    <w:rsid w:val="00E14418"/>
    <w:rsid w:val="00E14597"/>
    <w:rsid w:val="00E1487A"/>
    <w:rsid w:val="00E1493E"/>
    <w:rsid w:val="00E14B3A"/>
    <w:rsid w:val="00E152C4"/>
    <w:rsid w:val="00E15562"/>
    <w:rsid w:val="00E15ADE"/>
    <w:rsid w:val="00E16202"/>
    <w:rsid w:val="00E168FC"/>
    <w:rsid w:val="00E16A6B"/>
    <w:rsid w:val="00E16AD5"/>
    <w:rsid w:val="00E17480"/>
    <w:rsid w:val="00E17761"/>
    <w:rsid w:val="00E17D7F"/>
    <w:rsid w:val="00E17E97"/>
    <w:rsid w:val="00E201A0"/>
    <w:rsid w:val="00E208A0"/>
    <w:rsid w:val="00E20A00"/>
    <w:rsid w:val="00E20C85"/>
    <w:rsid w:val="00E20DFD"/>
    <w:rsid w:val="00E214F6"/>
    <w:rsid w:val="00E218C4"/>
    <w:rsid w:val="00E219C6"/>
    <w:rsid w:val="00E21E64"/>
    <w:rsid w:val="00E22116"/>
    <w:rsid w:val="00E222C7"/>
    <w:rsid w:val="00E22717"/>
    <w:rsid w:val="00E22908"/>
    <w:rsid w:val="00E22A5E"/>
    <w:rsid w:val="00E22CD5"/>
    <w:rsid w:val="00E22D74"/>
    <w:rsid w:val="00E22F95"/>
    <w:rsid w:val="00E2305F"/>
    <w:rsid w:val="00E2315E"/>
    <w:rsid w:val="00E23233"/>
    <w:rsid w:val="00E23306"/>
    <w:rsid w:val="00E23313"/>
    <w:rsid w:val="00E23AA3"/>
    <w:rsid w:val="00E244A4"/>
    <w:rsid w:val="00E24B49"/>
    <w:rsid w:val="00E2594B"/>
    <w:rsid w:val="00E25E04"/>
    <w:rsid w:val="00E25F4B"/>
    <w:rsid w:val="00E26812"/>
    <w:rsid w:val="00E26AB1"/>
    <w:rsid w:val="00E26DF6"/>
    <w:rsid w:val="00E26F32"/>
    <w:rsid w:val="00E26F66"/>
    <w:rsid w:val="00E271B8"/>
    <w:rsid w:val="00E2723C"/>
    <w:rsid w:val="00E27770"/>
    <w:rsid w:val="00E278C5"/>
    <w:rsid w:val="00E27905"/>
    <w:rsid w:val="00E27FEF"/>
    <w:rsid w:val="00E30321"/>
    <w:rsid w:val="00E30A98"/>
    <w:rsid w:val="00E30B20"/>
    <w:rsid w:val="00E31067"/>
    <w:rsid w:val="00E31257"/>
    <w:rsid w:val="00E3142E"/>
    <w:rsid w:val="00E316B5"/>
    <w:rsid w:val="00E31B31"/>
    <w:rsid w:val="00E31DDA"/>
    <w:rsid w:val="00E31E6A"/>
    <w:rsid w:val="00E3210D"/>
    <w:rsid w:val="00E3231D"/>
    <w:rsid w:val="00E32773"/>
    <w:rsid w:val="00E328F9"/>
    <w:rsid w:val="00E3293F"/>
    <w:rsid w:val="00E32E7E"/>
    <w:rsid w:val="00E33A47"/>
    <w:rsid w:val="00E33AD3"/>
    <w:rsid w:val="00E34DEC"/>
    <w:rsid w:val="00E34F90"/>
    <w:rsid w:val="00E3516B"/>
    <w:rsid w:val="00E35D8B"/>
    <w:rsid w:val="00E36270"/>
    <w:rsid w:val="00E36624"/>
    <w:rsid w:val="00E3686F"/>
    <w:rsid w:val="00E36C05"/>
    <w:rsid w:val="00E375CD"/>
    <w:rsid w:val="00E3769E"/>
    <w:rsid w:val="00E37C4E"/>
    <w:rsid w:val="00E37DF4"/>
    <w:rsid w:val="00E37EB1"/>
    <w:rsid w:val="00E37FB5"/>
    <w:rsid w:val="00E4039E"/>
    <w:rsid w:val="00E40F7C"/>
    <w:rsid w:val="00E4128F"/>
    <w:rsid w:val="00E415B6"/>
    <w:rsid w:val="00E42099"/>
    <w:rsid w:val="00E42AFC"/>
    <w:rsid w:val="00E43232"/>
    <w:rsid w:val="00E43EB5"/>
    <w:rsid w:val="00E44D6F"/>
    <w:rsid w:val="00E45A22"/>
    <w:rsid w:val="00E45DF3"/>
    <w:rsid w:val="00E45FF4"/>
    <w:rsid w:val="00E46111"/>
    <w:rsid w:val="00E46B36"/>
    <w:rsid w:val="00E47D4D"/>
    <w:rsid w:val="00E50724"/>
    <w:rsid w:val="00E508A4"/>
    <w:rsid w:val="00E50A5D"/>
    <w:rsid w:val="00E50D92"/>
    <w:rsid w:val="00E51130"/>
    <w:rsid w:val="00E5198B"/>
    <w:rsid w:val="00E5231C"/>
    <w:rsid w:val="00E525E8"/>
    <w:rsid w:val="00E527BA"/>
    <w:rsid w:val="00E529ED"/>
    <w:rsid w:val="00E52BD0"/>
    <w:rsid w:val="00E53021"/>
    <w:rsid w:val="00E533A3"/>
    <w:rsid w:val="00E538D4"/>
    <w:rsid w:val="00E54A6A"/>
    <w:rsid w:val="00E55053"/>
    <w:rsid w:val="00E550B4"/>
    <w:rsid w:val="00E555DC"/>
    <w:rsid w:val="00E55645"/>
    <w:rsid w:val="00E5588A"/>
    <w:rsid w:val="00E55A5A"/>
    <w:rsid w:val="00E5671D"/>
    <w:rsid w:val="00E56B92"/>
    <w:rsid w:val="00E570C9"/>
    <w:rsid w:val="00E576D2"/>
    <w:rsid w:val="00E57BD0"/>
    <w:rsid w:val="00E6004C"/>
    <w:rsid w:val="00E60323"/>
    <w:rsid w:val="00E6069E"/>
    <w:rsid w:val="00E61E49"/>
    <w:rsid w:val="00E61F55"/>
    <w:rsid w:val="00E62465"/>
    <w:rsid w:val="00E624C9"/>
    <w:rsid w:val="00E62578"/>
    <w:rsid w:val="00E625C5"/>
    <w:rsid w:val="00E62718"/>
    <w:rsid w:val="00E62E3E"/>
    <w:rsid w:val="00E6344A"/>
    <w:rsid w:val="00E6390E"/>
    <w:rsid w:val="00E63930"/>
    <w:rsid w:val="00E64B56"/>
    <w:rsid w:val="00E64E68"/>
    <w:rsid w:val="00E65027"/>
    <w:rsid w:val="00E65029"/>
    <w:rsid w:val="00E6510D"/>
    <w:rsid w:val="00E65346"/>
    <w:rsid w:val="00E662C4"/>
    <w:rsid w:val="00E66BF3"/>
    <w:rsid w:val="00E66CF4"/>
    <w:rsid w:val="00E672A0"/>
    <w:rsid w:val="00E67305"/>
    <w:rsid w:val="00E6759F"/>
    <w:rsid w:val="00E67E91"/>
    <w:rsid w:val="00E67EF8"/>
    <w:rsid w:val="00E700AD"/>
    <w:rsid w:val="00E7022E"/>
    <w:rsid w:val="00E70638"/>
    <w:rsid w:val="00E70AD3"/>
    <w:rsid w:val="00E713D1"/>
    <w:rsid w:val="00E71405"/>
    <w:rsid w:val="00E714D2"/>
    <w:rsid w:val="00E7169B"/>
    <w:rsid w:val="00E719BB"/>
    <w:rsid w:val="00E72061"/>
    <w:rsid w:val="00E720ED"/>
    <w:rsid w:val="00E730A4"/>
    <w:rsid w:val="00E73308"/>
    <w:rsid w:val="00E740B8"/>
    <w:rsid w:val="00E744AB"/>
    <w:rsid w:val="00E7451F"/>
    <w:rsid w:val="00E74A41"/>
    <w:rsid w:val="00E75406"/>
    <w:rsid w:val="00E7571D"/>
    <w:rsid w:val="00E76246"/>
    <w:rsid w:val="00E7731D"/>
    <w:rsid w:val="00E775FA"/>
    <w:rsid w:val="00E77F10"/>
    <w:rsid w:val="00E80474"/>
    <w:rsid w:val="00E80475"/>
    <w:rsid w:val="00E804F7"/>
    <w:rsid w:val="00E80FE3"/>
    <w:rsid w:val="00E8115C"/>
    <w:rsid w:val="00E811FF"/>
    <w:rsid w:val="00E81271"/>
    <w:rsid w:val="00E81CE1"/>
    <w:rsid w:val="00E81F45"/>
    <w:rsid w:val="00E820E3"/>
    <w:rsid w:val="00E82647"/>
    <w:rsid w:val="00E84011"/>
    <w:rsid w:val="00E846FC"/>
    <w:rsid w:val="00E8484A"/>
    <w:rsid w:val="00E84F79"/>
    <w:rsid w:val="00E85127"/>
    <w:rsid w:val="00E85322"/>
    <w:rsid w:val="00E856C2"/>
    <w:rsid w:val="00E858E8"/>
    <w:rsid w:val="00E85D32"/>
    <w:rsid w:val="00E85DBE"/>
    <w:rsid w:val="00E85E3A"/>
    <w:rsid w:val="00E868B5"/>
    <w:rsid w:val="00E86E03"/>
    <w:rsid w:val="00E8731E"/>
    <w:rsid w:val="00E9020E"/>
    <w:rsid w:val="00E90A17"/>
    <w:rsid w:val="00E90B4E"/>
    <w:rsid w:val="00E9135A"/>
    <w:rsid w:val="00E91A74"/>
    <w:rsid w:val="00E92059"/>
    <w:rsid w:val="00E92159"/>
    <w:rsid w:val="00E92350"/>
    <w:rsid w:val="00E924A8"/>
    <w:rsid w:val="00E92AA4"/>
    <w:rsid w:val="00E92C6D"/>
    <w:rsid w:val="00E932EA"/>
    <w:rsid w:val="00E933E8"/>
    <w:rsid w:val="00E939AB"/>
    <w:rsid w:val="00E94219"/>
    <w:rsid w:val="00E94B91"/>
    <w:rsid w:val="00E953D1"/>
    <w:rsid w:val="00E95563"/>
    <w:rsid w:val="00E95AEA"/>
    <w:rsid w:val="00E96218"/>
    <w:rsid w:val="00E96356"/>
    <w:rsid w:val="00E96361"/>
    <w:rsid w:val="00E96566"/>
    <w:rsid w:val="00E96BC9"/>
    <w:rsid w:val="00E96C1F"/>
    <w:rsid w:val="00E97286"/>
    <w:rsid w:val="00E9731A"/>
    <w:rsid w:val="00E97353"/>
    <w:rsid w:val="00E973F5"/>
    <w:rsid w:val="00E975EE"/>
    <w:rsid w:val="00E9769B"/>
    <w:rsid w:val="00E97902"/>
    <w:rsid w:val="00E979D8"/>
    <w:rsid w:val="00E97A8C"/>
    <w:rsid w:val="00E97E0D"/>
    <w:rsid w:val="00E97E1C"/>
    <w:rsid w:val="00E97EB7"/>
    <w:rsid w:val="00E97FF6"/>
    <w:rsid w:val="00EA016E"/>
    <w:rsid w:val="00EA01C2"/>
    <w:rsid w:val="00EA094C"/>
    <w:rsid w:val="00EA09DA"/>
    <w:rsid w:val="00EA0A09"/>
    <w:rsid w:val="00EA0C38"/>
    <w:rsid w:val="00EA0CDF"/>
    <w:rsid w:val="00EA1499"/>
    <w:rsid w:val="00EA158D"/>
    <w:rsid w:val="00EA1800"/>
    <w:rsid w:val="00EA1FC3"/>
    <w:rsid w:val="00EA2748"/>
    <w:rsid w:val="00EA27F9"/>
    <w:rsid w:val="00EA29F6"/>
    <w:rsid w:val="00EA2E9B"/>
    <w:rsid w:val="00EA3274"/>
    <w:rsid w:val="00EA3448"/>
    <w:rsid w:val="00EA3704"/>
    <w:rsid w:val="00EA37A0"/>
    <w:rsid w:val="00EA37ED"/>
    <w:rsid w:val="00EA3EE6"/>
    <w:rsid w:val="00EA4AD6"/>
    <w:rsid w:val="00EA51F7"/>
    <w:rsid w:val="00EA57C3"/>
    <w:rsid w:val="00EA63E2"/>
    <w:rsid w:val="00EA67B5"/>
    <w:rsid w:val="00EB0284"/>
    <w:rsid w:val="00EB06AE"/>
    <w:rsid w:val="00EB1133"/>
    <w:rsid w:val="00EB12D8"/>
    <w:rsid w:val="00EB19E4"/>
    <w:rsid w:val="00EB1B38"/>
    <w:rsid w:val="00EB1D01"/>
    <w:rsid w:val="00EB1E03"/>
    <w:rsid w:val="00EB2135"/>
    <w:rsid w:val="00EB232B"/>
    <w:rsid w:val="00EB30F2"/>
    <w:rsid w:val="00EB3240"/>
    <w:rsid w:val="00EB4793"/>
    <w:rsid w:val="00EB49A1"/>
    <w:rsid w:val="00EB5717"/>
    <w:rsid w:val="00EB59DC"/>
    <w:rsid w:val="00EB5D7D"/>
    <w:rsid w:val="00EB5E91"/>
    <w:rsid w:val="00EB6031"/>
    <w:rsid w:val="00EB761E"/>
    <w:rsid w:val="00EB76A2"/>
    <w:rsid w:val="00EB7851"/>
    <w:rsid w:val="00EB7DA1"/>
    <w:rsid w:val="00EC0092"/>
    <w:rsid w:val="00EC00BA"/>
    <w:rsid w:val="00EC0351"/>
    <w:rsid w:val="00EC06D4"/>
    <w:rsid w:val="00EC0719"/>
    <w:rsid w:val="00EC0774"/>
    <w:rsid w:val="00EC0ABF"/>
    <w:rsid w:val="00EC0E58"/>
    <w:rsid w:val="00EC1D46"/>
    <w:rsid w:val="00EC1E05"/>
    <w:rsid w:val="00EC1F04"/>
    <w:rsid w:val="00EC20AE"/>
    <w:rsid w:val="00EC2208"/>
    <w:rsid w:val="00EC25FF"/>
    <w:rsid w:val="00EC2797"/>
    <w:rsid w:val="00EC29DC"/>
    <w:rsid w:val="00EC2A9F"/>
    <w:rsid w:val="00EC2C7A"/>
    <w:rsid w:val="00EC3110"/>
    <w:rsid w:val="00EC3755"/>
    <w:rsid w:val="00EC3A37"/>
    <w:rsid w:val="00EC3ABF"/>
    <w:rsid w:val="00EC3CAA"/>
    <w:rsid w:val="00EC3DAF"/>
    <w:rsid w:val="00EC420F"/>
    <w:rsid w:val="00EC43A3"/>
    <w:rsid w:val="00EC4CDC"/>
    <w:rsid w:val="00EC4ED4"/>
    <w:rsid w:val="00EC5265"/>
    <w:rsid w:val="00EC5315"/>
    <w:rsid w:val="00EC53FD"/>
    <w:rsid w:val="00EC5A3C"/>
    <w:rsid w:val="00EC5B96"/>
    <w:rsid w:val="00EC5E75"/>
    <w:rsid w:val="00EC6596"/>
    <w:rsid w:val="00EC675D"/>
    <w:rsid w:val="00EC6A46"/>
    <w:rsid w:val="00EC6DBB"/>
    <w:rsid w:val="00EC7017"/>
    <w:rsid w:val="00EC70F4"/>
    <w:rsid w:val="00ED00DF"/>
    <w:rsid w:val="00ED020E"/>
    <w:rsid w:val="00ED02F5"/>
    <w:rsid w:val="00ED0332"/>
    <w:rsid w:val="00ED09E4"/>
    <w:rsid w:val="00ED0BF0"/>
    <w:rsid w:val="00ED1091"/>
    <w:rsid w:val="00ED148D"/>
    <w:rsid w:val="00ED17A0"/>
    <w:rsid w:val="00ED1A86"/>
    <w:rsid w:val="00ED1BCF"/>
    <w:rsid w:val="00ED1BEF"/>
    <w:rsid w:val="00ED1C02"/>
    <w:rsid w:val="00ED1DE9"/>
    <w:rsid w:val="00ED1E3B"/>
    <w:rsid w:val="00ED1E99"/>
    <w:rsid w:val="00ED2127"/>
    <w:rsid w:val="00ED2878"/>
    <w:rsid w:val="00ED2CDE"/>
    <w:rsid w:val="00ED2E23"/>
    <w:rsid w:val="00ED32FC"/>
    <w:rsid w:val="00ED3E6D"/>
    <w:rsid w:val="00ED52B2"/>
    <w:rsid w:val="00ED536B"/>
    <w:rsid w:val="00ED5851"/>
    <w:rsid w:val="00ED61D6"/>
    <w:rsid w:val="00ED637C"/>
    <w:rsid w:val="00ED648C"/>
    <w:rsid w:val="00ED6E47"/>
    <w:rsid w:val="00ED6FDE"/>
    <w:rsid w:val="00ED7D6A"/>
    <w:rsid w:val="00EE0546"/>
    <w:rsid w:val="00EE0587"/>
    <w:rsid w:val="00EE062D"/>
    <w:rsid w:val="00EE095C"/>
    <w:rsid w:val="00EE0C36"/>
    <w:rsid w:val="00EE15E0"/>
    <w:rsid w:val="00EE17E7"/>
    <w:rsid w:val="00EE192A"/>
    <w:rsid w:val="00EE1AEB"/>
    <w:rsid w:val="00EE1F55"/>
    <w:rsid w:val="00EE25B5"/>
    <w:rsid w:val="00EE2E3D"/>
    <w:rsid w:val="00EE2EE9"/>
    <w:rsid w:val="00EE35B9"/>
    <w:rsid w:val="00EE3822"/>
    <w:rsid w:val="00EE3A38"/>
    <w:rsid w:val="00EE3A3E"/>
    <w:rsid w:val="00EE3C22"/>
    <w:rsid w:val="00EE3D84"/>
    <w:rsid w:val="00EE44CD"/>
    <w:rsid w:val="00EE4624"/>
    <w:rsid w:val="00EE4DEA"/>
    <w:rsid w:val="00EE5A00"/>
    <w:rsid w:val="00EE5A75"/>
    <w:rsid w:val="00EE5D44"/>
    <w:rsid w:val="00EE5F21"/>
    <w:rsid w:val="00EE6056"/>
    <w:rsid w:val="00EE64DC"/>
    <w:rsid w:val="00EE6A82"/>
    <w:rsid w:val="00EE6BC5"/>
    <w:rsid w:val="00EE6F09"/>
    <w:rsid w:val="00EE70B9"/>
    <w:rsid w:val="00EE71DF"/>
    <w:rsid w:val="00EE73B0"/>
    <w:rsid w:val="00EE7C52"/>
    <w:rsid w:val="00EF1693"/>
    <w:rsid w:val="00EF1C77"/>
    <w:rsid w:val="00EF22DE"/>
    <w:rsid w:val="00EF245D"/>
    <w:rsid w:val="00EF3254"/>
    <w:rsid w:val="00EF3289"/>
    <w:rsid w:val="00EF3305"/>
    <w:rsid w:val="00EF3D09"/>
    <w:rsid w:val="00EF3F74"/>
    <w:rsid w:val="00EF3FD3"/>
    <w:rsid w:val="00EF4054"/>
    <w:rsid w:val="00EF4114"/>
    <w:rsid w:val="00EF422B"/>
    <w:rsid w:val="00EF43BE"/>
    <w:rsid w:val="00EF440E"/>
    <w:rsid w:val="00EF4673"/>
    <w:rsid w:val="00EF509D"/>
    <w:rsid w:val="00EF5602"/>
    <w:rsid w:val="00EF6299"/>
    <w:rsid w:val="00EF64FA"/>
    <w:rsid w:val="00EF688D"/>
    <w:rsid w:val="00EF6AC5"/>
    <w:rsid w:val="00EF6CFD"/>
    <w:rsid w:val="00EF76F0"/>
    <w:rsid w:val="00EF79F1"/>
    <w:rsid w:val="00EF7F3B"/>
    <w:rsid w:val="00F003C5"/>
    <w:rsid w:val="00F004E1"/>
    <w:rsid w:val="00F00A41"/>
    <w:rsid w:val="00F00D34"/>
    <w:rsid w:val="00F012F7"/>
    <w:rsid w:val="00F016B1"/>
    <w:rsid w:val="00F016B4"/>
    <w:rsid w:val="00F01AC8"/>
    <w:rsid w:val="00F01B41"/>
    <w:rsid w:val="00F01D74"/>
    <w:rsid w:val="00F01D96"/>
    <w:rsid w:val="00F01F1C"/>
    <w:rsid w:val="00F02DC3"/>
    <w:rsid w:val="00F03BF2"/>
    <w:rsid w:val="00F04154"/>
    <w:rsid w:val="00F041B1"/>
    <w:rsid w:val="00F04279"/>
    <w:rsid w:val="00F05A4B"/>
    <w:rsid w:val="00F05F42"/>
    <w:rsid w:val="00F06166"/>
    <w:rsid w:val="00F061CF"/>
    <w:rsid w:val="00F06673"/>
    <w:rsid w:val="00F06954"/>
    <w:rsid w:val="00F06A1D"/>
    <w:rsid w:val="00F070D4"/>
    <w:rsid w:val="00F07370"/>
    <w:rsid w:val="00F07664"/>
    <w:rsid w:val="00F07C5A"/>
    <w:rsid w:val="00F106AD"/>
    <w:rsid w:val="00F10A97"/>
    <w:rsid w:val="00F10AB7"/>
    <w:rsid w:val="00F10DE5"/>
    <w:rsid w:val="00F11016"/>
    <w:rsid w:val="00F11BE8"/>
    <w:rsid w:val="00F11F97"/>
    <w:rsid w:val="00F126BA"/>
    <w:rsid w:val="00F12A67"/>
    <w:rsid w:val="00F1314B"/>
    <w:rsid w:val="00F13212"/>
    <w:rsid w:val="00F1377C"/>
    <w:rsid w:val="00F13971"/>
    <w:rsid w:val="00F13C72"/>
    <w:rsid w:val="00F14420"/>
    <w:rsid w:val="00F1473A"/>
    <w:rsid w:val="00F14F20"/>
    <w:rsid w:val="00F150A1"/>
    <w:rsid w:val="00F15107"/>
    <w:rsid w:val="00F15128"/>
    <w:rsid w:val="00F15259"/>
    <w:rsid w:val="00F153B0"/>
    <w:rsid w:val="00F1600E"/>
    <w:rsid w:val="00F1624C"/>
    <w:rsid w:val="00F1647B"/>
    <w:rsid w:val="00F16C65"/>
    <w:rsid w:val="00F16CB1"/>
    <w:rsid w:val="00F16ED8"/>
    <w:rsid w:val="00F1750E"/>
    <w:rsid w:val="00F175DE"/>
    <w:rsid w:val="00F17E38"/>
    <w:rsid w:val="00F2017F"/>
    <w:rsid w:val="00F2027A"/>
    <w:rsid w:val="00F2064C"/>
    <w:rsid w:val="00F20B5B"/>
    <w:rsid w:val="00F212CB"/>
    <w:rsid w:val="00F2148D"/>
    <w:rsid w:val="00F214EA"/>
    <w:rsid w:val="00F21948"/>
    <w:rsid w:val="00F219C9"/>
    <w:rsid w:val="00F21CFC"/>
    <w:rsid w:val="00F22353"/>
    <w:rsid w:val="00F229C9"/>
    <w:rsid w:val="00F23328"/>
    <w:rsid w:val="00F23377"/>
    <w:rsid w:val="00F2337A"/>
    <w:rsid w:val="00F23435"/>
    <w:rsid w:val="00F2343A"/>
    <w:rsid w:val="00F24320"/>
    <w:rsid w:val="00F24382"/>
    <w:rsid w:val="00F243D1"/>
    <w:rsid w:val="00F25120"/>
    <w:rsid w:val="00F253E4"/>
    <w:rsid w:val="00F256CA"/>
    <w:rsid w:val="00F2596F"/>
    <w:rsid w:val="00F26005"/>
    <w:rsid w:val="00F2617C"/>
    <w:rsid w:val="00F26CA5"/>
    <w:rsid w:val="00F26D7D"/>
    <w:rsid w:val="00F275E3"/>
    <w:rsid w:val="00F27E31"/>
    <w:rsid w:val="00F301B7"/>
    <w:rsid w:val="00F30468"/>
    <w:rsid w:val="00F3051B"/>
    <w:rsid w:val="00F30577"/>
    <w:rsid w:val="00F30587"/>
    <w:rsid w:val="00F3142A"/>
    <w:rsid w:val="00F31716"/>
    <w:rsid w:val="00F317AC"/>
    <w:rsid w:val="00F32917"/>
    <w:rsid w:val="00F335C6"/>
    <w:rsid w:val="00F338D9"/>
    <w:rsid w:val="00F3400F"/>
    <w:rsid w:val="00F3414C"/>
    <w:rsid w:val="00F34593"/>
    <w:rsid w:val="00F34B23"/>
    <w:rsid w:val="00F34DCA"/>
    <w:rsid w:val="00F34F42"/>
    <w:rsid w:val="00F3516A"/>
    <w:rsid w:val="00F35AA7"/>
    <w:rsid w:val="00F36085"/>
    <w:rsid w:val="00F36B9C"/>
    <w:rsid w:val="00F36C44"/>
    <w:rsid w:val="00F37124"/>
    <w:rsid w:val="00F37131"/>
    <w:rsid w:val="00F373FC"/>
    <w:rsid w:val="00F3758E"/>
    <w:rsid w:val="00F37BDE"/>
    <w:rsid w:val="00F37ED3"/>
    <w:rsid w:val="00F4004D"/>
    <w:rsid w:val="00F40204"/>
    <w:rsid w:val="00F4044A"/>
    <w:rsid w:val="00F409F3"/>
    <w:rsid w:val="00F40C6F"/>
    <w:rsid w:val="00F40DB8"/>
    <w:rsid w:val="00F419CD"/>
    <w:rsid w:val="00F41ADE"/>
    <w:rsid w:val="00F41B52"/>
    <w:rsid w:val="00F41C9F"/>
    <w:rsid w:val="00F421A2"/>
    <w:rsid w:val="00F423E2"/>
    <w:rsid w:val="00F428AB"/>
    <w:rsid w:val="00F42FFD"/>
    <w:rsid w:val="00F43627"/>
    <w:rsid w:val="00F43FDD"/>
    <w:rsid w:val="00F44534"/>
    <w:rsid w:val="00F44599"/>
    <w:rsid w:val="00F4482C"/>
    <w:rsid w:val="00F459BB"/>
    <w:rsid w:val="00F45DFE"/>
    <w:rsid w:val="00F45F6A"/>
    <w:rsid w:val="00F4626D"/>
    <w:rsid w:val="00F46601"/>
    <w:rsid w:val="00F46670"/>
    <w:rsid w:val="00F46796"/>
    <w:rsid w:val="00F47F9F"/>
    <w:rsid w:val="00F506CA"/>
    <w:rsid w:val="00F50AF4"/>
    <w:rsid w:val="00F50B2C"/>
    <w:rsid w:val="00F50EC8"/>
    <w:rsid w:val="00F50ED5"/>
    <w:rsid w:val="00F5136A"/>
    <w:rsid w:val="00F5165A"/>
    <w:rsid w:val="00F51EE3"/>
    <w:rsid w:val="00F52520"/>
    <w:rsid w:val="00F5273D"/>
    <w:rsid w:val="00F52D72"/>
    <w:rsid w:val="00F52E1A"/>
    <w:rsid w:val="00F5313D"/>
    <w:rsid w:val="00F5324B"/>
    <w:rsid w:val="00F53325"/>
    <w:rsid w:val="00F537CD"/>
    <w:rsid w:val="00F5436C"/>
    <w:rsid w:val="00F5492A"/>
    <w:rsid w:val="00F54F5C"/>
    <w:rsid w:val="00F551DA"/>
    <w:rsid w:val="00F553BF"/>
    <w:rsid w:val="00F55838"/>
    <w:rsid w:val="00F55E65"/>
    <w:rsid w:val="00F5629F"/>
    <w:rsid w:val="00F563F8"/>
    <w:rsid w:val="00F56506"/>
    <w:rsid w:val="00F56DBC"/>
    <w:rsid w:val="00F57535"/>
    <w:rsid w:val="00F57621"/>
    <w:rsid w:val="00F5776D"/>
    <w:rsid w:val="00F60687"/>
    <w:rsid w:val="00F60859"/>
    <w:rsid w:val="00F6095B"/>
    <w:rsid w:val="00F60CFD"/>
    <w:rsid w:val="00F60E70"/>
    <w:rsid w:val="00F61056"/>
    <w:rsid w:val="00F61090"/>
    <w:rsid w:val="00F613E5"/>
    <w:rsid w:val="00F616FA"/>
    <w:rsid w:val="00F61857"/>
    <w:rsid w:val="00F619FB"/>
    <w:rsid w:val="00F62344"/>
    <w:rsid w:val="00F6277E"/>
    <w:rsid w:val="00F63110"/>
    <w:rsid w:val="00F63262"/>
    <w:rsid w:val="00F636C2"/>
    <w:rsid w:val="00F63921"/>
    <w:rsid w:val="00F639C3"/>
    <w:rsid w:val="00F63A33"/>
    <w:rsid w:val="00F63D97"/>
    <w:rsid w:val="00F64323"/>
    <w:rsid w:val="00F64647"/>
    <w:rsid w:val="00F64724"/>
    <w:rsid w:val="00F64A2C"/>
    <w:rsid w:val="00F64A44"/>
    <w:rsid w:val="00F65857"/>
    <w:rsid w:val="00F65B93"/>
    <w:rsid w:val="00F66281"/>
    <w:rsid w:val="00F6647E"/>
    <w:rsid w:val="00F66527"/>
    <w:rsid w:val="00F66844"/>
    <w:rsid w:val="00F66DD4"/>
    <w:rsid w:val="00F67069"/>
    <w:rsid w:val="00F67391"/>
    <w:rsid w:val="00F676CE"/>
    <w:rsid w:val="00F67903"/>
    <w:rsid w:val="00F6790D"/>
    <w:rsid w:val="00F67D0E"/>
    <w:rsid w:val="00F70164"/>
    <w:rsid w:val="00F708AF"/>
    <w:rsid w:val="00F70EBC"/>
    <w:rsid w:val="00F7132C"/>
    <w:rsid w:val="00F717B2"/>
    <w:rsid w:val="00F71838"/>
    <w:rsid w:val="00F723F7"/>
    <w:rsid w:val="00F72560"/>
    <w:rsid w:val="00F725DE"/>
    <w:rsid w:val="00F7276A"/>
    <w:rsid w:val="00F72B01"/>
    <w:rsid w:val="00F72CF4"/>
    <w:rsid w:val="00F72E24"/>
    <w:rsid w:val="00F72EBE"/>
    <w:rsid w:val="00F73800"/>
    <w:rsid w:val="00F73A26"/>
    <w:rsid w:val="00F73C34"/>
    <w:rsid w:val="00F73DB2"/>
    <w:rsid w:val="00F751E3"/>
    <w:rsid w:val="00F75CA9"/>
    <w:rsid w:val="00F75CC6"/>
    <w:rsid w:val="00F75D97"/>
    <w:rsid w:val="00F75FF2"/>
    <w:rsid w:val="00F7605B"/>
    <w:rsid w:val="00F76CDE"/>
    <w:rsid w:val="00F776C2"/>
    <w:rsid w:val="00F77A8C"/>
    <w:rsid w:val="00F77EF8"/>
    <w:rsid w:val="00F77F67"/>
    <w:rsid w:val="00F80295"/>
    <w:rsid w:val="00F80366"/>
    <w:rsid w:val="00F80634"/>
    <w:rsid w:val="00F80FEB"/>
    <w:rsid w:val="00F81555"/>
    <w:rsid w:val="00F81C76"/>
    <w:rsid w:val="00F82A1D"/>
    <w:rsid w:val="00F8302A"/>
    <w:rsid w:val="00F831E7"/>
    <w:rsid w:val="00F83856"/>
    <w:rsid w:val="00F83ACB"/>
    <w:rsid w:val="00F83DAE"/>
    <w:rsid w:val="00F84D6A"/>
    <w:rsid w:val="00F8565E"/>
    <w:rsid w:val="00F85A9F"/>
    <w:rsid w:val="00F8683E"/>
    <w:rsid w:val="00F86DF8"/>
    <w:rsid w:val="00F8731F"/>
    <w:rsid w:val="00F87C01"/>
    <w:rsid w:val="00F903FC"/>
    <w:rsid w:val="00F9055B"/>
    <w:rsid w:val="00F906A0"/>
    <w:rsid w:val="00F91B86"/>
    <w:rsid w:val="00F91F1E"/>
    <w:rsid w:val="00F923C0"/>
    <w:rsid w:val="00F9245C"/>
    <w:rsid w:val="00F928AD"/>
    <w:rsid w:val="00F92BC6"/>
    <w:rsid w:val="00F92BDA"/>
    <w:rsid w:val="00F932A2"/>
    <w:rsid w:val="00F936EC"/>
    <w:rsid w:val="00F93D79"/>
    <w:rsid w:val="00F94040"/>
    <w:rsid w:val="00F940BA"/>
    <w:rsid w:val="00F94397"/>
    <w:rsid w:val="00F95179"/>
    <w:rsid w:val="00F959CF"/>
    <w:rsid w:val="00F966E8"/>
    <w:rsid w:val="00F96A58"/>
    <w:rsid w:val="00F96F99"/>
    <w:rsid w:val="00F975F4"/>
    <w:rsid w:val="00F97890"/>
    <w:rsid w:val="00F97A4D"/>
    <w:rsid w:val="00FA176E"/>
    <w:rsid w:val="00FA2138"/>
    <w:rsid w:val="00FA221D"/>
    <w:rsid w:val="00FA25FD"/>
    <w:rsid w:val="00FA2749"/>
    <w:rsid w:val="00FA2D0D"/>
    <w:rsid w:val="00FA36A6"/>
    <w:rsid w:val="00FA3993"/>
    <w:rsid w:val="00FA3FB0"/>
    <w:rsid w:val="00FA4196"/>
    <w:rsid w:val="00FA4293"/>
    <w:rsid w:val="00FA4328"/>
    <w:rsid w:val="00FA449E"/>
    <w:rsid w:val="00FA4F75"/>
    <w:rsid w:val="00FA50B9"/>
    <w:rsid w:val="00FA51F4"/>
    <w:rsid w:val="00FA58F8"/>
    <w:rsid w:val="00FA5D99"/>
    <w:rsid w:val="00FA6D6F"/>
    <w:rsid w:val="00FA7195"/>
    <w:rsid w:val="00FA7832"/>
    <w:rsid w:val="00FA7B45"/>
    <w:rsid w:val="00FA7CB6"/>
    <w:rsid w:val="00FA7E62"/>
    <w:rsid w:val="00FB05FE"/>
    <w:rsid w:val="00FB1596"/>
    <w:rsid w:val="00FB16FD"/>
    <w:rsid w:val="00FB181D"/>
    <w:rsid w:val="00FB1982"/>
    <w:rsid w:val="00FB231D"/>
    <w:rsid w:val="00FB3404"/>
    <w:rsid w:val="00FB396C"/>
    <w:rsid w:val="00FB3BCB"/>
    <w:rsid w:val="00FB3FB1"/>
    <w:rsid w:val="00FB4115"/>
    <w:rsid w:val="00FB5690"/>
    <w:rsid w:val="00FB5752"/>
    <w:rsid w:val="00FB57A8"/>
    <w:rsid w:val="00FB5A6F"/>
    <w:rsid w:val="00FB5F68"/>
    <w:rsid w:val="00FB600B"/>
    <w:rsid w:val="00FB6244"/>
    <w:rsid w:val="00FB62F0"/>
    <w:rsid w:val="00FB638C"/>
    <w:rsid w:val="00FB6755"/>
    <w:rsid w:val="00FB6B11"/>
    <w:rsid w:val="00FB7AD9"/>
    <w:rsid w:val="00FB7CCB"/>
    <w:rsid w:val="00FC0642"/>
    <w:rsid w:val="00FC064D"/>
    <w:rsid w:val="00FC0807"/>
    <w:rsid w:val="00FC099D"/>
    <w:rsid w:val="00FC0CCD"/>
    <w:rsid w:val="00FC2250"/>
    <w:rsid w:val="00FC25DA"/>
    <w:rsid w:val="00FC2644"/>
    <w:rsid w:val="00FC2A26"/>
    <w:rsid w:val="00FC30EC"/>
    <w:rsid w:val="00FC32B5"/>
    <w:rsid w:val="00FC365D"/>
    <w:rsid w:val="00FC3672"/>
    <w:rsid w:val="00FC453D"/>
    <w:rsid w:val="00FC4A3C"/>
    <w:rsid w:val="00FC50C2"/>
    <w:rsid w:val="00FC52B4"/>
    <w:rsid w:val="00FC64C8"/>
    <w:rsid w:val="00FC664D"/>
    <w:rsid w:val="00FC714F"/>
    <w:rsid w:val="00FC71B2"/>
    <w:rsid w:val="00FC766A"/>
    <w:rsid w:val="00FC77C9"/>
    <w:rsid w:val="00FC79DA"/>
    <w:rsid w:val="00FC7FDB"/>
    <w:rsid w:val="00FD0014"/>
    <w:rsid w:val="00FD088B"/>
    <w:rsid w:val="00FD08F3"/>
    <w:rsid w:val="00FD0E3D"/>
    <w:rsid w:val="00FD0FDC"/>
    <w:rsid w:val="00FD1215"/>
    <w:rsid w:val="00FD21C6"/>
    <w:rsid w:val="00FD24F6"/>
    <w:rsid w:val="00FD2A90"/>
    <w:rsid w:val="00FD2B63"/>
    <w:rsid w:val="00FD3103"/>
    <w:rsid w:val="00FD31FF"/>
    <w:rsid w:val="00FD36E5"/>
    <w:rsid w:val="00FD38E9"/>
    <w:rsid w:val="00FD3A8B"/>
    <w:rsid w:val="00FD3BE2"/>
    <w:rsid w:val="00FD3C83"/>
    <w:rsid w:val="00FD496C"/>
    <w:rsid w:val="00FD4C88"/>
    <w:rsid w:val="00FD5110"/>
    <w:rsid w:val="00FD51BC"/>
    <w:rsid w:val="00FD51D8"/>
    <w:rsid w:val="00FD5DC2"/>
    <w:rsid w:val="00FD6388"/>
    <w:rsid w:val="00FD6496"/>
    <w:rsid w:val="00FD6B3B"/>
    <w:rsid w:val="00FD6ED4"/>
    <w:rsid w:val="00FD74BB"/>
    <w:rsid w:val="00FD795A"/>
    <w:rsid w:val="00FD7C1F"/>
    <w:rsid w:val="00FD7D7C"/>
    <w:rsid w:val="00FE07C6"/>
    <w:rsid w:val="00FE092E"/>
    <w:rsid w:val="00FE1300"/>
    <w:rsid w:val="00FE1716"/>
    <w:rsid w:val="00FE1CCD"/>
    <w:rsid w:val="00FE217A"/>
    <w:rsid w:val="00FE2280"/>
    <w:rsid w:val="00FE23B3"/>
    <w:rsid w:val="00FE247B"/>
    <w:rsid w:val="00FE273B"/>
    <w:rsid w:val="00FE27EA"/>
    <w:rsid w:val="00FE28BF"/>
    <w:rsid w:val="00FE2AF2"/>
    <w:rsid w:val="00FE36D0"/>
    <w:rsid w:val="00FE38D2"/>
    <w:rsid w:val="00FE3DC5"/>
    <w:rsid w:val="00FE4015"/>
    <w:rsid w:val="00FE4437"/>
    <w:rsid w:val="00FE4EB8"/>
    <w:rsid w:val="00FE57B7"/>
    <w:rsid w:val="00FE5A9F"/>
    <w:rsid w:val="00FE624E"/>
    <w:rsid w:val="00FF000A"/>
    <w:rsid w:val="00FF0080"/>
    <w:rsid w:val="00FF0320"/>
    <w:rsid w:val="00FF04DD"/>
    <w:rsid w:val="00FF0941"/>
    <w:rsid w:val="00FF0962"/>
    <w:rsid w:val="00FF0FC7"/>
    <w:rsid w:val="00FF18CB"/>
    <w:rsid w:val="00FF1B4A"/>
    <w:rsid w:val="00FF1BC7"/>
    <w:rsid w:val="00FF1C9F"/>
    <w:rsid w:val="00FF226F"/>
    <w:rsid w:val="00FF2332"/>
    <w:rsid w:val="00FF233B"/>
    <w:rsid w:val="00FF24A0"/>
    <w:rsid w:val="00FF2C5E"/>
    <w:rsid w:val="00FF3276"/>
    <w:rsid w:val="00FF35A8"/>
    <w:rsid w:val="00FF3BF1"/>
    <w:rsid w:val="00FF3CF0"/>
    <w:rsid w:val="00FF3FAD"/>
    <w:rsid w:val="00FF597A"/>
    <w:rsid w:val="00FF660A"/>
    <w:rsid w:val="00FF68A6"/>
    <w:rsid w:val="00FF6AA0"/>
    <w:rsid w:val="00FF6D03"/>
    <w:rsid w:val="00FF6E27"/>
    <w:rsid w:val="00FF7177"/>
    <w:rsid w:val="00FF72BC"/>
    <w:rsid w:val="00FF77A8"/>
    <w:rsid w:val="00FF7834"/>
    <w:rsid w:val="00FF7C82"/>
    <w:rsid w:val="00FF7FC4"/>
    <w:rsid w:val="010D1C15"/>
    <w:rsid w:val="0115FEE5"/>
    <w:rsid w:val="01266131"/>
    <w:rsid w:val="012B3677"/>
    <w:rsid w:val="013E5001"/>
    <w:rsid w:val="01557438"/>
    <w:rsid w:val="0156E686"/>
    <w:rsid w:val="01670392"/>
    <w:rsid w:val="016D27E8"/>
    <w:rsid w:val="017CC853"/>
    <w:rsid w:val="017D6115"/>
    <w:rsid w:val="01A35086"/>
    <w:rsid w:val="01A8C51E"/>
    <w:rsid w:val="01AEA5B8"/>
    <w:rsid w:val="01DFFBB7"/>
    <w:rsid w:val="01F002A8"/>
    <w:rsid w:val="020CA888"/>
    <w:rsid w:val="02524AB2"/>
    <w:rsid w:val="02D4369D"/>
    <w:rsid w:val="03A714D8"/>
    <w:rsid w:val="03D7A4F2"/>
    <w:rsid w:val="03F03235"/>
    <w:rsid w:val="03F0DE58"/>
    <w:rsid w:val="03FC0119"/>
    <w:rsid w:val="04824C91"/>
    <w:rsid w:val="04FFBC6B"/>
    <w:rsid w:val="055A7C4F"/>
    <w:rsid w:val="05811EA3"/>
    <w:rsid w:val="05818C74"/>
    <w:rsid w:val="0585A150"/>
    <w:rsid w:val="05A1F7EC"/>
    <w:rsid w:val="05E110CD"/>
    <w:rsid w:val="05F713EE"/>
    <w:rsid w:val="0679674F"/>
    <w:rsid w:val="0689A3B5"/>
    <w:rsid w:val="06A9BBD6"/>
    <w:rsid w:val="06AC47DF"/>
    <w:rsid w:val="06BADBBD"/>
    <w:rsid w:val="06E13406"/>
    <w:rsid w:val="06E374A3"/>
    <w:rsid w:val="071F4F1E"/>
    <w:rsid w:val="071F94BC"/>
    <w:rsid w:val="07595DF9"/>
    <w:rsid w:val="0776EDE5"/>
    <w:rsid w:val="077EB43C"/>
    <w:rsid w:val="07B5403F"/>
    <w:rsid w:val="07BF31B2"/>
    <w:rsid w:val="08254D90"/>
    <w:rsid w:val="08326DE6"/>
    <w:rsid w:val="0846BA93"/>
    <w:rsid w:val="0879A79C"/>
    <w:rsid w:val="08FEDD0A"/>
    <w:rsid w:val="094C49A8"/>
    <w:rsid w:val="0957A279"/>
    <w:rsid w:val="0958F0DD"/>
    <w:rsid w:val="095ECD29"/>
    <w:rsid w:val="096267A9"/>
    <w:rsid w:val="09AEFB0E"/>
    <w:rsid w:val="0A033A47"/>
    <w:rsid w:val="0A227317"/>
    <w:rsid w:val="0A599816"/>
    <w:rsid w:val="0A59E1EC"/>
    <w:rsid w:val="0A5BC43E"/>
    <w:rsid w:val="0A7504D1"/>
    <w:rsid w:val="0A8AFD5A"/>
    <w:rsid w:val="0B0919D9"/>
    <w:rsid w:val="0B5EEC9F"/>
    <w:rsid w:val="0B6BB891"/>
    <w:rsid w:val="0B7F0A3F"/>
    <w:rsid w:val="0BF8F274"/>
    <w:rsid w:val="0C0E3B12"/>
    <w:rsid w:val="0C3BDCB0"/>
    <w:rsid w:val="0C41CDD0"/>
    <w:rsid w:val="0C47BAF0"/>
    <w:rsid w:val="0C50DABA"/>
    <w:rsid w:val="0C5CEE6A"/>
    <w:rsid w:val="0C66F139"/>
    <w:rsid w:val="0C709A38"/>
    <w:rsid w:val="0C7D6B12"/>
    <w:rsid w:val="0C974E73"/>
    <w:rsid w:val="0C9A094B"/>
    <w:rsid w:val="0CBDE8D0"/>
    <w:rsid w:val="0CCB0F8B"/>
    <w:rsid w:val="0CF17DAB"/>
    <w:rsid w:val="0CFA4AAF"/>
    <w:rsid w:val="0D08028D"/>
    <w:rsid w:val="0D1F4281"/>
    <w:rsid w:val="0DE51B1D"/>
    <w:rsid w:val="0E2DA553"/>
    <w:rsid w:val="0E31E8BD"/>
    <w:rsid w:val="0E934FB5"/>
    <w:rsid w:val="0E9ED3FB"/>
    <w:rsid w:val="0ECCAB62"/>
    <w:rsid w:val="0EE55764"/>
    <w:rsid w:val="0EF0AF0D"/>
    <w:rsid w:val="0EF26D29"/>
    <w:rsid w:val="0F69AAB0"/>
    <w:rsid w:val="1026E6A2"/>
    <w:rsid w:val="1041F762"/>
    <w:rsid w:val="106E9A8D"/>
    <w:rsid w:val="10740E55"/>
    <w:rsid w:val="107EB4F4"/>
    <w:rsid w:val="1093CB7A"/>
    <w:rsid w:val="109B8349"/>
    <w:rsid w:val="10A5DE52"/>
    <w:rsid w:val="10BD3B45"/>
    <w:rsid w:val="11094612"/>
    <w:rsid w:val="11297151"/>
    <w:rsid w:val="112B75F8"/>
    <w:rsid w:val="113CA1BC"/>
    <w:rsid w:val="11F7276A"/>
    <w:rsid w:val="120C7DF7"/>
    <w:rsid w:val="1216584B"/>
    <w:rsid w:val="126297B7"/>
    <w:rsid w:val="12831F82"/>
    <w:rsid w:val="12886F9A"/>
    <w:rsid w:val="12D5B6B8"/>
    <w:rsid w:val="1373E5CA"/>
    <w:rsid w:val="137E1755"/>
    <w:rsid w:val="13FF2961"/>
    <w:rsid w:val="14149FC0"/>
    <w:rsid w:val="141ED300"/>
    <w:rsid w:val="144E6FB4"/>
    <w:rsid w:val="145DBFF2"/>
    <w:rsid w:val="149AEA8F"/>
    <w:rsid w:val="14B57675"/>
    <w:rsid w:val="14E01847"/>
    <w:rsid w:val="14F77158"/>
    <w:rsid w:val="156AEE98"/>
    <w:rsid w:val="15774C0A"/>
    <w:rsid w:val="15B76309"/>
    <w:rsid w:val="15DA1D9D"/>
    <w:rsid w:val="16005EE8"/>
    <w:rsid w:val="1645F3FC"/>
    <w:rsid w:val="16E49E0F"/>
    <w:rsid w:val="16FE971C"/>
    <w:rsid w:val="17276302"/>
    <w:rsid w:val="173B8E73"/>
    <w:rsid w:val="1761308F"/>
    <w:rsid w:val="17755C04"/>
    <w:rsid w:val="17A2B6C6"/>
    <w:rsid w:val="17E89C88"/>
    <w:rsid w:val="180F83FB"/>
    <w:rsid w:val="181A779F"/>
    <w:rsid w:val="1837A2C8"/>
    <w:rsid w:val="189A877A"/>
    <w:rsid w:val="18A0DCC3"/>
    <w:rsid w:val="18DE5D8F"/>
    <w:rsid w:val="19594944"/>
    <w:rsid w:val="19E6C889"/>
    <w:rsid w:val="1A17F651"/>
    <w:rsid w:val="1A6A2361"/>
    <w:rsid w:val="1AB23AB5"/>
    <w:rsid w:val="1B2BD0B6"/>
    <w:rsid w:val="1B2F470C"/>
    <w:rsid w:val="1BB47D15"/>
    <w:rsid w:val="1BCDD827"/>
    <w:rsid w:val="1C62A6B4"/>
    <w:rsid w:val="1C8AD6EF"/>
    <w:rsid w:val="1CAFB8B4"/>
    <w:rsid w:val="1CCCACEA"/>
    <w:rsid w:val="1CD36151"/>
    <w:rsid w:val="1CF39593"/>
    <w:rsid w:val="1D01BBE8"/>
    <w:rsid w:val="1D8BB34D"/>
    <w:rsid w:val="1DB2B3F4"/>
    <w:rsid w:val="1DDA8962"/>
    <w:rsid w:val="1DFA117C"/>
    <w:rsid w:val="1E4531F8"/>
    <w:rsid w:val="1E921867"/>
    <w:rsid w:val="1EA8AA84"/>
    <w:rsid w:val="1F5E08AA"/>
    <w:rsid w:val="1FB035E9"/>
    <w:rsid w:val="1FDACE00"/>
    <w:rsid w:val="20274149"/>
    <w:rsid w:val="20DE8134"/>
    <w:rsid w:val="20E424FD"/>
    <w:rsid w:val="20EC2015"/>
    <w:rsid w:val="20ED11CC"/>
    <w:rsid w:val="21184963"/>
    <w:rsid w:val="214A26D7"/>
    <w:rsid w:val="21657E07"/>
    <w:rsid w:val="2171B395"/>
    <w:rsid w:val="21A207E0"/>
    <w:rsid w:val="21A26790"/>
    <w:rsid w:val="21A48C78"/>
    <w:rsid w:val="21B2296C"/>
    <w:rsid w:val="21C68B29"/>
    <w:rsid w:val="222D7633"/>
    <w:rsid w:val="2253DBD3"/>
    <w:rsid w:val="2255275A"/>
    <w:rsid w:val="226D50EE"/>
    <w:rsid w:val="228A99C1"/>
    <w:rsid w:val="22F8B246"/>
    <w:rsid w:val="23269E6F"/>
    <w:rsid w:val="23411BFC"/>
    <w:rsid w:val="238BE4D4"/>
    <w:rsid w:val="24253342"/>
    <w:rsid w:val="24488424"/>
    <w:rsid w:val="24644899"/>
    <w:rsid w:val="2468309A"/>
    <w:rsid w:val="246B5C13"/>
    <w:rsid w:val="256707EB"/>
    <w:rsid w:val="25696B57"/>
    <w:rsid w:val="25719E6A"/>
    <w:rsid w:val="25B3B46B"/>
    <w:rsid w:val="25F20169"/>
    <w:rsid w:val="267CE294"/>
    <w:rsid w:val="26905534"/>
    <w:rsid w:val="27116AA4"/>
    <w:rsid w:val="277F5511"/>
    <w:rsid w:val="27845581"/>
    <w:rsid w:val="27A84954"/>
    <w:rsid w:val="27A89413"/>
    <w:rsid w:val="27F5DB67"/>
    <w:rsid w:val="280C701E"/>
    <w:rsid w:val="284FD739"/>
    <w:rsid w:val="297EF910"/>
    <w:rsid w:val="29808447"/>
    <w:rsid w:val="2983ADAD"/>
    <w:rsid w:val="29894138"/>
    <w:rsid w:val="29BD8E1D"/>
    <w:rsid w:val="29C46030"/>
    <w:rsid w:val="2A716525"/>
    <w:rsid w:val="2B6525EC"/>
    <w:rsid w:val="2B83867E"/>
    <w:rsid w:val="2C2D767D"/>
    <w:rsid w:val="2C3A3308"/>
    <w:rsid w:val="2C6ACE40"/>
    <w:rsid w:val="2C823949"/>
    <w:rsid w:val="2CCB7A8F"/>
    <w:rsid w:val="2CD43BFC"/>
    <w:rsid w:val="2D617265"/>
    <w:rsid w:val="2D6550F5"/>
    <w:rsid w:val="2D709B2D"/>
    <w:rsid w:val="2DAC6241"/>
    <w:rsid w:val="2DC44938"/>
    <w:rsid w:val="2DD7D007"/>
    <w:rsid w:val="2E2C50CB"/>
    <w:rsid w:val="2E4D3FA5"/>
    <w:rsid w:val="2EB59929"/>
    <w:rsid w:val="2ED55BE8"/>
    <w:rsid w:val="2F424D0D"/>
    <w:rsid w:val="2F5E6705"/>
    <w:rsid w:val="2F730D25"/>
    <w:rsid w:val="2F861968"/>
    <w:rsid w:val="2F911FD5"/>
    <w:rsid w:val="2F983498"/>
    <w:rsid w:val="303EB517"/>
    <w:rsid w:val="306F84D8"/>
    <w:rsid w:val="309AC214"/>
    <w:rsid w:val="30D46E98"/>
    <w:rsid w:val="30E9381A"/>
    <w:rsid w:val="313E9C44"/>
    <w:rsid w:val="315E9E71"/>
    <w:rsid w:val="317BE3B4"/>
    <w:rsid w:val="317D9179"/>
    <w:rsid w:val="31A7925D"/>
    <w:rsid w:val="31AE9810"/>
    <w:rsid w:val="31DF9CB2"/>
    <w:rsid w:val="31F39857"/>
    <w:rsid w:val="32037425"/>
    <w:rsid w:val="3205885E"/>
    <w:rsid w:val="32524CC7"/>
    <w:rsid w:val="326FD377"/>
    <w:rsid w:val="32722C5A"/>
    <w:rsid w:val="3294604D"/>
    <w:rsid w:val="32A5BC61"/>
    <w:rsid w:val="32F929A9"/>
    <w:rsid w:val="32FDFB45"/>
    <w:rsid w:val="3331E20C"/>
    <w:rsid w:val="3377AB17"/>
    <w:rsid w:val="339E8CF5"/>
    <w:rsid w:val="33B4030B"/>
    <w:rsid w:val="33B689B6"/>
    <w:rsid w:val="3404EBE6"/>
    <w:rsid w:val="340EDFFD"/>
    <w:rsid w:val="3422DB05"/>
    <w:rsid w:val="34280840"/>
    <w:rsid w:val="34669A09"/>
    <w:rsid w:val="346D1A58"/>
    <w:rsid w:val="35100BA9"/>
    <w:rsid w:val="352F8C37"/>
    <w:rsid w:val="35D373A5"/>
    <w:rsid w:val="35DD7282"/>
    <w:rsid w:val="35F7EC3A"/>
    <w:rsid w:val="3611062D"/>
    <w:rsid w:val="36427F18"/>
    <w:rsid w:val="3657A3C1"/>
    <w:rsid w:val="3670F779"/>
    <w:rsid w:val="36737B9C"/>
    <w:rsid w:val="36A3CE89"/>
    <w:rsid w:val="3747D7F1"/>
    <w:rsid w:val="3749C649"/>
    <w:rsid w:val="374DAADE"/>
    <w:rsid w:val="3796C299"/>
    <w:rsid w:val="37E2C912"/>
    <w:rsid w:val="37F254C5"/>
    <w:rsid w:val="38159C37"/>
    <w:rsid w:val="388F8EFC"/>
    <w:rsid w:val="38908A37"/>
    <w:rsid w:val="38A24C7C"/>
    <w:rsid w:val="38EE0ADB"/>
    <w:rsid w:val="38FD6696"/>
    <w:rsid w:val="38FFDD54"/>
    <w:rsid w:val="392D23C2"/>
    <w:rsid w:val="3934F5DC"/>
    <w:rsid w:val="3957BCA6"/>
    <w:rsid w:val="398BB78F"/>
    <w:rsid w:val="39A34EC7"/>
    <w:rsid w:val="39CCFA6D"/>
    <w:rsid w:val="39FE95D7"/>
    <w:rsid w:val="3A1DC90A"/>
    <w:rsid w:val="3A68CF5B"/>
    <w:rsid w:val="3AD84618"/>
    <w:rsid w:val="3B557AF3"/>
    <w:rsid w:val="3BCDC84D"/>
    <w:rsid w:val="3BE0FAF0"/>
    <w:rsid w:val="3C2E3444"/>
    <w:rsid w:val="3C646C9B"/>
    <w:rsid w:val="3C664DEA"/>
    <w:rsid w:val="3C99E0A6"/>
    <w:rsid w:val="3CA7A252"/>
    <w:rsid w:val="3D5181E5"/>
    <w:rsid w:val="3D5F5727"/>
    <w:rsid w:val="3D95F956"/>
    <w:rsid w:val="3DBB0828"/>
    <w:rsid w:val="3DF2E382"/>
    <w:rsid w:val="3E499810"/>
    <w:rsid w:val="3E61B256"/>
    <w:rsid w:val="3E88F940"/>
    <w:rsid w:val="3F19E858"/>
    <w:rsid w:val="3F30984B"/>
    <w:rsid w:val="3F3E99A3"/>
    <w:rsid w:val="3FDA77AE"/>
    <w:rsid w:val="3FF73DD3"/>
    <w:rsid w:val="4034421A"/>
    <w:rsid w:val="406A6E67"/>
    <w:rsid w:val="4081700D"/>
    <w:rsid w:val="40902DE0"/>
    <w:rsid w:val="40BF9C7A"/>
    <w:rsid w:val="40C7542A"/>
    <w:rsid w:val="40F3C596"/>
    <w:rsid w:val="4105DFA8"/>
    <w:rsid w:val="4114A911"/>
    <w:rsid w:val="4136AE41"/>
    <w:rsid w:val="416C947C"/>
    <w:rsid w:val="4171E3E7"/>
    <w:rsid w:val="419F3287"/>
    <w:rsid w:val="421498EB"/>
    <w:rsid w:val="4275285C"/>
    <w:rsid w:val="42A22C6F"/>
    <w:rsid w:val="42B1D9A6"/>
    <w:rsid w:val="43073C27"/>
    <w:rsid w:val="4316E339"/>
    <w:rsid w:val="436622F6"/>
    <w:rsid w:val="4380C490"/>
    <w:rsid w:val="439BFF2C"/>
    <w:rsid w:val="43B065F1"/>
    <w:rsid w:val="43B0A475"/>
    <w:rsid w:val="441AA971"/>
    <w:rsid w:val="44B36D1B"/>
    <w:rsid w:val="44C90DF7"/>
    <w:rsid w:val="44E962C8"/>
    <w:rsid w:val="451C8209"/>
    <w:rsid w:val="456F7B42"/>
    <w:rsid w:val="45A7E223"/>
    <w:rsid w:val="45CE9F01"/>
    <w:rsid w:val="460E81C7"/>
    <w:rsid w:val="464FB7F6"/>
    <w:rsid w:val="466C452F"/>
    <w:rsid w:val="467465EB"/>
    <w:rsid w:val="46BBFDA6"/>
    <w:rsid w:val="472205A9"/>
    <w:rsid w:val="4744B112"/>
    <w:rsid w:val="4752B5DE"/>
    <w:rsid w:val="4766DB0D"/>
    <w:rsid w:val="4784EEA8"/>
    <w:rsid w:val="4789F3BA"/>
    <w:rsid w:val="47F204EC"/>
    <w:rsid w:val="4806E951"/>
    <w:rsid w:val="487761D2"/>
    <w:rsid w:val="4881B347"/>
    <w:rsid w:val="48D03653"/>
    <w:rsid w:val="49584ADF"/>
    <w:rsid w:val="497BAB87"/>
    <w:rsid w:val="49B5BAE8"/>
    <w:rsid w:val="49D007EF"/>
    <w:rsid w:val="49D0A208"/>
    <w:rsid w:val="49E1F3CD"/>
    <w:rsid w:val="49F65509"/>
    <w:rsid w:val="4A164E1E"/>
    <w:rsid w:val="4A4121A5"/>
    <w:rsid w:val="4AD65448"/>
    <w:rsid w:val="4B31BCC9"/>
    <w:rsid w:val="4B548C86"/>
    <w:rsid w:val="4B993D25"/>
    <w:rsid w:val="4BECAE04"/>
    <w:rsid w:val="4BED4337"/>
    <w:rsid w:val="4BF72246"/>
    <w:rsid w:val="4C06D48C"/>
    <w:rsid w:val="4C588EB4"/>
    <w:rsid w:val="4CB12E01"/>
    <w:rsid w:val="4CD059D7"/>
    <w:rsid w:val="4CE0F57C"/>
    <w:rsid w:val="4CED62F3"/>
    <w:rsid w:val="4D46F5B5"/>
    <w:rsid w:val="4D554ABD"/>
    <w:rsid w:val="4D93ECF9"/>
    <w:rsid w:val="4E2265D4"/>
    <w:rsid w:val="4E3C705F"/>
    <w:rsid w:val="4E465DA1"/>
    <w:rsid w:val="4E4CE3C5"/>
    <w:rsid w:val="4E6F0316"/>
    <w:rsid w:val="4E98AAC3"/>
    <w:rsid w:val="4EC4AEBD"/>
    <w:rsid w:val="4F4870DE"/>
    <w:rsid w:val="4F8B27D7"/>
    <w:rsid w:val="4F92F8D7"/>
    <w:rsid w:val="4FAECB05"/>
    <w:rsid w:val="4FD88D24"/>
    <w:rsid w:val="4FDC7E4C"/>
    <w:rsid w:val="4FE26F42"/>
    <w:rsid w:val="5031E9C3"/>
    <w:rsid w:val="5041C793"/>
    <w:rsid w:val="5044EB9F"/>
    <w:rsid w:val="50500FD6"/>
    <w:rsid w:val="5050CDDD"/>
    <w:rsid w:val="50A03EA4"/>
    <w:rsid w:val="50AE05A3"/>
    <w:rsid w:val="50B9BF32"/>
    <w:rsid w:val="50E3EA23"/>
    <w:rsid w:val="513B644B"/>
    <w:rsid w:val="513D501A"/>
    <w:rsid w:val="515B539E"/>
    <w:rsid w:val="51642B8A"/>
    <w:rsid w:val="5167447C"/>
    <w:rsid w:val="51DAE11F"/>
    <w:rsid w:val="5203328C"/>
    <w:rsid w:val="522181D3"/>
    <w:rsid w:val="52268468"/>
    <w:rsid w:val="52437337"/>
    <w:rsid w:val="527D9CC4"/>
    <w:rsid w:val="52E5BF91"/>
    <w:rsid w:val="52F11CC3"/>
    <w:rsid w:val="52F641B5"/>
    <w:rsid w:val="53343D28"/>
    <w:rsid w:val="53487C1B"/>
    <w:rsid w:val="5393CA73"/>
    <w:rsid w:val="53C4C5B3"/>
    <w:rsid w:val="53CDAACB"/>
    <w:rsid w:val="53F50E3E"/>
    <w:rsid w:val="54453AD3"/>
    <w:rsid w:val="5446FFBF"/>
    <w:rsid w:val="54597C7F"/>
    <w:rsid w:val="547C0972"/>
    <w:rsid w:val="54C6F4FD"/>
    <w:rsid w:val="552E13AA"/>
    <w:rsid w:val="553721B9"/>
    <w:rsid w:val="5549F82B"/>
    <w:rsid w:val="559D1E3E"/>
    <w:rsid w:val="56029339"/>
    <w:rsid w:val="560ACB02"/>
    <w:rsid w:val="5649C55D"/>
    <w:rsid w:val="564D3D63"/>
    <w:rsid w:val="5657FDA7"/>
    <w:rsid w:val="5716401F"/>
    <w:rsid w:val="57501B30"/>
    <w:rsid w:val="57595D88"/>
    <w:rsid w:val="57692D3B"/>
    <w:rsid w:val="57A8CD71"/>
    <w:rsid w:val="57F055E1"/>
    <w:rsid w:val="5814B31B"/>
    <w:rsid w:val="58289546"/>
    <w:rsid w:val="583A5770"/>
    <w:rsid w:val="584B30E0"/>
    <w:rsid w:val="591F1C18"/>
    <w:rsid w:val="5925CD68"/>
    <w:rsid w:val="593B7B89"/>
    <w:rsid w:val="597F0B02"/>
    <w:rsid w:val="5988985B"/>
    <w:rsid w:val="59B0EA50"/>
    <w:rsid w:val="59ED1C25"/>
    <w:rsid w:val="5A0E84A1"/>
    <w:rsid w:val="5A6C0FEC"/>
    <w:rsid w:val="5A74CA9E"/>
    <w:rsid w:val="5A90BE17"/>
    <w:rsid w:val="5AC67E5B"/>
    <w:rsid w:val="5AD7BE9B"/>
    <w:rsid w:val="5B4EBEE8"/>
    <w:rsid w:val="5BE183D0"/>
    <w:rsid w:val="5BE6E091"/>
    <w:rsid w:val="5BED770E"/>
    <w:rsid w:val="5BEFEB3A"/>
    <w:rsid w:val="5C087853"/>
    <w:rsid w:val="5C53BF83"/>
    <w:rsid w:val="5C8D6AA1"/>
    <w:rsid w:val="5C9EE2FE"/>
    <w:rsid w:val="5CD61CC1"/>
    <w:rsid w:val="5CE6AB3A"/>
    <w:rsid w:val="5D1BDED0"/>
    <w:rsid w:val="5D2ECA02"/>
    <w:rsid w:val="5D30D8E8"/>
    <w:rsid w:val="5D397F30"/>
    <w:rsid w:val="5D6C8A14"/>
    <w:rsid w:val="5D736B17"/>
    <w:rsid w:val="5D9CBBD0"/>
    <w:rsid w:val="5DBA572E"/>
    <w:rsid w:val="5DF1533E"/>
    <w:rsid w:val="5E78E2C9"/>
    <w:rsid w:val="5E916B96"/>
    <w:rsid w:val="60042E25"/>
    <w:rsid w:val="6051993A"/>
    <w:rsid w:val="6053C7A2"/>
    <w:rsid w:val="60A2A7E8"/>
    <w:rsid w:val="611811BF"/>
    <w:rsid w:val="620E12FB"/>
    <w:rsid w:val="621FC83C"/>
    <w:rsid w:val="62E7BC9D"/>
    <w:rsid w:val="63406329"/>
    <w:rsid w:val="63C2430C"/>
    <w:rsid w:val="63C54ACC"/>
    <w:rsid w:val="63F37DFA"/>
    <w:rsid w:val="64310BB6"/>
    <w:rsid w:val="64433B14"/>
    <w:rsid w:val="64B99159"/>
    <w:rsid w:val="651BA772"/>
    <w:rsid w:val="651EA689"/>
    <w:rsid w:val="65378B6E"/>
    <w:rsid w:val="65C971F9"/>
    <w:rsid w:val="660BA3D8"/>
    <w:rsid w:val="667A4FF9"/>
    <w:rsid w:val="672294C1"/>
    <w:rsid w:val="6744A9DD"/>
    <w:rsid w:val="674D0466"/>
    <w:rsid w:val="679A2A96"/>
    <w:rsid w:val="67EDE5D9"/>
    <w:rsid w:val="68084B42"/>
    <w:rsid w:val="68190CD4"/>
    <w:rsid w:val="689CD5F7"/>
    <w:rsid w:val="68E95930"/>
    <w:rsid w:val="6936B287"/>
    <w:rsid w:val="69CB9A0A"/>
    <w:rsid w:val="69F46872"/>
    <w:rsid w:val="6A181385"/>
    <w:rsid w:val="6A29B0C2"/>
    <w:rsid w:val="6A7B5640"/>
    <w:rsid w:val="6A7DC483"/>
    <w:rsid w:val="6A8CCE7B"/>
    <w:rsid w:val="6A9F3B3A"/>
    <w:rsid w:val="6AC657B0"/>
    <w:rsid w:val="6AF70C96"/>
    <w:rsid w:val="6B53C674"/>
    <w:rsid w:val="6B69B6CD"/>
    <w:rsid w:val="6B8AED16"/>
    <w:rsid w:val="6B984722"/>
    <w:rsid w:val="6BA26206"/>
    <w:rsid w:val="6BB806B7"/>
    <w:rsid w:val="6BB90973"/>
    <w:rsid w:val="6C180146"/>
    <w:rsid w:val="6C19F888"/>
    <w:rsid w:val="6C270B5D"/>
    <w:rsid w:val="6C7853E1"/>
    <w:rsid w:val="6CBD058C"/>
    <w:rsid w:val="6CC47620"/>
    <w:rsid w:val="6CD3BD10"/>
    <w:rsid w:val="6CEDC5E0"/>
    <w:rsid w:val="6D1DC52E"/>
    <w:rsid w:val="6D21FA26"/>
    <w:rsid w:val="6D8036A9"/>
    <w:rsid w:val="6DCA5E35"/>
    <w:rsid w:val="6E540DAA"/>
    <w:rsid w:val="6E582B7C"/>
    <w:rsid w:val="6ECFBA2B"/>
    <w:rsid w:val="6F0A4BF1"/>
    <w:rsid w:val="6F0DDF94"/>
    <w:rsid w:val="6FC91960"/>
    <w:rsid w:val="6FCF4F8D"/>
    <w:rsid w:val="7016B98C"/>
    <w:rsid w:val="7030F232"/>
    <w:rsid w:val="703C9151"/>
    <w:rsid w:val="7048AEBB"/>
    <w:rsid w:val="7090AB97"/>
    <w:rsid w:val="70C05B8C"/>
    <w:rsid w:val="70C83AD8"/>
    <w:rsid w:val="70F8FFE8"/>
    <w:rsid w:val="71810E8C"/>
    <w:rsid w:val="71FC1108"/>
    <w:rsid w:val="7202EF3D"/>
    <w:rsid w:val="7223AEE8"/>
    <w:rsid w:val="7224FF93"/>
    <w:rsid w:val="72336EE4"/>
    <w:rsid w:val="7233BA62"/>
    <w:rsid w:val="72399E58"/>
    <w:rsid w:val="72A0F00B"/>
    <w:rsid w:val="72A52983"/>
    <w:rsid w:val="72AD48A5"/>
    <w:rsid w:val="72C3BF6D"/>
    <w:rsid w:val="72C60184"/>
    <w:rsid w:val="72DB4E12"/>
    <w:rsid w:val="7308C949"/>
    <w:rsid w:val="73343963"/>
    <w:rsid w:val="73741011"/>
    <w:rsid w:val="738E4D7A"/>
    <w:rsid w:val="7399BEC3"/>
    <w:rsid w:val="73ED0E01"/>
    <w:rsid w:val="73F525AB"/>
    <w:rsid w:val="743E1303"/>
    <w:rsid w:val="7451C481"/>
    <w:rsid w:val="7470FCF4"/>
    <w:rsid w:val="74884066"/>
    <w:rsid w:val="74AFAE6F"/>
    <w:rsid w:val="74ED540C"/>
    <w:rsid w:val="751B9B3F"/>
    <w:rsid w:val="754327D5"/>
    <w:rsid w:val="754F3223"/>
    <w:rsid w:val="75B1F06C"/>
    <w:rsid w:val="75DDA182"/>
    <w:rsid w:val="76025185"/>
    <w:rsid w:val="765B906A"/>
    <w:rsid w:val="7679C38E"/>
    <w:rsid w:val="76861E5F"/>
    <w:rsid w:val="768E7281"/>
    <w:rsid w:val="7694D183"/>
    <w:rsid w:val="76C8046B"/>
    <w:rsid w:val="76EE7DC5"/>
    <w:rsid w:val="76F1EA3F"/>
    <w:rsid w:val="77848E36"/>
    <w:rsid w:val="77886F5F"/>
    <w:rsid w:val="77B4CAEC"/>
    <w:rsid w:val="77C203DC"/>
    <w:rsid w:val="7826D5CD"/>
    <w:rsid w:val="782EC2BE"/>
    <w:rsid w:val="7876F680"/>
    <w:rsid w:val="7880C1CB"/>
    <w:rsid w:val="789243E1"/>
    <w:rsid w:val="78C0C197"/>
    <w:rsid w:val="78DF0B1A"/>
    <w:rsid w:val="78F663BD"/>
    <w:rsid w:val="799E7292"/>
    <w:rsid w:val="79AE5960"/>
    <w:rsid w:val="79B2C7D0"/>
    <w:rsid w:val="79CA931F"/>
    <w:rsid w:val="79DC455A"/>
    <w:rsid w:val="7A079CCF"/>
    <w:rsid w:val="7A280CF6"/>
    <w:rsid w:val="7A46F238"/>
    <w:rsid w:val="7AACE155"/>
    <w:rsid w:val="7AAF4C37"/>
    <w:rsid w:val="7B037E64"/>
    <w:rsid w:val="7B211DFC"/>
    <w:rsid w:val="7B367176"/>
    <w:rsid w:val="7B63F080"/>
    <w:rsid w:val="7B85AE07"/>
    <w:rsid w:val="7B8D7A9B"/>
    <w:rsid w:val="7BB2E1ED"/>
    <w:rsid w:val="7BCEAC3A"/>
    <w:rsid w:val="7BDD163E"/>
    <w:rsid w:val="7BE0D334"/>
    <w:rsid w:val="7C061FBC"/>
    <w:rsid w:val="7C16442D"/>
    <w:rsid w:val="7C526777"/>
    <w:rsid w:val="7CB84A79"/>
    <w:rsid w:val="7D16507B"/>
    <w:rsid w:val="7D17E1F7"/>
    <w:rsid w:val="7D32B0BC"/>
    <w:rsid w:val="7D6D6CE0"/>
    <w:rsid w:val="7D7EB6A1"/>
    <w:rsid w:val="7DB1269D"/>
    <w:rsid w:val="7DB13523"/>
    <w:rsid w:val="7DC4D081"/>
    <w:rsid w:val="7E043637"/>
    <w:rsid w:val="7E210D30"/>
    <w:rsid w:val="7F27F5E5"/>
    <w:rsid w:val="7F7306EE"/>
    <w:rsid w:val="7FB98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449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qFormat="1"/>
    <w:lsdException w:name="annotation text" w:semiHidden="1"/>
    <w:lsdException w:name="header" w:uiPriority="2"/>
    <w:lsdException w:name="footer"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rsid w:val="00F45F6A"/>
    <w:pPr>
      <w:keepNext/>
      <w:numPr>
        <w:numId w:val="22"/>
      </w:numPr>
      <w:spacing w:before="240"/>
      <w:jc w:val="left"/>
      <w:outlineLvl w:val="0"/>
    </w:pPr>
    <w:rPr>
      <w:b/>
      <w:smallCaps/>
      <w:sz w:val="28"/>
    </w:rPr>
  </w:style>
  <w:style w:type="paragraph" w:styleId="Heading2">
    <w:name w:val="heading 2"/>
    <w:basedOn w:val="Normal"/>
    <w:next w:val="Text2"/>
    <w:link w:val="Heading2Char"/>
    <w:uiPriority w:val="1"/>
    <w:qFormat/>
    <w:pPr>
      <w:keepNext/>
      <w:numPr>
        <w:ilvl w:val="1"/>
        <w:numId w:val="22"/>
      </w:numPr>
      <w:outlineLvl w:val="1"/>
    </w:pPr>
    <w:rPr>
      <w:b/>
    </w:rPr>
  </w:style>
  <w:style w:type="paragraph" w:styleId="Heading3">
    <w:name w:val="heading 3"/>
    <w:basedOn w:val="Normal"/>
    <w:next w:val="Text3"/>
    <w:uiPriority w:val="1"/>
    <w:qFormat/>
    <w:pPr>
      <w:keepNext/>
      <w:numPr>
        <w:ilvl w:val="2"/>
        <w:numId w:val="22"/>
      </w:numPr>
      <w:outlineLvl w:val="2"/>
    </w:pPr>
    <w:rPr>
      <w:i/>
    </w:rPr>
  </w:style>
  <w:style w:type="paragraph" w:styleId="Heading4">
    <w:name w:val="heading 4"/>
    <w:basedOn w:val="Normal"/>
    <w:next w:val="Text4"/>
    <w:uiPriority w:val="1"/>
    <w:qFormat/>
    <w:pPr>
      <w:keepNext/>
      <w:numPr>
        <w:ilvl w:val="3"/>
        <w:numId w:val="22"/>
      </w:numPr>
      <w:outlineLvl w:val="3"/>
    </w:pPr>
  </w:style>
  <w:style w:type="paragraph" w:styleId="Heading5">
    <w:name w:val="heading 5"/>
    <w:basedOn w:val="Normal"/>
    <w:next w:val="Normal"/>
    <w:semiHidden/>
    <w:pPr>
      <w:keepNext/>
      <w:numPr>
        <w:ilvl w:val="4"/>
        <w:numId w:val="22"/>
      </w:numPr>
      <w:outlineLvl w:val="4"/>
    </w:pPr>
  </w:style>
  <w:style w:type="paragraph" w:styleId="Heading6">
    <w:name w:val="heading 6"/>
    <w:basedOn w:val="Normal"/>
    <w:next w:val="Normal"/>
    <w:semiHidden/>
    <w:pPr>
      <w:keepNext/>
      <w:numPr>
        <w:ilvl w:val="5"/>
        <w:numId w:val="22"/>
      </w:numPr>
      <w:outlineLvl w:val="5"/>
    </w:pPr>
  </w:style>
  <w:style w:type="paragraph" w:styleId="Heading7">
    <w:name w:val="heading 7"/>
    <w:basedOn w:val="Normal"/>
    <w:next w:val="Normal"/>
    <w:semiHidden/>
    <w:pPr>
      <w:keepNext/>
      <w:numPr>
        <w:ilvl w:val="6"/>
        <w:numId w:val="22"/>
      </w:numPr>
      <w:outlineLvl w:val="6"/>
    </w:pPr>
  </w:style>
  <w:style w:type="paragraph" w:styleId="Heading8">
    <w:name w:val="heading 8"/>
    <w:basedOn w:val="Normal"/>
    <w:next w:val="Normal"/>
    <w:semiHidden/>
    <w:pPr>
      <w:keepNext/>
      <w:numPr>
        <w:ilvl w:val="7"/>
        <w:numId w:val="22"/>
      </w:numPr>
      <w:outlineLvl w:val="7"/>
    </w:pPr>
  </w:style>
  <w:style w:type="paragraph" w:styleId="Heading9">
    <w:name w:val="heading 9"/>
    <w:basedOn w:val="Normal"/>
    <w:next w:val="Normal"/>
    <w:semiHidden/>
    <w:pPr>
      <w:keepNext/>
      <w:numPr>
        <w:ilvl w:val="8"/>
        <w:numId w:val="2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7"/>
      </w:numPr>
      <w:spacing w:after="480"/>
      <w:outlineLvl w:val="0"/>
    </w:pPr>
    <w:rPr>
      <w:b/>
      <w:sz w:val="32"/>
    </w:rPr>
  </w:style>
  <w:style w:type="paragraph" w:styleId="Caption">
    <w:name w:val="caption"/>
    <w:basedOn w:val="Normal"/>
    <w:next w:val="Normal"/>
    <w:uiPriority w:val="35"/>
    <w:qFormat/>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6"/>
      </w:numPr>
    </w:pPr>
  </w:style>
  <w:style w:type="paragraph" w:customStyle="1" w:styleId="ContNumLevel2">
    <w:name w:val="ContNum (Level 2)"/>
    <w:basedOn w:val="Normal"/>
    <w:uiPriority w:val="1"/>
    <w:pPr>
      <w:numPr>
        <w:ilvl w:val="1"/>
        <w:numId w:val="16"/>
      </w:numPr>
    </w:pPr>
  </w:style>
  <w:style w:type="paragraph" w:customStyle="1" w:styleId="ContNumLevel3">
    <w:name w:val="ContNum (Level 3)"/>
    <w:basedOn w:val="Normal"/>
    <w:uiPriority w:val="1"/>
    <w:pPr>
      <w:numPr>
        <w:ilvl w:val="2"/>
        <w:numId w:val="16"/>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Ch"/>
    <w:basedOn w:val="Normal"/>
    <w:link w:val="FootnoteTextChar"/>
    <w:unhideWhenUsed/>
    <w:qFormat/>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5"/>
      </w:numPr>
      <w:spacing w:line="360" w:lineRule="auto"/>
    </w:pPr>
  </w:style>
  <w:style w:type="paragraph" w:customStyle="1" w:styleId="LegalNumPar2">
    <w:name w:val="LegalNumPar2"/>
    <w:basedOn w:val="Normal"/>
    <w:uiPriority w:val="1"/>
    <w:pPr>
      <w:numPr>
        <w:ilvl w:val="1"/>
        <w:numId w:val="15"/>
      </w:numPr>
      <w:spacing w:line="360" w:lineRule="auto"/>
    </w:pPr>
  </w:style>
  <w:style w:type="paragraph" w:customStyle="1" w:styleId="LegalNumPar3">
    <w:name w:val="LegalNumPar3"/>
    <w:basedOn w:val="Normal"/>
    <w:uiPriority w:val="1"/>
    <w:pPr>
      <w:numPr>
        <w:ilvl w:val="2"/>
        <w:numId w:val="15"/>
      </w:numPr>
      <w:spacing w:line="360" w:lineRule="auto"/>
    </w:pPr>
  </w:style>
  <w:style w:type="paragraph" w:styleId="ListBullet">
    <w:name w:val="List Bullet"/>
    <w:basedOn w:val="Normal"/>
    <w:uiPriority w:val="1"/>
    <w:pPr>
      <w:numPr>
        <w:numId w:val="14"/>
      </w:numPr>
    </w:pPr>
  </w:style>
  <w:style w:type="paragraph" w:customStyle="1" w:styleId="ListBulletLevel2">
    <w:name w:val="List Bullet (Level 2)"/>
    <w:basedOn w:val="Normal"/>
    <w:uiPriority w:val="1"/>
    <w:pPr>
      <w:numPr>
        <w:ilvl w:val="1"/>
        <w:numId w:val="14"/>
      </w:numPr>
    </w:pPr>
  </w:style>
  <w:style w:type="paragraph" w:customStyle="1" w:styleId="ListBulletLevel3">
    <w:name w:val="List Bullet (Level 3)"/>
    <w:basedOn w:val="Normal"/>
    <w:uiPriority w:val="1"/>
    <w:semiHidden/>
    <w:unhideWhenUsed/>
    <w:pPr>
      <w:numPr>
        <w:ilvl w:val="2"/>
        <w:numId w:val="14"/>
      </w:numPr>
    </w:pPr>
  </w:style>
  <w:style w:type="paragraph" w:customStyle="1" w:styleId="ListBulletLevel4">
    <w:name w:val="List Bullet (Level 4)"/>
    <w:basedOn w:val="Normal"/>
    <w:uiPriority w:val="1"/>
    <w:semiHidden/>
    <w:unhideWhenUsed/>
    <w:pPr>
      <w:numPr>
        <w:ilvl w:val="3"/>
        <w:numId w:val="14"/>
      </w:numPr>
    </w:pPr>
  </w:style>
  <w:style w:type="paragraph" w:customStyle="1" w:styleId="ListBullet1">
    <w:name w:val="List Bullet 1"/>
    <w:basedOn w:val="Text1"/>
    <w:uiPriority w:val="1"/>
    <w:pPr>
      <w:numPr>
        <w:numId w:val="13"/>
      </w:numPr>
    </w:pPr>
  </w:style>
  <w:style w:type="paragraph" w:customStyle="1" w:styleId="ListBullet1Level2">
    <w:name w:val="List Bullet 1 (Level 2)"/>
    <w:basedOn w:val="Text1"/>
    <w:uiPriority w:val="1"/>
    <w:pPr>
      <w:numPr>
        <w:ilvl w:val="1"/>
        <w:numId w:val="13"/>
      </w:numPr>
    </w:pPr>
  </w:style>
  <w:style w:type="paragraph" w:customStyle="1" w:styleId="ListBullet1Level3">
    <w:name w:val="List Bullet 1 (Level 3)"/>
    <w:basedOn w:val="Text1"/>
    <w:uiPriority w:val="1"/>
    <w:unhideWhenUsed/>
    <w:pPr>
      <w:numPr>
        <w:ilvl w:val="2"/>
        <w:numId w:val="13"/>
      </w:numPr>
    </w:pPr>
  </w:style>
  <w:style w:type="paragraph" w:customStyle="1" w:styleId="ListBullet1Level4">
    <w:name w:val="List Bullet 1 (Level 4)"/>
    <w:basedOn w:val="Text1"/>
    <w:uiPriority w:val="1"/>
    <w:unhideWhenUsed/>
    <w:pPr>
      <w:numPr>
        <w:ilvl w:val="3"/>
        <w:numId w:val="13"/>
      </w:numPr>
    </w:pPr>
  </w:style>
  <w:style w:type="paragraph" w:styleId="ListBullet2">
    <w:name w:val="List Bullet 2"/>
    <w:basedOn w:val="Text2"/>
    <w:uiPriority w:val="1"/>
    <w:pPr>
      <w:numPr>
        <w:numId w:val="12"/>
      </w:numPr>
    </w:pPr>
  </w:style>
  <w:style w:type="paragraph" w:customStyle="1" w:styleId="ListBullet2Level2">
    <w:name w:val="List Bullet 2 (Level 2)"/>
    <w:basedOn w:val="Text2"/>
    <w:uiPriority w:val="1"/>
    <w:pPr>
      <w:numPr>
        <w:ilvl w:val="1"/>
        <w:numId w:val="12"/>
      </w:numPr>
    </w:pPr>
  </w:style>
  <w:style w:type="paragraph" w:customStyle="1" w:styleId="ListBullet2Level3">
    <w:name w:val="List Bullet 2 (Level 3)"/>
    <w:basedOn w:val="Text2"/>
    <w:uiPriority w:val="1"/>
    <w:semiHidden/>
    <w:unhideWhenUsed/>
    <w:pPr>
      <w:numPr>
        <w:ilvl w:val="2"/>
        <w:numId w:val="12"/>
      </w:numPr>
    </w:pPr>
  </w:style>
  <w:style w:type="paragraph" w:customStyle="1" w:styleId="ListBullet2Level4">
    <w:name w:val="List Bullet 2 (Level 4)"/>
    <w:basedOn w:val="Text2"/>
    <w:uiPriority w:val="1"/>
    <w:semiHidden/>
    <w:unhideWhenUsed/>
    <w:pPr>
      <w:numPr>
        <w:ilvl w:val="3"/>
        <w:numId w:val="12"/>
      </w:numPr>
    </w:pPr>
  </w:style>
  <w:style w:type="paragraph" w:styleId="ListBullet3">
    <w:name w:val="List Bullet 3"/>
    <w:basedOn w:val="Text3"/>
    <w:uiPriority w:val="1"/>
    <w:pPr>
      <w:numPr>
        <w:numId w:val="11"/>
      </w:numPr>
    </w:pPr>
  </w:style>
  <w:style w:type="paragraph" w:customStyle="1" w:styleId="ListBullet3Level2">
    <w:name w:val="List Bullet 3 (Level 2)"/>
    <w:basedOn w:val="Text3"/>
    <w:uiPriority w:val="1"/>
    <w:pPr>
      <w:numPr>
        <w:ilvl w:val="1"/>
        <w:numId w:val="11"/>
      </w:numPr>
    </w:pPr>
  </w:style>
  <w:style w:type="paragraph" w:customStyle="1" w:styleId="ListBullet3Level3">
    <w:name w:val="List Bullet 3 (Level 3)"/>
    <w:basedOn w:val="Text3"/>
    <w:uiPriority w:val="1"/>
    <w:semiHidden/>
    <w:unhideWhenUsed/>
    <w:pPr>
      <w:numPr>
        <w:ilvl w:val="2"/>
        <w:numId w:val="11"/>
      </w:numPr>
    </w:pPr>
  </w:style>
  <w:style w:type="paragraph" w:customStyle="1" w:styleId="ListBullet3Level4">
    <w:name w:val="List Bullet 3 (Level 4)"/>
    <w:basedOn w:val="Text3"/>
    <w:uiPriority w:val="1"/>
    <w:semiHidden/>
    <w:unhideWhenUsed/>
    <w:pPr>
      <w:numPr>
        <w:ilvl w:val="3"/>
        <w:numId w:val="11"/>
      </w:numPr>
    </w:pPr>
  </w:style>
  <w:style w:type="paragraph" w:styleId="ListBullet4">
    <w:name w:val="List Bullet 4"/>
    <w:basedOn w:val="Text4"/>
    <w:uiPriority w:val="1"/>
    <w:pPr>
      <w:numPr>
        <w:numId w:val="10"/>
      </w:numPr>
    </w:pPr>
  </w:style>
  <w:style w:type="paragraph" w:customStyle="1" w:styleId="ListBullet4Level2">
    <w:name w:val="List Bullet 4 (Level 2)"/>
    <w:basedOn w:val="Text4"/>
    <w:uiPriority w:val="1"/>
    <w:pPr>
      <w:numPr>
        <w:ilvl w:val="1"/>
        <w:numId w:val="10"/>
      </w:numPr>
    </w:pPr>
  </w:style>
  <w:style w:type="paragraph" w:customStyle="1" w:styleId="ListBullet4Level3">
    <w:name w:val="List Bullet 4 (Level 3)"/>
    <w:basedOn w:val="Text4"/>
    <w:uiPriority w:val="1"/>
    <w:semiHidden/>
    <w:unhideWhenUsed/>
    <w:pPr>
      <w:numPr>
        <w:ilvl w:val="2"/>
        <w:numId w:val="10"/>
      </w:numPr>
    </w:pPr>
  </w:style>
  <w:style w:type="paragraph" w:customStyle="1" w:styleId="ListBullet4Level4">
    <w:name w:val="List Bullet 4 (Level 4)"/>
    <w:basedOn w:val="Text4"/>
    <w:uiPriority w:val="1"/>
    <w:semiHidden/>
    <w:unhideWhenUsed/>
    <w:pPr>
      <w:numPr>
        <w:ilvl w:val="3"/>
        <w:numId w:val="10"/>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9"/>
      </w:numPr>
    </w:pPr>
  </w:style>
  <w:style w:type="paragraph" w:customStyle="1" w:styleId="ListNumberLevel2">
    <w:name w:val="List Number (Level 2)"/>
    <w:basedOn w:val="Normal"/>
    <w:uiPriority w:val="1"/>
    <w:pPr>
      <w:numPr>
        <w:ilvl w:val="1"/>
        <w:numId w:val="9"/>
      </w:numPr>
    </w:pPr>
  </w:style>
  <w:style w:type="paragraph" w:customStyle="1" w:styleId="ListNumberLevel3">
    <w:name w:val="List Number (Level 3)"/>
    <w:basedOn w:val="Normal"/>
    <w:uiPriority w:val="1"/>
    <w:semiHidden/>
    <w:unhideWhenUsed/>
    <w:pPr>
      <w:numPr>
        <w:ilvl w:val="2"/>
        <w:numId w:val="9"/>
      </w:numPr>
    </w:pPr>
  </w:style>
  <w:style w:type="paragraph" w:customStyle="1" w:styleId="ListNumberLevel4">
    <w:name w:val="List Number (Level 4)"/>
    <w:basedOn w:val="Normal"/>
    <w:uiPriority w:val="1"/>
    <w:semiHidden/>
    <w:unhideWhenUsed/>
    <w:pPr>
      <w:numPr>
        <w:ilvl w:val="3"/>
        <w:numId w:val="9"/>
      </w:numPr>
    </w:pPr>
  </w:style>
  <w:style w:type="paragraph" w:customStyle="1" w:styleId="ListNumber1">
    <w:name w:val="List Number 1"/>
    <w:basedOn w:val="Text1"/>
    <w:uiPriority w:val="1"/>
    <w:pPr>
      <w:numPr>
        <w:numId w:val="8"/>
      </w:numPr>
    </w:pPr>
  </w:style>
  <w:style w:type="paragraph" w:customStyle="1" w:styleId="ListNumber1Level2">
    <w:name w:val="List Number 1 (Level 2)"/>
    <w:basedOn w:val="Text1"/>
    <w:uiPriority w:val="1"/>
    <w:pPr>
      <w:numPr>
        <w:ilvl w:val="1"/>
        <w:numId w:val="8"/>
      </w:numPr>
    </w:pPr>
  </w:style>
  <w:style w:type="paragraph" w:customStyle="1" w:styleId="ListNumber1Level3">
    <w:name w:val="List Number 1 (Level 3)"/>
    <w:basedOn w:val="Text1"/>
    <w:uiPriority w:val="1"/>
    <w:semiHidden/>
    <w:unhideWhenUsed/>
    <w:pPr>
      <w:numPr>
        <w:ilvl w:val="2"/>
        <w:numId w:val="8"/>
      </w:numPr>
    </w:pPr>
  </w:style>
  <w:style w:type="paragraph" w:customStyle="1" w:styleId="ListNumber1Level4">
    <w:name w:val="List Number 1 (Level 4)"/>
    <w:basedOn w:val="Text1"/>
    <w:uiPriority w:val="1"/>
    <w:semiHidden/>
    <w:unhideWhenUsed/>
    <w:pPr>
      <w:numPr>
        <w:ilvl w:val="3"/>
        <w:numId w:val="8"/>
      </w:numPr>
    </w:pPr>
  </w:style>
  <w:style w:type="paragraph" w:styleId="ListNumber2">
    <w:name w:val="List Number 2"/>
    <w:basedOn w:val="Text2"/>
    <w:uiPriority w:val="1"/>
    <w:pPr>
      <w:numPr>
        <w:numId w:val="7"/>
      </w:numPr>
    </w:pPr>
  </w:style>
  <w:style w:type="paragraph" w:customStyle="1" w:styleId="ListNumber2Level2">
    <w:name w:val="List Number 2 (Level 2)"/>
    <w:basedOn w:val="Text2"/>
    <w:uiPriority w:val="1"/>
    <w:pPr>
      <w:numPr>
        <w:ilvl w:val="1"/>
        <w:numId w:val="7"/>
      </w:numPr>
    </w:pPr>
  </w:style>
  <w:style w:type="paragraph" w:customStyle="1" w:styleId="ListNumber2Level3">
    <w:name w:val="List Number 2 (Level 3)"/>
    <w:basedOn w:val="Text2"/>
    <w:uiPriority w:val="1"/>
    <w:semiHidden/>
    <w:unhideWhenUsed/>
    <w:pPr>
      <w:numPr>
        <w:ilvl w:val="2"/>
        <w:numId w:val="7"/>
      </w:numPr>
    </w:pPr>
  </w:style>
  <w:style w:type="paragraph" w:customStyle="1" w:styleId="ListNumber2Level4">
    <w:name w:val="List Number 2 (Level 4)"/>
    <w:basedOn w:val="Text2"/>
    <w:uiPriority w:val="1"/>
    <w:semiHidden/>
    <w:unhideWhenUsed/>
    <w:pPr>
      <w:numPr>
        <w:ilvl w:val="3"/>
        <w:numId w:val="7"/>
      </w:numPr>
    </w:pPr>
  </w:style>
  <w:style w:type="paragraph" w:styleId="ListNumber3">
    <w:name w:val="List Number 3"/>
    <w:basedOn w:val="Text3"/>
    <w:uiPriority w:val="1"/>
    <w:pPr>
      <w:numPr>
        <w:numId w:val="21"/>
      </w:numPr>
    </w:pPr>
  </w:style>
  <w:style w:type="paragraph" w:customStyle="1" w:styleId="ListNumber3Level2">
    <w:name w:val="List Number 3 (Level 2)"/>
    <w:basedOn w:val="Text3"/>
    <w:uiPriority w:val="1"/>
    <w:pPr>
      <w:numPr>
        <w:ilvl w:val="1"/>
        <w:numId w:val="21"/>
      </w:numPr>
    </w:pPr>
  </w:style>
  <w:style w:type="paragraph" w:customStyle="1" w:styleId="ListNumber3Level3">
    <w:name w:val="List Number 3 (Level 3)"/>
    <w:basedOn w:val="Text3"/>
    <w:uiPriority w:val="1"/>
    <w:semiHidden/>
    <w:unhideWhenUsed/>
    <w:pPr>
      <w:numPr>
        <w:ilvl w:val="2"/>
        <w:numId w:val="21"/>
      </w:numPr>
    </w:pPr>
  </w:style>
  <w:style w:type="paragraph" w:customStyle="1" w:styleId="ListNumber3Level4">
    <w:name w:val="List Number 3 (Level 4)"/>
    <w:basedOn w:val="Text3"/>
    <w:uiPriority w:val="1"/>
    <w:semiHidden/>
    <w:unhideWhenUsed/>
    <w:pPr>
      <w:numPr>
        <w:ilvl w:val="3"/>
        <w:numId w:val="21"/>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505840"/>
    <w:pPr>
      <w:ind w:left="5102" w:right="-680"/>
      <w:contextualSpacing/>
      <w:jc w:val="left"/>
    </w:pPr>
    <w:rPr>
      <w:sz w:val="28"/>
      <w:lang w:val="en-IE"/>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18"/>
      </w:numPr>
    </w:pPr>
  </w:style>
  <w:style w:type="paragraph" w:customStyle="1" w:styleId="TableListBulletLevel2">
    <w:name w:val="Table List Bullet (Level 2)"/>
    <w:basedOn w:val="TableText"/>
    <w:uiPriority w:val="1"/>
    <w:pPr>
      <w:numPr>
        <w:ilvl w:val="1"/>
        <w:numId w:val="18"/>
      </w:numPr>
    </w:pPr>
  </w:style>
  <w:style w:type="paragraph" w:customStyle="1" w:styleId="TableListBulletLevel3">
    <w:name w:val="Table List Bullet (Level 3)"/>
    <w:basedOn w:val="TableText"/>
    <w:uiPriority w:val="1"/>
    <w:semiHidden/>
    <w:unhideWhenUsed/>
    <w:pPr>
      <w:numPr>
        <w:ilvl w:val="2"/>
        <w:numId w:val="18"/>
      </w:numPr>
    </w:pPr>
  </w:style>
  <w:style w:type="paragraph" w:customStyle="1" w:styleId="TableListBulletLevel4">
    <w:name w:val="Table List Bullet (Level 4)"/>
    <w:basedOn w:val="TableText"/>
    <w:uiPriority w:val="1"/>
    <w:semiHidden/>
    <w:unhideWhenUsed/>
    <w:pPr>
      <w:numPr>
        <w:ilvl w:val="3"/>
        <w:numId w:val="18"/>
      </w:numPr>
    </w:pPr>
  </w:style>
  <w:style w:type="paragraph" w:customStyle="1" w:styleId="TableListDash">
    <w:name w:val="Table List Dash"/>
    <w:basedOn w:val="TableText"/>
    <w:uiPriority w:val="1"/>
    <w:pPr>
      <w:numPr>
        <w:numId w:val="19"/>
      </w:numPr>
    </w:pPr>
  </w:style>
  <w:style w:type="paragraph" w:customStyle="1" w:styleId="TableListDashLevel2">
    <w:name w:val="Table List Dash (Level 2)"/>
    <w:basedOn w:val="TableText"/>
    <w:uiPriority w:val="1"/>
    <w:pPr>
      <w:numPr>
        <w:ilvl w:val="1"/>
        <w:numId w:val="19"/>
      </w:numPr>
    </w:pPr>
  </w:style>
  <w:style w:type="paragraph" w:customStyle="1" w:styleId="TableListDashLevel3">
    <w:name w:val="Table List Dash (Level 3)"/>
    <w:basedOn w:val="TableText"/>
    <w:uiPriority w:val="1"/>
    <w:semiHidden/>
    <w:unhideWhenUsed/>
    <w:pPr>
      <w:numPr>
        <w:ilvl w:val="2"/>
        <w:numId w:val="19"/>
      </w:numPr>
    </w:pPr>
  </w:style>
  <w:style w:type="paragraph" w:customStyle="1" w:styleId="TableListDashLevel4">
    <w:name w:val="Table List Dash (Level 4)"/>
    <w:basedOn w:val="TableText"/>
    <w:uiPriority w:val="1"/>
    <w:semiHidden/>
    <w:unhideWhenUsed/>
    <w:pPr>
      <w:numPr>
        <w:ilvl w:val="3"/>
        <w:numId w:val="19"/>
      </w:numPr>
    </w:pPr>
  </w:style>
  <w:style w:type="paragraph" w:customStyle="1" w:styleId="TableListNumber">
    <w:name w:val="Table List Number"/>
    <w:basedOn w:val="TableText"/>
    <w:uiPriority w:val="1"/>
    <w:pPr>
      <w:numPr>
        <w:numId w:val="20"/>
      </w:numPr>
    </w:pPr>
  </w:style>
  <w:style w:type="paragraph" w:customStyle="1" w:styleId="TableListNumberLevel2">
    <w:name w:val="Table List Number (Level 2)"/>
    <w:basedOn w:val="TableText"/>
    <w:uiPriority w:val="1"/>
    <w:pPr>
      <w:numPr>
        <w:ilvl w:val="1"/>
        <w:numId w:val="20"/>
      </w:numPr>
    </w:pPr>
  </w:style>
  <w:style w:type="paragraph" w:customStyle="1" w:styleId="TableListNumberLevel3">
    <w:name w:val="Table List Number (Level 3)"/>
    <w:basedOn w:val="TableText"/>
    <w:uiPriority w:val="1"/>
    <w:semiHidden/>
    <w:unhideWhenUsed/>
    <w:pPr>
      <w:numPr>
        <w:ilvl w:val="2"/>
        <w:numId w:val="20"/>
      </w:numPr>
    </w:pPr>
  </w:style>
  <w:style w:type="paragraph" w:customStyle="1" w:styleId="TableListNumberLevel4">
    <w:name w:val="Table List Number (Level 4)"/>
    <w:basedOn w:val="TableText"/>
    <w:uiPriority w:val="1"/>
    <w:semiHidden/>
    <w:unhideWhenUsed/>
    <w:pPr>
      <w:numPr>
        <w:ilvl w:val="3"/>
        <w:numId w:val="20"/>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0],FR"/>
    <w:link w:val="BVIfnrChar1CharCharChar"/>
    <w:qFormat/>
    <w:locked/>
    <w:rsid w:val="00505840"/>
    <w:rPr>
      <w:vertAlign w:val="superscript"/>
    </w:rPr>
  </w:style>
  <w:style w:type="paragraph" w:styleId="ListParagraph">
    <w:name w:val="List Paragraph"/>
    <w:basedOn w:val="Normal"/>
    <w:link w:val="ListParagraphChar"/>
    <w:uiPriority w:val="34"/>
    <w:qFormat/>
    <w:locked/>
    <w:rsid w:val="009D06C2"/>
    <w:pPr>
      <w:ind w:left="720"/>
      <w:contextualSpacing/>
    </w:pPr>
  </w:style>
  <w:style w:type="character" w:customStyle="1" w:styleId="Marker">
    <w:name w:val="Marker"/>
    <w:basedOn w:val="DefaultParagraphFont"/>
    <w:rsid w:val="00115749"/>
    <w:rPr>
      <w:color w:val="0000FF"/>
      <w:shd w:val="clear" w:color="auto" w:fill="auto"/>
    </w:rPr>
  </w:style>
  <w:style w:type="paragraph" w:customStyle="1" w:styleId="Pagedecouverture">
    <w:name w:val="Page de couverture"/>
    <w:basedOn w:val="Normal"/>
    <w:next w:val="Normal"/>
    <w:rsid w:val="00115749"/>
    <w:pPr>
      <w:spacing w:after="0"/>
    </w:pPr>
    <w:rPr>
      <w:rFonts w:eastAsiaTheme="minorHAnsi"/>
      <w:szCs w:val="22"/>
      <w:lang w:eastAsia="en-US"/>
    </w:rPr>
  </w:style>
  <w:style w:type="paragraph" w:customStyle="1" w:styleId="FooterCoverPage">
    <w:name w:val="Footer Cover Page"/>
    <w:basedOn w:val="Normal"/>
    <w:link w:val="FooterCoverPageChar"/>
    <w:rsid w:val="00115749"/>
    <w:pPr>
      <w:tabs>
        <w:tab w:val="center" w:pos="4535"/>
        <w:tab w:val="right" w:pos="9071"/>
        <w:tab w:val="right" w:pos="9921"/>
      </w:tabs>
      <w:spacing w:before="360" w:after="0"/>
      <w:ind w:left="-850" w:right="-850" w:hanging="482"/>
      <w:jc w:val="left"/>
    </w:pPr>
  </w:style>
  <w:style w:type="character" w:customStyle="1" w:styleId="FooterCoverPageChar">
    <w:name w:val="Footer Cover Page Char"/>
    <w:basedOn w:val="DefaultParagraphFont"/>
    <w:link w:val="FooterCoverPage"/>
    <w:rsid w:val="00115749"/>
  </w:style>
  <w:style w:type="paragraph" w:customStyle="1" w:styleId="FooterSensitivity">
    <w:name w:val="Footer Sensitivity"/>
    <w:basedOn w:val="Normal"/>
    <w:link w:val="FooterSensitivityChar"/>
    <w:rsid w:val="00115749"/>
    <w:pPr>
      <w:pBdr>
        <w:top w:val="single" w:sz="4" w:space="1" w:color="auto"/>
        <w:left w:val="single" w:sz="4" w:space="4" w:color="auto"/>
        <w:bottom w:val="single" w:sz="4" w:space="1" w:color="auto"/>
        <w:right w:val="single" w:sz="4" w:space="4" w:color="auto"/>
      </w:pBdr>
      <w:spacing w:before="360" w:after="0"/>
      <w:ind w:left="113" w:right="113" w:hanging="482"/>
      <w:jc w:val="center"/>
    </w:pPr>
    <w:rPr>
      <w:b/>
      <w:sz w:val="32"/>
    </w:rPr>
  </w:style>
  <w:style w:type="character" w:customStyle="1" w:styleId="FooterSensitivityChar">
    <w:name w:val="Footer Sensitivity Char"/>
    <w:basedOn w:val="DefaultParagraphFont"/>
    <w:link w:val="FooterSensitivity"/>
    <w:rsid w:val="00115749"/>
    <w:rPr>
      <w:b/>
      <w:sz w:val="32"/>
    </w:rPr>
  </w:style>
  <w:style w:type="paragraph" w:customStyle="1" w:styleId="HeaderCoverPage">
    <w:name w:val="Header Cover Page"/>
    <w:basedOn w:val="Normal"/>
    <w:link w:val="HeaderCoverPageChar"/>
    <w:rsid w:val="00115749"/>
    <w:pPr>
      <w:tabs>
        <w:tab w:val="center" w:pos="4535"/>
        <w:tab w:val="right" w:pos="9071"/>
      </w:tabs>
      <w:spacing w:after="120"/>
      <w:ind w:hanging="482"/>
    </w:pPr>
  </w:style>
  <w:style w:type="character" w:customStyle="1" w:styleId="HeaderCoverPageChar">
    <w:name w:val="Header Cover Page Char"/>
    <w:basedOn w:val="DefaultParagraphFont"/>
    <w:link w:val="HeaderCoverPage"/>
    <w:rsid w:val="00115749"/>
  </w:style>
  <w:style w:type="paragraph" w:customStyle="1" w:styleId="HeaderSensitivity">
    <w:name w:val="Header Sensitivity"/>
    <w:basedOn w:val="Normal"/>
    <w:link w:val="HeaderSensitivityChar"/>
    <w:rsid w:val="00115749"/>
    <w:pPr>
      <w:pBdr>
        <w:top w:val="single" w:sz="4" w:space="1" w:color="auto"/>
        <w:left w:val="single" w:sz="4" w:space="4" w:color="auto"/>
        <w:bottom w:val="single" w:sz="4" w:space="1" w:color="auto"/>
        <w:right w:val="single" w:sz="4" w:space="4" w:color="auto"/>
      </w:pBdr>
      <w:spacing w:after="120"/>
      <w:ind w:left="113" w:right="113" w:hanging="482"/>
      <w:jc w:val="center"/>
    </w:pPr>
    <w:rPr>
      <w:b/>
      <w:sz w:val="32"/>
    </w:rPr>
  </w:style>
  <w:style w:type="character" w:customStyle="1" w:styleId="HeaderSensitivityChar">
    <w:name w:val="Header Sensitivity Char"/>
    <w:basedOn w:val="DefaultParagraphFont"/>
    <w:link w:val="HeaderSensitivity"/>
    <w:rsid w:val="00115749"/>
    <w:rPr>
      <w:b/>
      <w:sz w:val="32"/>
    </w:rPr>
  </w:style>
  <w:style w:type="paragraph" w:customStyle="1" w:styleId="HeaderSensitivityRight">
    <w:name w:val="Header Sensitivity Right"/>
    <w:basedOn w:val="Normal"/>
    <w:link w:val="HeaderSensitivityRightChar"/>
    <w:rsid w:val="0092719C"/>
    <w:pPr>
      <w:spacing w:after="120"/>
      <w:jc w:val="right"/>
    </w:pPr>
    <w:rPr>
      <w:sz w:val="28"/>
    </w:rPr>
  </w:style>
  <w:style w:type="character" w:customStyle="1" w:styleId="HeaderSensitivityRightChar">
    <w:name w:val="Header Sensitivity Right Char"/>
    <w:basedOn w:val="DefaultParagraphFont"/>
    <w:link w:val="HeaderSensitivityRight"/>
    <w:rsid w:val="00115749"/>
    <w:rPr>
      <w:sz w:val="28"/>
    </w:rPr>
  </w:style>
  <w:style w:type="character" w:styleId="CommentReference">
    <w:name w:val="annotation reference"/>
    <w:basedOn w:val="DefaultParagraphFont"/>
    <w:locked/>
    <w:rsid w:val="00070BEC"/>
    <w:rPr>
      <w:sz w:val="16"/>
      <w:szCs w:val="16"/>
    </w:rPr>
  </w:style>
  <w:style w:type="paragraph" w:styleId="CommentText">
    <w:name w:val="annotation text"/>
    <w:basedOn w:val="Normal"/>
    <w:link w:val="CommentTextChar"/>
    <w:locked/>
    <w:rsid w:val="00070BEC"/>
    <w:rPr>
      <w:sz w:val="20"/>
    </w:rPr>
  </w:style>
  <w:style w:type="character" w:customStyle="1" w:styleId="CommentTextChar">
    <w:name w:val="Comment Text Char"/>
    <w:basedOn w:val="DefaultParagraphFont"/>
    <w:link w:val="CommentText"/>
    <w:rsid w:val="00070BEC"/>
    <w:rPr>
      <w:sz w:val="20"/>
    </w:rPr>
  </w:style>
  <w:style w:type="paragraph" w:styleId="CommentSubject">
    <w:name w:val="annotation subject"/>
    <w:basedOn w:val="CommentText"/>
    <w:next w:val="CommentText"/>
    <w:link w:val="CommentSubjectChar"/>
    <w:semiHidden/>
    <w:locked/>
    <w:rsid w:val="00070BEC"/>
    <w:rPr>
      <w:b/>
      <w:bCs/>
    </w:rPr>
  </w:style>
  <w:style w:type="character" w:customStyle="1" w:styleId="CommentSubjectChar">
    <w:name w:val="Comment Subject Char"/>
    <w:basedOn w:val="CommentTextChar"/>
    <w:link w:val="CommentSubject"/>
    <w:semiHidden/>
    <w:rsid w:val="00070BEC"/>
    <w:rPr>
      <w:b/>
      <w:bCs/>
      <w:sz w:val="20"/>
    </w:rPr>
  </w:style>
  <w:style w:type="paragraph" w:styleId="Revision">
    <w:name w:val="Revision"/>
    <w:hidden/>
    <w:semiHidden/>
    <w:locked/>
    <w:rsid w:val="00CD18B9"/>
  </w:style>
  <w:style w:type="paragraph" w:styleId="BodyText">
    <w:name w:val="Body Text"/>
    <w:basedOn w:val="Normal"/>
    <w:link w:val="BodyTextChar"/>
    <w:uiPriority w:val="1"/>
    <w:qFormat/>
    <w:locked/>
    <w:rsid w:val="007B3C0F"/>
    <w:pPr>
      <w:widowControl w:val="0"/>
      <w:autoSpaceDE w:val="0"/>
      <w:autoSpaceDN w:val="0"/>
      <w:spacing w:after="0"/>
      <w:jc w:val="left"/>
    </w:pPr>
    <w:rPr>
      <w:rFonts w:ascii="EC Square Sans Pro" w:eastAsia="EC Square Sans Pro" w:hAnsi="EC Square Sans Pro" w:cs="EC Square Sans Pro"/>
      <w:i/>
      <w:iCs/>
      <w:szCs w:val="24"/>
      <w:lang w:val="en-US" w:eastAsia="en-US"/>
    </w:rPr>
  </w:style>
  <w:style w:type="character" w:customStyle="1" w:styleId="BodyTextChar">
    <w:name w:val="Body Text Char"/>
    <w:basedOn w:val="DefaultParagraphFont"/>
    <w:link w:val="BodyText"/>
    <w:uiPriority w:val="1"/>
    <w:rsid w:val="007B3C0F"/>
    <w:rPr>
      <w:rFonts w:ascii="EC Square Sans Pro" w:eastAsia="EC Square Sans Pro" w:hAnsi="EC Square Sans Pro" w:cs="EC Square Sans Pro"/>
      <w:i/>
      <w:iCs/>
      <w:szCs w:val="24"/>
      <w:lang w:val="en-US" w:eastAsia="en-US"/>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qFormat/>
    <w:rsid w:val="007B3C0F"/>
    <w:rPr>
      <w:sz w:val="20"/>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7B3C0F"/>
    <w:pPr>
      <w:spacing w:after="160" w:line="240" w:lineRule="exact"/>
      <w:jc w:val="left"/>
    </w:pPr>
    <w:rPr>
      <w:vertAlign w:val="superscript"/>
    </w:rPr>
  </w:style>
  <w:style w:type="paragraph" w:customStyle="1" w:styleId="paragraph">
    <w:name w:val="paragraph"/>
    <w:basedOn w:val="Normal"/>
    <w:rsid w:val="002C1BCA"/>
    <w:pPr>
      <w:spacing w:before="100" w:beforeAutospacing="1" w:after="100" w:afterAutospacing="1"/>
      <w:jc w:val="left"/>
    </w:pPr>
    <w:rPr>
      <w:szCs w:val="24"/>
      <w:lang w:val="en-IE"/>
    </w:rPr>
  </w:style>
  <w:style w:type="character" w:customStyle="1" w:styleId="normaltextrun">
    <w:name w:val="normaltextrun"/>
    <w:basedOn w:val="DefaultParagraphFont"/>
    <w:rsid w:val="002C1BCA"/>
  </w:style>
  <w:style w:type="character" w:customStyle="1" w:styleId="eop">
    <w:name w:val="eop"/>
    <w:basedOn w:val="DefaultParagraphFont"/>
    <w:rsid w:val="002C1BCA"/>
  </w:style>
  <w:style w:type="character" w:customStyle="1" w:styleId="scxw200590120">
    <w:name w:val="scxw200590120"/>
    <w:basedOn w:val="DefaultParagraphFont"/>
    <w:rsid w:val="00EF3FD3"/>
  </w:style>
  <w:style w:type="character" w:customStyle="1" w:styleId="scxw161687572">
    <w:name w:val="scxw161687572"/>
    <w:basedOn w:val="DefaultParagraphFont"/>
    <w:rsid w:val="00D208D1"/>
  </w:style>
  <w:style w:type="paragraph" w:styleId="NormalWeb">
    <w:name w:val="Normal (Web)"/>
    <w:basedOn w:val="Normal"/>
    <w:uiPriority w:val="99"/>
    <w:semiHidden/>
    <w:unhideWhenUsed/>
    <w:locked/>
    <w:rsid w:val="0010123C"/>
    <w:pPr>
      <w:spacing w:before="100" w:beforeAutospacing="1" w:after="100" w:afterAutospacing="1"/>
      <w:jc w:val="left"/>
    </w:pPr>
    <w:rPr>
      <w:szCs w:val="24"/>
      <w:lang w:val="en-IE"/>
    </w:rPr>
  </w:style>
  <w:style w:type="paragraph" w:customStyle="1" w:styleId="pf0">
    <w:name w:val="pf0"/>
    <w:basedOn w:val="Normal"/>
    <w:rsid w:val="00E168FC"/>
    <w:pPr>
      <w:spacing w:before="100" w:beforeAutospacing="1" w:after="100" w:afterAutospacing="1"/>
      <w:jc w:val="left"/>
    </w:pPr>
    <w:rPr>
      <w:szCs w:val="24"/>
      <w:lang w:eastAsia="en-GB"/>
    </w:rPr>
  </w:style>
  <w:style w:type="character" w:customStyle="1" w:styleId="cf01">
    <w:name w:val="cf01"/>
    <w:basedOn w:val="DefaultParagraphFont"/>
    <w:rsid w:val="00E168FC"/>
    <w:rPr>
      <w:rFonts w:ascii="Segoe UI" w:hAnsi="Segoe UI" w:cs="Segoe UI" w:hint="default"/>
      <w:color w:val="0000FF"/>
      <w:sz w:val="18"/>
      <w:szCs w:val="18"/>
    </w:rPr>
  </w:style>
  <w:style w:type="character" w:styleId="Hyperlink">
    <w:name w:val="Hyperlink"/>
    <w:basedOn w:val="DefaultParagraphFont"/>
    <w:uiPriority w:val="99"/>
    <w:unhideWhenUsed/>
    <w:locked/>
    <w:rsid w:val="001379B9"/>
    <w:rPr>
      <w:color w:val="0000FF"/>
      <w:u w:val="single"/>
    </w:rPr>
  </w:style>
  <w:style w:type="paragraph" w:customStyle="1" w:styleId="Disclaimer">
    <w:name w:val="Disclaimer"/>
    <w:basedOn w:val="Normal"/>
    <w:rsid w:val="0092719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92719C"/>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92719C"/>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92719C"/>
    <w:pPr>
      <w:spacing w:after="0" w:line="276" w:lineRule="auto"/>
      <w:ind w:left="5103"/>
      <w:jc w:val="left"/>
    </w:pPr>
    <w:rPr>
      <w:rFonts w:eastAsiaTheme="minorHAnsi"/>
      <w:i/>
      <w:sz w:val="28"/>
      <w:szCs w:val="22"/>
      <w:lang w:eastAsia="en-US"/>
    </w:rPr>
  </w:style>
  <w:style w:type="character" w:styleId="Emphasis">
    <w:name w:val="Emphasis"/>
    <w:basedOn w:val="DefaultParagraphFont"/>
    <w:uiPriority w:val="20"/>
    <w:qFormat/>
    <w:locked/>
    <w:rsid w:val="0092719C"/>
    <w:rPr>
      <w:i/>
      <w:iCs/>
    </w:rPr>
  </w:style>
  <w:style w:type="character" w:customStyle="1" w:styleId="cf11">
    <w:name w:val="cf11"/>
    <w:basedOn w:val="DefaultParagraphFont"/>
    <w:rsid w:val="0092719C"/>
    <w:rPr>
      <w:rFonts w:ascii="Segoe UI" w:hAnsi="Segoe UI" w:cs="Segoe UI" w:hint="default"/>
      <w:sz w:val="18"/>
      <w:szCs w:val="18"/>
    </w:rPr>
  </w:style>
  <w:style w:type="character" w:customStyle="1" w:styleId="Mention">
    <w:name w:val="Mention"/>
    <w:basedOn w:val="DefaultParagraphFont"/>
    <w:uiPriority w:val="99"/>
    <w:unhideWhenUsed/>
    <w:locked/>
    <w:rsid w:val="00D32422"/>
    <w:rPr>
      <w:color w:val="2B579A"/>
      <w:shd w:val="clear" w:color="auto" w:fill="E6E6E6"/>
    </w:rPr>
  </w:style>
  <w:style w:type="paragraph" w:customStyle="1" w:styleId="title-bold">
    <w:name w:val="title-bold"/>
    <w:basedOn w:val="Normal"/>
    <w:rsid w:val="002140BE"/>
    <w:pPr>
      <w:spacing w:before="100" w:beforeAutospacing="1" w:after="100" w:afterAutospacing="1"/>
      <w:jc w:val="left"/>
    </w:pPr>
    <w:rPr>
      <w:szCs w:val="24"/>
      <w:lang w:eastAsia="en-GB"/>
    </w:rPr>
  </w:style>
  <w:style w:type="character" w:customStyle="1" w:styleId="Heading2Char">
    <w:name w:val="Heading 2 Char"/>
    <w:basedOn w:val="DefaultParagraphFont"/>
    <w:link w:val="Heading2"/>
    <w:uiPriority w:val="1"/>
    <w:rsid w:val="002140BE"/>
    <w:rPr>
      <w:b/>
    </w:rPr>
  </w:style>
  <w:style w:type="character" w:styleId="FollowedHyperlink">
    <w:name w:val="FollowedHyperlink"/>
    <w:basedOn w:val="DefaultParagraphFont"/>
    <w:semiHidden/>
    <w:locked/>
    <w:rsid w:val="00886F07"/>
    <w:rPr>
      <w:color w:val="954F72" w:themeColor="followedHyperlink"/>
      <w:u w:val="single"/>
    </w:rPr>
  </w:style>
  <w:style w:type="character" w:customStyle="1" w:styleId="UnresolvedMention">
    <w:name w:val="Unresolved Mention"/>
    <w:basedOn w:val="DefaultParagraphFont"/>
    <w:semiHidden/>
    <w:locked/>
    <w:rsid w:val="004E6B65"/>
    <w:rPr>
      <w:color w:val="605E5C"/>
      <w:shd w:val="clear" w:color="auto" w:fill="E1DFDD"/>
    </w:rPr>
  </w:style>
  <w:style w:type="character" w:customStyle="1" w:styleId="ui-provider">
    <w:name w:val="ui-provider"/>
    <w:basedOn w:val="DefaultParagraphFont"/>
    <w:rsid w:val="00C56F50"/>
  </w:style>
  <w:style w:type="character" w:customStyle="1" w:styleId="FooterChar">
    <w:name w:val="Footer Char"/>
    <w:basedOn w:val="DefaultParagraphFont"/>
    <w:link w:val="Footer"/>
    <w:uiPriority w:val="99"/>
    <w:rsid w:val="00D605C4"/>
    <w:rPr>
      <w:sz w:val="16"/>
    </w:rPr>
  </w:style>
  <w:style w:type="character" w:customStyle="1" w:styleId="ListParagraphChar">
    <w:name w:val="List Paragraph Char"/>
    <w:basedOn w:val="DefaultParagraphFont"/>
    <w:link w:val="ListParagraph"/>
    <w:uiPriority w:val="34"/>
    <w:locked/>
    <w:rsid w:val="00C12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239">
      <w:bodyDiv w:val="1"/>
      <w:marLeft w:val="0"/>
      <w:marRight w:val="0"/>
      <w:marTop w:val="0"/>
      <w:marBottom w:val="0"/>
      <w:divBdr>
        <w:top w:val="none" w:sz="0" w:space="0" w:color="auto"/>
        <w:left w:val="none" w:sz="0" w:space="0" w:color="auto"/>
        <w:bottom w:val="none" w:sz="0" w:space="0" w:color="auto"/>
        <w:right w:val="none" w:sz="0" w:space="0" w:color="auto"/>
      </w:divBdr>
      <w:divsChild>
        <w:div w:id="178079570">
          <w:marLeft w:val="1166"/>
          <w:marRight w:val="0"/>
          <w:marTop w:val="67"/>
          <w:marBottom w:val="0"/>
          <w:divBdr>
            <w:top w:val="none" w:sz="0" w:space="0" w:color="auto"/>
            <w:left w:val="none" w:sz="0" w:space="0" w:color="auto"/>
            <w:bottom w:val="none" w:sz="0" w:space="0" w:color="auto"/>
            <w:right w:val="none" w:sz="0" w:space="0" w:color="auto"/>
          </w:divBdr>
        </w:div>
        <w:div w:id="213467964">
          <w:marLeft w:val="1166"/>
          <w:marRight w:val="0"/>
          <w:marTop w:val="67"/>
          <w:marBottom w:val="0"/>
          <w:divBdr>
            <w:top w:val="none" w:sz="0" w:space="0" w:color="auto"/>
            <w:left w:val="none" w:sz="0" w:space="0" w:color="auto"/>
            <w:bottom w:val="none" w:sz="0" w:space="0" w:color="auto"/>
            <w:right w:val="none" w:sz="0" w:space="0" w:color="auto"/>
          </w:divBdr>
        </w:div>
        <w:div w:id="248849935">
          <w:marLeft w:val="1166"/>
          <w:marRight w:val="0"/>
          <w:marTop w:val="67"/>
          <w:marBottom w:val="0"/>
          <w:divBdr>
            <w:top w:val="none" w:sz="0" w:space="0" w:color="auto"/>
            <w:left w:val="none" w:sz="0" w:space="0" w:color="auto"/>
            <w:bottom w:val="none" w:sz="0" w:space="0" w:color="auto"/>
            <w:right w:val="none" w:sz="0" w:space="0" w:color="auto"/>
          </w:divBdr>
        </w:div>
        <w:div w:id="325398036">
          <w:marLeft w:val="1166"/>
          <w:marRight w:val="0"/>
          <w:marTop w:val="67"/>
          <w:marBottom w:val="0"/>
          <w:divBdr>
            <w:top w:val="none" w:sz="0" w:space="0" w:color="auto"/>
            <w:left w:val="none" w:sz="0" w:space="0" w:color="auto"/>
            <w:bottom w:val="none" w:sz="0" w:space="0" w:color="auto"/>
            <w:right w:val="none" w:sz="0" w:space="0" w:color="auto"/>
          </w:divBdr>
        </w:div>
      </w:divsChild>
    </w:div>
    <w:div w:id="48115842">
      <w:bodyDiv w:val="1"/>
      <w:marLeft w:val="0"/>
      <w:marRight w:val="0"/>
      <w:marTop w:val="0"/>
      <w:marBottom w:val="0"/>
      <w:divBdr>
        <w:top w:val="none" w:sz="0" w:space="0" w:color="auto"/>
        <w:left w:val="none" w:sz="0" w:space="0" w:color="auto"/>
        <w:bottom w:val="none" w:sz="0" w:space="0" w:color="auto"/>
        <w:right w:val="none" w:sz="0" w:space="0" w:color="auto"/>
      </w:divBdr>
    </w:div>
    <w:div w:id="121775696">
      <w:bodyDiv w:val="1"/>
      <w:marLeft w:val="0"/>
      <w:marRight w:val="0"/>
      <w:marTop w:val="0"/>
      <w:marBottom w:val="0"/>
      <w:divBdr>
        <w:top w:val="none" w:sz="0" w:space="0" w:color="auto"/>
        <w:left w:val="none" w:sz="0" w:space="0" w:color="auto"/>
        <w:bottom w:val="none" w:sz="0" w:space="0" w:color="auto"/>
        <w:right w:val="none" w:sz="0" w:space="0" w:color="auto"/>
      </w:divBdr>
      <w:divsChild>
        <w:div w:id="37631879">
          <w:marLeft w:val="446"/>
          <w:marRight w:val="0"/>
          <w:marTop w:val="58"/>
          <w:marBottom w:val="0"/>
          <w:divBdr>
            <w:top w:val="none" w:sz="0" w:space="0" w:color="auto"/>
            <w:left w:val="none" w:sz="0" w:space="0" w:color="auto"/>
            <w:bottom w:val="none" w:sz="0" w:space="0" w:color="auto"/>
            <w:right w:val="none" w:sz="0" w:space="0" w:color="auto"/>
          </w:divBdr>
        </w:div>
        <w:div w:id="738600853">
          <w:marLeft w:val="1166"/>
          <w:marRight w:val="0"/>
          <w:marTop w:val="58"/>
          <w:marBottom w:val="0"/>
          <w:divBdr>
            <w:top w:val="none" w:sz="0" w:space="0" w:color="auto"/>
            <w:left w:val="none" w:sz="0" w:space="0" w:color="auto"/>
            <w:bottom w:val="none" w:sz="0" w:space="0" w:color="auto"/>
            <w:right w:val="none" w:sz="0" w:space="0" w:color="auto"/>
          </w:divBdr>
        </w:div>
        <w:div w:id="930895128">
          <w:marLeft w:val="1166"/>
          <w:marRight w:val="0"/>
          <w:marTop w:val="58"/>
          <w:marBottom w:val="0"/>
          <w:divBdr>
            <w:top w:val="none" w:sz="0" w:space="0" w:color="auto"/>
            <w:left w:val="none" w:sz="0" w:space="0" w:color="auto"/>
            <w:bottom w:val="none" w:sz="0" w:space="0" w:color="auto"/>
            <w:right w:val="none" w:sz="0" w:space="0" w:color="auto"/>
          </w:divBdr>
        </w:div>
        <w:div w:id="950553101">
          <w:marLeft w:val="1166"/>
          <w:marRight w:val="0"/>
          <w:marTop w:val="58"/>
          <w:marBottom w:val="0"/>
          <w:divBdr>
            <w:top w:val="none" w:sz="0" w:space="0" w:color="auto"/>
            <w:left w:val="none" w:sz="0" w:space="0" w:color="auto"/>
            <w:bottom w:val="none" w:sz="0" w:space="0" w:color="auto"/>
            <w:right w:val="none" w:sz="0" w:space="0" w:color="auto"/>
          </w:divBdr>
        </w:div>
        <w:div w:id="1013730139">
          <w:marLeft w:val="1166"/>
          <w:marRight w:val="0"/>
          <w:marTop w:val="58"/>
          <w:marBottom w:val="0"/>
          <w:divBdr>
            <w:top w:val="none" w:sz="0" w:space="0" w:color="auto"/>
            <w:left w:val="none" w:sz="0" w:space="0" w:color="auto"/>
            <w:bottom w:val="none" w:sz="0" w:space="0" w:color="auto"/>
            <w:right w:val="none" w:sz="0" w:space="0" w:color="auto"/>
          </w:divBdr>
        </w:div>
        <w:div w:id="1020938713">
          <w:marLeft w:val="1166"/>
          <w:marRight w:val="0"/>
          <w:marTop w:val="58"/>
          <w:marBottom w:val="0"/>
          <w:divBdr>
            <w:top w:val="none" w:sz="0" w:space="0" w:color="auto"/>
            <w:left w:val="none" w:sz="0" w:space="0" w:color="auto"/>
            <w:bottom w:val="none" w:sz="0" w:space="0" w:color="auto"/>
            <w:right w:val="none" w:sz="0" w:space="0" w:color="auto"/>
          </w:divBdr>
        </w:div>
        <w:div w:id="1589659213">
          <w:marLeft w:val="1166"/>
          <w:marRight w:val="0"/>
          <w:marTop w:val="58"/>
          <w:marBottom w:val="0"/>
          <w:divBdr>
            <w:top w:val="none" w:sz="0" w:space="0" w:color="auto"/>
            <w:left w:val="none" w:sz="0" w:space="0" w:color="auto"/>
            <w:bottom w:val="none" w:sz="0" w:space="0" w:color="auto"/>
            <w:right w:val="none" w:sz="0" w:space="0" w:color="auto"/>
          </w:divBdr>
        </w:div>
      </w:divsChild>
    </w:div>
    <w:div w:id="122694679">
      <w:bodyDiv w:val="1"/>
      <w:marLeft w:val="0"/>
      <w:marRight w:val="0"/>
      <w:marTop w:val="0"/>
      <w:marBottom w:val="0"/>
      <w:divBdr>
        <w:top w:val="none" w:sz="0" w:space="0" w:color="auto"/>
        <w:left w:val="none" w:sz="0" w:space="0" w:color="auto"/>
        <w:bottom w:val="none" w:sz="0" w:space="0" w:color="auto"/>
        <w:right w:val="none" w:sz="0" w:space="0" w:color="auto"/>
      </w:divBdr>
      <w:divsChild>
        <w:div w:id="668944533">
          <w:marLeft w:val="547"/>
          <w:marRight w:val="0"/>
          <w:marTop w:val="58"/>
          <w:marBottom w:val="0"/>
          <w:divBdr>
            <w:top w:val="none" w:sz="0" w:space="0" w:color="auto"/>
            <w:left w:val="none" w:sz="0" w:space="0" w:color="auto"/>
            <w:bottom w:val="none" w:sz="0" w:space="0" w:color="auto"/>
            <w:right w:val="none" w:sz="0" w:space="0" w:color="auto"/>
          </w:divBdr>
        </w:div>
        <w:div w:id="808522282">
          <w:marLeft w:val="547"/>
          <w:marRight w:val="0"/>
          <w:marTop w:val="58"/>
          <w:marBottom w:val="0"/>
          <w:divBdr>
            <w:top w:val="none" w:sz="0" w:space="0" w:color="auto"/>
            <w:left w:val="none" w:sz="0" w:space="0" w:color="auto"/>
            <w:bottom w:val="none" w:sz="0" w:space="0" w:color="auto"/>
            <w:right w:val="none" w:sz="0" w:space="0" w:color="auto"/>
          </w:divBdr>
        </w:div>
        <w:div w:id="1704013545">
          <w:marLeft w:val="547"/>
          <w:marRight w:val="0"/>
          <w:marTop w:val="58"/>
          <w:marBottom w:val="0"/>
          <w:divBdr>
            <w:top w:val="none" w:sz="0" w:space="0" w:color="auto"/>
            <w:left w:val="none" w:sz="0" w:space="0" w:color="auto"/>
            <w:bottom w:val="none" w:sz="0" w:space="0" w:color="auto"/>
            <w:right w:val="none" w:sz="0" w:space="0" w:color="auto"/>
          </w:divBdr>
        </w:div>
        <w:div w:id="1906338037">
          <w:marLeft w:val="547"/>
          <w:marRight w:val="0"/>
          <w:marTop w:val="58"/>
          <w:marBottom w:val="0"/>
          <w:divBdr>
            <w:top w:val="none" w:sz="0" w:space="0" w:color="auto"/>
            <w:left w:val="none" w:sz="0" w:space="0" w:color="auto"/>
            <w:bottom w:val="none" w:sz="0" w:space="0" w:color="auto"/>
            <w:right w:val="none" w:sz="0" w:space="0" w:color="auto"/>
          </w:divBdr>
        </w:div>
        <w:div w:id="2066753357">
          <w:marLeft w:val="547"/>
          <w:marRight w:val="0"/>
          <w:marTop w:val="58"/>
          <w:marBottom w:val="0"/>
          <w:divBdr>
            <w:top w:val="none" w:sz="0" w:space="0" w:color="auto"/>
            <w:left w:val="none" w:sz="0" w:space="0" w:color="auto"/>
            <w:bottom w:val="none" w:sz="0" w:space="0" w:color="auto"/>
            <w:right w:val="none" w:sz="0" w:space="0" w:color="auto"/>
          </w:divBdr>
        </w:div>
      </w:divsChild>
    </w:div>
    <w:div w:id="166211638">
      <w:bodyDiv w:val="1"/>
      <w:marLeft w:val="0"/>
      <w:marRight w:val="0"/>
      <w:marTop w:val="0"/>
      <w:marBottom w:val="0"/>
      <w:divBdr>
        <w:top w:val="none" w:sz="0" w:space="0" w:color="auto"/>
        <w:left w:val="none" w:sz="0" w:space="0" w:color="auto"/>
        <w:bottom w:val="none" w:sz="0" w:space="0" w:color="auto"/>
        <w:right w:val="none" w:sz="0" w:space="0" w:color="auto"/>
      </w:divBdr>
      <w:divsChild>
        <w:div w:id="391656392">
          <w:marLeft w:val="446"/>
          <w:marRight w:val="0"/>
          <w:marTop w:val="58"/>
          <w:marBottom w:val="0"/>
          <w:divBdr>
            <w:top w:val="none" w:sz="0" w:space="0" w:color="auto"/>
            <w:left w:val="none" w:sz="0" w:space="0" w:color="auto"/>
            <w:bottom w:val="none" w:sz="0" w:space="0" w:color="auto"/>
            <w:right w:val="none" w:sz="0" w:space="0" w:color="auto"/>
          </w:divBdr>
        </w:div>
        <w:div w:id="1098865850">
          <w:marLeft w:val="1166"/>
          <w:marRight w:val="0"/>
          <w:marTop w:val="58"/>
          <w:marBottom w:val="0"/>
          <w:divBdr>
            <w:top w:val="none" w:sz="0" w:space="0" w:color="auto"/>
            <w:left w:val="none" w:sz="0" w:space="0" w:color="auto"/>
            <w:bottom w:val="none" w:sz="0" w:space="0" w:color="auto"/>
            <w:right w:val="none" w:sz="0" w:space="0" w:color="auto"/>
          </w:divBdr>
        </w:div>
        <w:div w:id="1190218354">
          <w:marLeft w:val="1166"/>
          <w:marRight w:val="0"/>
          <w:marTop w:val="58"/>
          <w:marBottom w:val="0"/>
          <w:divBdr>
            <w:top w:val="none" w:sz="0" w:space="0" w:color="auto"/>
            <w:left w:val="none" w:sz="0" w:space="0" w:color="auto"/>
            <w:bottom w:val="none" w:sz="0" w:space="0" w:color="auto"/>
            <w:right w:val="none" w:sz="0" w:space="0" w:color="auto"/>
          </w:divBdr>
        </w:div>
        <w:div w:id="1469473935">
          <w:marLeft w:val="1166"/>
          <w:marRight w:val="0"/>
          <w:marTop w:val="58"/>
          <w:marBottom w:val="0"/>
          <w:divBdr>
            <w:top w:val="none" w:sz="0" w:space="0" w:color="auto"/>
            <w:left w:val="none" w:sz="0" w:space="0" w:color="auto"/>
            <w:bottom w:val="none" w:sz="0" w:space="0" w:color="auto"/>
            <w:right w:val="none" w:sz="0" w:space="0" w:color="auto"/>
          </w:divBdr>
        </w:div>
        <w:div w:id="1494298567">
          <w:marLeft w:val="1166"/>
          <w:marRight w:val="0"/>
          <w:marTop w:val="58"/>
          <w:marBottom w:val="0"/>
          <w:divBdr>
            <w:top w:val="none" w:sz="0" w:space="0" w:color="auto"/>
            <w:left w:val="none" w:sz="0" w:space="0" w:color="auto"/>
            <w:bottom w:val="none" w:sz="0" w:space="0" w:color="auto"/>
            <w:right w:val="none" w:sz="0" w:space="0" w:color="auto"/>
          </w:divBdr>
        </w:div>
        <w:div w:id="2092924172">
          <w:marLeft w:val="1166"/>
          <w:marRight w:val="0"/>
          <w:marTop w:val="58"/>
          <w:marBottom w:val="0"/>
          <w:divBdr>
            <w:top w:val="none" w:sz="0" w:space="0" w:color="auto"/>
            <w:left w:val="none" w:sz="0" w:space="0" w:color="auto"/>
            <w:bottom w:val="none" w:sz="0" w:space="0" w:color="auto"/>
            <w:right w:val="none" w:sz="0" w:space="0" w:color="auto"/>
          </w:divBdr>
        </w:div>
        <w:div w:id="2135903914">
          <w:marLeft w:val="1166"/>
          <w:marRight w:val="0"/>
          <w:marTop w:val="58"/>
          <w:marBottom w:val="0"/>
          <w:divBdr>
            <w:top w:val="none" w:sz="0" w:space="0" w:color="auto"/>
            <w:left w:val="none" w:sz="0" w:space="0" w:color="auto"/>
            <w:bottom w:val="none" w:sz="0" w:space="0" w:color="auto"/>
            <w:right w:val="none" w:sz="0" w:space="0" w:color="auto"/>
          </w:divBdr>
        </w:div>
      </w:divsChild>
    </w:div>
    <w:div w:id="201674351">
      <w:bodyDiv w:val="1"/>
      <w:marLeft w:val="0"/>
      <w:marRight w:val="0"/>
      <w:marTop w:val="0"/>
      <w:marBottom w:val="0"/>
      <w:divBdr>
        <w:top w:val="none" w:sz="0" w:space="0" w:color="auto"/>
        <w:left w:val="none" w:sz="0" w:space="0" w:color="auto"/>
        <w:bottom w:val="none" w:sz="0" w:space="0" w:color="auto"/>
        <w:right w:val="none" w:sz="0" w:space="0" w:color="auto"/>
      </w:divBdr>
    </w:div>
    <w:div w:id="209263967">
      <w:bodyDiv w:val="1"/>
      <w:marLeft w:val="0"/>
      <w:marRight w:val="0"/>
      <w:marTop w:val="0"/>
      <w:marBottom w:val="0"/>
      <w:divBdr>
        <w:top w:val="none" w:sz="0" w:space="0" w:color="auto"/>
        <w:left w:val="none" w:sz="0" w:space="0" w:color="auto"/>
        <w:bottom w:val="none" w:sz="0" w:space="0" w:color="auto"/>
        <w:right w:val="none" w:sz="0" w:space="0" w:color="auto"/>
      </w:divBdr>
      <w:divsChild>
        <w:div w:id="27800393">
          <w:marLeft w:val="547"/>
          <w:marRight w:val="0"/>
          <w:marTop w:val="82"/>
          <w:marBottom w:val="0"/>
          <w:divBdr>
            <w:top w:val="none" w:sz="0" w:space="0" w:color="auto"/>
            <w:left w:val="none" w:sz="0" w:space="0" w:color="auto"/>
            <w:bottom w:val="none" w:sz="0" w:space="0" w:color="auto"/>
            <w:right w:val="none" w:sz="0" w:space="0" w:color="auto"/>
          </w:divBdr>
        </w:div>
        <w:div w:id="125900733">
          <w:marLeft w:val="547"/>
          <w:marRight w:val="0"/>
          <w:marTop w:val="82"/>
          <w:marBottom w:val="0"/>
          <w:divBdr>
            <w:top w:val="none" w:sz="0" w:space="0" w:color="auto"/>
            <w:left w:val="none" w:sz="0" w:space="0" w:color="auto"/>
            <w:bottom w:val="none" w:sz="0" w:space="0" w:color="auto"/>
            <w:right w:val="none" w:sz="0" w:space="0" w:color="auto"/>
          </w:divBdr>
        </w:div>
        <w:div w:id="126748837">
          <w:marLeft w:val="547"/>
          <w:marRight w:val="0"/>
          <w:marTop w:val="82"/>
          <w:marBottom w:val="0"/>
          <w:divBdr>
            <w:top w:val="none" w:sz="0" w:space="0" w:color="auto"/>
            <w:left w:val="none" w:sz="0" w:space="0" w:color="auto"/>
            <w:bottom w:val="none" w:sz="0" w:space="0" w:color="auto"/>
            <w:right w:val="none" w:sz="0" w:space="0" w:color="auto"/>
          </w:divBdr>
        </w:div>
        <w:div w:id="630944180">
          <w:marLeft w:val="547"/>
          <w:marRight w:val="0"/>
          <w:marTop w:val="82"/>
          <w:marBottom w:val="0"/>
          <w:divBdr>
            <w:top w:val="none" w:sz="0" w:space="0" w:color="auto"/>
            <w:left w:val="none" w:sz="0" w:space="0" w:color="auto"/>
            <w:bottom w:val="none" w:sz="0" w:space="0" w:color="auto"/>
            <w:right w:val="none" w:sz="0" w:space="0" w:color="auto"/>
          </w:divBdr>
        </w:div>
        <w:div w:id="651368426">
          <w:marLeft w:val="547"/>
          <w:marRight w:val="0"/>
          <w:marTop w:val="82"/>
          <w:marBottom w:val="0"/>
          <w:divBdr>
            <w:top w:val="none" w:sz="0" w:space="0" w:color="auto"/>
            <w:left w:val="none" w:sz="0" w:space="0" w:color="auto"/>
            <w:bottom w:val="none" w:sz="0" w:space="0" w:color="auto"/>
            <w:right w:val="none" w:sz="0" w:space="0" w:color="auto"/>
          </w:divBdr>
        </w:div>
      </w:divsChild>
    </w:div>
    <w:div w:id="214583995">
      <w:bodyDiv w:val="1"/>
      <w:marLeft w:val="0"/>
      <w:marRight w:val="0"/>
      <w:marTop w:val="0"/>
      <w:marBottom w:val="0"/>
      <w:divBdr>
        <w:top w:val="none" w:sz="0" w:space="0" w:color="auto"/>
        <w:left w:val="none" w:sz="0" w:space="0" w:color="auto"/>
        <w:bottom w:val="none" w:sz="0" w:space="0" w:color="auto"/>
        <w:right w:val="none" w:sz="0" w:space="0" w:color="auto"/>
      </w:divBdr>
    </w:div>
    <w:div w:id="229578947">
      <w:bodyDiv w:val="1"/>
      <w:marLeft w:val="0"/>
      <w:marRight w:val="0"/>
      <w:marTop w:val="0"/>
      <w:marBottom w:val="0"/>
      <w:divBdr>
        <w:top w:val="none" w:sz="0" w:space="0" w:color="auto"/>
        <w:left w:val="none" w:sz="0" w:space="0" w:color="auto"/>
        <w:bottom w:val="none" w:sz="0" w:space="0" w:color="auto"/>
        <w:right w:val="none" w:sz="0" w:space="0" w:color="auto"/>
      </w:divBdr>
      <w:divsChild>
        <w:div w:id="207104967">
          <w:marLeft w:val="1267"/>
          <w:marRight w:val="0"/>
          <w:marTop w:val="58"/>
          <w:marBottom w:val="0"/>
          <w:divBdr>
            <w:top w:val="none" w:sz="0" w:space="0" w:color="auto"/>
            <w:left w:val="none" w:sz="0" w:space="0" w:color="auto"/>
            <w:bottom w:val="none" w:sz="0" w:space="0" w:color="auto"/>
            <w:right w:val="none" w:sz="0" w:space="0" w:color="auto"/>
          </w:divBdr>
        </w:div>
        <w:div w:id="915819496">
          <w:marLeft w:val="1267"/>
          <w:marRight w:val="0"/>
          <w:marTop w:val="58"/>
          <w:marBottom w:val="0"/>
          <w:divBdr>
            <w:top w:val="none" w:sz="0" w:space="0" w:color="auto"/>
            <w:left w:val="none" w:sz="0" w:space="0" w:color="auto"/>
            <w:bottom w:val="none" w:sz="0" w:space="0" w:color="auto"/>
            <w:right w:val="none" w:sz="0" w:space="0" w:color="auto"/>
          </w:divBdr>
        </w:div>
      </w:divsChild>
    </w:div>
    <w:div w:id="250624691">
      <w:bodyDiv w:val="1"/>
      <w:marLeft w:val="0"/>
      <w:marRight w:val="0"/>
      <w:marTop w:val="0"/>
      <w:marBottom w:val="0"/>
      <w:divBdr>
        <w:top w:val="none" w:sz="0" w:space="0" w:color="auto"/>
        <w:left w:val="none" w:sz="0" w:space="0" w:color="auto"/>
        <w:bottom w:val="none" w:sz="0" w:space="0" w:color="auto"/>
        <w:right w:val="none" w:sz="0" w:space="0" w:color="auto"/>
      </w:divBdr>
    </w:div>
    <w:div w:id="313535381">
      <w:bodyDiv w:val="1"/>
      <w:marLeft w:val="0"/>
      <w:marRight w:val="0"/>
      <w:marTop w:val="0"/>
      <w:marBottom w:val="0"/>
      <w:divBdr>
        <w:top w:val="none" w:sz="0" w:space="0" w:color="auto"/>
        <w:left w:val="none" w:sz="0" w:space="0" w:color="auto"/>
        <w:bottom w:val="none" w:sz="0" w:space="0" w:color="auto"/>
        <w:right w:val="none" w:sz="0" w:space="0" w:color="auto"/>
      </w:divBdr>
    </w:div>
    <w:div w:id="413432282">
      <w:bodyDiv w:val="1"/>
      <w:marLeft w:val="0"/>
      <w:marRight w:val="0"/>
      <w:marTop w:val="0"/>
      <w:marBottom w:val="0"/>
      <w:divBdr>
        <w:top w:val="none" w:sz="0" w:space="0" w:color="auto"/>
        <w:left w:val="none" w:sz="0" w:space="0" w:color="auto"/>
        <w:bottom w:val="none" w:sz="0" w:space="0" w:color="auto"/>
        <w:right w:val="none" w:sz="0" w:space="0" w:color="auto"/>
      </w:divBdr>
      <w:divsChild>
        <w:div w:id="651645037">
          <w:marLeft w:val="446"/>
          <w:marRight w:val="0"/>
          <w:marTop w:val="58"/>
          <w:marBottom w:val="0"/>
          <w:divBdr>
            <w:top w:val="none" w:sz="0" w:space="0" w:color="auto"/>
            <w:left w:val="none" w:sz="0" w:space="0" w:color="auto"/>
            <w:bottom w:val="none" w:sz="0" w:space="0" w:color="auto"/>
            <w:right w:val="none" w:sz="0" w:space="0" w:color="auto"/>
          </w:divBdr>
        </w:div>
        <w:div w:id="985939386">
          <w:marLeft w:val="446"/>
          <w:marRight w:val="0"/>
          <w:marTop w:val="58"/>
          <w:marBottom w:val="0"/>
          <w:divBdr>
            <w:top w:val="none" w:sz="0" w:space="0" w:color="auto"/>
            <w:left w:val="none" w:sz="0" w:space="0" w:color="auto"/>
            <w:bottom w:val="none" w:sz="0" w:space="0" w:color="auto"/>
            <w:right w:val="none" w:sz="0" w:space="0" w:color="auto"/>
          </w:divBdr>
        </w:div>
        <w:div w:id="1491142674">
          <w:marLeft w:val="446"/>
          <w:marRight w:val="0"/>
          <w:marTop w:val="58"/>
          <w:marBottom w:val="0"/>
          <w:divBdr>
            <w:top w:val="none" w:sz="0" w:space="0" w:color="auto"/>
            <w:left w:val="none" w:sz="0" w:space="0" w:color="auto"/>
            <w:bottom w:val="none" w:sz="0" w:space="0" w:color="auto"/>
            <w:right w:val="none" w:sz="0" w:space="0" w:color="auto"/>
          </w:divBdr>
        </w:div>
        <w:div w:id="2037920867">
          <w:marLeft w:val="446"/>
          <w:marRight w:val="0"/>
          <w:marTop w:val="58"/>
          <w:marBottom w:val="0"/>
          <w:divBdr>
            <w:top w:val="none" w:sz="0" w:space="0" w:color="auto"/>
            <w:left w:val="none" w:sz="0" w:space="0" w:color="auto"/>
            <w:bottom w:val="none" w:sz="0" w:space="0" w:color="auto"/>
            <w:right w:val="none" w:sz="0" w:space="0" w:color="auto"/>
          </w:divBdr>
        </w:div>
      </w:divsChild>
    </w:div>
    <w:div w:id="424425786">
      <w:bodyDiv w:val="1"/>
      <w:marLeft w:val="0"/>
      <w:marRight w:val="0"/>
      <w:marTop w:val="0"/>
      <w:marBottom w:val="0"/>
      <w:divBdr>
        <w:top w:val="none" w:sz="0" w:space="0" w:color="auto"/>
        <w:left w:val="none" w:sz="0" w:space="0" w:color="auto"/>
        <w:bottom w:val="none" w:sz="0" w:space="0" w:color="auto"/>
        <w:right w:val="none" w:sz="0" w:space="0" w:color="auto"/>
      </w:divBdr>
    </w:div>
    <w:div w:id="434908915">
      <w:bodyDiv w:val="1"/>
      <w:marLeft w:val="0"/>
      <w:marRight w:val="0"/>
      <w:marTop w:val="0"/>
      <w:marBottom w:val="0"/>
      <w:divBdr>
        <w:top w:val="none" w:sz="0" w:space="0" w:color="auto"/>
        <w:left w:val="none" w:sz="0" w:space="0" w:color="auto"/>
        <w:bottom w:val="none" w:sz="0" w:space="0" w:color="auto"/>
        <w:right w:val="none" w:sz="0" w:space="0" w:color="auto"/>
      </w:divBdr>
      <w:divsChild>
        <w:div w:id="870267395">
          <w:marLeft w:val="547"/>
          <w:marRight w:val="0"/>
          <w:marTop w:val="72"/>
          <w:marBottom w:val="0"/>
          <w:divBdr>
            <w:top w:val="none" w:sz="0" w:space="0" w:color="auto"/>
            <w:left w:val="none" w:sz="0" w:space="0" w:color="auto"/>
            <w:bottom w:val="none" w:sz="0" w:space="0" w:color="auto"/>
            <w:right w:val="none" w:sz="0" w:space="0" w:color="auto"/>
          </w:divBdr>
        </w:div>
        <w:div w:id="1832258320">
          <w:marLeft w:val="547"/>
          <w:marRight w:val="0"/>
          <w:marTop w:val="72"/>
          <w:marBottom w:val="0"/>
          <w:divBdr>
            <w:top w:val="none" w:sz="0" w:space="0" w:color="auto"/>
            <w:left w:val="none" w:sz="0" w:space="0" w:color="auto"/>
            <w:bottom w:val="none" w:sz="0" w:space="0" w:color="auto"/>
            <w:right w:val="none" w:sz="0" w:space="0" w:color="auto"/>
          </w:divBdr>
        </w:div>
        <w:div w:id="1923879297">
          <w:marLeft w:val="547"/>
          <w:marRight w:val="0"/>
          <w:marTop w:val="72"/>
          <w:marBottom w:val="0"/>
          <w:divBdr>
            <w:top w:val="none" w:sz="0" w:space="0" w:color="auto"/>
            <w:left w:val="none" w:sz="0" w:space="0" w:color="auto"/>
            <w:bottom w:val="none" w:sz="0" w:space="0" w:color="auto"/>
            <w:right w:val="none" w:sz="0" w:space="0" w:color="auto"/>
          </w:divBdr>
        </w:div>
      </w:divsChild>
    </w:div>
    <w:div w:id="445999675">
      <w:bodyDiv w:val="1"/>
      <w:marLeft w:val="0"/>
      <w:marRight w:val="0"/>
      <w:marTop w:val="0"/>
      <w:marBottom w:val="0"/>
      <w:divBdr>
        <w:top w:val="none" w:sz="0" w:space="0" w:color="auto"/>
        <w:left w:val="none" w:sz="0" w:space="0" w:color="auto"/>
        <w:bottom w:val="none" w:sz="0" w:space="0" w:color="auto"/>
        <w:right w:val="none" w:sz="0" w:space="0" w:color="auto"/>
      </w:divBdr>
    </w:div>
    <w:div w:id="48262795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0">
          <w:marLeft w:val="1267"/>
          <w:marRight w:val="0"/>
          <w:marTop w:val="58"/>
          <w:marBottom w:val="0"/>
          <w:divBdr>
            <w:top w:val="none" w:sz="0" w:space="0" w:color="auto"/>
            <w:left w:val="none" w:sz="0" w:space="0" w:color="auto"/>
            <w:bottom w:val="none" w:sz="0" w:space="0" w:color="auto"/>
            <w:right w:val="none" w:sz="0" w:space="0" w:color="auto"/>
          </w:divBdr>
        </w:div>
        <w:div w:id="1148744644">
          <w:marLeft w:val="1267"/>
          <w:marRight w:val="0"/>
          <w:marTop w:val="58"/>
          <w:marBottom w:val="0"/>
          <w:divBdr>
            <w:top w:val="none" w:sz="0" w:space="0" w:color="auto"/>
            <w:left w:val="none" w:sz="0" w:space="0" w:color="auto"/>
            <w:bottom w:val="none" w:sz="0" w:space="0" w:color="auto"/>
            <w:right w:val="none" w:sz="0" w:space="0" w:color="auto"/>
          </w:divBdr>
        </w:div>
        <w:div w:id="1514035374">
          <w:marLeft w:val="1267"/>
          <w:marRight w:val="0"/>
          <w:marTop w:val="58"/>
          <w:marBottom w:val="0"/>
          <w:divBdr>
            <w:top w:val="none" w:sz="0" w:space="0" w:color="auto"/>
            <w:left w:val="none" w:sz="0" w:space="0" w:color="auto"/>
            <w:bottom w:val="none" w:sz="0" w:space="0" w:color="auto"/>
            <w:right w:val="none" w:sz="0" w:space="0" w:color="auto"/>
          </w:divBdr>
        </w:div>
        <w:div w:id="1533301698">
          <w:marLeft w:val="1267"/>
          <w:marRight w:val="0"/>
          <w:marTop w:val="58"/>
          <w:marBottom w:val="0"/>
          <w:divBdr>
            <w:top w:val="none" w:sz="0" w:space="0" w:color="auto"/>
            <w:left w:val="none" w:sz="0" w:space="0" w:color="auto"/>
            <w:bottom w:val="none" w:sz="0" w:space="0" w:color="auto"/>
            <w:right w:val="none" w:sz="0" w:space="0" w:color="auto"/>
          </w:divBdr>
        </w:div>
        <w:div w:id="2054841962">
          <w:marLeft w:val="1267"/>
          <w:marRight w:val="0"/>
          <w:marTop w:val="58"/>
          <w:marBottom w:val="0"/>
          <w:divBdr>
            <w:top w:val="none" w:sz="0" w:space="0" w:color="auto"/>
            <w:left w:val="none" w:sz="0" w:space="0" w:color="auto"/>
            <w:bottom w:val="none" w:sz="0" w:space="0" w:color="auto"/>
            <w:right w:val="none" w:sz="0" w:space="0" w:color="auto"/>
          </w:divBdr>
        </w:div>
      </w:divsChild>
    </w:div>
    <w:div w:id="505749863">
      <w:bodyDiv w:val="1"/>
      <w:marLeft w:val="0"/>
      <w:marRight w:val="0"/>
      <w:marTop w:val="0"/>
      <w:marBottom w:val="0"/>
      <w:divBdr>
        <w:top w:val="none" w:sz="0" w:space="0" w:color="auto"/>
        <w:left w:val="none" w:sz="0" w:space="0" w:color="auto"/>
        <w:bottom w:val="none" w:sz="0" w:space="0" w:color="auto"/>
        <w:right w:val="none" w:sz="0" w:space="0" w:color="auto"/>
      </w:divBdr>
      <w:divsChild>
        <w:div w:id="617638874">
          <w:marLeft w:val="1267"/>
          <w:marRight w:val="0"/>
          <w:marTop w:val="58"/>
          <w:marBottom w:val="0"/>
          <w:divBdr>
            <w:top w:val="none" w:sz="0" w:space="0" w:color="auto"/>
            <w:left w:val="none" w:sz="0" w:space="0" w:color="auto"/>
            <w:bottom w:val="none" w:sz="0" w:space="0" w:color="auto"/>
            <w:right w:val="none" w:sz="0" w:space="0" w:color="auto"/>
          </w:divBdr>
        </w:div>
        <w:div w:id="935358970">
          <w:marLeft w:val="1166"/>
          <w:marRight w:val="0"/>
          <w:marTop w:val="58"/>
          <w:marBottom w:val="0"/>
          <w:divBdr>
            <w:top w:val="none" w:sz="0" w:space="0" w:color="auto"/>
            <w:left w:val="none" w:sz="0" w:space="0" w:color="auto"/>
            <w:bottom w:val="none" w:sz="0" w:space="0" w:color="auto"/>
            <w:right w:val="none" w:sz="0" w:space="0" w:color="auto"/>
          </w:divBdr>
        </w:div>
        <w:div w:id="1369334186">
          <w:marLeft w:val="1267"/>
          <w:marRight w:val="0"/>
          <w:marTop w:val="58"/>
          <w:marBottom w:val="0"/>
          <w:divBdr>
            <w:top w:val="none" w:sz="0" w:space="0" w:color="auto"/>
            <w:left w:val="none" w:sz="0" w:space="0" w:color="auto"/>
            <w:bottom w:val="none" w:sz="0" w:space="0" w:color="auto"/>
            <w:right w:val="none" w:sz="0" w:space="0" w:color="auto"/>
          </w:divBdr>
        </w:div>
        <w:div w:id="1701011147">
          <w:marLeft w:val="1267"/>
          <w:marRight w:val="0"/>
          <w:marTop w:val="58"/>
          <w:marBottom w:val="0"/>
          <w:divBdr>
            <w:top w:val="none" w:sz="0" w:space="0" w:color="auto"/>
            <w:left w:val="none" w:sz="0" w:space="0" w:color="auto"/>
            <w:bottom w:val="none" w:sz="0" w:space="0" w:color="auto"/>
            <w:right w:val="none" w:sz="0" w:space="0" w:color="auto"/>
          </w:divBdr>
        </w:div>
        <w:div w:id="2017614414">
          <w:marLeft w:val="1267"/>
          <w:marRight w:val="0"/>
          <w:marTop w:val="58"/>
          <w:marBottom w:val="0"/>
          <w:divBdr>
            <w:top w:val="none" w:sz="0" w:space="0" w:color="auto"/>
            <w:left w:val="none" w:sz="0" w:space="0" w:color="auto"/>
            <w:bottom w:val="none" w:sz="0" w:space="0" w:color="auto"/>
            <w:right w:val="none" w:sz="0" w:space="0" w:color="auto"/>
          </w:divBdr>
        </w:div>
      </w:divsChild>
    </w:div>
    <w:div w:id="580457084">
      <w:bodyDiv w:val="1"/>
      <w:marLeft w:val="0"/>
      <w:marRight w:val="0"/>
      <w:marTop w:val="0"/>
      <w:marBottom w:val="0"/>
      <w:divBdr>
        <w:top w:val="none" w:sz="0" w:space="0" w:color="auto"/>
        <w:left w:val="none" w:sz="0" w:space="0" w:color="auto"/>
        <w:bottom w:val="none" w:sz="0" w:space="0" w:color="auto"/>
        <w:right w:val="none" w:sz="0" w:space="0" w:color="auto"/>
      </w:divBdr>
      <w:divsChild>
        <w:div w:id="336427706">
          <w:marLeft w:val="1267"/>
          <w:marRight w:val="0"/>
          <w:marTop w:val="58"/>
          <w:marBottom w:val="0"/>
          <w:divBdr>
            <w:top w:val="none" w:sz="0" w:space="0" w:color="auto"/>
            <w:left w:val="none" w:sz="0" w:space="0" w:color="auto"/>
            <w:bottom w:val="none" w:sz="0" w:space="0" w:color="auto"/>
            <w:right w:val="none" w:sz="0" w:space="0" w:color="auto"/>
          </w:divBdr>
        </w:div>
        <w:div w:id="365644334">
          <w:marLeft w:val="1267"/>
          <w:marRight w:val="0"/>
          <w:marTop w:val="58"/>
          <w:marBottom w:val="0"/>
          <w:divBdr>
            <w:top w:val="none" w:sz="0" w:space="0" w:color="auto"/>
            <w:left w:val="none" w:sz="0" w:space="0" w:color="auto"/>
            <w:bottom w:val="none" w:sz="0" w:space="0" w:color="auto"/>
            <w:right w:val="none" w:sz="0" w:space="0" w:color="auto"/>
          </w:divBdr>
        </w:div>
        <w:div w:id="407460679">
          <w:marLeft w:val="1267"/>
          <w:marRight w:val="0"/>
          <w:marTop w:val="58"/>
          <w:marBottom w:val="0"/>
          <w:divBdr>
            <w:top w:val="none" w:sz="0" w:space="0" w:color="auto"/>
            <w:left w:val="none" w:sz="0" w:space="0" w:color="auto"/>
            <w:bottom w:val="none" w:sz="0" w:space="0" w:color="auto"/>
            <w:right w:val="none" w:sz="0" w:space="0" w:color="auto"/>
          </w:divBdr>
        </w:div>
        <w:div w:id="688262274">
          <w:marLeft w:val="1267"/>
          <w:marRight w:val="0"/>
          <w:marTop w:val="58"/>
          <w:marBottom w:val="0"/>
          <w:divBdr>
            <w:top w:val="none" w:sz="0" w:space="0" w:color="auto"/>
            <w:left w:val="none" w:sz="0" w:space="0" w:color="auto"/>
            <w:bottom w:val="none" w:sz="0" w:space="0" w:color="auto"/>
            <w:right w:val="none" w:sz="0" w:space="0" w:color="auto"/>
          </w:divBdr>
        </w:div>
        <w:div w:id="780227984">
          <w:marLeft w:val="1267"/>
          <w:marRight w:val="0"/>
          <w:marTop w:val="58"/>
          <w:marBottom w:val="0"/>
          <w:divBdr>
            <w:top w:val="none" w:sz="0" w:space="0" w:color="auto"/>
            <w:left w:val="none" w:sz="0" w:space="0" w:color="auto"/>
            <w:bottom w:val="none" w:sz="0" w:space="0" w:color="auto"/>
            <w:right w:val="none" w:sz="0" w:space="0" w:color="auto"/>
          </w:divBdr>
        </w:div>
        <w:div w:id="849871389">
          <w:marLeft w:val="446"/>
          <w:marRight w:val="0"/>
          <w:marTop w:val="58"/>
          <w:marBottom w:val="0"/>
          <w:divBdr>
            <w:top w:val="none" w:sz="0" w:space="0" w:color="auto"/>
            <w:left w:val="none" w:sz="0" w:space="0" w:color="auto"/>
            <w:bottom w:val="none" w:sz="0" w:space="0" w:color="auto"/>
            <w:right w:val="none" w:sz="0" w:space="0" w:color="auto"/>
          </w:divBdr>
        </w:div>
        <w:div w:id="1285885613">
          <w:marLeft w:val="1267"/>
          <w:marRight w:val="0"/>
          <w:marTop w:val="58"/>
          <w:marBottom w:val="0"/>
          <w:divBdr>
            <w:top w:val="none" w:sz="0" w:space="0" w:color="auto"/>
            <w:left w:val="none" w:sz="0" w:space="0" w:color="auto"/>
            <w:bottom w:val="none" w:sz="0" w:space="0" w:color="auto"/>
            <w:right w:val="none" w:sz="0" w:space="0" w:color="auto"/>
          </w:divBdr>
        </w:div>
        <w:div w:id="1321233983">
          <w:marLeft w:val="1267"/>
          <w:marRight w:val="0"/>
          <w:marTop w:val="58"/>
          <w:marBottom w:val="0"/>
          <w:divBdr>
            <w:top w:val="none" w:sz="0" w:space="0" w:color="auto"/>
            <w:left w:val="none" w:sz="0" w:space="0" w:color="auto"/>
            <w:bottom w:val="none" w:sz="0" w:space="0" w:color="auto"/>
            <w:right w:val="none" w:sz="0" w:space="0" w:color="auto"/>
          </w:divBdr>
        </w:div>
        <w:div w:id="1411467242">
          <w:marLeft w:val="547"/>
          <w:marRight w:val="0"/>
          <w:marTop w:val="58"/>
          <w:marBottom w:val="0"/>
          <w:divBdr>
            <w:top w:val="none" w:sz="0" w:space="0" w:color="auto"/>
            <w:left w:val="none" w:sz="0" w:space="0" w:color="auto"/>
            <w:bottom w:val="none" w:sz="0" w:space="0" w:color="auto"/>
            <w:right w:val="none" w:sz="0" w:space="0" w:color="auto"/>
          </w:divBdr>
        </w:div>
        <w:div w:id="1597783485">
          <w:marLeft w:val="547"/>
          <w:marRight w:val="0"/>
          <w:marTop w:val="58"/>
          <w:marBottom w:val="0"/>
          <w:divBdr>
            <w:top w:val="none" w:sz="0" w:space="0" w:color="auto"/>
            <w:left w:val="none" w:sz="0" w:space="0" w:color="auto"/>
            <w:bottom w:val="none" w:sz="0" w:space="0" w:color="auto"/>
            <w:right w:val="none" w:sz="0" w:space="0" w:color="auto"/>
          </w:divBdr>
        </w:div>
        <w:div w:id="2003964013">
          <w:marLeft w:val="547"/>
          <w:marRight w:val="0"/>
          <w:marTop w:val="58"/>
          <w:marBottom w:val="0"/>
          <w:divBdr>
            <w:top w:val="none" w:sz="0" w:space="0" w:color="auto"/>
            <w:left w:val="none" w:sz="0" w:space="0" w:color="auto"/>
            <w:bottom w:val="none" w:sz="0" w:space="0" w:color="auto"/>
            <w:right w:val="none" w:sz="0" w:space="0" w:color="auto"/>
          </w:divBdr>
        </w:div>
      </w:divsChild>
    </w:div>
    <w:div w:id="580916079">
      <w:bodyDiv w:val="1"/>
      <w:marLeft w:val="0"/>
      <w:marRight w:val="0"/>
      <w:marTop w:val="0"/>
      <w:marBottom w:val="0"/>
      <w:divBdr>
        <w:top w:val="none" w:sz="0" w:space="0" w:color="auto"/>
        <w:left w:val="none" w:sz="0" w:space="0" w:color="auto"/>
        <w:bottom w:val="none" w:sz="0" w:space="0" w:color="auto"/>
        <w:right w:val="none" w:sz="0" w:space="0" w:color="auto"/>
      </w:divBdr>
      <w:divsChild>
        <w:div w:id="4291368">
          <w:marLeft w:val="547"/>
          <w:marRight w:val="0"/>
          <w:marTop w:val="82"/>
          <w:marBottom w:val="0"/>
          <w:divBdr>
            <w:top w:val="none" w:sz="0" w:space="0" w:color="auto"/>
            <w:left w:val="none" w:sz="0" w:space="0" w:color="auto"/>
            <w:bottom w:val="none" w:sz="0" w:space="0" w:color="auto"/>
            <w:right w:val="none" w:sz="0" w:space="0" w:color="auto"/>
          </w:divBdr>
        </w:div>
        <w:div w:id="556668046">
          <w:marLeft w:val="1267"/>
          <w:marRight w:val="0"/>
          <w:marTop w:val="82"/>
          <w:marBottom w:val="0"/>
          <w:divBdr>
            <w:top w:val="none" w:sz="0" w:space="0" w:color="auto"/>
            <w:left w:val="none" w:sz="0" w:space="0" w:color="auto"/>
            <w:bottom w:val="none" w:sz="0" w:space="0" w:color="auto"/>
            <w:right w:val="none" w:sz="0" w:space="0" w:color="auto"/>
          </w:divBdr>
        </w:div>
        <w:div w:id="1222056466">
          <w:marLeft w:val="1267"/>
          <w:marRight w:val="0"/>
          <w:marTop w:val="82"/>
          <w:marBottom w:val="0"/>
          <w:divBdr>
            <w:top w:val="none" w:sz="0" w:space="0" w:color="auto"/>
            <w:left w:val="none" w:sz="0" w:space="0" w:color="auto"/>
            <w:bottom w:val="none" w:sz="0" w:space="0" w:color="auto"/>
            <w:right w:val="none" w:sz="0" w:space="0" w:color="auto"/>
          </w:divBdr>
        </w:div>
        <w:div w:id="1396974561">
          <w:marLeft w:val="547"/>
          <w:marRight w:val="0"/>
          <w:marTop w:val="82"/>
          <w:marBottom w:val="0"/>
          <w:divBdr>
            <w:top w:val="none" w:sz="0" w:space="0" w:color="auto"/>
            <w:left w:val="none" w:sz="0" w:space="0" w:color="auto"/>
            <w:bottom w:val="none" w:sz="0" w:space="0" w:color="auto"/>
            <w:right w:val="none" w:sz="0" w:space="0" w:color="auto"/>
          </w:divBdr>
        </w:div>
        <w:div w:id="1882933878">
          <w:marLeft w:val="547"/>
          <w:marRight w:val="0"/>
          <w:marTop w:val="82"/>
          <w:marBottom w:val="0"/>
          <w:divBdr>
            <w:top w:val="none" w:sz="0" w:space="0" w:color="auto"/>
            <w:left w:val="none" w:sz="0" w:space="0" w:color="auto"/>
            <w:bottom w:val="none" w:sz="0" w:space="0" w:color="auto"/>
            <w:right w:val="none" w:sz="0" w:space="0" w:color="auto"/>
          </w:divBdr>
        </w:div>
        <w:div w:id="2018269695">
          <w:marLeft w:val="547"/>
          <w:marRight w:val="0"/>
          <w:marTop w:val="82"/>
          <w:marBottom w:val="0"/>
          <w:divBdr>
            <w:top w:val="none" w:sz="0" w:space="0" w:color="auto"/>
            <w:left w:val="none" w:sz="0" w:space="0" w:color="auto"/>
            <w:bottom w:val="none" w:sz="0" w:space="0" w:color="auto"/>
            <w:right w:val="none" w:sz="0" w:space="0" w:color="auto"/>
          </w:divBdr>
        </w:div>
      </w:divsChild>
    </w:div>
    <w:div w:id="647562049">
      <w:bodyDiv w:val="1"/>
      <w:marLeft w:val="0"/>
      <w:marRight w:val="0"/>
      <w:marTop w:val="0"/>
      <w:marBottom w:val="0"/>
      <w:divBdr>
        <w:top w:val="none" w:sz="0" w:space="0" w:color="auto"/>
        <w:left w:val="none" w:sz="0" w:space="0" w:color="auto"/>
        <w:bottom w:val="none" w:sz="0" w:space="0" w:color="auto"/>
        <w:right w:val="none" w:sz="0" w:space="0" w:color="auto"/>
      </w:divBdr>
      <w:divsChild>
        <w:div w:id="753166530">
          <w:marLeft w:val="1267"/>
          <w:marRight w:val="0"/>
          <w:marTop w:val="58"/>
          <w:marBottom w:val="0"/>
          <w:divBdr>
            <w:top w:val="none" w:sz="0" w:space="0" w:color="auto"/>
            <w:left w:val="none" w:sz="0" w:space="0" w:color="auto"/>
            <w:bottom w:val="none" w:sz="0" w:space="0" w:color="auto"/>
            <w:right w:val="none" w:sz="0" w:space="0" w:color="auto"/>
          </w:divBdr>
        </w:div>
        <w:div w:id="1673951298">
          <w:marLeft w:val="1267"/>
          <w:marRight w:val="0"/>
          <w:marTop w:val="58"/>
          <w:marBottom w:val="0"/>
          <w:divBdr>
            <w:top w:val="none" w:sz="0" w:space="0" w:color="auto"/>
            <w:left w:val="none" w:sz="0" w:space="0" w:color="auto"/>
            <w:bottom w:val="none" w:sz="0" w:space="0" w:color="auto"/>
            <w:right w:val="none" w:sz="0" w:space="0" w:color="auto"/>
          </w:divBdr>
        </w:div>
      </w:divsChild>
    </w:div>
    <w:div w:id="690572343">
      <w:bodyDiv w:val="1"/>
      <w:marLeft w:val="0"/>
      <w:marRight w:val="0"/>
      <w:marTop w:val="0"/>
      <w:marBottom w:val="0"/>
      <w:divBdr>
        <w:top w:val="none" w:sz="0" w:space="0" w:color="auto"/>
        <w:left w:val="none" w:sz="0" w:space="0" w:color="auto"/>
        <w:bottom w:val="none" w:sz="0" w:space="0" w:color="auto"/>
        <w:right w:val="none" w:sz="0" w:space="0" w:color="auto"/>
      </w:divBdr>
      <w:divsChild>
        <w:div w:id="250892700">
          <w:marLeft w:val="1166"/>
          <w:marRight w:val="0"/>
          <w:marTop w:val="58"/>
          <w:marBottom w:val="0"/>
          <w:divBdr>
            <w:top w:val="none" w:sz="0" w:space="0" w:color="auto"/>
            <w:left w:val="none" w:sz="0" w:space="0" w:color="auto"/>
            <w:bottom w:val="none" w:sz="0" w:space="0" w:color="auto"/>
            <w:right w:val="none" w:sz="0" w:space="0" w:color="auto"/>
          </w:divBdr>
        </w:div>
        <w:div w:id="400718998">
          <w:marLeft w:val="446"/>
          <w:marRight w:val="0"/>
          <w:marTop w:val="67"/>
          <w:marBottom w:val="0"/>
          <w:divBdr>
            <w:top w:val="none" w:sz="0" w:space="0" w:color="auto"/>
            <w:left w:val="none" w:sz="0" w:space="0" w:color="auto"/>
            <w:bottom w:val="none" w:sz="0" w:space="0" w:color="auto"/>
            <w:right w:val="none" w:sz="0" w:space="0" w:color="auto"/>
          </w:divBdr>
        </w:div>
        <w:div w:id="427045806">
          <w:marLeft w:val="1166"/>
          <w:marRight w:val="0"/>
          <w:marTop w:val="58"/>
          <w:marBottom w:val="0"/>
          <w:divBdr>
            <w:top w:val="none" w:sz="0" w:space="0" w:color="auto"/>
            <w:left w:val="none" w:sz="0" w:space="0" w:color="auto"/>
            <w:bottom w:val="none" w:sz="0" w:space="0" w:color="auto"/>
            <w:right w:val="none" w:sz="0" w:space="0" w:color="auto"/>
          </w:divBdr>
        </w:div>
        <w:div w:id="521938304">
          <w:marLeft w:val="1166"/>
          <w:marRight w:val="0"/>
          <w:marTop w:val="58"/>
          <w:marBottom w:val="0"/>
          <w:divBdr>
            <w:top w:val="none" w:sz="0" w:space="0" w:color="auto"/>
            <w:left w:val="none" w:sz="0" w:space="0" w:color="auto"/>
            <w:bottom w:val="none" w:sz="0" w:space="0" w:color="auto"/>
            <w:right w:val="none" w:sz="0" w:space="0" w:color="auto"/>
          </w:divBdr>
        </w:div>
        <w:div w:id="809638787">
          <w:marLeft w:val="446"/>
          <w:marRight w:val="0"/>
          <w:marTop w:val="67"/>
          <w:marBottom w:val="0"/>
          <w:divBdr>
            <w:top w:val="none" w:sz="0" w:space="0" w:color="auto"/>
            <w:left w:val="none" w:sz="0" w:space="0" w:color="auto"/>
            <w:bottom w:val="none" w:sz="0" w:space="0" w:color="auto"/>
            <w:right w:val="none" w:sz="0" w:space="0" w:color="auto"/>
          </w:divBdr>
        </w:div>
        <w:div w:id="936794334">
          <w:marLeft w:val="1166"/>
          <w:marRight w:val="0"/>
          <w:marTop w:val="58"/>
          <w:marBottom w:val="0"/>
          <w:divBdr>
            <w:top w:val="none" w:sz="0" w:space="0" w:color="auto"/>
            <w:left w:val="none" w:sz="0" w:space="0" w:color="auto"/>
            <w:bottom w:val="none" w:sz="0" w:space="0" w:color="auto"/>
            <w:right w:val="none" w:sz="0" w:space="0" w:color="auto"/>
          </w:divBdr>
        </w:div>
        <w:div w:id="1387874889">
          <w:marLeft w:val="1166"/>
          <w:marRight w:val="0"/>
          <w:marTop w:val="58"/>
          <w:marBottom w:val="0"/>
          <w:divBdr>
            <w:top w:val="none" w:sz="0" w:space="0" w:color="auto"/>
            <w:left w:val="none" w:sz="0" w:space="0" w:color="auto"/>
            <w:bottom w:val="none" w:sz="0" w:space="0" w:color="auto"/>
            <w:right w:val="none" w:sz="0" w:space="0" w:color="auto"/>
          </w:divBdr>
        </w:div>
        <w:div w:id="1667516180">
          <w:marLeft w:val="446"/>
          <w:marRight w:val="0"/>
          <w:marTop w:val="67"/>
          <w:marBottom w:val="0"/>
          <w:divBdr>
            <w:top w:val="none" w:sz="0" w:space="0" w:color="auto"/>
            <w:left w:val="none" w:sz="0" w:space="0" w:color="auto"/>
            <w:bottom w:val="none" w:sz="0" w:space="0" w:color="auto"/>
            <w:right w:val="none" w:sz="0" w:space="0" w:color="auto"/>
          </w:divBdr>
        </w:div>
      </w:divsChild>
    </w:div>
    <w:div w:id="695931725">
      <w:bodyDiv w:val="1"/>
      <w:marLeft w:val="0"/>
      <w:marRight w:val="0"/>
      <w:marTop w:val="0"/>
      <w:marBottom w:val="0"/>
      <w:divBdr>
        <w:top w:val="none" w:sz="0" w:space="0" w:color="auto"/>
        <w:left w:val="none" w:sz="0" w:space="0" w:color="auto"/>
        <w:bottom w:val="none" w:sz="0" w:space="0" w:color="auto"/>
        <w:right w:val="none" w:sz="0" w:space="0" w:color="auto"/>
      </w:divBdr>
    </w:div>
    <w:div w:id="713849902">
      <w:bodyDiv w:val="1"/>
      <w:marLeft w:val="0"/>
      <w:marRight w:val="0"/>
      <w:marTop w:val="0"/>
      <w:marBottom w:val="0"/>
      <w:divBdr>
        <w:top w:val="none" w:sz="0" w:space="0" w:color="auto"/>
        <w:left w:val="none" w:sz="0" w:space="0" w:color="auto"/>
        <w:bottom w:val="none" w:sz="0" w:space="0" w:color="auto"/>
        <w:right w:val="none" w:sz="0" w:space="0" w:color="auto"/>
      </w:divBdr>
      <w:divsChild>
        <w:div w:id="707224377">
          <w:marLeft w:val="0"/>
          <w:marRight w:val="0"/>
          <w:marTop w:val="0"/>
          <w:marBottom w:val="0"/>
          <w:divBdr>
            <w:top w:val="none" w:sz="0" w:space="0" w:color="auto"/>
            <w:left w:val="none" w:sz="0" w:space="0" w:color="auto"/>
            <w:bottom w:val="none" w:sz="0" w:space="0" w:color="auto"/>
            <w:right w:val="none" w:sz="0" w:space="0" w:color="auto"/>
          </w:divBdr>
        </w:div>
        <w:div w:id="795762080">
          <w:marLeft w:val="0"/>
          <w:marRight w:val="0"/>
          <w:marTop w:val="0"/>
          <w:marBottom w:val="0"/>
          <w:divBdr>
            <w:top w:val="none" w:sz="0" w:space="0" w:color="auto"/>
            <w:left w:val="none" w:sz="0" w:space="0" w:color="auto"/>
            <w:bottom w:val="none" w:sz="0" w:space="0" w:color="auto"/>
            <w:right w:val="none" w:sz="0" w:space="0" w:color="auto"/>
          </w:divBdr>
        </w:div>
        <w:div w:id="1666279309">
          <w:marLeft w:val="0"/>
          <w:marRight w:val="0"/>
          <w:marTop w:val="0"/>
          <w:marBottom w:val="0"/>
          <w:divBdr>
            <w:top w:val="none" w:sz="0" w:space="0" w:color="auto"/>
            <w:left w:val="none" w:sz="0" w:space="0" w:color="auto"/>
            <w:bottom w:val="none" w:sz="0" w:space="0" w:color="auto"/>
            <w:right w:val="none" w:sz="0" w:space="0" w:color="auto"/>
          </w:divBdr>
        </w:div>
      </w:divsChild>
    </w:div>
    <w:div w:id="753821534">
      <w:bodyDiv w:val="1"/>
      <w:marLeft w:val="0"/>
      <w:marRight w:val="0"/>
      <w:marTop w:val="0"/>
      <w:marBottom w:val="0"/>
      <w:divBdr>
        <w:top w:val="none" w:sz="0" w:space="0" w:color="auto"/>
        <w:left w:val="none" w:sz="0" w:space="0" w:color="auto"/>
        <w:bottom w:val="none" w:sz="0" w:space="0" w:color="auto"/>
        <w:right w:val="none" w:sz="0" w:space="0" w:color="auto"/>
      </w:divBdr>
    </w:div>
    <w:div w:id="779229737">
      <w:bodyDiv w:val="1"/>
      <w:marLeft w:val="0"/>
      <w:marRight w:val="0"/>
      <w:marTop w:val="0"/>
      <w:marBottom w:val="0"/>
      <w:divBdr>
        <w:top w:val="none" w:sz="0" w:space="0" w:color="auto"/>
        <w:left w:val="none" w:sz="0" w:space="0" w:color="auto"/>
        <w:bottom w:val="none" w:sz="0" w:space="0" w:color="auto"/>
        <w:right w:val="none" w:sz="0" w:space="0" w:color="auto"/>
      </w:divBdr>
    </w:div>
    <w:div w:id="819732730">
      <w:bodyDiv w:val="1"/>
      <w:marLeft w:val="0"/>
      <w:marRight w:val="0"/>
      <w:marTop w:val="0"/>
      <w:marBottom w:val="0"/>
      <w:divBdr>
        <w:top w:val="none" w:sz="0" w:space="0" w:color="auto"/>
        <w:left w:val="none" w:sz="0" w:space="0" w:color="auto"/>
        <w:bottom w:val="none" w:sz="0" w:space="0" w:color="auto"/>
        <w:right w:val="none" w:sz="0" w:space="0" w:color="auto"/>
      </w:divBdr>
    </w:div>
    <w:div w:id="824247420">
      <w:bodyDiv w:val="1"/>
      <w:marLeft w:val="0"/>
      <w:marRight w:val="0"/>
      <w:marTop w:val="0"/>
      <w:marBottom w:val="0"/>
      <w:divBdr>
        <w:top w:val="none" w:sz="0" w:space="0" w:color="auto"/>
        <w:left w:val="none" w:sz="0" w:space="0" w:color="auto"/>
        <w:bottom w:val="none" w:sz="0" w:space="0" w:color="auto"/>
        <w:right w:val="none" w:sz="0" w:space="0" w:color="auto"/>
      </w:divBdr>
      <w:divsChild>
        <w:div w:id="577860708">
          <w:marLeft w:val="1166"/>
          <w:marRight w:val="0"/>
          <w:marTop w:val="58"/>
          <w:marBottom w:val="0"/>
          <w:divBdr>
            <w:top w:val="none" w:sz="0" w:space="0" w:color="auto"/>
            <w:left w:val="none" w:sz="0" w:space="0" w:color="auto"/>
            <w:bottom w:val="none" w:sz="0" w:space="0" w:color="auto"/>
            <w:right w:val="none" w:sz="0" w:space="0" w:color="auto"/>
          </w:divBdr>
        </w:div>
        <w:div w:id="1377895068">
          <w:marLeft w:val="1166"/>
          <w:marRight w:val="0"/>
          <w:marTop w:val="58"/>
          <w:marBottom w:val="0"/>
          <w:divBdr>
            <w:top w:val="none" w:sz="0" w:space="0" w:color="auto"/>
            <w:left w:val="none" w:sz="0" w:space="0" w:color="auto"/>
            <w:bottom w:val="none" w:sz="0" w:space="0" w:color="auto"/>
            <w:right w:val="none" w:sz="0" w:space="0" w:color="auto"/>
          </w:divBdr>
        </w:div>
        <w:div w:id="1570144063">
          <w:marLeft w:val="1166"/>
          <w:marRight w:val="0"/>
          <w:marTop w:val="58"/>
          <w:marBottom w:val="0"/>
          <w:divBdr>
            <w:top w:val="none" w:sz="0" w:space="0" w:color="auto"/>
            <w:left w:val="none" w:sz="0" w:space="0" w:color="auto"/>
            <w:bottom w:val="none" w:sz="0" w:space="0" w:color="auto"/>
            <w:right w:val="none" w:sz="0" w:space="0" w:color="auto"/>
          </w:divBdr>
        </w:div>
      </w:divsChild>
    </w:div>
    <w:div w:id="842822495">
      <w:bodyDiv w:val="1"/>
      <w:marLeft w:val="0"/>
      <w:marRight w:val="0"/>
      <w:marTop w:val="0"/>
      <w:marBottom w:val="0"/>
      <w:divBdr>
        <w:top w:val="none" w:sz="0" w:space="0" w:color="auto"/>
        <w:left w:val="none" w:sz="0" w:space="0" w:color="auto"/>
        <w:bottom w:val="none" w:sz="0" w:space="0" w:color="auto"/>
        <w:right w:val="none" w:sz="0" w:space="0" w:color="auto"/>
      </w:divBdr>
      <w:divsChild>
        <w:div w:id="878471091">
          <w:marLeft w:val="1166"/>
          <w:marRight w:val="0"/>
          <w:marTop w:val="58"/>
          <w:marBottom w:val="0"/>
          <w:divBdr>
            <w:top w:val="none" w:sz="0" w:space="0" w:color="auto"/>
            <w:left w:val="none" w:sz="0" w:space="0" w:color="auto"/>
            <w:bottom w:val="none" w:sz="0" w:space="0" w:color="auto"/>
            <w:right w:val="none" w:sz="0" w:space="0" w:color="auto"/>
          </w:divBdr>
        </w:div>
        <w:div w:id="936254445">
          <w:marLeft w:val="1166"/>
          <w:marRight w:val="0"/>
          <w:marTop w:val="58"/>
          <w:marBottom w:val="0"/>
          <w:divBdr>
            <w:top w:val="none" w:sz="0" w:space="0" w:color="auto"/>
            <w:left w:val="none" w:sz="0" w:space="0" w:color="auto"/>
            <w:bottom w:val="none" w:sz="0" w:space="0" w:color="auto"/>
            <w:right w:val="none" w:sz="0" w:space="0" w:color="auto"/>
          </w:divBdr>
        </w:div>
        <w:div w:id="1104572464">
          <w:marLeft w:val="1166"/>
          <w:marRight w:val="0"/>
          <w:marTop w:val="58"/>
          <w:marBottom w:val="0"/>
          <w:divBdr>
            <w:top w:val="none" w:sz="0" w:space="0" w:color="auto"/>
            <w:left w:val="none" w:sz="0" w:space="0" w:color="auto"/>
            <w:bottom w:val="none" w:sz="0" w:space="0" w:color="auto"/>
            <w:right w:val="none" w:sz="0" w:space="0" w:color="auto"/>
          </w:divBdr>
        </w:div>
        <w:div w:id="1171068091">
          <w:marLeft w:val="1166"/>
          <w:marRight w:val="0"/>
          <w:marTop w:val="58"/>
          <w:marBottom w:val="0"/>
          <w:divBdr>
            <w:top w:val="none" w:sz="0" w:space="0" w:color="auto"/>
            <w:left w:val="none" w:sz="0" w:space="0" w:color="auto"/>
            <w:bottom w:val="none" w:sz="0" w:space="0" w:color="auto"/>
            <w:right w:val="none" w:sz="0" w:space="0" w:color="auto"/>
          </w:divBdr>
        </w:div>
        <w:div w:id="1257321264">
          <w:marLeft w:val="446"/>
          <w:marRight w:val="0"/>
          <w:marTop w:val="67"/>
          <w:marBottom w:val="0"/>
          <w:divBdr>
            <w:top w:val="none" w:sz="0" w:space="0" w:color="auto"/>
            <w:left w:val="none" w:sz="0" w:space="0" w:color="auto"/>
            <w:bottom w:val="none" w:sz="0" w:space="0" w:color="auto"/>
            <w:right w:val="none" w:sz="0" w:space="0" w:color="auto"/>
          </w:divBdr>
        </w:div>
        <w:div w:id="1420829220">
          <w:marLeft w:val="446"/>
          <w:marRight w:val="0"/>
          <w:marTop w:val="67"/>
          <w:marBottom w:val="0"/>
          <w:divBdr>
            <w:top w:val="none" w:sz="0" w:space="0" w:color="auto"/>
            <w:left w:val="none" w:sz="0" w:space="0" w:color="auto"/>
            <w:bottom w:val="none" w:sz="0" w:space="0" w:color="auto"/>
            <w:right w:val="none" w:sz="0" w:space="0" w:color="auto"/>
          </w:divBdr>
        </w:div>
        <w:div w:id="1545366547">
          <w:marLeft w:val="1166"/>
          <w:marRight w:val="0"/>
          <w:marTop w:val="58"/>
          <w:marBottom w:val="0"/>
          <w:divBdr>
            <w:top w:val="none" w:sz="0" w:space="0" w:color="auto"/>
            <w:left w:val="none" w:sz="0" w:space="0" w:color="auto"/>
            <w:bottom w:val="none" w:sz="0" w:space="0" w:color="auto"/>
            <w:right w:val="none" w:sz="0" w:space="0" w:color="auto"/>
          </w:divBdr>
        </w:div>
        <w:div w:id="1867329517">
          <w:marLeft w:val="446"/>
          <w:marRight w:val="0"/>
          <w:marTop w:val="67"/>
          <w:marBottom w:val="0"/>
          <w:divBdr>
            <w:top w:val="none" w:sz="0" w:space="0" w:color="auto"/>
            <w:left w:val="none" w:sz="0" w:space="0" w:color="auto"/>
            <w:bottom w:val="none" w:sz="0" w:space="0" w:color="auto"/>
            <w:right w:val="none" w:sz="0" w:space="0" w:color="auto"/>
          </w:divBdr>
        </w:div>
        <w:div w:id="1987395570">
          <w:marLeft w:val="446"/>
          <w:marRight w:val="0"/>
          <w:marTop w:val="67"/>
          <w:marBottom w:val="0"/>
          <w:divBdr>
            <w:top w:val="none" w:sz="0" w:space="0" w:color="auto"/>
            <w:left w:val="none" w:sz="0" w:space="0" w:color="auto"/>
            <w:bottom w:val="none" w:sz="0" w:space="0" w:color="auto"/>
            <w:right w:val="none" w:sz="0" w:space="0" w:color="auto"/>
          </w:divBdr>
        </w:div>
      </w:divsChild>
    </w:div>
    <w:div w:id="852492376">
      <w:bodyDiv w:val="1"/>
      <w:marLeft w:val="0"/>
      <w:marRight w:val="0"/>
      <w:marTop w:val="0"/>
      <w:marBottom w:val="0"/>
      <w:divBdr>
        <w:top w:val="none" w:sz="0" w:space="0" w:color="auto"/>
        <w:left w:val="none" w:sz="0" w:space="0" w:color="auto"/>
        <w:bottom w:val="none" w:sz="0" w:space="0" w:color="auto"/>
        <w:right w:val="none" w:sz="0" w:space="0" w:color="auto"/>
      </w:divBdr>
      <w:divsChild>
        <w:div w:id="728066871">
          <w:marLeft w:val="0"/>
          <w:marRight w:val="0"/>
          <w:marTop w:val="0"/>
          <w:marBottom w:val="0"/>
          <w:divBdr>
            <w:top w:val="none" w:sz="0" w:space="0" w:color="auto"/>
            <w:left w:val="none" w:sz="0" w:space="0" w:color="auto"/>
            <w:bottom w:val="none" w:sz="0" w:space="0" w:color="auto"/>
            <w:right w:val="none" w:sz="0" w:space="0" w:color="auto"/>
          </w:divBdr>
          <w:divsChild>
            <w:div w:id="1730028861">
              <w:marLeft w:val="0"/>
              <w:marRight w:val="0"/>
              <w:marTop w:val="0"/>
              <w:marBottom w:val="0"/>
              <w:divBdr>
                <w:top w:val="none" w:sz="0" w:space="0" w:color="auto"/>
                <w:left w:val="none" w:sz="0" w:space="0" w:color="auto"/>
                <w:bottom w:val="none" w:sz="0" w:space="0" w:color="auto"/>
                <w:right w:val="none" w:sz="0" w:space="0" w:color="auto"/>
              </w:divBdr>
            </w:div>
          </w:divsChild>
        </w:div>
        <w:div w:id="2092241329">
          <w:marLeft w:val="0"/>
          <w:marRight w:val="0"/>
          <w:marTop w:val="0"/>
          <w:marBottom w:val="0"/>
          <w:divBdr>
            <w:top w:val="none" w:sz="0" w:space="0" w:color="auto"/>
            <w:left w:val="none" w:sz="0" w:space="0" w:color="auto"/>
            <w:bottom w:val="none" w:sz="0" w:space="0" w:color="auto"/>
            <w:right w:val="none" w:sz="0" w:space="0" w:color="auto"/>
          </w:divBdr>
          <w:divsChild>
            <w:div w:id="457145623">
              <w:marLeft w:val="0"/>
              <w:marRight w:val="0"/>
              <w:marTop w:val="0"/>
              <w:marBottom w:val="0"/>
              <w:divBdr>
                <w:top w:val="none" w:sz="0" w:space="0" w:color="auto"/>
                <w:left w:val="none" w:sz="0" w:space="0" w:color="auto"/>
                <w:bottom w:val="none" w:sz="0" w:space="0" w:color="auto"/>
                <w:right w:val="none" w:sz="0" w:space="0" w:color="auto"/>
              </w:divBdr>
            </w:div>
            <w:div w:id="689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6060">
      <w:bodyDiv w:val="1"/>
      <w:marLeft w:val="0"/>
      <w:marRight w:val="0"/>
      <w:marTop w:val="0"/>
      <w:marBottom w:val="0"/>
      <w:divBdr>
        <w:top w:val="none" w:sz="0" w:space="0" w:color="auto"/>
        <w:left w:val="none" w:sz="0" w:space="0" w:color="auto"/>
        <w:bottom w:val="none" w:sz="0" w:space="0" w:color="auto"/>
        <w:right w:val="none" w:sz="0" w:space="0" w:color="auto"/>
      </w:divBdr>
      <w:divsChild>
        <w:div w:id="311983591">
          <w:marLeft w:val="0"/>
          <w:marRight w:val="0"/>
          <w:marTop w:val="0"/>
          <w:marBottom w:val="0"/>
          <w:divBdr>
            <w:top w:val="none" w:sz="0" w:space="0" w:color="auto"/>
            <w:left w:val="none" w:sz="0" w:space="0" w:color="auto"/>
            <w:bottom w:val="none" w:sz="0" w:space="0" w:color="auto"/>
            <w:right w:val="none" w:sz="0" w:space="0" w:color="auto"/>
          </w:divBdr>
        </w:div>
      </w:divsChild>
    </w:div>
    <w:div w:id="1026297071">
      <w:bodyDiv w:val="1"/>
      <w:marLeft w:val="0"/>
      <w:marRight w:val="0"/>
      <w:marTop w:val="0"/>
      <w:marBottom w:val="0"/>
      <w:divBdr>
        <w:top w:val="none" w:sz="0" w:space="0" w:color="auto"/>
        <w:left w:val="none" w:sz="0" w:space="0" w:color="auto"/>
        <w:bottom w:val="none" w:sz="0" w:space="0" w:color="auto"/>
        <w:right w:val="none" w:sz="0" w:space="0" w:color="auto"/>
      </w:divBdr>
      <w:divsChild>
        <w:div w:id="610281733">
          <w:marLeft w:val="446"/>
          <w:marRight w:val="0"/>
          <w:marTop w:val="58"/>
          <w:marBottom w:val="0"/>
          <w:divBdr>
            <w:top w:val="none" w:sz="0" w:space="0" w:color="auto"/>
            <w:left w:val="none" w:sz="0" w:space="0" w:color="auto"/>
            <w:bottom w:val="none" w:sz="0" w:space="0" w:color="auto"/>
            <w:right w:val="none" w:sz="0" w:space="0" w:color="auto"/>
          </w:divBdr>
        </w:div>
      </w:divsChild>
    </w:div>
    <w:div w:id="1098140694">
      <w:bodyDiv w:val="1"/>
      <w:marLeft w:val="0"/>
      <w:marRight w:val="0"/>
      <w:marTop w:val="0"/>
      <w:marBottom w:val="0"/>
      <w:divBdr>
        <w:top w:val="none" w:sz="0" w:space="0" w:color="auto"/>
        <w:left w:val="none" w:sz="0" w:space="0" w:color="auto"/>
        <w:bottom w:val="none" w:sz="0" w:space="0" w:color="auto"/>
        <w:right w:val="none" w:sz="0" w:space="0" w:color="auto"/>
      </w:divBdr>
      <w:divsChild>
        <w:div w:id="276957890">
          <w:marLeft w:val="0"/>
          <w:marRight w:val="0"/>
          <w:marTop w:val="0"/>
          <w:marBottom w:val="0"/>
          <w:divBdr>
            <w:top w:val="none" w:sz="0" w:space="0" w:color="auto"/>
            <w:left w:val="none" w:sz="0" w:space="0" w:color="auto"/>
            <w:bottom w:val="none" w:sz="0" w:space="0" w:color="auto"/>
            <w:right w:val="none" w:sz="0" w:space="0" w:color="auto"/>
          </w:divBdr>
        </w:div>
        <w:div w:id="1464273491">
          <w:marLeft w:val="0"/>
          <w:marRight w:val="0"/>
          <w:marTop w:val="0"/>
          <w:marBottom w:val="0"/>
          <w:divBdr>
            <w:top w:val="none" w:sz="0" w:space="0" w:color="auto"/>
            <w:left w:val="none" w:sz="0" w:space="0" w:color="auto"/>
            <w:bottom w:val="none" w:sz="0" w:space="0" w:color="auto"/>
            <w:right w:val="none" w:sz="0" w:space="0" w:color="auto"/>
          </w:divBdr>
        </w:div>
      </w:divsChild>
    </w:div>
    <w:div w:id="1196038024">
      <w:bodyDiv w:val="1"/>
      <w:marLeft w:val="0"/>
      <w:marRight w:val="0"/>
      <w:marTop w:val="0"/>
      <w:marBottom w:val="0"/>
      <w:divBdr>
        <w:top w:val="none" w:sz="0" w:space="0" w:color="auto"/>
        <w:left w:val="none" w:sz="0" w:space="0" w:color="auto"/>
        <w:bottom w:val="none" w:sz="0" w:space="0" w:color="auto"/>
        <w:right w:val="none" w:sz="0" w:space="0" w:color="auto"/>
      </w:divBdr>
    </w:div>
    <w:div w:id="1229222436">
      <w:bodyDiv w:val="1"/>
      <w:marLeft w:val="0"/>
      <w:marRight w:val="0"/>
      <w:marTop w:val="0"/>
      <w:marBottom w:val="0"/>
      <w:divBdr>
        <w:top w:val="none" w:sz="0" w:space="0" w:color="auto"/>
        <w:left w:val="none" w:sz="0" w:space="0" w:color="auto"/>
        <w:bottom w:val="none" w:sz="0" w:space="0" w:color="auto"/>
        <w:right w:val="none" w:sz="0" w:space="0" w:color="auto"/>
      </w:divBdr>
    </w:div>
    <w:div w:id="1246917844">
      <w:bodyDiv w:val="1"/>
      <w:marLeft w:val="0"/>
      <w:marRight w:val="0"/>
      <w:marTop w:val="0"/>
      <w:marBottom w:val="0"/>
      <w:divBdr>
        <w:top w:val="none" w:sz="0" w:space="0" w:color="auto"/>
        <w:left w:val="none" w:sz="0" w:space="0" w:color="auto"/>
        <w:bottom w:val="none" w:sz="0" w:space="0" w:color="auto"/>
        <w:right w:val="none" w:sz="0" w:space="0" w:color="auto"/>
      </w:divBdr>
    </w:div>
    <w:div w:id="1321497348">
      <w:bodyDiv w:val="1"/>
      <w:marLeft w:val="0"/>
      <w:marRight w:val="0"/>
      <w:marTop w:val="0"/>
      <w:marBottom w:val="0"/>
      <w:divBdr>
        <w:top w:val="none" w:sz="0" w:space="0" w:color="auto"/>
        <w:left w:val="none" w:sz="0" w:space="0" w:color="auto"/>
        <w:bottom w:val="none" w:sz="0" w:space="0" w:color="auto"/>
        <w:right w:val="none" w:sz="0" w:space="0" w:color="auto"/>
      </w:divBdr>
      <w:divsChild>
        <w:div w:id="437021532">
          <w:marLeft w:val="1267"/>
          <w:marRight w:val="0"/>
          <w:marTop w:val="58"/>
          <w:marBottom w:val="0"/>
          <w:divBdr>
            <w:top w:val="none" w:sz="0" w:space="0" w:color="auto"/>
            <w:left w:val="none" w:sz="0" w:space="0" w:color="auto"/>
            <w:bottom w:val="none" w:sz="0" w:space="0" w:color="auto"/>
            <w:right w:val="none" w:sz="0" w:space="0" w:color="auto"/>
          </w:divBdr>
        </w:div>
        <w:div w:id="599223850">
          <w:marLeft w:val="1267"/>
          <w:marRight w:val="0"/>
          <w:marTop w:val="58"/>
          <w:marBottom w:val="0"/>
          <w:divBdr>
            <w:top w:val="none" w:sz="0" w:space="0" w:color="auto"/>
            <w:left w:val="none" w:sz="0" w:space="0" w:color="auto"/>
            <w:bottom w:val="none" w:sz="0" w:space="0" w:color="auto"/>
            <w:right w:val="none" w:sz="0" w:space="0" w:color="auto"/>
          </w:divBdr>
        </w:div>
        <w:div w:id="827281932">
          <w:marLeft w:val="1267"/>
          <w:marRight w:val="0"/>
          <w:marTop w:val="58"/>
          <w:marBottom w:val="0"/>
          <w:divBdr>
            <w:top w:val="none" w:sz="0" w:space="0" w:color="auto"/>
            <w:left w:val="none" w:sz="0" w:space="0" w:color="auto"/>
            <w:bottom w:val="none" w:sz="0" w:space="0" w:color="auto"/>
            <w:right w:val="none" w:sz="0" w:space="0" w:color="auto"/>
          </w:divBdr>
        </w:div>
        <w:div w:id="1515532554">
          <w:marLeft w:val="1267"/>
          <w:marRight w:val="0"/>
          <w:marTop w:val="58"/>
          <w:marBottom w:val="0"/>
          <w:divBdr>
            <w:top w:val="none" w:sz="0" w:space="0" w:color="auto"/>
            <w:left w:val="none" w:sz="0" w:space="0" w:color="auto"/>
            <w:bottom w:val="none" w:sz="0" w:space="0" w:color="auto"/>
            <w:right w:val="none" w:sz="0" w:space="0" w:color="auto"/>
          </w:divBdr>
        </w:div>
        <w:div w:id="1977105438">
          <w:marLeft w:val="1267"/>
          <w:marRight w:val="0"/>
          <w:marTop w:val="58"/>
          <w:marBottom w:val="0"/>
          <w:divBdr>
            <w:top w:val="none" w:sz="0" w:space="0" w:color="auto"/>
            <w:left w:val="none" w:sz="0" w:space="0" w:color="auto"/>
            <w:bottom w:val="none" w:sz="0" w:space="0" w:color="auto"/>
            <w:right w:val="none" w:sz="0" w:space="0" w:color="auto"/>
          </w:divBdr>
        </w:div>
      </w:divsChild>
    </w:div>
    <w:div w:id="1332375128">
      <w:bodyDiv w:val="1"/>
      <w:marLeft w:val="0"/>
      <w:marRight w:val="0"/>
      <w:marTop w:val="0"/>
      <w:marBottom w:val="0"/>
      <w:divBdr>
        <w:top w:val="none" w:sz="0" w:space="0" w:color="auto"/>
        <w:left w:val="none" w:sz="0" w:space="0" w:color="auto"/>
        <w:bottom w:val="none" w:sz="0" w:space="0" w:color="auto"/>
        <w:right w:val="none" w:sz="0" w:space="0" w:color="auto"/>
      </w:divBdr>
    </w:div>
    <w:div w:id="1398896567">
      <w:bodyDiv w:val="1"/>
      <w:marLeft w:val="0"/>
      <w:marRight w:val="0"/>
      <w:marTop w:val="0"/>
      <w:marBottom w:val="0"/>
      <w:divBdr>
        <w:top w:val="none" w:sz="0" w:space="0" w:color="auto"/>
        <w:left w:val="none" w:sz="0" w:space="0" w:color="auto"/>
        <w:bottom w:val="none" w:sz="0" w:space="0" w:color="auto"/>
        <w:right w:val="none" w:sz="0" w:space="0" w:color="auto"/>
      </w:divBdr>
    </w:div>
    <w:div w:id="1436317319">
      <w:bodyDiv w:val="1"/>
      <w:marLeft w:val="0"/>
      <w:marRight w:val="0"/>
      <w:marTop w:val="0"/>
      <w:marBottom w:val="0"/>
      <w:divBdr>
        <w:top w:val="none" w:sz="0" w:space="0" w:color="auto"/>
        <w:left w:val="none" w:sz="0" w:space="0" w:color="auto"/>
        <w:bottom w:val="none" w:sz="0" w:space="0" w:color="auto"/>
        <w:right w:val="none" w:sz="0" w:space="0" w:color="auto"/>
      </w:divBdr>
      <w:divsChild>
        <w:div w:id="12850669">
          <w:marLeft w:val="1166"/>
          <w:marRight w:val="0"/>
          <w:marTop w:val="58"/>
          <w:marBottom w:val="0"/>
          <w:divBdr>
            <w:top w:val="none" w:sz="0" w:space="0" w:color="auto"/>
            <w:left w:val="none" w:sz="0" w:space="0" w:color="auto"/>
            <w:bottom w:val="none" w:sz="0" w:space="0" w:color="auto"/>
            <w:right w:val="none" w:sz="0" w:space="0" w:color="auto"/>
          </w:divBdr>
        </w:div>
        <w:div w:id="516387643">
          <w:marLeft w:val="1166"/>
          <w:marRight w:val="0"/>
          <w:marTop w:val="58"/>
          <w:marBottom w:val="0"/>
          <w:divBdr>
            <w:top w:val="none" w:sz="0" w:space="0" w:color="auto"/>
            <w:left w:val="none" w:sz="0" w:space="0" w:color="auto"/>
            <w:bottom w:val="none" w:sz="0" w:space="0" w:color="auto"/>
            <w:right w:val="none" w:sz="0" w:space="0" w:color="auto"/>
          </w:divBdr>
        </w:div>
        <w:div w:id="824666087">
          <w:marLeft w:val="1166"/>
          <w:marRight w:val="0"/>
          <w:marTop w:val="58"/>
          <w:marBottom w:val="0"/>
          <w:divBdr>
            <w:top w:val="none" w:sz="0" w:space="0" w:color="auto"/>
            <w:left w:val="none" w:sz="0" w:space="0" w:color="auto"/>
            <w:bottom w:val="none" w:sz="0" w:space="0" w:color="auto"/>
            <w:right w:val="none" w:sz="0" w:space="0" w:color="auto"/>
          </w:divBdr>
        </w:div>
        <w:div w:id="1267880939">
          <w:marLeft w:val="446"/>
          <w:marRight w:val="0"/>
          <w:marTop w:val="58"/>
          <w:marBottom w:val="0"/>
          <w:divBdr>
            <w:top w:val="none" w:sz="0" w:space="0" w:color="auto"/>
            <w:left w:val="none" w:sz="0" w:space="0" w:color="auto"/>
            <w:bottom w:val="none" w:sz="0" w:space="0" w:color="auto"/>
            <w:right w:val="none" w:sz="0" w:space="0" w:color="auto"/>
          </w:divBdr>
        </w:div>
        <w:div w:id="1322999863">
          <w:marLeft w:val="1166"/>
          <w:marRight w:val="0"/>
          <w:marTop w:val="58"/>
          <w:marBottom w:val="0"/>
          <w:divBdr>
            <w:top w:val="none" w:sz="0" w:space="0" w:color="auto"/>
            <w:left w:val="none" w:sz="0" w:space="0" w:color="auto"/>
            <w:bottom w:val="none" w:sz="0" w:space="0" w:color="auto"/>
            <w:right w:val="none" w:sz="0" w:space="0" w:color="auto"/>
          </w:divBdr>
        </w:div>
        <w:div w:id="1367413748">
          <w:marLeft w:val="1166"/>
          <w:marRight w:val="0"/>
          <w:marTop w:val="58"/>
          <w:marBottom w:val="0"/>
          <w:divBdr>
            <w:top w:val="none" w:sz="0" w:space="0" w:color="auto"/>
            <w:left w:val="none" w:sz="0" w:space="0" w:color="auto"/>
            <w:bottom w:val="none" w:sz="0" w:space="0" w:color="auto"/>
            <w:right w:val="none" w:sz="0" w:space="0" w:color="auto"/>
          </w:divBdr>
        </w:div>
        <w:div w:id="1919051771">
          <w:marLeft w:val="1166"/>
          <w:marRight w:val="0"/>
          <w:marTop w:val="58"/>
          <w:marBottom w:val="0"/>
          <w:divBdr>
            <w:top w:val="none" w:sz="0" w:space="0" w:color="auto"/>
            <w:left w:val="none" w:sz="0" w:space="0" w:color="auto"/>
            <w:bottom w:val="none" w:sz="0" w:space="0" w:color="auto"/>
            <w:right w:val="none" w:sz="0" w:space="0" w:color="auto"/>
          </w:divBdr>
        </w:div>
      </w:divsChild>
    </w:div>
    <w:div w:id="1529829023">
      <w:bodyDiv w:val="1"/>
      <w:marLeft w:val="0"/>
      <w:marRight w:val="0"/>
      <w:marTop w:val="0"/>
      <w:marBottom w:val="0"/>
      <w:divBdr>
        <w:top w:val="none" w:sz="0" w:space="0" w:color="auto"/>
        <w:left w:val="none" w:sz="0" w:space="0" w:color="auto"/>
        <w:bottom w:val="none" w:sz="0" w:space="0" w:color="auto"/>
        <w:right w:val="none" w:sz="0" w:space="0" w:color="auto"/>
      </w:divBdr>
    </w:div>
    <w:div w:id="1544173588">
      <w:bodyDiv w:val="1"/>
      <w:marLeft w:val="0"/>
      <w:marRight w:val="0"/>
      <w:marTop w:val="0"/>
      <w:marBottom w:val="0"/>
      <w:divBdr>
        <w:top w:val="none" w:sz="0" w:space="0" w:color="auto"/>
        <w:left w:val="none" w:sz="0" w:space="0" w:color="auto"/>
        <w:bottom w:val="none" w:sz="0" w:space="0" w:color="auto"/>
        <w:right w:val="none" w:sz="0" w:space="0" w:color="auto"/>
      </w:divBdr>
      <w:divsChild>
        <w:div w:id="429280070">
          <w:marLeft w:val="1267"/>
          <w:marRight w:val="0"/>
          <w:marTop w:val="82"/>
          <w:marBottom w:val="0"/>
          <w:divBdr>
            <w:top w:val="none" w:sz="0" w:space="0" w:color="auto"/>
            <w:left w:val="none" w:sz="0" w:space="0" w:color="auto"/>
            <w:bottom w:val="none" w:sz="0" w:space="0" w:color="auto"/>
            <w:right w:val="none" w:sz="0" w:space="0" w:color="auto"/>
          </w:divBdr>
        </w:div>
        <w:div w:id="961156258">
          <w:marLeft w:val="547"/>
          <w:marRight w:val="0"/>
          <w:marTop w:val="82"/>
          <w:marBottom w:val="0"/>
          <w:divBdr>
            <w:top w:val="none" w:sz="0" w:space="0" w:color="auto"/>
            <w:left w:val="none" w:sz="0" w:space="0" w:color="auto"/>
            <w:bottom w:val="none" w:sz="0" w:space="0" w:color="auto"/>
            <w:right w:val="none" w:sz="0" w:space="0" w:color="auto"/>
          </w:divBdr>
        </w:div>
        <w:div w:id="1235118245">
          <w:marLeft w:val="1267"/>
          <w:marRight w:val="0"/>
          <w:marTop w:val="82"/>
          <w:marBottom w:val="0"/>
          <w:divBdr>
            <w:top w:val="none" w:sz="0" w:space="0" w:color="auto"/>
            <w:left w:val="none" w:sz="0" w:space="0" w:color="auto"/>
            <w:bottom w:val="none" w:sz="0" w:space="0" w:color="auto"/>
            <w:right w:val="none" w:sz="0" w:space="0" w:color="auto"/>
          </w:divBdr>
        </w:div>
        <w:div w:id="1919287316">
          <w:marLeft w:val="1267"/>
          <w:marRight w:val="0"/>
          <w:marTop w:val="82"/>
          <w:marBottom w:val="0"/>
          <w:divBdr>
            <w:top w:val="none" w:sz="0" w:space="0" w:color="auto"/>
            <w:left w:val="none" w:sz="0" w:space="0" w:color="auto"/>
            <w:bottom w:val="none" w:sz="0" w:space="0" w:color="auto"/>
            <w:right w:val="none" w:sz="0" w:space="0" w:color="auto"/>
          </w:divBdr>
        </w:div>
        <w:div w:id="1929538400">
          <w:marLeft w:val="547"/>
          <w:marRight w:val="0"/>
          <w:marTop w:val="82"/>
          <w:marBottom w:val="0"/>
          <w:divBdr>
            <w:top w:val="none" w:sz="0" w:space="0" w:color="auto"/>
            <w:left w:val="none" w:sz="0" w:space="0" w:color="auto"/>
            <w:bottom w:val="none" w:sz="0" w:space="0" w:color="auto"/>
            <w:right w:val="none" w:sz="0" w:space="0" w:color="auto"/>
          </w:divBdr>
        </w:div>
        <w:div w:id="2095932240">
          <w:marLeft w:val="547"/>
          <w:marRight w:val="0"/>
          <w:marTop w:val="82"/>
          <w:marBottom w:val="0"/>
          <w:divBdr>
            <w:top w:val="none" w:sz="0" w:space="0" w:color="auto"/>
            <w:left w:val="none" w:sz="0" w:space="0" w:color="auto"/>
            <w:bottom w:val="none" w:sz="0" w:space="0" w:color="auto"/>
            <w:right w:val="none" w:sz="0" w:space="0" w:color="auto"/>
          </w:divBdr>
        </w:div>
      </w:divsChild>
    </w:div>
    <w:div w:id="1720785508">
      <w:bodyDiv w:val="1"/>
      <w:marLeft w:val="0"/>
      <w:marRight w:val="0"/>
      <w:marTop w:val="0"/>
      <w:marBottom w:val="0"/>
      <w:divBdr>
        <w:top w:val="none" w:sz="0" w:space="0" w:color="auto"/>
        <w:left w:val="none" w:sz="0" w:space="0" w:color="auto"/>
        <w:bottom w:val="none" w:sz="0" w:space="0" w:color="auto"/>
        <w:right w:val="none" w:sz="0" w:space="0" w:color="auto"/>
      </w:divBdr>
      <w:divsChild>
        <w:div w:id="397749667">
          <w:marLeft w:val="547"/>
          <w:marRight w:val="0"/>
          <w:marTop w:val="82"/>
          <w:marBottom w:val="0"/>
          <w:divBdr>
            <w:top w:val="none" w:sz="0" w:space="0" w:color="auto"/>
            <w:left w:val="none" w:sz="0" w:space="0" w:color="auto"/>
            <w:bottom w:val="none" w:sz="0" w:space="0" w:color="auto"/>
            <w:right w:val="none" w:sz="0" w:space="0" w:color="auto"/>
          </w:divBdr>
        </w:div>
        <w:div w:id="1042439624">
          <w:marLeft w:val="547"/>
          <w:marRight w:val="0"/>
          <w:marTop w:val="82"/>
          <w:marBottom w:val="0"/>
          <w:divBdr>
            <w:top w:val="none" w:sz="0" w:space="0" w:color="auto"/>
            <w:left w:val="none" w:sz="0" w:space="0" w:color="auto"/>
            <w:bottom w:val="none" w:sz="0" w:space="0" w:color="auto"/>
            <w:right w:val="none" w:sz="0" w:space="0" w:color="auto"/>
          </w:divBdr>
        </w:div>
        <w:div w:id="1247570227">
          <w:marLeft w:val="547"/>
          <w:marRight w:val="0"/>
          <w:marTop w:val="82"/>
          <w:marBottom w:val="0"/>
          <w:divBdr>
            <w:top w:val="none" w:sz="0" w:space="0" w:color="auto"/>
            <w:left w:val="none" w:sz="0" w:space="0" w:color="auto"/>
            <w:bottom w:val="none" w:sz="0" w:space="0" w:color="auto"/>
            <w:right w:val="none" w:sz="0" w:space="0" w:color="auto"/>
          </w:divBdr>
        </w:div>
      </w:divsChild>
    </w:div>
    <w:div w:id="1729109784">
      <w:bodyDiv w:val="1"/>
      <w:marLeft w:val="0"/>
      <w:marRight w:val="0"/>
      <w:marTop w:val="0"/>
      <w:marBottom w:val="0"/>
      <w:divBdr>
        <w:top w:val="none" w:sz="0" w:space="0" w:color="auto"/>
        <w:left w:val="none" w:sz="0" w:space="0" w:color="auto"/>
        <w:bottom w:val="none" w:sz="0" w:space="0" w:color="auto"/>
        <w:right w:val="none" w:sz="0" w:space="0" w:color="auto"/>
      </w:divBdr>
      <w:divsChild>
        <w:div w:id="28532875">
          <w:marLeft w:val="1166"/>
          <w:marRight w:val="0"/>
          <w:marTop w:val="67"/>
          <w:marBottom w:val="0"/>
          <w:divBdr>
            <w:top w:val="none" w:sz="0" w:space="0" w:color="auto"/>
            <w:left w:val="none" w:sz="0" w:space="0" w:color="auto"/>
            <w:bottom w:val="none" w:sz="0" w:space="0" w:color="auto"/>
            <w:right w:val="none" w:sz="0" w:space="0" w:color="auto"/>
          </w:divBdr>
        </w:div>
        <w:div w:id="502671364">
          <w:marLeft w:val="1166"/>
          <w:marRight w:val="0"/>
          <w:marTop w:val="67"/>
          <w:marBottom w:val="0"/>
          <w:divBdr>
            <w:top w:val="none" w:sz="0" w:space="0" w:color="auto"/>
            <w:left w:val="none" w:sz="0" w:space="0" w:color="auto"/>
            <w:bottom w:val="none" w:sz="0" w:space="0" w:color="auto"/>
            <w:right w:val="none" w:sz="0" w:space="0" w:color="auto"/>
          </w:divBdr>
        </w:div>
        <w:div w:id="1516727549">
          <w:marLeft w:val="1166"/>
          <w:marRight w:val="0"/>
          <w:marTop w:val="67"/>
          <w:marBottom w:val="0"/>
          <w:divBdr>
            <w:top w:val="none" w:sz="0" w:space="0" w:color="auto"/>
            <w:left w:val="none" w:sz="0" w:space="0" w:color="auto"/>
            <w:bottom w:val="none" w:sz="0" w:space="0" w:color="auto"/>
            <w:right w:val="none" w:sz="0" w:space="0" w:color="auto"/>
          </w:divBdr>
        </w:div>
      </w:divsChild>
    </w:div>
    <w:div w:id="1808233303">
      <w:bodyDiv w:val="1"/>
      <w:marLeft w:val="0"/>
      <w:marRight w:val="0"/>
      <w:marTop w:val="0"/>
      <w:marBottom w:val="0"/>
      <w:divBdr>
        <w:top w:val="none" w:sz="0" w:space="0" w:color="auto"/>
        <w:left w:val="none" w:sz="0" w:space="0" w:color="auto"/>
        <w:bottom w:val="none" w:sz="0" w:space="0" w:color="auto"/>
        <w:right w:val="none" w:sz="0" w:space="0" w:color="auto"/>
      </w:divBdr>
      <w:divsChild>
        <w:div w:id="865212173">
          <w:marLeft w:val="547"/>
          <w:marRight w:val="0"/>
          <w:marTop w:val="58"/>
          <w:marBottom w:val="0"/>
          <w:divBdr>
            <w:top w:val="none" w:sz="0" w:space="0" w:color="auto"/>
            <w:left w:val="none" w:sz="0" w:space="0" w:color="auto"/>
            <w:bottom w:val="none" w:sz="0" w:space="0" w:color="auto"/>
            <w:right w:val="none" w:sz="0" w:space="0" w:color="auto"/>
          </w:divBdr>
        </w:div>
        <w:div w:id="1451164574">
          <w:marLeft w:val="547"/>
          <w:marRight w:val="0"/>
          <w:marTop w:val="58"/>
          <w:marBottom w:val="0"/>
          <w:divBdr>
            <w:top w:val="none" w:sz="0" w:space="0" w:color="auto"/>
            <w:left w:val="none" w:sz="0" w:space="0" w:color="auto"/>
            <w:bottom w:val="none" w:sz="0" w:space="0" w:color="auto"/>
            <w:right w:val="none" w:sz="0" w:space="0" w:color="auto"/>
          </w:divBdr>
        </w:div>
        <w:div w:id="1646087085">
          <w:marLeft w:val="547"/>
          <w:marRight w:val="0"/>
          <w:marTop w:val="58"/>
          <w:marBottom w:val="0"/>
          <w:divBdr>
            <w:top w:val="none" w:sz="0" w:space="0" w:color="auto"/>
            <w:left w:val="none" w:sz="0" w:space="0" w:color="auto"/>
            <w:bottom w:val="none" w:sz="0" w:space="0" w:color="auto"/>
            <w:right w:val="none" w:sz="0" w:space="0" w:color="auto"/>
          </w:divBdr>
        </w:div>
        <w:div w:id="1826582443">
          <w:marLeft w:val="547"/>
          <w:marRight w:val="0"/>
          <w:marTop w:val="58"/>
          <w:marBottom w:val="0"/>
          <w:divBdr>
            <w:top w:val="none" w:sz="0" w:space="0" w:color="auto"/>
            <w:left w:val="none" w:sz="0" w:space="0" w:color="auto"/>
            <w:bottom w:val="none" w:sz="0" w:space="0" w:color="auto"/>
            <w:right w:val="none" w:sz="0" w:space="0" w:color="auto"/>
          </w:divBdr>
        </w:div>
        <w:div w:id="1836870648">
          <w:marLeft w:val="547"/>
          <w:marRight w:val="0"/>
          <w:marTop w:val="58"/>
          <w:marBottom w:val="0"/>
          <w:divBdr>
            <w:top w:val="none" w:sz="0" w:space="0" w:color="auto"/>
            <w:left w:val="none" w:sz="0" w:space="0" w:color="auto"/>
            <w:bottom w:val="none" w:sz="0" w:space="0" w:color="auto"/>
            <w:right w:val="none" w:sz="0" w:space="0" w:color="auto"/>
          </w:divBdr>
        </w:div>
        <w:div w:id="1927499580">
          <w:marLeft w:val="547"/>
          <w:marRight w:val="0"/>
          <w:marTop w:val="58"/>
          <w:marBottom w:val="0"/>
          <w:divBdr>
            <w:top w:val="none" w:sz="0" w:space="0" w:color="auto"/>
            <w:left w:val="none" w:sz="0" w:space="0" w:color="auto"/>
            <w:bottom w:val="none" w:sz="0" w:space="0" w:color="auto"/>
            <w:right w:val="none" w:sz="0" w:space="0" w:color="auto"/>
          </w:divBdr>
        </w:div>
      </w:divsChild>
    </w:div>
    <w:div w:id="1858889566">
      <w:bodyDiv w:val="1"/>
      <w:marLeft w:val="0"/>
      <w:marRight w:val="0"/>
      <w:marTop w:val="0"/>
      <w:marBottom w:val="0"/>
      <w:divBdr>
        <w:top w:val="none" w:sz="0" w:space="0" w:color="auto"/>
        <w:left w:val="none" w:sz="0" w:space="0" w:color="auto"/>
        <w:bottom w:val="none" w:sz="0" w:space="0" w:color="auto"/>
        <w:right w:val="none" w:sz="0" w:space="0" w:color="auto"/>
      </w:divBdr>
    </w:div>
    <w:div w:id="1860387925">
      <w:bodyDiv w:val="1"/>
      <w:marLeft w:val="0"/>
      <w:marRight w:val="0"/>
      <w:marTop w:val="0"/>
      <w:marBottom w:val="0"/>
      <w:divBdr>
        <w:top w:val="none" w:sz="0" w:space="0" w:color="auto"/>
        <w:left w:val="none" w:sz="0" w:space="0" w:color="auto"/>
        <w:bottom w:val="none" w:sz="0" w:space="0" w:color="auto"/>
        <w:right w:val="none" w:sz="0" w:space="0" w:color="auto"/>
      </w:divBdr>
      <w:divsChild>
        <w:div w:id="183446177">
          <w:marLeft w:val="446"/>
          <w:marRight w:val="0"/>
          <w:marTop w:val="67"/>
          <w:marBottom w:val="0"/>
          <w:divBdr>
            <w:top w:val="none" w:sz="0" w:space="0" w:color="auto"/>
            <w:left w:val="none" w:sz="0" w:space="0" w:color="auto"/>
            <w:bottom w:val="none" w:sz="0" w:space="0" w:color="auto"/>
            <w:right w:val="none" w:sz="0" w:space="0" w:color="auto"/>
          </w:divBdr>
        </w:div>
        <w:div w:id="327292239">
          <w:marLeft w:val="446"/>
          <w:marRight w:val="0"/>
          <w:marTop w:val="67"/>
          <w:marBottom w:val="0"/>
          <w:divBdr>
            <w:top w:val="none" w:sz="0" w:space="0" w:color="auto"/>
            <w:left w:val="none" w:sz="0" w:space="0" w:color="auto"/>
            <w:bottom w:val="none" w:sz="0" w:space="0" w:color="auto"/>
            <w:right w:val="none" w:sz="0" w:space="0" w:color="auto"/>
          </w:divBdr>
        </w:div>
        <w:div w:id="469636701">
          <w:marLeft w:val="1166"/>
          <w:marRight w:val="0"/>
          <w:marTop w:val="58"/>
          <w:marBottom w:val="0"/>
          <w:divBdr>
            <w:top w:val="none" w:sz="0" w:space="0" w:color="auto"/>
            <w:left w:val="none" w:sz="0" w:space="0" w:color="auto"/>
            <w:bottom w:val="none" w:sz="0" w:space="0" w:color="auto"/>
            <w:right w:val="none" w:sz="0" w:space="0" w:color="auto"/>
          </w:divBdr>
        </w:div>
        <w:div w:id="625352150">
          <w:marLeft w:val="446"/>
          <w:marRight w:val="0"/>
          <w:marTop w:val="67"/>
          <w:marBottom w:val="0"/>
          <w:divBdr>
            <w:top w:val="none" w:sz="0" w:space="0" w:color="auto"/>
            <w:left w:val="none" w:sz="0" w:space="0" w:color="auto"/>
            <w:bottom w:val="none" w:sz="0" w:space="0" w:color="auto"/>
            <w:right w:val="none" w:sz="0" w:space="0" w:color="auto"/>
          </w:divBdr>
        </w:div>
        <w:div w:id="823738032">
          <w:marLeft w:val="446"/>
          <w:marRight w:val="0"/>
          <w:marTop w:val="67"/>
          <w:marBottom w:val="0"/>
          <w:divBdr>
            <w:top w:val="none" w:sz="0" w:space="0" w:color="auto"/>
            <w:left w:val="none" w:sz="0" w:space="0" w:color="auto"/>
            <w:bottom w:val="none" w:sz="0" w:space="0" w:color="auto"/>
            <w:right w:val="none" w:sz="0" w:space="0" w:color="auto"/>
          </w:divBdr>
        </w:div>
        <w:div w:id="1715155975">
          <w:marLeft w:val="446"/>
          <w:marRight w:val="0"/>
          <w:marTop w:val="67"/>
          <w:marBottom w:val="0"/>
          <w:divBdr>
            <w:top w:val="none" w:sz="0" w:space="0" w:color="auto"/>
            <w:left w:val="none" w:sz="0" w:space="0" w:color="auto"/>
            <w:bottom w:val="none" w:sz="0" w:space="0" w:color="auto"/>
            <w:right w:val="none" w:sz="0" w:space="0" w:color="auto"/>
          </w:divBdr>
        </w:div>
        <w:div w:id="1876773583">
          <w:marLeft w:val="1166"/>
          <w:marRight w:val="0"/>
          <w:marTop w:val="58"/>
          <w:marBottom w:val="0"/>
          <w:divBdr>
            <w:top w:val="none" w:sz="0" w:space="0" w:color="auto"/>
            <w:left w:val="none" w:sz="0" w:space="0" w:color="auto"/>
            <w:bottom w:val="none" w:sz="0" w:space="0" w:color="auto"/>
            <w:right w:val="none" w:sz="0" w:space="0" w:color="auto"/>
          </w:divBdr>
        </w:div>
        <w:div w:id="1929580852">
          <w:marLeft w:val="446"/>
          <w:marRight w:val="0"/>
          <w:marTop w:val="67"/>
          <w:marBottom w:val="0"/>
          <w:divBdr>
            <w:top w:val="none" w:sz="0" w:space="0" w:color="auto"/>
            <w:left w:val="none" w:sz="0" w:space="0" w:color="auto"/>
            <w:bottom w:val="none" w:sz="0" w:space="0" w:color="auto"/>
            <w:right w:val="none" w:sz="0" w:space="0" w:color="auto"/>
          </w:divBdr>
        </w:div>
      </w:divsChild>
    </w:div>
    <w:div w:id="1883440724">
      <w:bodyDiv w:val="1"/>
      <w:marLeft w:val="0"/>
      <w:marRight w:val="0"/>
      <w:marTop w:val="0"/>
      <w:marBottom w:val="0"/>
      <w:divBdr>
        <w:top w:val="none" w:sz="0" w:space="0" w:color="auto"/>
        <w:left w:val="none" w:sz="0" w:space="0" w:color="auto"/>
        <w:bottom w:val="none" w:sz="0" w:space="0" w:color="auto"/>
        <w:right w:val="none" w:sz="0" w:space="0" w:color="auto"/>
      </w:divBdr>
    </w:div>
    <w:div w:id="1906574054">
      <w:bodyDiv w:val="1"/>
      <w:marLeft w:val="0"/>
      <w:marRight w:val="0"/>
      <w:marTop w:val="0"/>
      <w:marBottom w:val="0"/>
      <w:divBdr>
        <w:top w:val="none" w:sz="0" w:space="0" w:color="auto"/>
        <w:left w:val="none" w:sz="0" w:space="0" w:color="auto"/>
        <w:bottom w:val="none" w:sz="0" w:space="0" w:color="auto"/>
        <w:right w:val="none" w:sz="0" w:space="0" w:color="auto"/>
      </w:divBdr>
    </w:div>
    <w:div w:id="1996715179">
      <w:bodyDiv w:val="1"/>
      <w:marLeft w:val="0"/>
      <w:marRight w:val="0"/>
      <w:marTop w:val="0"/>
      <w:marBottom w:val="0"/>
      <w:divBdr>
        <w:top w:val="none" w:sz="0" w:space="0" w:color="auto"/>
        <w:left w:val="none" w:sz="0" w:space="0" w:color="auto"/>
        <w:bottom w:val="none" w:sz="0" w:space="0" w:color="auto"/>
        <w:right w:val="none" w:sz="0" w:space="0" w:color="auto"/>
      </w:divBdr>
    </w:div>
    <w:div w:id="2004356477">
      <w:bodyDiv w:val="1"/>
      <w:marLeft w:val="0"/>
      <w:marRight w:val="0"/>
      <w:marTop w:val="0"/>
      <w:marBottom w:val="0"/>
      <w:divBdr>
        <w:top w:val="none" w:sz="0" w:space="0" w:color="auto"/>
        <w:left w:val="none" w:sz="0" w:space="0" w:color="auto"/>
        <w:bottom w:val="none" w:sz="0" w:space="0" w:color="auto"/>
        <w:right w:val="none" w:sz="0" w:space="0" w:color="auto"/>
      </w:divBdr>
      <w:divsChild>
        <w:div w:id="227618175">
          <w:marLeft w:val="446"/>
          <w:marRight w:val="0"/>
          <w:marTop w:val="67"/>
          <w:marBottom w:val="0"/>
          <w:divBdr>
            <w:top w:val="none" w:sz="0" w:space="0" w:color="auto"/>
            <w:left w:val="none" w:sz="0" w:space="0" w:color="auto"/>
            <w:bottom w:val="none" w:sz="0" w:space="0" w:color="auto"/>
            <w:right w:val="none" w:sz="0" w:space="0" w:color="auto"/>
          </w:divBdr>
        </w:div>
        <w:div w:id="406464817">
          <w:marLeft w:val="446"/>
          <w:marRight w:val="0"/>
          <w:marTop w:val="67"/>
          <w:marBottom w:val="0"/>
          <w:divBdr>
            <w:top w:val="none" w:sz="0" w:space="0" w:color="auto"/>
            <w:left w:val="none" w:sz="0" w:space="0" w:color="auto"/>
            <w:bottom w:val="none" w:sz="0" w:space="0" w:color="auto"/>
            <w:right w:val="none" w:sz="0" w:space="0" w:color="auto"/>
          </w:divBdr>
        </w:div>
        <w:div w:id="475338800">
          <w:marLeft w:val="446"/>
          <w:marRight w:val="0"/>
          <w:marTop w:val="67"/>
          <w:marBottom w:val="0"/>
          <w:divBdr>
            <w:top w:val="none" w:sz="0" w:space="0" w:color="auto"/>
            <w:left w:val="none" w:sz="0" w:space="0" w:color="auto"/>
            <w:bottom w:val="none" w:sz="0" w:space="0" w:color="auto"/>
            <w:right w:val="none" w:sz="0" w:space="0" w:color="auto"/>
          </w:divBdr>
        </w:div>
        <w:div w:id="581527044">
          <w:marLeft w:val="1166"/>
          <w:marRight w:val="0"/>
          <w:marTop w:val="58"/>
          <w:marBottom w:val="0"/>
          <w:divBdr>
            <w:top w:val="none" w:sz="0" w:space="0" w:color="auto"/>
            <w:left w:val="none" w:sz="0" w:space="0" w:color="auto"/>
            <w:bottom w:val="none" w:sz="0" w:space="0" w:color="auto"/>
            <w:right w:val="none" w:sz="0" w:space="0" w:color="auto"/>
          </w:divBdr>
        </w:div>
        <w:div w:id="1193112721">
          <w:marLeft w:val="446"/>
          <w:marRight w:val="0"/>
          <w:marTop w:val="67"/>
          <w:marBottom w:val="0"/>
          <w:divBdr>
            <w:top w:val="none" w:sz="0" w:space="0" w:color="auto"/>
            <w:left w:val="none" w:sz="0" w:space="0" w:color="auto"/>
            <w:bottom w:val="none" w:sz="0" w:space="0" w:color="auto"/>
            <w:right w:val="none" w:sz="0" w:space="0" w:color="auto"/>
          </w:divBdr>
        </w:div>
        <w:div w:id="1461532555">
          <w:marLeft w:val="1166"/>
          <w:marRight w:val="0"/>
          <w:marTop w:val="58"/>
          <w:marBottom w:val="0"/>
          <w:divBdr>
            <w:top w:val="none" w:sz="0" w:space="0" w:color="auto"/>
            <w:left w:val="none" w:sz="0" w:space="0" w:color="auto"/>
            <w:bottom w:val="none" w:sz="0" w:space="0" w:color="auto"/>
            <w:right w:val="none" w:sz="0" w:space="0" w:color="auto"/>
          </w:divBdr>
        </w:div>
        <w:div w:id="1539270585">
          <w:marLeft w:val="446"/>
          <w:marRight w:val="0"/>
          <w:marTop w:val="67"/>
          <w:marBottom w:val="0"/>
          <w:divBdr>
            <w:top w:val="none" w:sz="0" w:space="0" w:color="auto"/>
            <w:left w:val="none" w:sz="0" w:space="0" w:color="auto"/>
            <w:bottom w:val="none" w:sz="0" w:space="0" w:color="auto"/>
            <w:right w:val="none" w:sz="0" w:space="0" w:color="auto"/>
          </w:divBdr>
        </w:div>
        <w:div w:id="1733498933">
          <w:marLeft w:val="446"/>
          <w:marRight w:val="0"/>
          <w:marTop w:val="67"/>
          <w:marBottom w:val="0"/>
          <w:divBdr>
            <w:top w:val="none" w:sz="0" w:space="0" w:color="auto"/>
            <w:left w:val="none" w:sz="0" w:space="0" w:color="auto"/>
            <w:bottom w:val="none" w:sz="0" w:space="0" w:color="auto"/>
            <w:right w:val="none" w:sz="0" w:space="0" w:color="auto"/>
          </w:divBdr>
        </w:div>
      </w:divsChild>
    </w:div>
    <w:div w:id="2031225976">
      <w:bodyDiv w:val="1"/>
      <w:marLeft w:val="0"/>
      <w:marRight w:val="0"/>
      <w:marTop w:val="0"/>
      <w:marBottom w:val="0"/>
      <w:divBdr>
        <w:top w:val="none" w:sz="0" w:space="0" w:color="auto"/>
        <w:left w:val="none" w:sz="0" w:space="0" w:color="auto"/>
        <w:bottom w:val="none" w:sz="0" w:space="0" w:color="auto"/>
        <w:right w:val="none" w:sz="0" w:space="0" w:color="auto"/>
      </w:divBdr>
      <w:divsChild>
        <w:div w:id="323433993">
          <w:marLeft w:val="1267"/>
          <w:marRight w:val="0"/>
          <w:marTop w:val="67"/>
          <w:marBottom w:val="0"/>
          <w:divBdr>
            <w:top w:val="none" w:sz="0" w:space="0" w:color="auto"/>
            <w:left w:val="none" w:sz="0" w:space="0" w:color="auto"/>
            <w:bottom w:val="none" w:sz="0" w:space="0" w:color="auto"/>
            <w:right w:val="none" w:sz="0" w:space="0" w:color="auto"/>
          </w:divBdr>
        </w:div>
        <w:div w:id="428700117">
          <w:marLeft w:val="1267"/>
          <w:marRight w:val="0"/>
          <w:marTop w:val="67"/>
          <w:marBottom w:val="0"/>
          <w:divBdr>
            <w:top w:val="none" w:sz="0" w:space="0" w:color="auto"/>
            <w:left w:val="none" w:sz="0" w:space="0" w:color="auto"/>
            <w:bottom w:val="none" w:sz="0" w:space="0" w:color="auto"/>
            <w:right w:val="none" w:sz="0" w:space="0" w:color="auto"/>
          </w:divBdr>
        </w:div>
        <w:div w:id="510535773">
          <w:marLeft w:val="547"/>
          <w:marRight w:val="0"/>
          <w:marTop w:val="72"/>
          <w:marBottom w:val="0"/>
          <w:divBdr>
            <w:top w:val="none" w:sz="0" w:space="0" w:color="auto"/>
            <w:left w:val="none" w:sz="0" w:space="0" w:color="auto"/>
            <w:bottom w:val="none" w:sz="0" w:space="0" w:color="auto"/>
            <w:right w:val="none" w:sz="0" w:space="0" w:color="auto"/>
          </w:divBdr>
        </w:div>
        <w:div w:id="921719451">
          <w:marLeft w:val="1267"/>
          <w:marRight w:val="0"/>
          <w:marTop w:val="67"/>
          <w:marBottom w:val="0"/>
          <w:divBdr>
            <w:top w:val="none" w:sz="0" w:space="0" w:color="auto"/>
            <w:left w:val="none" w:sz="0" w:space="0" w:color="auto"/>
            <w:bottom w:val="none" w:sz="0" w:space="0" w:color="auto"/>
            <w:right w:val="none" w:sz="0" w:space="0" w:color="auto"/>
          </w:divBdr>
        </w:div>
        <w:div w:id="923683801">
          <w:marLeft w:val="547"/>
          <w:marRight w:val="0"/>
          <w:marTop w:val="72"/>
          <w:marBottom w:val="0"/>
          <w:divBdr>
            <w:top w:val="none" w:sz="0" w:space="0" w:color="auto"/>
            <w:left w:val="none" w:sz="0" w:space="0" w:color="auto"/>
            <w:bottom w:val="none" w:sz="0" w:space="0" w:color="auto"/>
            <w:right w:val="none" w:sz="0" w:space="0" w:color="auto"/>
          </w:divBdr>
        </w:div>
        <w:div w:id="1246185083">
          <w:marLeft w:val="547"/>
          <w:marRight w:val="0"/>
          <w:marTop w:val="72"/>
          <w:marBottom w:val="0"/>
          <w:divBdr>
            <w:top w:val="none" w:sz="0" w:space="0" w:color="auto"/>
            <w:left w:val="none" w:sz="0" w:space="0" w:color="auto"/>
            <w:bottom w:val="none" w:sz="0" w:space="0" w:color="auto"/>
            <w:right w:val="none" w:sz="0" w:space="0" w:color="auto"/>
          </w:divBdr>
        </w:div>
        <w:div w:id="1872843300">
          <w:marLeft w:val="1267"/>
          <w:marRight w:val="0"/>
          <w:marTop w:val="67"/>
          <w:marBottom w:val="0"/>
          <w:divBdr>
            <w:top w:val="none" w:sz="0" w:space="0" w:color="auto"/>
            <w:left w:val="none" w:sz="0" w:space="0" w:color="auto"/>
            <w:bottom w:val="none" w:sz="0" w:space="0" w:color="auto"/>
            <w:right w:val="none" w:sz="0" w:space="0" w:color="auto"/>
          </w:divBdr>
        </w:div>
        <w:div w:id="1981037145">
          <w:marLeft w:val="1267"/>
          <w:marRight w:val="0"/>
          <w:marTop w:val="67"/>
          <w:marBottom w:val="0"/>
          <w:divBdr>
            <w:top w:val="none" w:sz="0" w:space="0" w:color="auto"/>
            <w:left w:val="none" w:sz="0" w:space="0" w:color="auto"/>
            <w:bottom w:val="none" w:sz="0" w:space="0" w:color="auto"/>
            <w:right w:val="none" w:sz="0" w:space="0" w:color="auto"/>
          </w:divBdr>
        </w:div>
        <w:div w:id="2108228775">
          <w:marLeft w:val="547"/>
          <w:marRight w:val="0"/>
          <w:marTop w:val="72"/>
          <w:marBottom w:val="0"/>
          <w:divBdr>
            <w:top w:val="none" w:sz="0" w:space="0" w:color="auto"/>
            <w:left w:val="none" w:sz="0" w:space="0" w:color="auto"/>
            <w:bottom w:val="none" w:sz="0" w:space="0" w:color="auto"/>
            <w:right w:val="none" w:sz="0" w:space="0" w:color="auto"/>
          </w:divBdr>
        </w:div>
      </w:divsChild>
    </w:div>
    <w:div w:id="2116826004">
      <w:bodyDiv w:val="1"/>
      <w:marLeft w:val="0"/>
      <w:marRight w:val="0"/>
      <w:marTop w:val="0"/>
      <w:marBottom w:val="0"/>
      <w:divBdr>
        <w:top w:val="none" w:sz="0" w:space="0" w:color="auto"/>
        <w:left w:val="none" w:sz="0" w:space="0" w:color="auto"/>
        <w:bottom w:val="none" w:sz="0" w:space="0" w:color="auto"/>
        <w:right w:val="none" w:sz="0" w:space="0" w:color="auto"/>
      </w:divBdr>
      <w:divsChild>
        <w:div w:id="833226001">
          <w:marLeft w:val="0"/>
          <w:marRight w:val="0"/>
          <w:marTop w:val="0"/>
          <w:marBottom w:val="0"/>
          <w:divBdr>
            <w:top w:val="none" w:sz="0" w:space="0" w:color="auto"/>
            <w:left w:val="none" w:sz="0" w:space="0" w:color="auto"/>
            <w:bottom w:val="none" w:sz="0" w:space="0" w:color="auto"/>
            <w:right w:val="none" w:sz="0" w:space="0" w:color="auto"/>
          </w:divBdr>
        </w:div>
        <w:div w:id="1107309042">
          <w:marLeft w:val="0"/>
          <w:marRight w:val="0"/>
          <w:marTop w:val="0"/>
          <w:marBottom w:val="0"/>
          <w:divBdr>
            <w:top w:val="none" w:sz="0" w:space="0" w:color="auto"/>
            <w:left w:val="none" w:sz="0" w:space="0" w:color="auto"/>
            <w:bottom w:val="none" w:sz="0" w:space="0" w:color="auto"/>
            <w:right w:val="none" w:sz="0" w:space="0" w:color="auto"/>
          </w:divBdr>
        </w:div>
        <w:div w:id="1299535334">
          <w:marLeft w:val="0"/>
          <w:marRight w:val="0"/>
          <w:marTop w:val="0"/>
          <w:marBottom w:val="0"/>
          <w:divBdr>
            <w:top w:val="none" w:sz="0" w:space="0" w:color="auto"/>
            <w:left w:val="none" w:sz="0" w:space="0" w:color="auto"/>
            <w:bottom w:val="none" w:sz="0" w:space="0" w:color="auto"/>
            <w:right w:val="none" w:sz="0" w:space="0" w:color="auto"/>
          </w:divBdr>
        </w:div>
        <w:div w:id="1485773824">
          <w:marLeft w:val="0"/>
          <w:marRight w:val="0"/>
          <w:marTop w:val="0"/>
          <w:marBottom w:val="0"/>
          <w:divBdr>
            <w:top w:val="none" w:sz="0" w:space="0" w:color="auto"/>
            <w:left w:val="none" w:sz="0" w:space="0" w:color="auto"/>
            <w:bottom w:val="none" w:sz="0" w:space="0" w:color="auto"/>
            <w:right w:val="none" w:sz="0" w:space="0" w:color="auto"/>
          </w:divBdr>
        </w:div>
        <w:div w:id="16285849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image" Target="media/image22.svg"/><Relationship Id="rId3" Type="http://schemas.openxmlformats.org/officeDocument/2006/relationships/customXml" Target="../customXml/item3.xml"/><Relationship Id="rId21" Type="http://schemas.openxmlformats.org/officeDocument/2006/relationships/image" Target="media/image5.svg"/><Relationship Id="rId34" Type="http://schemas.openxmlformats.org/officeDocument/2006/relationships/image" Target="media/image15.png"/><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1.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eter-project/com"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portal/screen/opportunities/topic-details/isf-2024-tf2-ag-cop?isExactMatch=true&amp;status=31094501,31094502&amp;callIdentifier=ISF-2024-TF2-AG-COP&amp;order=DESC&amp;pageNumber=1&amp;pageSize=50&amp;sortBy=startDate" TargetMode="External"/><Relationship Id="rId2" Type="http://schemas.openxmlformats.org/officeDocument/2006/relationships/hyperlink" Target="https://euaa.europa.eu/publications/practical-guide-age-assessment" TargetMode="External"/><Relationship Id="rId1" Type="http://schemas.openxmlformats.org/officeDocument/2006/relationships/hyperlink" Target="https://home-affairs.ec.europa.eu/policies/migration-and-asylum/pact-migration-and-asylum/legislative-files-nutshell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Author Role="Creator" AuthorRoleName="Writer" AuthorRoleId="a4fbaff4-b07c-48b4-a21e-e7b9eedf3796">
  <Id>89eff502-1efa-493f-a50c-77c0dd4cae27</Id>
  <Names>
    <Latin>
      <FirstName>Ramona Maria</FirstName>
      <LastName>VASILE</LastName>
    </Latin>
    <Greek>
      <FirstName/>
      <LastName/>
    </Greek>
    <Cyrillic>
      <FirstName/>
      <LastName/>
    </Cyrillic>
    <DocumentScript>
      <FirstName>Ramona Maria</FirstName>
      <LastName>VASILE</LastName>
      <FullName>Ramona Maria VASILE</FullName>
    </DocumentScript>
  </Names>
  <Initials>RMV</Initials>
  <Gender>f</Gender>
  <Email>Ramona-Maria.VASILE@ec.europa.eu</Email>
  <Service>HOME.A.1.001</Service>
  <Function ADCode="" ShowInSignature="true" ShowInHeader="false" HeaderText="">Secretary </Function>
  <WebAddress/>
  <FunctionalMailbox>HOME-NOTIFICATIONS-E4@ec.europa.eu</FunctionalMailbox>
  <InheritedWebAddress>WebAddress</InheritedWebAddress>
  <OrgaEntity1>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2f982468-7831-4ee7-ad82-e51ddd34badb</Id>
    <LogicalLevel>2</LogicalLevel>
    <Name>HOME.A</Name>
    <HeadLine1>Directorate A – International &amp; Horizontal Affairs</HeadLine1>
    <HeadLine2/>
    <PrimaryAddressId>f03b5801-04c9-4931-aa17-c6d6c70bc579</PrimaryAddressId>
    <SecondaryAddressId/>
    <WebAddress/>
    <InheritedWebAddress>WebAddress</InheritedWebAddress>
    <ShowInHeader>true</ShowInHeader>
  </OrgaEntity2>
  <OrgaEntity3>
    <Id>e3b99231-918e-499a-9a21-835e779fa01e</Id>
    <LogicalLevel>3</LogicalLevel>
    <Name>HOME.A.1</Name>
    <HeadLine1/>
    <HeadLine2/>
    <PrimaryAddressId>f03b5801-04c9-4931-aa17-c6d6c70bc579</PrimaryAddressId>
    <SecondaryAddressId/>
    <WebAddress/>
    <InheritedWebAddress>WebAddress</InheritedWebAddress>
    <ShowInHeader>true</ShowInHeader>
  </OrgaEntity3>
  <Hierarchy>
    <OrgaEntity>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
    <OrgaEntity>
      <Id>2f982468-7831-4ee7-ad82-e51ddd34badb</Id>
      <LogicalLevel>2</LogicalLevel>
      <Name>HOME.A</Name>
      <HeadLine1>Directorate A – International &amp; Horizontal Affairs</HeadLine1>
      <HeadLine2/>
      <PrimaryAddressId>f03b5801-04c9-4931-aa17-c6d6c70bc579</PrimaryAddressId>
      <SecondaryAddressId/>
      <WebAddress/>
      <InheritedWebAddress>WebAddress</InheritedWebAddress>
      <ShowInHeader>true</ShowInHeader>
    </OrgaEntity>
    <OrgaEntity>
      <Id>e3b99231-918e-499a-9a21-835e779fa01e</Id>
      <LogicalLevel>3</LogicalLevel>
      <Name>HOME.A.1</Name>
      <HeadLine1>A.1 – Policy Coordination &amp; Interinstitutional Relations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+32 229-94482</Phone>
    <Office>LX46 06/185</Office>
  </MainWorkplace>
  <Workplaces>
    <Workplace IsMain="true">
      <AddressId>f03b5801-04c9-4931-aa17-c6d6c70bc579</AddressId>
      <Fax/>
      <Phone>+32 229-94482</Phone>
      <Office>LX46 06/185</Office>
    </Workplace>
  </Workplaces>
</Author>
</file>

<file path=customXml/item3.xml><?xml version="1.0" encoding="utf-8"?>
<EurolookProperties>
  <ProductCustomizationId>EC</ProductCustomizationId>
  <Created>
    <Version>10.0.45789.0</Version>
    <Date>2024-04-29T11:25:59</Date>
    <Language>EN</Language>
    <Note/>
  </Created>
  <Edited>
    <Version/>
    <Date/>
  </Edited>
  <DocumentModel>
    <Id>6cbda13a-4db2-46c6-876a-ef72275827ef</Id>
    <Name>Report</Name>
  </DocumentModel>
  <CustomTemplate>
    <Id/>
    <Name/>
  </CustomTemplate>
  <DocumentDate>2024-04-29T11:25:59</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istributionDG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3A3B3C7B-8417-4216-9A7F-27FCAA14375F}">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1ABDF2E-5482-4466-9C36-62AB5D4C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22558</Words>
  <Characters>128581</Characters>
  <Application>Microsoft Office Word</Application>
  <DocSecurity>0</DocSecurity>
  <PresentationFormat>Microsoft Word 14.0</PresentationFormat>
  <Lines>1071</Lines>
  <Paragraphs>301</Paragraphs>
  <ScaleCrop>true</ScaleCrop>
  <Manager/>
  <Company/>
  <LinksUpToDate>false</LinksUpToDate>
  <CharactersWithSpaces>150838</CharactersWithSpaces>
  <SharedDoc>false</SharedDoc>
  <HLinks>
    <vt:vector size="24" baseType="variant">
      <vt:variant>
        <vt:i4>3997794</vt:i4>
      </vt:variant>
      <vt:variant>
        <vt:i4>0</vt:i4>
      </vt:variant>
      <vt:variant>
        <vt:i4>0</vt:i4>
      </vt:variant>
      <vt:variant>
        <vt:i4>5</vt:i4>
      </vt:variant>
      <vt:variant>
        <vt:lpwstr>http://eter-project/com</vt:lpwstr>
      </vt:variant>
      <vt:variant>
        <vt:lpwstr/>
      </vt:variant>
      <vt:variant>
        <vt:i4>5505032</vt:i4>
      </vt:variant>
      <vt:variant>
        <vt:i4>6</vt:i4>
      </vt:variant>
      <vt:variant>
        <vt:i4>0</vt:i4>
      </vt:variant>
      <vt:variant>
        <vt:i4>5</vt:i4>
      </vt:variant>
      <vt:variant>
        <vt:lpwstr>https://ec.europa.eu/info/funding-tenders/opportunities/portal/screen/opportunities/topic-details/isf-2024-tf2-ag-cop?isExactMatch=true&amp;status=31094501,31094502&amp;callIdentifier=ISF-2024-TF2-AG-COP&amp;order=DESC&amp;pageNumber=1&amp;pageSize=50&amp;sortBy=startDate</vt:lpwstr>
      </vt:variant>
      <vt:variant>
        <vt:lpwstr/>
      </vt:variant>
      <vt:variant>
        <vt:i4>3997742</vt:i4>
      </vt:variant>
      <vt:variant>
        <vt:i4>3</vt:i4>
      </vt:variant>
      <vt:variant>
        <vt:i4>0</vt:i4>
      </vt:variant>
      <vt:variant>
        <vt:i4>5</vt:i4>
      </vt:variant>
      <vt:variant>
        <vt:lpwstr>https://euaa.europa.eu/publications/practical-guide-age-assessment</vt:lpwstr>
      </vt:variant>
      <vt:variant>
        <vt:lpwstr/>
      </vt:variant>
      <vt:variant>
        <vt:i4>7405642</vt:i4>
      </vt:variant>
      <vt:variant>
        <vt:i4>0</vt:i4>
      </vt:variant>
      <vt:variant>
        <vt:i4>0</vt:i4>
      </vt:variant>
      <vt:variant>
        <vt:i4>5</vt:i4>
      </vt:variant>
      <vt:variant>
        <vt:lpwstr>https://home-affairs.ec.europa.eu/policies/migration-and-asylum/pact-migration-and-asylum/legislative-files-nutshell_en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2024-06-11T13:27:00Z</dcterms:created>
  <dcterms:modified xsi:type="dcterms:W3CDTF">2024-06-12T00:27:00Z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MSIP_Label_6bd9ddd1-4d20-43f6-abfa-fc3c07406f94_Enabled">
    <vt:lpwstr>true</vt:lpwstr>
  </property>
  <property fmtid="{D5CDD505-2E9C-101B-9397-08002B2CF9AE}" pid="9" name="MSIP_Label_6bd9ddd1-4d20-43f6-abfa-fc3c07406f94_SetDate">
    <vt:lpwstr>2024-06-11T13:27:56Z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78cf5e43-fd5b-4299-abd0-bc83f7fb2a73</vt:lpwstr>
  </property>
  <property fmtid="{D5CDD505-2E9C-101B-9397-08002B2CF9AE}" pid="14" name="MSIP_Label_6bd9ddd1-4d20-43f6-abfa-fc3c07406f94_ContentBits">
    <vt:lpwstr>0</vt:lpwstr>
  </property>
</Properties>
</file>