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FB8BE" w14:textId="06F51549" w:rsidR="00F17AAE" w:rsidRPr="00CB12C0" w:rsidRDefault="004378AC" w:rsidP="004378AC">
      <w:pPr>
        <w:pStyle w:val="Pagedecouverture"/>
        <w:rPr>
          <w:noProof/>
          <w:lang w:val="en-IE"/>
        </w:rPr>
      </w:pPr>
      <w:bookmarkStart w:id="0" w:name="LW_BM_COVERPAGE"/>
      <w:r>
        <w:rPr>
          <w:noProof/>
          <w:lang w:val="en-IE"/>
        </w:rPr>
        <w:pict w14:anchorId="3C73AF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71F4F857-3A3E-4D03-99F6-008FB5578647" style="width:455.25pt;height:310.5pt">
            <v:imagedata r:id="rId11" o:title=""/>
          </v:shape>
        </w:pict>
      </w:r>
    </w:p>
    <w:bookmarkEnd w:id="0"/>
    <w:p w14:paraId="7C0F52A5" w14:textId="77777777" w:rsidR="00F17AAE" w:rsidRPr="00CB12C0" w:rsidRDefault="00F17AAE" w:rsidP="00CB12C0">
      <w:pPr>
        <w:rPr>
          <w:noProof/>
          <w:lang w:val="en-IE"/>
        </w:rPr>
        <w:sectPr w:rsidR="00F17AAE" w:rsidRPr="00CB12C0" w:rsidSect="004378AC">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51F2665A" w14:textId="19FEDF62" w:rsidR="005D3D4B" w:rsidRDefault="005D3D4B" w:rsidP="00CB12C0">
      <w:pPr>
        <w:jc w:val="center"/>
        <w:rPr>
          <w:rFonts w:ascii="Times New Roman" w:hAnsi="Times New Roman"/>
          <w:b/>
          <w:smallCaps/>
          <w:noProof/>
          <w:sz w:val="24"/>
          <w:lang w:val="en-IE"/>
        </w:rPr>
      </w:pPr>
      <w:bookmarkStart w:id="1" w:name="_GoBack"/>
      <w:bookmarkEnd w:id="1"/>
      <w:r w:rsidRPr="00CB12C0">
        <w:rPr>
          <w:rFonts w:ascii="Times New Roman" w:hAnsi="Times New Roman"/>
          <w:b/>
          <w:smallCaps/>
          <w:noProof/>
          <w:sz w:val="24"/>
          <w:lang w:val="en-IE"/>
        </w:rPr>
        <w:lastRenderedPageBreak/>
        <w:t>Report on the follow-up to the requests made by the European Parliament in its discharge resolutions and the Council in its discharge recommendation for the financial year 202</w:t>
      </w:r>
      <w:r w:rsidR="00F204F0">
        <w:rPr>
          <w:rFonts w:ascii="Times New Roman" w:hAnsi="Times New Roman"/>
          <w:b/>
          <w:smallCaps/>
          <w:noProof/>
          <w:sz w:val="24"/>
          <w:lang w:val="en-IE"/>
        </w:rPr>
        <w:t>2</w:t>
      </w:r>
    </w:p>
    <w:p w14:paraId="7F1FD670" w14:textId="77777777" w:rsidR="005D3D4B" w:rsidRDefault="005D3D4B" w:rsidP="00CB12C0">
      <w:pPr>
        <w:jc w:val="center"/>
        <w:rPr>
          <w:rFonts w:ascii="Times New Roman" w:hAnsi="Times New Roman"/>
          <w:b/>
          <w:smallCaps/>
          <w:noProof/>
          <w:sz w:val="24"/>
          <w:lang w:val="en-IE"/>
        </w:rPr>
      </w:pPr>
    </w:p>
    <w:p w14:paraId="21FCED4B" w14:textId="77777777" w:rsidR="00F204F0" w:rsidRPr="003C16B9" w:rsidRDefault="00F204F0" w:rsidP="00F204F0">
      <w:pPr>
        <w:pStyle w:val="ListParagraph"/>
        <w:numPr>
          <w:ilvl w:val="0"/>
          <w:numId w:val="20"/>
        </w:numPr>
        <w:spacing w:before="120" w:after="120"/>
        <w:ind w:left="357" w:hanging="357"/>
        <w:contextualSpacing w:val="0"/>
        <w:jc w:val="both"/>
        <w:rPr>
          <w:rFonts w:ascii="Times New Roman" w:hAnsi="Times New Roman" w:cs="Times New Roman"/>
          <w:b/>
          <w:bCs/>
          <w:noProof/>
          <w:sz w:val="24"/>
          <w:szCs w:val="24"/>
        </w:rPr>
      </w:pPr>
      <w:r w:rsidRPr="003C16B9">
        <w:rPr>
          <w:rFonts w:ascii="Times New Roman" w:hAnsi="Times New Roman" w:cs="Times New Roman"/>
          <w:b/>
          <w:bCs/>
          <w:noProof/>
          <w:sz w:val="24"/>
          <w:szCs w:val="24"/>
        </w:rPr>
        <w:t>Introduction</w:t>
      </w:r>
    </w:p>
    <w:p w14:paraId="7F282764" w14:textId="28FC497D" w:rsidR="00F204F0" w:rsidRPr="003C16B9" w:rsidRDefault="00F204F0" w:rsidP="00F204F0">
      <w:pPr>
        <w:spacing w:before="120" w:after="120"/>
        <w:jc w:val="both"/>
        <w:rPr>
          <w:rFonts w:ascii="Times New Roman" w:hAnsi="Times New Roman" w:cs="Times New Roman"/>
          <w:noProof/>
          <w:sz w:val="24"/>
          <w:szCs w:val="24"/>
        </w:rPr>
      </w:pPr>
      <w:r w:rsidRPr="003C16B9">
        <w:rPr>
          <w:rFonts w:ascii="Times New Roman" w:hAnsi="Times New Roman" w:cs="Times New Roman"/>
          <w:noProof/>
          <w:sz w:val="24"/>
          <w:szCs w:val="24"/>
        </w:rPr>
        <w:t>On 11 April 2024,</w:t>
      </w:r>
      <w:r w:rsidR="00362CF6">
        <w:rPr>
          <w:rFonts w:ascii="Times New Roman" w:hAnsi="Times New Roman" w:cs="Times New Roman"/>
          <w:noProof/>
          <w:sz w:val="24"/>
          <w:szCs w:val="24"/>
        </w:rPr>
        <w:t xml:space="preserve"> taking account of</w:t>
      </w:r>
      <w:r w:rsidRPr="006B4EBE">
        <w:rPr>
          <w:rFonts w:ascii="Times New Roman" w:hAnsi="Times New Roman"/>
          <w:noProof/>
          <w:sz w:val="24"/>
        </w:rPr>
        <w:t xml:space="preserve"> a recommendation from the Council</w:t>
      </w:r>
      <w:r w:rsidRPr="003C16B9">
        <w:rPr>
          <w:rFonts w:ascii="Times New Roman" w:hAnsi="Times New Roman" w:cs="Times New Roman"/>
          <w:noProof/>
          <w:sz w:val="24"/>
          <w:szCs w:val="24"/>
        </w:rPr>
        <w:t xml:space="preserve">, the European Parliament decided to </w:t>
      </w:r>
      <w:r w:rsidRPr="003C16B9">
        <w:rPr>
          <w:rFonts w:ascii="Times New Roman" w:hAnsi="Times New Roman" w:cs="Times New Roman"/>
          <w:b/>
          <w:bCs/>
          <w:noProof/>
          <w:sz w:val="24"/>
          <w:szCs w:val="24"/>
        </w:rPr>
        <w:t>grant discharge to the Commission for its implementation of the EU budget in 2022</w:t>
      </w:r>
      <w:r w:rsidRPr="003C16B9">
        <w:rPr>
          <w:rFonts w:ascii="Times New Roman" w:hAnsi="Times New Roman" w:cs="Times New Roman"/>
          <w:noProof/>
          <w:sz w:val="24"/>
          <w:szCs w:val="24"/>
        </w:rPr>
        <w:t xml:space="preserve">. This decision on discharge was the last one of the 2019-2024 legislative term. </w:t>
      </w:r>
    </w:p>
    <w:p w14:paraId="427C1CAB" w14:textId="77777777" w:rsidR="00F204F0" w:rsidRPr="003C16B9" w:rsidRDefault="00F204F0" w:rsidP="00F204F0">
      <w:pPr>
        <w:spacing w:before="120" w:after="120"/>
        <w:jc w:val="both"/>
        <w:rPr>
          <w:rFonts w:ascii="Times New Roman" w:hAnsi="Times New Roman" w:cs="Times New Roman"/>
          <w:noProof/>
          <w:sz w:val="24"/>
          <w:szCs w:val="24"/>
        </w:rPr>
      </w:pPr>
      <w:r w:rsidRPr="003C16B9">
        <w:rPr>
          <w:rFonts w:ascii="Times New Roman" w:hAnsi="Times New Roman" w:cs="Times New Roman"/>
          <w:noProof/>
          <w:sz w:val="24"/>
          <w:szCs w:val="24"/>
        </w:rPr>
        <w:t>Over the past 5 years, the EU has made significant progress in the implementation of the EU budget:</w:t>
      </w:r>
    </w:p>
    <w:p w14:paraId="2E6490FB" w14:textId="20763B97" w:rsidR="00F204F0" w:rsidRPr="003C16B9" w:rsidRDefault="00F204F0" w:rsidP="00F204F0">
      <w:pPr>
        <w:pStyle w:val="ListParagraph"/>
        <w:numPr>
          <w:ilvl w:val="0"/>
          <w:numId w:val="18"/>
        </w:numPr>
        <w:spacing w:before="120" w:after="120"/>
        <w:contextualSpacing w:val="0"/>
        <w:jc w:val="both"/>
        <w:rPr>
          <w:rFonts w:ascii="Times New Roman" w:hAnsi="Times New Roman" w:cs="Times New Roman"/>
          <w:noProof/>
          <w:sz w:val="24"/>
          <w:szCs w:val="24"/>
        </w:rPr>
      </w:pPr>
      <w:r w:rsidRPr="003C16B9">
        <w:rPr>
          <w:rFonts w:ascii="Times New Roman" w:hAnsi="Times New Roman" w:cs="Times New Roman"/>
          <w:noProof/>
          <w:sz w:val="24"/>
          <w:szCs w:val="24"/>
        </w:rPr>
        <w:t xml:space="preserve">The EU budget was used as an </w:t>
      </w:r>
      <w:r w:rsidRPr="003C16B9">
        <w:rPr>
          <w:rFonts w:ascii="Times New Roman" w:hAnsi="Times New Roman" w:cs="Times New Roman"/>
          <w:b/>
          <w:bCs/>
          <w:noProof/>
          <w:sz w:val="24"/>
          <w:szCs w:val="24"/>
        </w:rPr>
        <w:t>instrument to address crises</w:t>
      </w:r>
      <w:r w:rsidRPr="003C16B9">
        <w:rPr>
          <w:rFonts w:ascii="Times New Roman" w:hAnsi="Times New Roman" w:cs="Times New Roman"/>
          <w:noProof/>
          <w:sz w:val="24"/>
          <w:szCs w:val="24"/>
        </w:rPr>
        <w:t xml:space="preserve">, in particular thanks to the flexibility and reallocations introduced under cohesion-policy funding, </w:t>
      </w:r>
      <w:r w:rsidR="001067F5" w:rsidRPr="003C16B9">
        <w:rPr>
          <w:rFonts w:ascii="Times New Roman" w:hAnsi="Times New Roman" w:cs="Times New Roman"/>
          <w:noProof/>
          <w:sz w:val="24"/>
          <w:szCs w:val="24"/>
        </w:rPr>
        <w:t xml:space="preserve">during </w:t>
      </w:r>
      <w:r w:rsidRPr="003C16B9">
        <w:rPr>
          <w:rFonts w:ascii="Times New Roman" w:hAnsi="Times New Roman" w:cs="Times New Roman"/>
          <w:noProof/>
          <w:sz w:val="24"/>
          <w:szCs w:val="24"/>
        </w:rPr>
        <w:t xml:space="preserve">both the COVID-19 pandemic and Russia’s war of aggression against Ukraine. </w:t>
      </w:r>
    </w:p>
    <w:p w14:paraId="631AC440" w14:textId="77777777" w:rsidR="00F204F0" w:rsidRPr="003C16B9" w:rsidRDefault="00F204F0" w:rsidP="00F204F0">
      <w:pPr>
        <w:pStyle w:val="ListParagraph"/>
        <w:numPr>
          <w:ilvl w:val="0"/>
          <w:numId w:val="18"/>
        </w:numPr>
        <w:spacing w:before="120" w:after="120"/>
        <w:contextualSpacing w:val="0"/>
        <w:jc w:val="both"/>
        <w:rPr>
          <w:rFonts w:ascii="Times New Roman" w:hAnsi="Times New Roman" w:cs="Times New Roman"/>
          <w:noProof/>
          <w:sz w:val="24"/>
          <w:szCs w:val="24"/>
        </w:rPr>
      </w:pPr>
      <w:r w:rsidRPr="003C16B9">
        <w:rPr>
          <w:rFonts w:ascii="Times New Roman" w:hAnsi="Times New Roman" w:cs="Times New Roman"/>
          <w:noProof/>
          <w:sz w:val="24"/>
          <w:szCs w:val="24"/>
        </w:rPr>
        <w:t xml:space="preserve">The EU budget was also strengthened by a new instrument, the </w:t>
      </w:r>
      <w:r w:rsidRPr="00AD5F7E">
        <w:rPr>
          <w:rFonts w:ascii="Times New Roman" w:hAnsi="Times New Roman" w:cs="Times New Roman"/>
          <w:b/>
          <w:bCs/>
          <w:noProof/>
          <w:sz w:val="24"/>
          <w:szCs w:val="24"/>
        </w:rPr>
        <w:t>Recovery and Resilience Facility (RRF)</w:t>
      </w:r>
      <w:r w:rsidRPr="003C16B9">
        <w:rPr>
          <w:rFonts w:ascii="Times New Roman" w:hAnsi="Times New Roman" w:cs="Times New Roman"/>
          <w:noProof/>
          <w:sz w:val="24"/>
          <w:szCs w:val="24"/>
        </w:rPr>
        <w:t xml:space="preserve"> – with a new delivery model that puts performance at the heart of budget spending. The RRF is being financed through EU borrowing on an unprecedented scale. </w:t>
      </w:r>
    </w:p>
    <w:p w14:paraId="14E7A7A4" w14:textId="53A75D9E" w:rsidR="00F204F0" w:rsidRPr="003C16B9" w:rsidRDefault="00F204F0" w:rsidP="00F204F0">
      <w:pPr>
        <w:pStyle w:val="ListParagraph"/>
        <w:numPr>
          <w:ilvl w:val="0"/>
          <w:numId w:val="18"/>
        </w:numPr>
        <w:spacing w:before="120" w:after="120"/>
        <w:ind w:left="714" w:hanging="357"/>
        <w:contextualSpacing w:val="0"/>
        <w:jc w:val="both"/>
        <w:rPr>
          <w:rFonts w:ascii="Times New Roman" w:hAnsi="Times New Roman" w:cs="Times New Roman"/>
          <w:noProof/>
          <w:sz w:val="24"/>
          <w:szCs w:val="24"/>
        </w:rPr>
      </w:pPr>
      <w:r w:rsidRPr="003C16B9">
        <w:rPr>
          <w:rFonts w:ascii="Times New Roman" w:hAnsi="Times New Roman" w:cs="Times New Roman"/>
          <w:noProof/>
          <w:sz w:val="24"/>
          <w:szCs w:val="24"/>
        </w:rPr>
        <w:t xml:space="preserve">Based on a proposal from the Commission, the co-legislators reached a political agreement on the </w:t>
      </w:r>
      <w:r w:rsidRPr="003C16B9">
        <w:rPr>
          <w:rFonts w:ascii="Times New Roman" w:hAnsi="Times New Roman" w:cs="Times New Roman"/>
          <w:b/>
          <w:bCs/>
          <w:noProof/>
          <w:sz w:val="24"/>
          <w:szCs w:val="24"/>
        </w:rPr>
        <w:t>recast of the Financial Regulation</w:t>
      </w:r>
      <w:r w:rsidRPr="003C16B9">
        <w:rPr>
          <w:rFonts w:ascii="Times New Roman" w:hAnsi="Times New Roman" w:cs="Times New Roman"/>
          <w:noProof/>
          <w:sz w:val="24"/>
          <w:szCs w:val="24"/>
        </w:rPr>
        <w:t xml:space="preserve"> in December 2023. The revised text will bring: (i) more transparency as to the beneficiaries of EU funds (via a centralised Commission website); (ii) an extension of the </w:t>
      </w:r>
      <w:hyperlink r:id="rId18" w:anchor=":~:text=The%20purpose%20of%20the%20EDES,%2C%20bodies%2C%20offices%20or%20agencies." w:tgtFrame="_blank" w:history="1">
        <w:r w:rsidRPr="003C16B9">
          <w:rPr>
            <w:rStyle w:val="Hyperlink"/>
            <w:rFonts w:ascii="Times New Roman" w:hAnsi="Times New Roman" w:cs="Times New Roman"/>
            <w:noProof/>
            <w:sz w:val="24"/>
            <w:szCs w:val="24"/>
          </w:rPr>
          <w:t>Early Detection and Exclusion System</w:t>
        </w:r>
      </w:hyperlink>
      <w:r w:rsidRPr="003C16B9">
        <w:rPr>
          <w:rFonts w:ascii="Times New Roman" w:hAnsi="Times New Roman" w:cs="Times New Roman"/>
          <w:noProof/>
          <w:sz w:val="24"/>
          <w:szCs w:val="24"/>
        </w:rPr>
        <w:t xml:space="preserve"> to funds under shared management to better protect the EU budget from fraud and irregularities; (iii) more precise rules on conflicts of interest; and (iv) additional means to prevent </w:t>
      </w:r>
      <w:r w:rsidR="00626B9B" w:rsidRPr="00946032">
        <w:rPr>
          <w:rFonts w:ascii="Times New Roman" w:hAnsi="Times New Roman" w:cs="Times New Roman"/>
          <w:noProof/>
          <w:sz w:val="24"/>
          <w:szCs w:val="24"/>
        </w:rPr>
        <w:t xml:space="preserve">disbursement of </w:t>
      </w:r>
      <w:r w:rsidRPr="003C16B9">
        <w:rPr>
          <w:rFonts w:ascii="Times New Roman" w:hAnsi="Times New Roman" w:cs="Times New Roman"/>
          <w:noProof/>
          <w:sz w:val="24"/>
          <w:szCs w:val="24"/>
        </w:rPr>
        <w:t xml:space="preserve">EU </w:t>
      </w:r>
      <w:r w:rsidR="00626B9B" w:rsidRPr="00946032">
        <w:rPr>
          <w:rFonts w:ascii="Times New Roman" w:hAnsi="Times New Roman" w:cs="Times New Roman"/>
          <w:noProof/>
          <w:sz w:val="24"/>
          <w:szCs w:val="24"/>
        </w:rPr>
        <w:t>funds</w:t>
      </w:r>
      <w:r w:rsidRPr="003C16B9">
        <w:rPr>
          <w:rFonts w:ascii="Times New Roman" w:hAnsi="Times New Roman" w:cs="Times New Roman"/>
          <w:noProof/>
          <w:sz w:val="24"/>
          <w:szCs w:val="24"/>
        </w:rPr>
        <w:t xml:space="preserve"> </w:t>
      </w:r>
      <w:r w:rsidR="00626B9B" w:rsidRPr="00946032">
        <w:rPr>
          <w:rFonts w:ascii="Times New Roman" w:hAnsi="Times New Roman" w:cs="Times New Roman"/>
          <w:noProof/>
          <w:sz w:val="24"/>
          <w:szCs w:val="24"/>
        </w:rPr>
        <w:t>to</w:t>
      </w:r>
      <w:r w:rsidR="0039382C">
        <w:rPr>
          <w:rFonts w:ascii="Times New Roman" w:hAnsi="Times New Roman" w:cs="Times New Roman"/>
          <w:noProof/>
          <w:sz w:val="24"/>
          <w:szCs w:val="24"/>
        </w:rPr>
        <w:t xml:space="preserve"> </w:t>
      </w:r>
      <w:r w:rsidR="00362CF6">
        <w:rPr>
          <w:rFonts w:ascii="Times New Roman" w:hAnsi="Times New Roman" w:cs="Times New Roman"/>
          <w:noProof/>
          <w:sz w:val="24"/>
          <w:szCs w:val="24"/>
        </w:rPr>
        <w:t xml:space="preserve">individuals </w:t>
      </w:r>
      <w:r w:rsidRPr="003C16B9">
        <w:rPr>
          <w:rFonts w:ascii="Times New Roman" w:hAnsi="Times New Roman" w:cs="Times New Roman"/>
          <w:noProof/>
          <w:sz w:val="24"/>
          <w:szCs w:val="24"/>
        </w:rPr>
        <w:t>or entities that do not respect EU values.</w:t>
      </w:r>
    </w:p>
    <w:p w14:paraId="1616F0A2" w14:textId="27268DC4" w:rsidR="00F204F0" w:rsidRPr="003C16B9" w:rsidRDefault="00F204F0" w:rsidP="00F204F0">
      <w:pPr>
        <w:pStyle w:val="ListParagraph"/>
        <w:numPr>
          <w:ilvl w:val="0"/>
          <w:numId w:val="18"/>
        </w:numPr>
        <w:spacing w:before="120" w:after="120"/>
        <w:ind w:left="714" w:hanging="357"/>
        <w:contextualSpacing w:val="0"/>
        <w:jc w:val="both"/>
        <w:rPr>
          <w:rFonts w:ascii="Times New Roman" w:hAnsi="Times New Roman" w:cs="Times New Roman"/>
          <w:noProof/>
          <w:sz w:val="24"/>
          <w:szCs w:val="24"/>
        </w:rPr>
      </w:pPr>
      <w:bookmarkStart w:id="2" w:name="_Hlk168670927"/>
      <w:r w:rsidRPr="003C16B9">
        <w:rPr>
          <w:rFonts w:ascii="Times New Roman" w:hAnsi="Times New Roman" w:cs="Times New Roman"/>
          <w:noProof/>
          <w:sz w:val="24"/>
          <w:szCs w:val="24"/>
        </w:rPr>
        <w:t xml:space="preserve">The EU significantly strengthened its toolbox to </w:t>
      </w:r>
      <w:r w:rsidRPr="003C16B9">
        <w:rPr>
          <w:rFonts w:ascii="Times New Roman" w:hAnsi="Times New Roman" w:cs="Times New Roman"/>
          <w:b/>
          <w:bCs/>
          <w:noProof/>
          <w:sz w:val="24"/>
          <w:szCs w:val="24"/>
        </w:rPr>
        <w:t>protect the EU budget from fraudsters</w:t>
      </w:r>
      <w:r w:rsidRPr="003C16B9">
        <w:rPr>
          <w:rFonts w:ascii="Times New Roman" w:hAnsi="Times New Roman" w:cs="Times New Roman"/>
          <w:noProof/>
          <w:sz w:val="24"/>
          <w:szCs w:val="24"/>
        </w:rPr>
        <w:t xml:space="preserve">, in particular through: (i) the establishment of the European Public Prosecutor’s Office (EPPO), which has been operational since June 2021; (ii) the adoption of a Commission </w:t>
      </w:r>
      <w:r w:rsidR="00D10E8F">
        <w:rPr>
          <w:rFonts w:ascii="Times New Roman" w:hAnsi="Times New Roman" w:cs="Times New Roman"/>
          <w:noProof/>
          <w:sz w:val="24"/>
          <w:szCs w:val="24"/>
        </w:rPr>
        <w:t>a</w:t>
      </w:r>
      <w:r w:rsidRPr="003C16B9">
        <w:rPr>
          <w:rFonts w:ascii="Times New Roman" w:hAnsi="Times New Roman" w:cs="Times New Roman"/>
          <w:noProof/>
          <w:sz w:val="24"/>
          <w:szCs w:val="24"/>
        </w:rPr>
        <w:t>nti-</w:t>
      </w:r>
      <w:r w:rsidR="00D10E8F">
        <w:rPr>
          <w:rFonts w:ascii="Times New Roman" w:hAnsi="Times New Roman" w:cs="Times New Roman"/>
          <w:noProof/>
          <w:sz w:val="24"/>
          <w:szCs w:val="24"/>
        </w:rPr>
        <w:t>f</w:t>
      </w:r>
      <w:r w:rsidRPr="003C16B9">
        <w:rPr>
          <w:rFonts w:ascii="Times New Roman" w:hAnsi="Times New Roman" w:cs="Times New Roman"/>
          <w:noProof/>
          <w:sz w:val="24"/>
          <w:szCs w:val="24"/>
        </w:rPr>
        <w:t xml:space="preserve">raud </w:t>
      </w:r>
      <w:r w:rsidR="00D10E8F">
        <w:rPr>
          <w:rFonts w:ascii="Times New Roman" w:hAnsi="Times New Roman" w:cs="Times New Roman"/>
          <w:noProof/>
          <w:sz w:val="24"/>
          <w:szCs w:val="24"/>
        </w:rPr>
        <w:t>s</w:t>
      </w:r>
      <w:r w:rsidRPr="003C16B9">
        <w:rPr>
          <w:rFonts w:ascii="Times New Roman" w:hAnsi="Times New Roman" w:cs="Times New Roman"/>
          <w:noProof/>
          <w:sz w:val="24"/>
          <w:szCs w:val="24"/>
        </w:rPr>
        <w:t xml:space="preserve">trategy in 2019 – and its implementation throughout the period of the legislature; </w:t>
      </w:r>
      <w:r w:rsidR="004D4A41">
        <w:rPr>
          <w:rFonts w:ascii="Times New Roman" w:hAnsi="Times New Roman" w:cs="Times New Roman"/>
          <w:noProof/>
          <w:sz w:val="24"/>
          <w:szCs w:val="24"/>
        </w:rPr>
        <w:t>(i</w:t>
      </w:r>
      <w:r w:rsidR="0004411C">
        <w:rPr>
          <w:rFonts w:ascii="Times New Roman" w:hAnsi="Times New Roman" w:cs="Times New Roman"/>
          <w:noProof/>
          <w:sz w:val="24"/>
          <w:szCs w:val="24"/>
        </w:rPr>
        <w:t>ii</w:t>
      </w:r>
      <w:r w:rsidR="004D4A41">
        <w:rPr>
          <w:rFonts w:ascii="Times New Roman" w:hAnsi="Times New Roman" w:cs="Times New Roman"/>
          <w:noProof/>
          <w:sz w:val="24"/>
          <w:szCs w:val="24"/>
        </w:rPr>
        <w:t xml:space="preserve">) </w:t>
      </w:r>
      <w:r w:rsidR="007A062D">
        <w:rPr>
          <w:rFonts w:ascii="Times New Roman" w:hAnsi="Times New Roman" w:cs="Times New Roman"/>
          <w:noProof/>
          <w:sz w:val="24"/>
          <w:szCs w:val="24"/>
        </w:rPr>
        <w:t xml:space="preserve">an </w:t>
      </w:r>
      <w:bookmarkStart w:id="3" w:name="_Hlk168671073"/>
      <w:r w:rsidR="00B34668" w:rsidRPr="00B34668">
        <w:rPr>
          <w:rFonts w:ascii="Times New Roman" w:hAnsi="Times New Roman" w:cs="Times New Roman"/>
          <w:noProof/>
          <w:sz w:val="24"/>
          <w:szCs w:val="24"/>
        </w:rPr>
        <w:t xml:space="preserve">anti-corruption package </w:t>
      </w:r>
      <w:bookmarkEnd w:id="3"/>
      <w:r w:rsidR="00B34668" w:rsidRPr="00B34668">
        <w:rPr>
          <w:rFonts w:ascii="Times New Roman" w:hAnsi="Times New Roman" w:cs="Times New Roman"/>
          <w:noProof/>
          <w:sz w:val="24"/>
          <w:szCs w:val="24"/>
        </w:rPr>
        <w:t>which includes a Commission proposal for a directive to combat corruption</w:t>
      </w:r>
      <w:r w:rsidR="000F406B">
        <w:rPr>
          <w:rStyle w:val="FootnoteReference"/>
          <w:rFonts w:ascii="Times New Roman" w:hAnsi="Times New Roman" w:cs="Times New Roman"/>
          <w:noProof/>
          <w:sz w:val="24"/>
          <w:szCs w:val="24"/>
        </w:rPr>
        <w:footnoteReference w:id="2"/>
      </w:r>
      <w:r w:rsidR="00C03FFD">
        <w:rPr>
          <w:rFonts w:ascii="Times New Roman" w:hAnsi="Times New Roman" w:cs="Times New Roman"/>
          <w:noProof/>
          <w:sz w:val="24"/>
          <w:szCs w:val="24"/>
        </w:rPr>
        <w:t xml:space="preserve"> </w:t>
      </w:r>
      <w:r w:rsidR="00A47EF4" w:rsidRPr="00A47EF4">
        <w:rPr>
          <w:rFonts w:ascii="Times New Roman" w:hAnsi="Times New Roman" w:cs="Times New Roman"/>
          <w:noProof/>
          <w:sz w:val="24"/>
          <w:szCs w:val="24"/>
        </w:rPr>
        <w:t>by means of criminal law and a joint Communication</w:t>
      </w:r>
      <w:r w:rsidR="005B3A81">
        <w:rPr>
          <w:rStyle w:val="FootnoteReference"/>
          <w:rFonts w:ascii="Times New Roman" w:hAnsi="Times New Roman" w:cs="Times New Roman"/>
          <w:noProof/>
          <w:sz w:val="24"/>
          <w:szCs w:val="24"/>
        </w:rPr>
        <w:footnoteReference w:id="3"/>
      </w:r>
      <w:r w:rsidR="00A47EF4">
        <w:rPr>
          <w:rFonts w:ascii="Times New Roman" w:hAnsi="Times New Roman" w:cs="Times New Roman"/>
          <w:noProof/>
          <w:sz w:val="24"/>
          <w:szCs w:val="24"/>
        </w:rPr>
        <w:t xml:space="preserve"> </w:t>
      </w:r>
      <w:r w:rsidR="00524207" w:rsidRPr="00524207">
        <w:rPr>
          <w:rFonts w:ascii="Times New Roman" w:hAnsi="Times New Roman" w:cs="Times New Roman"/>
          <w:noProof/>
          <w:sz w:val="24"/>
          <w:szCs w:val="24"/>
        </w:rPr>
        <w:t>proposing a regime of sanctions against serious acts of corruption committed outside the E</w:t>
      </w:r>
      <w:r w:rsidR="0004411C">
        <w:rPr>
          <w:rFonts w:ascii="Times New Roman" w:hAnsi="Times New Roman" w:cs="Times New Roman"/>
          <w:noProof/>
          <w:sz w:val="24"/>
          <w:szCs w:val="24"/>
        </w:rPr>
        <w:t xml:space="preserve">U; </w:t>
      </w:r>
      <w:r w:rsidR="0004411C" w:rsidRPr="003C16B9">
        <w:rPr>
          <w:rFonts w:ascii="Times New Roman" w:hAnsi="Times New Roman" w:cs="Times New Roman"/>
          <w:noProof/>
          <w:sz w:val="24"/>
          <w:szCs w:val="24"/>
        </w:rPr>
        <w:t>or (i</w:t>
      </w:r>
      <w:r w:rsidR="0004411C">
        <w:rPr>
          <w:rFonts w:ascii="Times New Roman" w:hAnsi="Times New Roman" w:cs="Times New Roman"/>
          <w:noProof/>
          <w:sz w:val="24"/>
          <w:szCs w:val="24"/>
        </w:rPr>
        <w:t>v</w:t>
      </w:r>
      <w:r w:rsidR="0004411C" w:rsidRPr="003C16B9">
        <w:rPr>
          <w:rFonts w:ascii="Times New Roman" w:hAnsi="Times New Roman" w:cs="Times New Roman"/>
          <w:noProof/>
          <w:sz w:val="24"/>
          <w:szCs w:val="24"/>
        </w:rPr>
        <w:t>) the recent agreement on the Anti-Money Laundering Regulation and Directive</w:t>
      </w:r>
      <w:r w:rsidRPr="003C16B9">
        <w:rPr>
          <w:rFonts w:ascii="Times New Roman" w:hAnsi="Times New Roman" w:cs="Times New Roman"/>
          <w:noProof/>
          <w:sz w:val="24"/>
          <w:szCs w:val="24"/>
        </w:rPr>
        <w:t xml:space="preserve">. </w:t>
      </w:r>
    </w:p>
    <w:bookmarkEnd w:id="2"/>
    <w:p w14:paraId="091A3738" w14:textId="72D07224" w:rsidR="00F204F0" w:rsidRPr="003C16B9" w:rsidRDefault="00F204F0" w:rsidP="00F204F0">
      <w:pPr>
        <w:pStyle w:val="ListParagraph"/>
        <w:numPr>
          <w:ilvl w:val="0"/>
          <w:numId w:val="18"/>
        </w:numPr>
        <w:spacing w:before="120" w:after="120"/>
        <w:ind w:left="714" w:hanging="357"/>
        <w:contextualSpacing w:val="0"/>
        <w:jc w:val="both"/>
        <w:rPr>
          <w:rFonts w:ascii="Times New Roman" w:hAnsi="Times New Roman" w:cs="Times New Roman"/>
          <w:noProof/>
          <w:sz w:val="24"/>
          <w:szCs w:val="24"/>
        </w:rPr>
      </w:pPr>
      <w:r w:rsidRPr="003C16B9">
        <w:rPr>
          <w:rFonts w:ascii="Times New Roman" w:hAnsi="Times New Roman" w:cs="Times New Roman"/>
          <w:noProof/>
          <w:sz w:val="24"/>
          <w:szCs w:val="24"/>
        </w:rPr>
        <w:t xml:space="preserve">The EU equipped itself to </w:t>
      </w:r>
      <w:r w:rsidRPr="003C16B9">
        <w:rPr>
          <w:rFonts w:ascii="Times New Roman" w:hAnsi="Times New Roman" w:cs="Times New Roman"/>
          <w:b/>
          <w:bCs/>
          <w:noProof/>
          <w:sz w:val="24"/>
          <w:szCs w:val="24"/>
        </w:rPr>
        <w:t>protect the EU budget from breaches of the principles of the rule of law</w:t>
      </w:r>
      <w:r w:rsidRPr="003C16B9">
        <w:rPr>
          <w:rFonts w:ascii="Times New Roman" w:hAnsi="Times New Roman" w:cs="Times New Roman"/>
          <w:noProof/>
          <w:sz w:val="24"/>
          <w:szCs w:val="24"/>
        </w:rPr>
        <w:t>. The most notable development of this legislature in that regard is the entry into force of the Conditionality Regulation</w:t>
      </w:r>
      <w:r w:rsidR="00D44A45">
        <w:rPr>
          <w:rStyle w:val="FootnoteReference"/>
          <w:rFonts w:ascii="Times New Roman" w:hAnsi="Times New Roman" w:cs="Times New Roman"/>
          <w:noProof/>
          <w:sz w:val="24"/>
          <w:szCs w:val="24"/>
        </w:rPr>
        <w:footnoteReference w:id="4"/>
      </w:r>
      <w:r w:rsidRPr="003C16B9">
        <w:rPr>
          <w:rFonts w:ascii="Times New Roman" w:hAnsi="Times New Roman" w:cs="Times New Roman"/>
          <w:noProof/>
          <w:sz w:val="24"/>
          <w:szCs w:val="24"/>
        </w:rPr>
        <w:t xml:space="preserve"> in January 2021, and its application since then.</w:t>
      </w:r>
    </w:p>
    <w:p w14:paraId="4DC513F1" w14:textId="2CED84DB" w:rsidR="00F204F0" w:rsidRPr="003C16B9" w:rsidRDefault="00F204F0" w:rsidP="00F204F0">
      <w:pPr>
        <w:pStyle w:val="ListParagraph"/>
        <w:numPr>
          <w:ilvl w:val="0"/>
          <w:numId w:val="18"/>
        </w:numPr>
        <w:spacing w:before="120" w:after="120"/>
        <w:ind w:left="714" w:hanging="357"/>
        <w:contextualSpacing w:val="0"/>
        <w:jc w:val="both"/>
        <w:rPr>
          <w:rFonts w:ascii="Times New Roman" w:hAnsi="Times New Roman" w:cs="Times New Roman"/>
          <w:noProof/>
          <w:sz w:val="24"/>
          <w:szCs w:val="24"/>
        </w:rPr>
      </w:pPr>
      <w:r w:rsidRPr="003C16B9">
        <w:rPr>
          <w:rFonts w:ascii="Times New Roman" w:hAnsi="Times New Roman" w:cs="Times New Roman"/>
          <w:noProof/>
          <w:sz w:val="24"/>
          <w:szCs w:val="24"/>
        </w:rPr>
        <w:t xml:space="preserve">The </w:t>
      </w:r>
      <w:r w:rsidRPr="003C16B9">
        <w:rPr>
          <w:rFonts w:ascii="Times New Roman" w:hAnsi="Times New Roman" w:cs="Times New Roman"/>
          <w:b/>
          <w:bCs/>
          <w:noProof/>
          <w:sz w:val="24"/>
          <w:szCs w:val="24"/>
        </w:rPr>
        <w:t xml:space="preserve">Commission also significantly improved monitoring and reporting on the achievements of its budget. </w:t>
      </w:r>
      <w:r w:rsidRPr="003C16B9">
        <w:rPr>
          <w:rFonts w:ascii="Times New Roman" w:hAnsi="Times New Roman" w:cs="Times New Roman"/>
          <w:noProof/>
          <w:sz w:val="24"/>
          <w:szCs w:val="24"/>
        </w:rPr>
        <w:t xml:space="preserve">The Parliament, the Council and the Commission have committed to spend at least 30% of all </w:t>
      </w:r>
      <w:r w:rsidR="00946032" w:rsidRPr="008C5EB1">
        <w:rPr>
          <w:rFonts w:ascii="Times New Roman" w:hAnsi="Times New Roman" w:cs="Times New Roman"/>
          <w:noProof/>
          <w:sz w:val="24"/>
          <w:szCs w:val="24"/>
        </w:rPr>
        <w:t>funding</w:t>
      </w:r>
      <w:r w:rsidRPr="003C16B9">
        <w:rPr>
          <w:rFonts w:ascii="Times New Roman" w:hAnsi="Times New Roman" w:cs="Times New Roman"/>
          <w:noProof/>
          <w:sz w:val="24"/>
          <w:szCs w:val="24"/>
        </w:rPr>
        <w:t xml:space="preserve"> available under the 2021-2027 </w:t>
      </w:r>
      <w:r w:rsidR="00D10E8F">
        <w:rPr>
          <w:rFonts w:ascii="Times New Roman" w:hAnsi="Times New Roman" w:cs="Times New Roman"/>
          <w:noProof/>
          <w:sz w:val="24"/>
          <w:szCs w:val="24"/>
        </w:rPr>
        <w:t>m</w:t>
      </w:r>
      <w:r w:rsidRPr="008C5EB1">
        <w:rPr>
          <w:rFonts w:ascii="Times New Roman" w:hAnsi="Times New Roman" w:cs="Times New Roman"/>
          <w:noProof/>
          <w:sz w:val="24"/>
          <w:szCs w:val="24"/>
        </w:rPr>
        <w:t xml:space="preserve">ultiannual </w:t>
      </w:r>
      <w:r w:rsidR="00D10E8F">
        <w:rPr>
          <w:rFonts w:ascii="Times New Roman" w:hAnsi="Times New Roman" w:cs="Times New Roman"/>
          <w:noProof/>
          <w:sz w:val="24"/>
          <w:szCs w:val="24"/>
        </w:rPr>
        <w:t>f</w:t>
      </w:r>
      <w:r w:rsidRPr="008C5EB1">
        <w:rPr>
          <w:rFonts w:ascii="Times New Roman" w:hAnsi="Times New Roman" w:cs="Times New Roman"/>
          <w:noProof/>
          <w:sz w:val="24"/>
          <w:szCs w:val="24"/>
        </w:rPr>
        <w:t>inancial</w:t>
      </w:r>
      <w:r w:rsidRPr="003C16B9">
        <w:rPr>
          <w:rFonts w:ascii="Times New Roman" w:hAnsi="Times New Roman" w:cs="Times New Roman"/>
          <w:noProof/>
          <w:sz w:val="24"/>
          <w:szCs w:val="24"/>
        </w:rPr>
        <w:t xml:space="preserve"> </w:t>
      </w:r>
      <w:r w:rsidR="00D10E8F">
        <w:rPr>
          <w:rFonts w:ascii="Times New Roman" w:hAnsi="Times New Roman" w:cs="Times New Roman"/>
          <w:noProof/>
          <w:sz w:val="24"/>
          <w:szCs w:val="24"/>
        </w:rPr>
        <w:t>f</w:t>
      </w:r>
      <w:r w:rsidRPr="003C16B9">
        <w:rPr>
          <w:rFonts w:ascii="Times New Roman" w:hAnsi="Times New Roman" w:cs="Times New Roman"/>
          <w:noProof/>
          <w:sz w:val="24"/>
          <w:szCs w:val="24"/>
        </w:rPr>
        <w:t>ramework</w:t>
      </w:r>
      <w:r w:rsidR="00D10E8F">
        <w:rPr>
          <w:rFonts w:ascii="Times New Roman" w:hAnsi="Times New Roman" w:cs="Times New Roman"/>
          <w:noProof/>
          <w:sz w:val="24"/>
          <w:szCs w:val="24"/>
        </w:rPr>
        <w:t xml:space="preserve"> (MFF)</w:t>
      </w:r>
      <w:r w:rsidRPr="003C16B9">
        <w:rPr>
          <w:rFonts w:ascii="Times New Roman" w:hAnsi="Times New Roman" w:cs="Times New Roman"/>
          <w:noProof/>
          <w:sz w:val="24"/>
          <w:szCs w:val="24"/>
        </w:rPr>
        <w:t xml:space="preserve"> and NextGenerationEU on addressing the climate challenge, and the Commission put in place a solid monitoring methodology</w:t>
      </w:r>
      <w:r w:rsidR="00036A3E">
        <w:rPr>
          <w:rFonts w:ascii="Times New Roman" w:hAnsi="Times New Roman" w:cs="Times New Roman"/>
          <w:noProof/>
          <w:sz w:val="24"/>
          <w:szCs w:val="24"/>
        </w:rPr>
        <w:t xml:space="preserve"> to ensure that the EU sticks to its commitment</w:t>
      </w:r>
      <w:r w:rsidRPr="003C16B9">
        <w:rPr>
          <w:rFonts w:ascii="Times New Roman" w:hAnsi="Times New Roman" w:cs="Times New Roman"/>
          <w:noProof/>
          <w:sz w:val="24"/>
          <w:szCs w:val="24"/>
        </w:rPr>
        <w:t xml:space="preserve">. </w:t>
      </w:r>
    </w:p>
    <w:p w14:paraId="1C9AF206" w14:textId="66AA6061" w:rsidR="00F204F0" w:rsidRPr="003C16B9" w:rsidRDefault="00F204F0" w:rsidP="00F204F0">
      <w:pPr>
        <w:spacing w:before="120" w:after="120"/>
        <w:jc w:val="both"/>
        <w:rPr>
          <w:rFonts w:ascii="Times New Roman" w:hAnsi="Times New Roman" w:cs="Times New Roman"/>
          <w:noProof/>
          <w:sz w:val="24"/>
          <w:szCs w:val="24"/>
        </w:rPr>
      </w:pPr>
      <w:r w:rsidRPr="003C16B9">
        <w:rPr>
          <w:rFonts w:ascii="Times New Roman" w:hAnsi="Times New Roman" w:cs="Times New Roman"/>
          <w:noProof/>
          <w:sz w:val="24"/>
          <w:szCs w:val="24"/>
        </w:rPr>
        <w:t>These positive developments reflect the continuous and constructive cooperation between the European Parliament, the Council, the Commission, as well as with the European Court of Auditors</w:t>
      </w:r>
      <w:r w:rsidR="00D10E8F">
        <w:rPr>
          <w:rFonts w:ascii="Times New Roman" w:hAnsi="Times New Roman" w:cs="Times New Roman"/>
          <w:noProof/>
          <w:sz w:val="24"/>
          <w:szCs w:val="24"/>
        </w:rPr>
        <w:t xml:space="preserve"> (ECA)</w:t>
      </w:r>
      <w:r w:rsidRPr="003C16B9">
        <w:rPr>
          <w:rFonts w:ascii="Times New Roman" w:hAnsi="Times New Roman" w:cs="Times New Roman"/>
          <w:noProof/>
          <w:sz w:val="24"/>
          <w:szCs w:val="24"/>
        </w:rPr>
        <w:t>.</w:t>
      </w:r>
    </w:p>
    <w:p w14:paraId="7F43921D" w14:textId="5F1FBC90" w:rsidR="00F204F0" w:rsidRPr="003C16B9" w:rsidDel="00B27FA5" w:rsidRDefault="00F204F0" w:rsidP="00F204F0">
      <w:pPr>
        <w:spacing w:before="120" w:after="120"/>
        <w:jc w:val="both"/>
        <w:rPr>
          <w:rFonts w:ascii="Times New Roman" w:hAnsi="Times New Roman" w:cs="Times New Roman"/>
          <w:noProof/>
          <w:sz w:val="24"/>
          <w:szCs w:val="24"/>
        </w:rPr>
      </w:pPr>
      <w:r w:rsidRPr="003C16B9" w:rsidDel="00B27FA5">
        <w:rPr>
          <w:rFonts w:ascii="Times New Roman" w:hAnsi="Times New Roman" w:cs="Times New Roman"/>
          <w:noProof/>
          <w:sz w:val="24"/>
          <w:szCs w:val="24"/>
        </w:rPr>
        <w:t>This report on the follow-up to the 2022 discharge procedure</w:t>
      </w:r>
      <w:r w:rsidRPr="003C16B9">
        <w:rPr>
          <w:rFonts w:ascii="Times New Roman" w:hAnsi="Times New Roman" w:cs="Times New Roman"/>
          <w:noProof/>
          <w:sz w:val="24"/>
          <w:szCs w:val="24"/>
        </w:rPr>
        <w:t xml:space="preserve"> </w:t>
      </w:r>
      <w:r w:rsidR="002E6AA0">
        <w:rPr>
          <w:rFonts w:ascii="Times New Roman" w:hAnsi="Times New Roman" w:cs="Times New Roman"/>
          <w:noProof/>
          <w:sz w:val="24"/>
          <w:szCs w:val="24"/>
        </w:rPr>
        <w:t xml:space="preserve">is </w:t>
      </w:r>
      <w:r w:rsidRPr="003C16B9" w:rsidDel="00B27FA5">
        <w:rPr>
          <w:rFonts w:ascii="Times New Roman" w:hAnsi="Times New Roman" w:cs="Times New Roman"/>
          <w:noProof/>
          <w:sz w:val="24"/>
          <w:szCs w:val="24"/>
        </w:rPr>
        <w:t>part of the Integrated Financial and Accountability Reporting</w:t>
      </w:r>
      <w:r w:rsidR="002E6AA0">
        <w:rPr>
          <w:rFonts w:ascii="Times New Roman" w:hAnsi="Times New Roman" w:cs="Times New Roman"/>
          <w:noProof/>
          <w:sz w:val="24"/>
          <w:szCs w:val="24"/>
        </w:rPr>
        <w:t xml:space="preserve"> and summari</w:t>
      </w:r>
      <w:r w:rsidR="007A062D">
        <w:rPr>
          <w:rFonts w:ascii="Times New Roman" w:hAnsi="Times New Roman" w:cs="Times New Roman"/>
          <w:noProof/>
          <w:sz w:val="24"/>
          <w:szCs w:val="24"/>
        </w:rPr>
        <w:t>s</w:t>
      </w:r>
      <w:r w:rsidR="002E6AA0">
        <w:rPr>
          <w:rFonts w:ascii="Times New Roman" w:hAnsi="Times New Roman" w:cs="Times New Roman"/>
          <w:noProof/>
          <w:sz w:val="24"/>
          <w:szCs w:val="24"/>
        </w:rPr>
        <w:t>es</w:t>
      </w:r>
      <w:r w:rsidRPr="003C16B9" w:rsidDel="00B27FA5">
        <w:rPr>
          <w:rFonts w:ascii="Times New Roman" w:hAnsi="Times New Roman" w:cs="Times New Roman"/>
          <w:noProof/>
          <w:sz w:val="24"/>
          <w:szCs w:val="24"/>
        </w:rPr>
        <w:t xml:space="preserve"> the actions taken by the Commission in response to</w:t>
      </w:r>
      <w:r w:rsidR="00D10E8F">
        <w:rPr>
          <w:rFonts w:ascii="Times New Roman" w:hAnsi="Times New Roman" w:cs="Times New Roman"/>
          <w:noProof/>
          <w:sz w:val="24"/>
          <w:szCs w:val="24"/>
        </w:rPr>
        <w:t xml:space="preserve"> both</w:t>
      </w:r>
      <w:r w:rsidR="00AD5F7E">
        <w:rPr>
          <w:rFonts w:ascii="Times New Roman" w:hAnsi="Times New Roman" w:cs="Times New Roman"/>
          <w:noProof/>
          <w:sz w:val="24"/>
          <w:szCs w:val="24"/>
        </w:rPr>
        <w:t>:</w:t>
      </w:r>
      <w:r w:rsidRPr="003C16B9">
        <w:rPr>
          <w:rFonts w:ascii="Times New Roman" w:hAnsi="Times New Roman" w:cs="Times New Roman"/>
          <w:noProof/>
          <w:sz w:val="24"/>
          <w:szCs w:val="24"/>
        </w:rPr>
        <w:t xml:space="preserve"> (i)</w:t>
      </w:r>
      <w:r w:rsidRPr="003C16B9" w:rsidDel="00B27FA5">
        <w:rPr>
          <w:rFonts w:ascii="Times New Roman" w:hAnsi="Times New Roman" w:cs="Times New Roman"/>
          <w:noProof/>
          <w:sz w:val="24"/>
          <w:szCs w:val="24"/>
        </w:rPr>
        <w:t xml:space="preserve"> requests </w:t>
      </w:r>
      <w:r w:rsidRPr="003C16B9">
        <w:rPr>
          <w:rFonts w:ascii="Times New Roman" w:hAnsi="Times New Roman" w:cs="Times New Roman"/>
          <w:noProof/>
          <w:sz w:val="24"/>
          <w:szCs w:val="24"/>
        </w:rPr>
        <w:t>made</w:t>
      </w:r>
      <w:r w:rsidRPr="003C16B9" w:rsidDel="00B27FA5">
        <w:rPr>
          <w:rFonts w:ascii="Times New Roman" w:hAnsi="Times New Roman" w:cs="Times New Roman"/>
          <w:noProof/>
          <w:sz w:val="24"/>
          <w:szCs w:val="24"/>
        </w:rPr>
        <w:t xml:space="preserve"> </w:t>
      </w:r>
      <w:r w:rsidRPr="003C16B9">
        <w:rPr>
          <w:rFonts w:ascii="Times New Roman" w:hAnsi="Times New Roman" w:cs="Times New Roman"/>
          <w:noProof/>
          <w:sz w:val="24"/>
          <w:szCs w:val="24"/>
        </w:rPr>
        <w:t xml:space="preserve">by </w:t>
      </w:r>
      <w:r w:rsidRPr="003C16B9" w:rsidDel="00B27FA5">
        <w:rPr>
          <w:rFonts w:ascii="Times New Roman" w:hAnsi="Times New Roman" w:cs="Times New Roman"/>
          <w:noProof/>
          <w:sz w:val="24"/>
          <w:szCs w:val="24"/>
        </w:rPr>
        <w:t xml:space="preserve">the European Parliament in the ‘political priorities’ </w:t>
      </w:r>
      <w:r w:rsidRPr="003C16B9">
        <w:rPr>
          <w:rFonts w:ascii="Times New Roman" w:hAnsi="Times New Roman" w:cs="Times New Roman"/>
          <w:noProof/>
          <w:sz w:val="24"/>
          <w:szCs w:val="24"/>
        </w:rPr>
        <w:t xml:space="preserve">section </w:t>
      </w:r>
      <w:r w:rsidRPr="003C16B9" w:rsidDel="00B27FA5">
        <w:rPr>
          <w:rFonts w:ascii="Times New Roman" w:hAnsi="Times New Roman" w:cs="Times New Roman"/>
          <w:noProof/>
          <w:sz w:val="24"/>
          <w:szCs w:val="24"/>
        </w:rPr>
        <w:t xml:space="preserve">of </w:t>
      </w:r>
      <w:r w:rsidRPr="003C16B9">
        <w:rPr>
          <w:rFonts w:ascii="Times New Roman" w:hAnsi="Times New Roman" w:cs="Times New Roman"/>
          <w:noProof/>
          <w:sz w:val="24"/>
          <w:szCs w:val="24"/>
        </w:rPr>
        <w:t>its</w:t>
      </w:r>
      <w:r w:rsidRPr="003C16B9" w:rsidDel="00B27FA5">
        <w:rPr>
          <w:rFonts w:ascii="Times New Roman" w:hAnsi="Times New Roman" w:cs="Times New Roman"/>
          <w:noProof/>
          <w:sz w:val="24"/>
          <w:szCs w:val="24"/>
        </w:rPr>
        <w:t xml:space="preserve"> discharge resolution</w:t>
      </w:r>
      <w:r w:rsidRPr="003C16B9" w:rsidDel="00B27FA5">
        <w:rPr>
          <w:rStyle w:val="FootnoteReference"/>
          <w:rFonts w:ascii="Times New Roman" w:hAnsi="Times New Roman" w:cs="Times New Roman"/>
          <w:noProof/>
          <w:sz w:val="24"/>
          <w:szCs w:val="24"/>
        </w:rPr>
        <w:footnoteReference w:id="5"/>
      </w:r>
      <w:r w:rsidRPr="003C16B9">
        <w:rPr>
          <w:rFonts w:ascii="Times New Roman" w:hAnsi="Times New Roman" w:cs="Times New Roman"/>
          <w:noProof/>
          <w:sz w:val="24"/>
          <w:szCs w:val="24"/>
        </w:rPr>
        <w:t>; and (ii)</w:t>
      </w:r>
      <w:r w:rsidRPr="003C16B9" w:rsidDel="00B27FA5">
        <w:rPr>
          <w:rFonts w:ascii="Times New Roman" w:hAnsi="Times New Roman" w:cs="Times New Roman"/>
          <w:noProof/>
          <w:sz w:val="24"/>
          <w:szCs w:val="24"/>
        </w:rPr>
        <w:t xml:space="preserve"> the main requests </w:t>
      </w:r>
      <w:r w:rsidRPr="003C16B9">
        <w:rPr>
          <w:rFonts w:ascii="Times New Roman" w:hAnsi="Times New Roman" w:cs="Times New Roman"/>
          <w:noProof/>
          <w:sz w:val="24"/>
          <w:szCs w:val="24"/>
        </w:rPr>
        <w:t xml:space="preserve">made </w:t>
      </w:r>
      <w:r w:rsidRPr="003C16B9" w:rsidDel="00B27FA5">
        <w:rPr>
          <w:rFonts w:ascii="Times New Roman" w:hAnsi="Times New Roman" w:cs="Times New Roman"/>
          <w:noProof/>
          <w:sz w:val="24"/>
          <w:szCs w:val="24"/>
        </w:rPr>
        <w:t xml:space="preserve">by the Council in its recommendation on </w:t>
      </w:r>
      <w:r w:rsidRPr="003C16B9">
        <w:rPr>
          <w:rFonts w:ascii="Times New Roman" w:hAnsi="Times New Roman" w:cs="Times New Roman"/>
          <w:noProof/>
          <w:sz w:val="24"/>
          <w:szCs w:val="24"/>
        </w:rPr>
        <w:t xml:space="preserve">the </w:t>
      </w:r>
      <w:r w:rsidRPr="003C16B9" w:rsidDel="00B27FA5">
        <w:rPr>
          <w:rFonts w:ascii="Times New Roman" w:hAnsi="Times New Roman" w:cs="Times New Roman"/>
          <w:noProof/>
          <w:sz w:val="24"/>
          <w:szCs w:val="24"/>
        </w:rPr>
        <w:t>discharge</w:t>
      </w:r>
      <w:r w:rsidRPr="003C16B9" w:rsidDel="00B27FA5">
        <w:rPr>
          <w:rStyle w:val="FootnoteReference"/>
          <w:rFonts w:ascii="Times New Roman" w:hAnsi="Times New Roman" w:cs="Times New Roman"/>
          <w:noProof/>
          <w:sz w:val="24"/>
          <w:szCs w:val="24"/>
        </w:rPr>
        <w:footnoteReference w:id="6"/>
      </w:r>
      <w:r w:rsidRPr="003C16B9" w:rsidDel="00B27FA5">
        <w:rPr>
          <w:rFonts w:ascii="Times New Roman" w:hAnsi="Times New Roman" w:cs="Times New Roman"/>
          <w:noProof/>
          <w:sz w:val="24"/>
          <w:szCs w:val="24"/>
        </w:rPr>
        <w:t>. The Commission will provide more detailed and updated information in response to all specific recommendations when the 2023 discharge procedure begins later this year.</w:t>
      </w:r>
    </w:p>
    <w:p w14:paraId="5E495CBE" w14:textId="77777777" w:rsidR="00F204F0" w:rsidRPr="003C16B9" w:rsidRDefault="00F204F0" w:rsidP="00F204F0">
      <w:pPr>
        <w:pStyle w:val="ListParagraph"/>
        <w:numPr>
          <w:ilvl w:val="0"/>
          <w:numId w:val="20"/>
        </w:numPr>
        <w:spacing w:before="120" w:after="120"/>
        <w:ind w:left="357" w:hanging="357"/>
        <w:contextualSpacing w:val="0"/>
        <w:jc w:val="both"/>
        <w:rPr>
          <w:rFonts w:ascii="Times New Roman" w:hAnsi="Times New Roman" w:cs="Times New Roman"/>
          <w:b/>
          <w:bCs/>
          <w:noProof/>
          <w:sz w:val="24"/>
          <w:szCs w:val="24"/>
        </w:rPr>
      </w:pPr>
      <w:bookmarkStart w:id="4" w:name="_Hlk167270035"/>
      <w:r w:rsidRPr="003C16B9">
        <w:rPr>
          <w:rFonts w:ascii="Times New Roman" w:hAnsi="Times New Roman" w:cs="Times New Roman"/>
          <w:b/>
          <w:bCs/>
          <w:noProof/>
          <w:sz w:val="24"/>
          <w:szCs w:val="24"/>
        </w:rPr>
        <w:t>Monitoring the use of EU funds</w:t>
      </w:r>
    </w:p>
    <w:bookmarkEnd w:id="4"/>
    <w:p w14:paraId="3F77C8C1" w14:textId="77777777" w:rsidR="00F204F0" w:rsidRPr="003C16B9" w:rsidRDefault="00F204F0" w:rsidP="00F204F0">
      <w:pPr>
        <w:spacing w:before="120" w:after="120"/>
        <w:jc w:val="both"/>
        <w:rPr>
          <w:rFonts w:ascii="Times New Roman" w:hAnsi="Times New Roman" w:cs="Times New Roman"/>
          <w:noProof/>
          <w:sz w:val="24"/>
          <w:szCs w:val="24"/>
        </w:rPr>
      </w:pPr>
      <w:r w:rsidRPr="003C16B9">
        <w:rPr>
          <w:rFonts w:ascii="Times New Roman" w:hAnsi="Times New Roman" w:cs="Times New Roman"/>
          <w:noProof/>
          <w:sz w:val="24"/>
          <w:szCs w:val="24"/>
        </w:rPr>
        <w:t>The Commission attaches the utmost importance – and dedicates significant resources – to monitoring the use of EU funds, in cooperation with national authorities and implementing partners.</w:t>
      </w:r>
    </w:p>
    <w:p w14:paraId="715D64E2" w14:textId="6C3F74C7" w:rsidR="00F204F0" w:rsidRPr="003C16B9" w:rsidRDefault="00F204F0" w:rsidP="00F204F0">
      <w:pPr>
        <w:pStyle w:val="ListParagraph"/>
        <w:numPr>
          <w:ilvl w:val="1"/>
          <w:numId w:val="20"/>
        </w:numPr>
        <w:spacing w:before="120" w:after="120"/>
        <w:ind w:left="714" w:hanging="357"/>
        <w:contextualSpacing w:val="0"/>
        <w:jc w:val="both"/>
        <w:rPr>
          <w:rFonts w:ascii="Times New Roman" w:hAnsi="Times New Roman" w:cs="Times New Roman"/>
          <w:b/>
          <w:bCs/>
          <w:noProof/>
          <w:sz w:val="24"/>
          <w:szCs w:val="24"/>
        </w:rPr>
      </w:pPr>
      <w:r w:rsidRPr="003C16B9">
        <w:rPr>
          <w:rFonts w:ascii="Times New Roman" w:hAnsi="Times New Roman" w:cs="Times New Roman"/>
          <w:b/>
          <w:bCs/>
          <w:noProof/>
          <w:sz w:val="24"/>
          <w:szCs w:val="24"/>
        </w:rPr>
        <w:t>Spending in line with EU values</w:t>
      </w:r>
      <w:r w:rsidR="00420B4D">
        <w:rPr>
          <w:rFonts w:ascii="Times New Roman" w:hAnsi="Times New Roman" w:cs="Times New Roman"/>
          <w:b/>
          <w:bCs/>
          <w:noProof/>
          <w:sz w:val="24"/>
          <w:szCs w:val="24"/>
        </w:rPr>
        <w:t>, including</w:t>
      </w:r>
      <w:r w:rsidRPr="003C16B9">
        <w:rPr>
          <w:rFonts w:ascii="Times New Roman" w:hAnsi="Times New Roman" w:cs="Times New Roman"/>
          <w:b/>
          <w:bCs/>
          <w:noProof/>
          <w:sz w:val="24"/>
          <w:szCs w:val="24"/>
        </w:rPr>
        <w:t xml:space="preserve"> the rule of law</w:t>
      </w:r>
    </w:p>
    <w:p w14:paraId="26F42AF6" w14:textId="1BA1BD19" w:rsidR="00F204F0" w:rsidRPr="003C16B9" w:rsidRDefault="00F204F0" w:rsidP="00F204F0">
      <w:pPr>
        <w:spacing w:before="120" w:after="120"/>
        <w:jc w:val="both"/>
        <w:rPr>
          <w:rFonts w:ascii="Times New Roman" w:hAnsi="Times New Roman" w:cs="Times New Roman"/>
          <w:noProof/>
          <w:sz w:val="24"/>
          <w:szCs w:val="24"/>
        </w:rPr>
      </w:pPr>
      <w:r w:rsidRPr="003C16B9">
        <w:rPr>
          <w:rFonts w:ascii="Times New Roman" w:hAnsi="Times New Roman" w:cs="Times New Roman"/>
          <w:noProof/>
          <w:sz w:val="24"/>
          <w:szCs w:val="24"/>
        </w:rPr>
        <w:t>The Commission agrees with Parliament’s</w:t>
      </w:r>
      <w:r w:rsidR="00D10E8F">
        <w:rPr>
          <w:rFonts w:ascii="Times New Roman" w:hAnsi="Times New Roman" w:cs="Times New Roman"/>
          <w:noProof/>
          <w:sz w:val="24"/>
          <w:szCs w:val="24"/>
        </w:rPr>
        <w:t xml:space="preserve"> call asking the Commission</w:t>
      </w:r>
      <w:r w:rsidRPr="003C16B9">
        <w:rPr>
          <w:rFonts w:ascii="Times New Roman" w:hAnsi="Times New Roman" w:cs="Times New Roman"/>
          <w:noProof/>
          <w:sz w:val="24"/>
          <w:szCs w:val="24"/>
        </w:rPr>
        <w:t xml:space="preserve"> ‘to make full use of the tools available to address the clear risk of a serious breach of the EU’s values and to promptly invoke the Conditionality Regulation when breaches of the </w:t>
      </w:r>
      <w:r w:rsidR="00420B4D">
        <w:rPr>
          <w:rFonts w:ascii="Times New Roman" w:hAnsi="Times New Roman" w:cs="Times New Roman"/>
          <w:noProof/>
          <w:sz w:val="24"/>
          <w:szCs w:val="24"/>
        </w:rPr>
        <w:t>principles</w:t>
      </w:r>
      <w:r w:rsidRPr="003C16B9">
        <w:rPr>
          <w:rFonts w:ascii="Times New Roman" w:hAnsi="Times New Roman" w:cs="Times New Roman"/>
          <w:noProof/>
          <w:sz w:val="24"/>
          <w:szCs w:val="24"/>
        </w:rPr>
        <w:t xml:space="preserve"> of </w:t>
      </w:r>
      <w:r w:rsidR="00420B4D">
        <w:rPr>
          <w:rFonts w:ascii="Times New Roman" w:hAnsi="Times New Roman" w:cs="Times New Roman"/>
          <w:noProof/>
          <w:sz w:val="24"/>
          <w:szCs w:val="24"/>
        </w:rPr>
        <w:t xml:space="preserve">the </w:t>
      </w:r>
      <w:r w:rsidR="002E6AA0">
        <w:rPr>
          <w:rFonts w:ascii="Times New Roman" w:hAnsi="Times New Roman" w:cs="Times New Roman"/>
          <w:noProof/>
          <w:sz w:val="24"/>
          <w:szCs w:val="24"/>
        </w:rPr>
        <w:t>r</w:t>
      </w:r>
      <w:r w:rsidR="002E6AA0" w:rsidRPr="003C16B9">
        <w:rPr>
          <w:rFonts w:ascii="Times New Roman" w:hAnsi="Times New Roman" w:cs="Times New Roman"/>
          <w:noProof/>
          <w:sz w:val="24"/>
          <w:szCs w:val="24"/>
        </w:rPr>
        <w:t xml:space="preserve">ule </w:t>
      </w:r>
      <w:r w:rsidRPr="003C16B9">
        <w:rPr>
          <w:rFonts w:ascii="Times New Roman" w:hAnsi="Times New Roman" w:cs="Times New Roman"/>
          <w:noProof/>
          <w:sz w:val="24"/>
          <w:szCs w:val="24"/>
        </w:rPr>
        <w:t xml:space="preserve">of </w:t>
      </w:r>
      <w:r w:rsidR="002E6AA0">
        <w:rPr>
          <w:rFonts w:ascii="Times New Roman" w:hAnsi="Times New Roman" w:cs="Times New Roman"/>
          <w:noProof/>
          <w:sz w:val="24"/>
          <w:szCs w:val="24"/>
        </w:rPr>
        <w:t>l</w:t>
      </w:r>
      <w:r w:rsidRPr="003C16B9">
        <w:rPr>
          <w:rFonts w:ascii="Times New Roman" w:hAnsi="Times New Roman" w:cs="Times New Roman"/>
          <w:noProof/>
          <w:sz w:val="24"/>
          <w:szCs w:val="24"/>
        </w:rPr>
        <w:t>aw risk impacting the EU’s financial interests’</w:t>
      </w:r>
      <w:r w:rsidRPr="003C16B9">
        <w:rPr>
          <w:rStyle w:val="FootnoteReference"/>
          <w:rFonts w:ascii="Times New Roman" w:hAnsi="Times New Roman" w:cs="Times New Roman"/>
          <w:noProof/>
          <w:sz w:val="24"/>
          <w:szCs w:val="24"/>
        </w:rPr>
        <w:footnoteReference w:id="7"/>
      </w:r>
      <w:r w:rsidRPr="003C16B9">
        <w:rPr>
          <w:rFonts w:ascii="Times New Roman" w:eastAsia="Times New Roman" w:hAnsi="Times New Roman" w:cs="Times New Roman"/>
          <w:noProof/>
          <w:sz w:val="24"/>
          <w:szCs w:val="24"/>
          <w:lang w:val="en-IE"/>
        </w:rPr>
        <w:t xml:space="preserve">, </w:t>
      </w:r>
      <w:r w:rsidRPr="00047872">
        <w:rPr>
          <w:rFonts w:ascii="Times New Roman" w:eastAsia="Times New Roman" w:hAnsi="Times New Roman" w:cs="Times New Roman"/>
          <w:noProof/>
          <w:sz w:val="24"/>
          <w:szCs w:val="24"/>
          <w:lang w:val="en-IE"/>
        </w:rPr>
        <w:t>in particular by monitoring the situation in all Member States, to identify at the earliest possible stage breaches of the principles of the rule of law falling within the scope of the Regulation, and it will continue to do so. On 12 January 2024, the Commission published a report on the application of the Conditionality Regulation</w:t>
      </w:r>
      <w:r w:rsidRPr="00047872">
        <w:rPr>
          <w:rStyle w:val="FootnoteReference"/>
          <w:rFonts w:ascii="Times New Roman" w:eastAsia="Times New Roman" w:hAnsi="Times New Roman" w:cs="Times New Roman"/>
          <w:noProof/>
          <w:sz w:val="24"/>
          <w:szCs w:val="24"/>
          <w:lang w:val="en-IE"/>
        </w:rPr>
        <w:footnoteReference w:id="8"/>
      </w:r>
      <w:r w:rsidRPr="00047872">
        <w:rPr>
          <w:rFonts w:ascii="Times New Roman" w:hAnsi="Times New Roman" w:cs="Times New Roman"/>
          <w:noProof/>
          <w:sz w:val="24"/>
          <w:szCs w:val="24"/>
        </w:rPr>
        <w:t>.</w:t>
      </w:r>
      <w:r w:rsidRPr="003C16B9">
        <w:rPr>
          <w:rFonts w:ascii="Times New Roman" w:hAnsi="Times New Roman" w:cs="Times New Roman"/>
          <w:noProof/>
          <w:sz w:val="24"/>
          <w:szCs w:val="24"/>
        </w:rPr>
        <w:t xml:space="preserve"> </w:t>
      </w:r>
    </w:p>
    <w:p w14:paraId="0020F8C3" w14:textId="77777777" w:rsidR="00F204F0" w:rsidRPr="003C16B9" w:rsidRDefault="00F204F0" w:rsidP="00F204F0">
      <w:pPr>
        <w:spacing w:before="120" w:after="120"/>
        <w:jc w:val="both"/>
        <w:rPr>
          <w:rFonts w:ascii="Times New Roman" w:eastAsia="Times New Roman" w:hAnsi="Times New Roman" w:cs="Times New Roman"/>
          <w:noProof/>
          <w:sz w:val="24"/>
          <w:szCs w:val="24"/>
        </w:rPr>
      </w:pPr>
      <w:r w:rsidRPr="003C16B9">
        <w:rPr>
          <w:rFonts w:ascii="Times New Roman" w:eastAsia="Times New Roman" w:hAnsi="Times New Roman" w:cs="Times New Roman"/>
          <w:noProof/>
          <w:sz w:val="24"/>
          <w:szCs w:val="24"/>
          <w:lang w:val="en-IE"/>
        </w:rPr>
        <w:t xml:space="preserve">So far, the only procedure initiated under the Conditionality Regulation concerns Hungary. </w:t>
      </w:r>
      <w:r w:rsidRPr="003C16B9">
        <w:rPr>
          <w:rFonts w:ascii="Times New Roman" w:eastAsia="Times New Roman" w:hAnsi="Times New Roman" w:cs="Times New Roman"/>
          <w:noProof/>
          <w:sz w:val="24"/>
          <w:szCs w:val="24"/>
        </w:rPr>
        <w:t>On 13 December 2023, the Commission reassessed Hungary’s situation and found that Hungary had not adopted new remedial measures that would adequately address the outstanding issues. The risk to the EU budget had therefore remained unchanged since the Council decided on budgetary protective measures in December 2022. Accordingly, the Commission concluded that the Council’s measures should remain in place. The Commission’s reassessment lists all issues where remedial measures are still required, including improvements related to the mandate of the Hungarian Integrity Authority and to the situation of public interest trusts.</w:t>
      </w:r>
    </w:p>
    <w:p w14:paraId="0BF3F8B5" w14:textId="74BEDA6A" w:rsidR="00F204F0" w:rsidRPr="003C16B9" w:rsidRDefault="00F204F0" w:rsidP="00F204F0">
      <w:pPr>
        <w:spacing w:before="120" w:after="120"/>
        <w:jc w:val="both"/>
        <w:rPr>
          <w:rFonts w:ascii="Times New Roman" w:eastAsia="Times New Roman" w:hAnsi="Times New Roman" w:cs="Times New Roman"/>
          <w:b/>
          <w:bCs/>
          <w:noProof/>
          <w:sz w:val="24"/>
          <w:szCs w:val="24"/>
        </w:rPr>
      </w:pPr>
      <w:r w:rsidRPr="003C16B9">
        <w:rPr>
          <w:rFonts w:ascii="Times New Roman" w:eastAsia="Times New Roman" w:hAnsi="Times New Roman" w:cs="Times New Roman"/>
          <w:noProof/>
          <w:sz w:val="24"/>
          <w:szCs w:val="24"/>
        </w:rPr>
        <w:t>The Commission takes note of the observation in the Parliament’s discharge resolution urging the Commission ‘to guarantee a unitary, comprehensive and integrated approach across different funds and legislative instruments and to avoid a technocratic and contradictory approach across various financing instruments’</w:t>
      </w:r>
      <w:r w:rsidR="00AD5F7E">
        <w:rPr>
          <w:rStyle w:val="FootnoteReference"/>
          <w:rFonts w:ascii="Times New Roman" w:eastAsia="Times New Roman" w:hAnsi="Times New Roman" w:cs="Times New Roman"/>
          <w:noProof/>
          <w:sz w:val="24"/>
          <w:szCs w:val="24"/>
        </w:rPr>
        <w:footnoteReference w:id="9"/>
      </w:r>
      <w:r w:rsidRPr="003C16B9">
        <w:rPr>
          <w:rFonts w:ascii="Times New Roman" w:eastAsia="Times New Roman" w:hAnsi="Times New Roman" w:cs="Times New Roman"/>
          <w:noProof/>
          <w:sz w:val="24"/>
          <w:szCs w:val="24"/>
        </w:rPr>
        <w:t xml:space="preserve">. </w:t>
      </w:r>
    </w:p>
    <w:p w14:paraId="2998DD25" w14:textId="519294E3" w:rsidR="00F204F0" w:rsidRPr="003C16B9" w:rsidRDefault="00F204F0" w:rsidP="00F204F0">
      <w:pPr>
        <w:spacing w:before="120" w:after="120"/>
        <w:jc w:val="both"/>
        <w:rPr>
          <w:rFonts w:ascii="Times New Roman" w:eastAsia="Times New Roman" w:hAnsi="Times New Roman" w:cs="Times New Roman"/>
          <w:noProof/>
          <w:sz w:val="24"/>
          <w:szCs w:val="24"/>
        </w:rPr>
      </w:pPr>
      <w:r w:rsidRPr="003C16B9">
        <w:rPr>
          <w:rFonts w:ascii="Times New Roman" w:eastAsia="Times New Roman" w:hAnsi="Times New Roman" w:cs="Times New Roman"/>
          <w:noProof/>
          <w:sz w:val="24"/>
          <w:szCs w:val="24"/>
        </w:rPr>
        <w:t>Three of the main instruments that are used to protect the EU budget from breaches of the principles of the rule of law are: (i) the Conditionality Regulation; (ii) the horizontal enabling condition on the EU Charter of Fundamental Rights under the Common Provisions Regulation</w:t>
      </w:r>
      <w:r w:rsidRPr="003C16B9">
        <w:rPr>
          <w:rStyle w:val="FootnoteReference"/>
          <w:rFonts w:ascii="Times New Roman" w:eastAsia="Times New Roman" w:hAnsi="Times New Roman" w:cs="Times New Roman"/>
          <w:noProof/>
          <w:sz w:val="24"/>
          <w:szCs w:val="24"/>
        </w:rPr>
        <w:footnoteReference w:id="10"/>
      </w:r>
      <w:r w:rsidRPr="003C16B9">
        <w:rPr>
          <w:rFonts w:ascii="Times New Roman" w:eastAsia="Times New Roman" w:hAnsi="Times New Roman" w:cs="Times New Roman"/>
          <w:noProof/>
          <w:sz w:val="24"/>
          <w:szCs w:val="24"/>
        </w:rPr>
        <w:t>; and (iii) the milestones and targets that address rule</w:t>
      </w:r>
      <w:r w:rsidR="002B6E8F">
        <w:rPr>
          <w:rFonts w:ascii="Times New Roman" w:eastAsia="Times New Roman" w:hAnsi="Times New Roman" w:cs="Times New Roman"/>
          <w:noProof/>
          <w:sz w:val="24"/>
          <w:szCs w:val="24"/>
        </w:rPr>
        <w:t xml:space="preserve"> </w:t>
      </w:r>
      <w:r w:rsidRPr="003C16B9">
        <w:rPr>
          <w:rFonts w:ascii="Times New Roman" w:eastAsia="Times New Roman" w:hAnsi="Times New Roman" w:cs="Times New Roman"/>
          <w:noProof/>
          <w:sz w:val="24"/>
          <w:szCs w:val="24"/>
        </w:rPr>
        <w:t>of</w:t>
      </w:r>
      <w:r w:rsidR="002B6E8F">
        <w:rPr>
          <w:rFonts w:ascii="Times New Roman" w:eastAsia="Times New Roman" w:hAnsi="Times New Roman" w:cs="Times New Roman"/>
          <w:noProof/>
          <w:sz w:val="24"/>
          <w:szCs w:val="24"/>
        </w:rPr>
        <w:t xml:space="preserve"> </w:t>
      </w:r>
      <w:r w:rsidRPr="003C16B9">
        <w:rPr>
          <w:rFonts w:ascii="Times New Roman" w:eastAsia="Times New Roman" w:hAnsi="Times New Roman" w:cs="Times New Roman"/>
          <w:noProof/>
          <w:sz w:val="24"/>
          <w:szCs w:val="24"/>
        </w:rPr>
        <w:t xml:space="preserve">law challenges under national recovery and resilience plans (RRPs). </w:t>
      </w:r>
    </w:p>
    <w:p w14:paraId="6868AECB" w14:textId="0402771F" w:rsidR="00F204F0" w:rsidRPr="00E02B01" w:rsidRDefault="00F204F0" w:rsidP="00F204F0">
      <w:pPr>
        <w:spacing w:before="120" w:after="120"/>
        <w:jc w:val="both"/>
        <w:rPr>
          <w:rFonts w:ascii="Times New Roman" w:eastAsia="Times New Roman" w:hAnsi="Times New Roman" w:cs="Times New Roman"/>
          <w:b/>
          <w:bCs/>
          <w:noProof/>
          <w:sz w:val="24"/>
          <w:szCs w:val="24"/>
          <w:lang w:val="en-IE"/>
        </w:rPr>
      </w:pPr>
      <w:r w:rsidRPr="003C16B9">
        <w:rPr>
          <w:rFonts w:ascii="Times New Roman" w:eastAsia="Times New Roman" w:hAnsi="Times New Roman" w:cs="Times New Roman"/>
          <w:noProof/>
          <w:sz w:val="24"/>
          <w:szCs w:val="24"/>
        </w:rPr>
        <w:t xml:space="preserve">These instruments have </w:t>
      </w:r>
      <w:r w:rsidRPr="003C16B9">
        <w:rPr>
          <w:rFonts w:ascii="Times New Roman" w:eastAsia="Times New Roman" w:hAnsi="Times New Roman" w:cs="Times New Roman"/>
          <w:b/>
          <w:bCs/>
          <w:noProof/>
          <w:sz w:val="24"/>
          <w:szCs w:val="24"/>
        </w:rPr>
        <w:t>different objectives, scopes and legal frameworks</w:t>
      </w:r>
      <w:r w:rsidRPr="003C16B9">
        <w:rPr>
          <w:rFonts w:ascii="Times New Roman" w:eastAsia="Times New Roman" w:hAnsi="Times New Roman" w:cs="Times New Roman"/>
          <w:noProof/>
          <w:sz w:val="24"/>
          <w:szCs w:val="24"/>
        </w:rPr>
        <w:t>, as decided by the co-legislators. For example, the horizontal enabling condition about the EU Charter of Fundamental Rights</w:t>
      </w:r>
      <w:r w:rsidRPr="003C16B9">
        <w:rPr>
          <w:rStyle w:val="FootnoteReference"/>
          <w:rFonts w:ascii="Times New Roman" w:eastAsia="Times New Roman" w:hAnsi="Times New Roman" w:cs="Times New Roman"/>
          <w:b/>
          <w:bCs/>
          <w:noProof/>
          <w:sz w:val="24"/>
          <w:szCs w:val="24"/>
        </w:rPr>
        <w:footnoteReference w:id="11"/>
      </w:r>
      <w:r w:rsidRPr="003C16B9">
        <w:rPr>
          <w:rFonts w:ascii="Times New Roman" w:eastAsia="Times New Roman" w:hAnsi="Times New Roman" w:cs="Times New Roman"/>
          <w:noProof/>
          <w:sz w:val="24"/>
          <w:szCs w:val="24"/>
        </w:rPr>
        <w:t xml:space="preserve"> applies only to the eight EU funds governed by the Common Provisions Regulation. In addition, the condition </w:t>
      </w:r>
      <w:r w:rsidR="002B6E8F">
        <w:rPr>
          <w:rFonts w:ascii="Times New Roman" w:eastAsia="Times New Roman" w:hAnsi="Times New Roman" w:cs="Times New Roman"/>
          <w:noProof/>
          <w:sz w:val="24"/>
          <w:szCs w:val="24"/>
        </w:rPr>
        <w:t>on</w:t>
      </w:r>
      <w:r w:rsidR="002B6E8F" w:rsidRPr="003C16B9">
        <w:rPr>
          <w:rFonts w:ascii="Times New Roman" w:eastAsia="Times New Roman" w:hAnsi="Times New Roman" w:cs="Times New Roman"/>
          <w:noProof/>
          <w:sz w:val="24"/>
          <w:szCs w:val="24"/>
        </w:rPr>
        <w:t xml:space="preserve"> </w:t>
      </w:r>
      <w:r w:rsidRPr="003C16B9">
        <w:rPr>
          <w:rFonts w:ascii="Times New Roman" w:eastAsia="Times New Roman" w:hAnsi="Times New Roman" w:cs="Times New Roman"/>
          <w:noProof/>
          <w:sz w:val="24"/>
          <w:szCs w:val="24"/>
        </w:rPr>
        <w:t xml:space="preserve">the Charter does not protect the EU budget from the same misuses </w:t>
      </w:r>
      <w:r w:rsidR="002B6E8F">
        <w:rPr>
          <w:rFonts w:ascii="Times New Roman" w:eastAsia="Times New Roman" w:hAnsi="Times New Roman" w:cs="Times New Roman"/>
          <w:noProof/>
          <w:sz w:val="24"/>
          <w:szCs w:val="24"/>
        </w:rPr>
        <w:t>as</w:t>
      </w:r>
      <w:r w:rsidRPr="003C16B9">
        <w:rPr>
          <w:rFonts w:ascii="Times New Roman" w:eastAsia="Times New Roman" w:hAnsi="Times New Roman" w:cs="Times New Roman"/>
          <w:noProof/>
          <w:sz w:val="24"/>
          <w:szCs w:val="24"/>
        </w:rPr>
        <w:t xml:space="preserve"> the Conditionality Regulation, although there are overlaps</w:t>
      </w:r>
      <w:r w:rsidRPr="00E02B01">
        <w:rPr>
          <w:rFonts w:ascii="Times New Roman" w:eastAsia="Times New Roman" w:hAnsi="Times New Roman" w:cs="Times New Roman"/>
          <w:noProof/>
          <w:sz w:val="24"/>
          <w:szCs w:val="24"/>
        </w:rPr>
        <w:t xml:space="preserve">. </w:t>
      </w:r>
      <w:r w:rsidRPr="00047872">
        <w:rPr>
          <w:rFonts w:ascii="Times New Roman" w:eastAsia="Times New Roman" w:hAnsi="Times New Roman" w:cs="Times New Roman"/>
          <w:noProof/>
          <w:sz w:val="24"/>
          <w:szCs w:val="24"/>
        </w:rPr>
        <w:t>At the same time, the Conditionality Regulation can only be used if the Commission finds that other instruments would not protect the EU budget more effectively.</w:t>
      </w:r>
    </w:p>
    <w:p w14:paraId="130694F4" w14:textId="77777777" w:rsidR="00F204F0" w:rsidRPr="00E02B01" w:rsidRDefault="00F204F0" w:rsidP="00F204F0">
      <w:pPr>
        <w:spacing w:before="120" w:after="120"/>
        <w:jc w:val="both"/>
        <w:rPr>
          <w:rFonts w:ascii="Times New Roman" w:eastAsia="MS Mincho" w:hAnsi="Times New Roman" w:cs="Times New Roman"/>
          <w:noProof/>
          <w:sz w:val="24"/>
          <w:szCs w:val="24"/>
        </w:rPr>
      </w:pPr>
      <w:r w:rsidRPr="00E02B01">
        <w:rPr>
          <w:rFonts w:ascii="Times New Roman" w:eastAsia="Times New Roman" w:hAnsi="Times New Roman" w:cs="Times New Roman"/>
          <w:noProof/>
          <w:sz w:val="24"/>
          <w:szCs w:val="24"/>
        </w:rPr>
        <w:t xml:space="preserve">In the case of Hungary, in December 2023, the Commission considered that Hungary had adopted the necessary judicial reforms allowing the Commission to conclude </w:t>
      </w:r>
      <w:r w:rsidRPr="00E02B01">
        <w:rPr>
          <w:rFonts w:ascii="Times New Roman" w:eastAsia="MS Mincho" w:hAnsi="Times New Roman" w:cs="Times New Roman"/>
          <w:noProof/>
          <w:sz w:val="24"/>
          <w:szCs w:val="24"/>
        </w:rPr>
        <w:t>that</w:t>
      </w:r>
      <w:r w:rsidRPr="00E02B01">
        <w:rPr>
          <w:rFonts w:ascii="Times New Roman" w:eastAsia="Times New Roman" w:hAnsi="Times New Roman" w:cs="Times New Roman"/>
          <w:noProof/>
          <w:sz w:val="24"/>
          <w:szCs w:val="24"/>
        </w:rPr>
        <w:t xml:space="preserve"> the horizontal enabling condition on the Charter in the area of judicial independence had been fulfilled. </w:t>
      </w:r>
      <w:r w:rsidRPr="00E02B01">
        <w:rPr>
          <w:rFonts w:ascii="Times New Roman" w:eastAsia="MS Mincho" w:hAnsi="Times New Roman" w:cs="Times New Roman"/>
          <w:noProof/>
          <w:sz w:val="24"/>
          <w:szCs w:val="24"/>
        </w:rPr>
        <w:t>However, Hungary still did not comply with other areas of the horizontal enabling condition on the Charter, in relation to academic freedom, the right to asylum, and LGBTIQ rights. T</w:t>
      </w:r>
      <w:r w:rsidRPr="00E02B01">
        <w:rPr>
          <w:rFonts w:ascii="Times New Roman" w:eastAsia="Times New Roman" w:hAnsi="Times New Roman" w:cs="Times New Roman"/>
          <w:noProof/>
          <w:sz w:val="24"/>
          <w:szCs w:val="24"/>
        </w:rPr>
        <w:t>he Commission has also found that</w:t>
      </w:r>
      <w:r w:rsidRPr="00E02B01">
        <w:rPr>
          <w:rFonts w:ascii="Times New Roman" w:eastAsia="MS Mincho" w:hAnsi="Times New Roman" w:cs="Times New Roman"/>
          <w:noProof/>
          <w:sz w:val="24"/>
          <w:szCs w:val="24"/>
        </w:rPr>
        <w:t xml:space="preserve"> Hungary still does not comply with several thematic enabling conditions. </w:t>
      </w:r>
    </w:p>
    <w:p w14:paraId="7E8CFF59" w14:textId="77777777" w:rsidR="00F204F0" w:rsidRPr="003C16B9" w:rsidRDefault="00F204F0" w:rsidP="00F204F0">
      <w:pPr>
        <w:spacing w:before="120" w:after="120"/>
        <w:jc w:val="both"/>
        <w:rPr>
          <w:rFonts w:ascii="Times New Roman" w:eastAsia="Times New Roman" w:hAnsi="Times New Roman" w:cs="Times New Roman"/>
          <w:noProof/>
          <w:sz w:val="24"/>
          <w:szCs w:val="24"/>
        </w:rPr>
      </w:pPr>
      <w:r w:rsidRPr="00047872">
        <w:rPr>
          <w:rFonts w:ascii="Times New Roman" w:eastAsia="MS Mincho" w:hAnsi="Times New Roman" w:cs="Times New Roman"/>
          <w:noProof/>
          <w:sz w:val="24"/>
          <w:szCs w:val="24"/>
        </w:rPr>
        <w:t xml:space="preserve">Under the Conditionality Regulation, as mentioned above, the </w:t>
      </w:r>
      <w:r w:rsidRPr="00047872" w:rsidDel="00D1764F">
        <w:rPr>
          <w:rFonts w:ascii="Times New Roman" w:eastAsia="Times New Roman" w:hAnsi="Times New Roman" w:cs="Times New Roman"/>
          <w:noProof/>
          <w:sz w:val="24"/>
          <w:szCs w:val="24"/>
        </w:rPr>
        <w:t>Commission concluded that the Council's measures should remain in place</w:t>
      </w:r>
      <w:r w:rsidRPr="00047872">
        <w:rPr>
          <w:rFonts w:ascii="Times New Roman" w:eastAsia="Times New Roman" w:hAnsi="Times New Roman" w:cs="Times New Roman"/>
          <w:noProof/>
          <w:sz w:val="24"/>
          <w:szCs w:val="24"/>
        </w:rPr>
        <w:t xml:space="preserve"> given that Hungary did not address all outstanding issues</w:t>
      </w:r>
      <w:r w:rsidRPr="00047872">
        <w:rPr>
          <w:rFonts w:ascii="Times New Roman" w:eastAsia="MS Mincho" w:hAnsi="Times New Roman" w:cs="Times New Roman"/>
          <w:noProof/>
          <w:sz w:val="24"/>
          <w:szCs w:val="24"/>
        </w:rPr>
        <w:t>.</w:t>
      </w:r>
    </w:p>
    <w:p w14:paraId="022CE7B5" w14:textId="74BD43CC" w:rsidR="00F204F0" w:rsidRPr="003C16B9" w:rsidRDefault="00F204F0" w:rsidP="00F204F0">
      <w:pPr>
        <w:spacing w:before="120" w:after="120"/>
        <w:jc w:val="both"/>
        <w:rPr>
          <w:rFonts w:ascii="Times New Roman" w:eastAsia="Times New Roman" w:hAnsi="Times New Roman" w:cs="Times New Roman"/>
          <w:noProof/>
          <w:sz w:val="24"/>
          <w:szCs w:val="24"/>
        </w:rPr>
      </w:pPr>
      <w:r w:rsidRPr="003C16B9">
        <w:rPr>
          <w:rFonts w:ascii="Times New Roman" w:eastAsia="Times New Roman" w:hAnsi="Times New Roman" w:cs="Times New Roman"/>
          <w:noProof/>
          <w:sz w:val="24"/>
          <w:szCs w:val="24"/>
        </w:rPr>
        <w:t xml:space="preserve">Lastly, in its </w:t>
      </w:r>
      <w:r w:rsidR="00C4282E">
        <w:rPr>
          <w:rFonts w:ascii="Times New Roman" w:eastAsia="Times New Roman" w:hAnsi="Times New Roman" w:cs="Times New Roman"/>
          <w:noProof/>
          <w:sz w:val="24"/>
          <w:szCs w:val="24"/>
        </w:rPr>
        <w:t>RRP</w:t>
      </w:r>
      <w:r w:rsidRPr="003C16B9">
        <w:rPr>
          <w:rFonts w:ascii="Times New Roman" w:eastAsia="Times New Roman" w:hAnsi="Times New Roman" w:cs="Times New Roman"/>
          <w:noProof/>
          <w:sz w:val="24"/>
          <w:szCs w:val="24"/>
        </w:rPr>
        <w:t xml:space="preserve">, Hungary committed to 27 ‘super milestones’ to ensure the protection of the EU’s financial interests and strengthen judicial independence. These 27 super milestones include 4 super milestones on judicial independence, which correspond to the measures requested of Hungary by the Commission under the horizontal enabling conditions on the Charter, and 21 super milestones which correspond to the remedial measures to which Hungary committed under the procedure pursuant to the Conditionality Regulation. The 2 other super milestones relate to measures to improve audit and control of the implementation of the </w:t>
      </w:r>
      <w:r w:rsidR="00C4282E">
        <w:rPr>
          <w:rFonts w:ascii="Times New Roman" w:eastAsia="Times New Roman" w:hAnsi="Times New Roman" w:cs="Times New Roman"/>
          <w:noProof/>
          <w:sz w:val="24"/>
          <w:szCs w:val="24"/>
        </w:rPr>
        <w:t>RRP</w:t>
      </w:r>
      <w:r w:rsidRPr="003C16B9">
        <w:rPr>
          <w:rFonts w:ascii="Times New Roman" w:eastAsia="Times New Roman" w:hAnsi="Times New Roman" w:cs="Times New Roman"/>
          <w:noProof/>
          <w:sz w:val="24"/>
          <w:szCs w:val="24"/>
        </w:rPr>
        <w:t>. No payment request can be satisfied as long as the super milestones are not fulfilled.</w:t>
      </w:r>
    </w:p>
    <w:p w14:paraId="0FC1AD4D" w14:textId="1336612E" w:rsidR="00F204F0" w:rsidRPr="003C16B9" w:rsidRDefault="00F204F0" w:rsidP="00F204F0">
      <w:pPr>
        <w:spacing w:before="120" w:after="120"/>
        <w:jc w:val="both"/>
        <w:rPr>
          <w:rFonts w:ascii="Times New Roman" w:eastAsia="Times New Roman" w:hAnsi="Times New Roman" w:cs="Times New Roman"/>
          <w:noProof/>
          <w:sz w:val="24"/>
          <w:szCs w:val="24"/>
        </w:rPr>
      </w:pPr>
      <w:r w:rsidRPr="00047872">
        <w:rPr>
          <w:rFonts w:ascii="Times New Roman" w:eastAsia="Times New Roman" w:hAnsi="Times New Roman" w:cs="Times New Roman"/>
          <w:noProof/>
          <w:sz w:val="24"/>
          <w:szCs w:val="24"/>
        </w:rPr>
        <w:t xml:space="preserve">The Commission will continue to thoroughly apply the set of tools it has at its disposal to protect the EU budget from breaches of the principles of the rule of law. In preparing the EU’s next long-term budget, the Commission </w:t>
      </w:r>
      <w:r w:rsidR="00C90D44">
        <w:rPr>
          <w:rFonts w:ascii="Times New Roman" w:eastAsia="Times New Roman" w:hAnsi="Times New Roman" w:cs="Times New Roman"/>
          <w:noProof/>
          <w:sz w:val="24"/>
          <w:szCs w:val="24"/>
        </w:rPr>
        <w:t>will</w:t>
      </w:r>
      <w:r w:rsidRPr="00047872">
        <w:rPr>
          <w:rFonts w:ascii="Times New Roman" w:eastAsia="Times New Roman" w:hAnsi="Times New Roman" w:cs="Times New Roman"/>
          <w:noProof/>
          <w:sz w:val="24"/>
          <w:szCs w:val="24"/>
        </w:rPr>
        <w:t xml:space="preserve"> draw lessons from the application of the current set of tools.</w:t>
      </w:r>
      <w:r w:rsidRPr="003C16B9">
        <w:rPr>
          <w:rFonts w:ascii="Times New Roman" w:eastAsia="Times New Roman" w:hAnsi="Times New Roman" w:cs="Times New Roman"/>
          <w:noProof/>
          <w:sz w:val="24"/>
          <w:szCs w:val="24"/>
        </w:rPr>
        <w:t xml:space="preserve"> </w:t>
      </w:r>
    </w:p>
    <w:p w14:paraId="14220C57" w14:textId="77777777" w:rsidR="00F204F0" w:rsidRPr="003C16B9" w:rsidRDefault="00F204F0" w:rsidP="00F204F0">
      <w:pPr>
        <w:pStyle w:val="ListParagraph"/>
        <w:numPr>
          <w:ilvl w:val="1"/>
          <w:numId w:val="20"/>
        </w:numPr>
        <w:spacing w:before="120" w:after="120"/>
        <w:ind w:left="714" w:hanging="357"/>
        <w:contextualSpacing w:val="0"/>
        <w:jc w:val="both"/>
        <w:rPr>
          <w:rFonts w:ascii="Times New Roman" w:hAnsi="Times New Roman" w:cs="Times New Roman"/>
          <w:b/>
          <w:bCs/>
          <w:noProof/>
          <w:sz w:val="24"/>
          <w:szCs w:val="24"/>
        </w:rPr>
      </w:pPr>
      <w:r w:rsidRPr="003C16B9">
        <w:rPr>
          <w:rFonts w:ascii="Times New Roman" w:hAnsi="Times New Roman" w:cs="Times New Roman"/>
          <w:b/>
          <w:bCs/>
          <w:noProof/>
          <w:sz w:val="24"/>
          <w:szCs w:val="24"/>
        </w:rPr>
        <w:t>Protecting the budget from fraudsters</w:t>
      </w:r>
    </w:p>
    <w:p w14:paraId="794013E8" w14:textId="668877E9" w:rsidR="00F204F0" w:rsidRPr="003C16B9" w:rsidRDefault="00F204F0" w:rsidP="00F204F0">
      <w:pPr>
        <w:spacing w:before="120" w:after="120"/>
        <w:jc w:val="both"/>
        <w:rPr>
          <w:rFonts w:ascii="Times New Roman" w:eastAsia="Times New Roman" w:hAnsi="Times New Roman" w:cs="Times New Roman"/>
          <w:noProof/>
          <w:color w:val="1E1E1F"/>
          <w:sz w:val="24"/>
          <w:szCs w:val="24"/>
        </w:rPr>
      </w:pPr>
      <w:r w:rsidRPr="003C16B9">
        <w:rPr>
          <w:rFonts w:ascii="Times New Roman" w:eastAsia="Times New Roman" w:hAnsi="Times New Roman" w:cs="Times New Roman"/>
          <w:noProof/>
          <w:sz w:val="24"/>
          <w:szCs w:val="24"/>
        </w:rPr>
        <w:t>The Commission note</w:t>
      </w:r>
      <w:r w:rsidR="00C4282E">
        <w:rPr>
          <w:rFonts w:ascii="Times New Roman" w:eastAsia="Times New Roman" w:hAnsi="Times New Roman" w:cs="Times New Roman"/>
          <w:noProof/>
          <w:sz w:val="24"/>
          <w:szCs w:val="24"/>
        </w:rPr>
        <w:t>s</w:t>
      </w:r>
      <w:r w:rsidRPr="003C16B9">
        <w:rPr>
          <w:rFonts w:ascii="Times New Roman" w:eastAsia="Times New Roman" w:hAnsi="Times New Roman" w:cs="Times New Roman"/>
          <w:noProof/>
          <w:sz w:val="24"/>
          <w:szCs w:val="24"/>
        </w:rPr>
        <w:t xml:space="preserve"> Parliament’s call ‘</w:t>
      </w:r>
      <w:r w:rsidRPr="003C16B9">
        <w:rPr>
          <w:rFonts w:ascii="Times New Roman" w:eastAsia="Times New Roman" w:hAnsi="Times New Roman" w:cs="Times New Roman"/>
          <w:noProof/>
          <w:color w:val="1E1E1F"/>
          <w:sz w:val="24"/>
          <w:szCs w:val="24"/>
        </w:rPr>
        <w:t>for</w:t>
      </w:r>
      <w:r w:rsidRPr="003C16B9">
        <w:rPr>
          <w:rFonts w:ascii="Times New Roman" w:eastAsia="Times New Roman" w:hAnsi="Times New Roman" w:cs="Times New Roman"/>
          <w:noProof/>
          <w:color w:val="1E1E1F"/>
          <w:spacing w:val="-5"/>
          <w:sz w:val="24"/>
          <w:szCs w:val="24"/>
        </w:rPr>
        <w:t xml:space="preserve"> </w:t>
      </w:r>
      <w:r w:rsidRPr="003C16B9">
        <w:rPr>
          <w:rFonts w:ascii="Times New Roman" w:eastAsia="Times New Roman" w:hAnsi="Times New Roman" w:cs="Times New Roman"/>
          <w:noProof/>
          <w:color w:val="1E1E1F"/>
          <w:sz w:val="24"/>
          <w:szCs w:val="24"/>
        </w:rPr>
        <w:t>the capacities of the EPPO and OLAF, as well as cooperation between them, to be strengthened further and their competences to be better defined’</w:t>
      </w:r>
      <w:r w:rsidRPr="003C16B9">
        <w:rPr>
          <w:rStyle w:val="FootnoteReference"/>
          <w:rFonts w:ascii="Times New Roman" w:eastAsia="Times New Roman" w:hAnsi="Times New Roman" w:cs="Times New Roman"/>
          <w:noProof/>
          <w:color w:val="1E1E1F"/>
          <w:sz w:val="24"/>
          <w:szCs w:val="24"/>
        </w:rPr>
        <w:footnoteReference w:id="12"/>
      </w:r>
      <w:r w:rsidRPr="003C16B9">
        <w:rPr>
          <w:rFonts w:ascii="Times New Roman" w:eastAsia="Times New Roman" w:hAnsi="Times New Roman" w:cs="Times New Roman"/>
          <w:noProof/>
          <w:color w:val="1E1E1F"/>
          <w:sz w:val="24"/>
          <w:szCs w:val="24"/>
        </w:rPr>
        <w:t>.</w:t>
      </w:r>
    </w:p>
    <w:p w14:paraId="2A48B53A" w14:textId="23EE3E3E" w:rsidR="00F204F0" w:rsidRPr="003C16B9" w:rsidRDefault="00F204F0" w:rsidP="00F204F0">
      <w:pPr>
        <w:pStyle w:val="ListParagraph"/>
        <w:numPr>
          <w:ilvl w:val="0"/>
          <w:numId w:val="18"/>
        </w:numPr>
        <w:spacing w:before="120" w:after="120"/>
        <w:contextualSpacing w:val="0"/>
        <w:jc w:val="both"/>
        <w:rPr>
          <w:rFonts w:ascii="Times New Roman" w:eastAsia="Times New Roman" w:hAnsi="Times New Roman" w:cs="Times New Roman"/>
          <w:b/>
          <w:bCs/>
          <w:noProof/>
          <w:sz w:val="24"/>
          <w:szCs w:val="24"/>
        </w:rPr>
      </w:pPr>
      <w:r w:rsidRPr="003C16B9">
        <w:rPr>
          <w:rFonts w:ascii="Times New Roman" w:eastAsia="Times New Roman" w:hAnsi="Times New Roman" w:cs="Times New Roman"/>
          <w:b/>
          <w:bCs/>
          <w:noProof/>
          <w:sz w:val="24"/>
          <w:szCs w:val="24"/>
        </w:rPr>
        <w:t>Capacities of the EPPO and the European Anti-Fraud Office</w:t>
      </w:r>
      <w:r w:rsidR="00C4282E">
        <w:rPr>
          <w:rFonts w:ascii="Times New Roman" w:eastAsia="Times New Roman" w:hAnsi="Times New Roman" w:cs="Times New Roman"/>
          <w:b/>
          <w:bCs/>
          <w:noProof/>
          <w:sz w:val="24"/>
          <w:szCs w:val="24"/>
        </w:rPr>
        <w:t xml:space="preserve"> (OLAF)</w:t>
      </w:r>
      <w:r w:rsidRPr="003C16B9">
        <w:rPr>
          <w:rFonts w:ascii="Times New Roman" w:eastAsia="Times New Roman" w:hAnsi="Times New Roman" w:cs="Times New Roman"/>
          <w:b/>
          <w:bCs/>
          <w:noProof/>
          <w:sz w:val="24"/>
          <w:szCs w:val="24"/>
        </w:rPr>
        <w:t xml:space="preserve"> </w:t>
      </w:r>
    </w:p>
    <w:p w14:paraId="425D34FB" w14:textId="42CA3335" w:rsidR="00F204F0" w:rsidRPr="003C16B9" w:rsidRDefault="00F204F0" w:rsidP="00F204F0">
      <w:pPr>
        <w:spacing w:before="120" w:after="120"/>
        <w:jc w:val="both"/>
        <w:rPr>
          <w:rFonts w:ascii="Times New Roman" w:eastAsia="Times New Roman" w:hAnsi="Times New Roman" w:cs="Times New Roman"/>
          <w:noProof/>
          <w:sz w:val="24"/>
          <w:szCs w:val="24"/>
          <w:lang w:val="en-IE"/>
        </w:rPr>
      </w:pPr>
      <w:r w:rsidRPr="003C16B9">
        <w:rPr>
          <w:rFonts w:ascii="Times New Roman" w:eastAsia="Times New Roman" w:hAnsi="Times New Roman" w:cs="Times New Roman"/>
          <w:noProof/>
          <w:sz w:val="24"/>
          <w:szCs w:val="24"/>
        </w:rPr>
        <w:t xml:space="preserve">Despite the very strict budgetary constraints under the budget headings ‘Resilience and Values’ </w:t>
      </w:r>
      <w:r w:rsidR="00011A17">
        <w:rPr>
          <w:rFonts w:ascii="Times New Roman" w:eastAsia="Times New Roman" w:hAnsi="Times New Roman" w:cs="Times New Roman"/>
          <w:noProof/>
          <w:sz w:val="24"/>
          <w:szCs w:val="24"/>
        </w:rPr>
        <w:t>(for the EPPO)</w:t>
      </w:r>
      <w:r w:rsidR="0039382C">
        <w:rPr>
          <w:rFonts w:ascii="Times New Roman" w:eastAsia="Times New Roman" w:hAnsi="Times New Roman" w:cs="Times New Roman"/>
          <w:noProof/>
          <w:sz w:val="24"/>
          <w:szCs w:val="24"/>
        </w:rPr>
        <w:t xml:space="preserve"> </w:t>
      </w:r>
      <w:r w:rsidRPr="003C16B9">
        <w:rPr>
          <w:rFonts w:ascii="Times New Roman" w:eastAsia="Times New Roman" w:hAnsi="Times New Roman" w:cs="Times New Roman"/>
          <w:noProof/>
          <w:sz w:val="24"/>
          <w:szCs w:val="24"/>
        </w:rPr>
        <w:t>and ‘European Public Administration’</w:t>
      </w:r>
      <w:r w:rsidR="00AD5F7E">
        <w:rPr>
          <w:rFonts w:ascii="Times New Roman" w:eastAsia="Times New Roman" w:hAnsi="Times New Roman" w:cs="Times New Roman"/>
          <w:noProof/>
          <w:sz w:val="24"/>
          <w:szCs w:val="24"/>
        </w:rPr>
        <w:t xml:space="preserve"> </w:t>
      </w:r>
      <w:r w:rsidR="00011A17">
        <w:rPr>
          <w:rFonts w:ascii="Times New Roman" w:eastAsia="Times New Roman" w:hAnsi="Times New Roman" w:cs="Times New Roman"/>
          <w:noProof/>
          <w:sz w:val="24"/>
          <w:szCs w:val="24"/>
        </w:rPr>
        <w:t>(for OLAF)</w:t>
      </w:r>
      <w:r w:rsidRPr="003C16B9">
        <w:rPr>
          <w:rFonts w:ascii="Times New Roman" w:eastAsia="Times New Roman" w:hAnsi="Times New Roman" w:cs="Times New Roman"/>
          <w:noProof/>
          <w:sz w:val="24"/>
          <w:szCs w:val="24"/>
        </w:rPr>
        <w:t xml:space="preserve">, the </w:t>
      </w:r>
      <w:r w:rsidRPr="003C16B9">
        <w:rPr>
          <w:rFonts w:ascii="Times New Roman" w:eastAsia="Times New Roman" w:hAnsi="Times New Roman" w:cs="Times New Roman"/>
          <w:b/>
          <w:bCs/>
          <w:noProof/>
          <w:sz w:val="24"/>
          <w:szCs w:val="24"/>
        </w:rPr>
        <w:t xml:space="preserve">EPPO was strengthened with </w:t>
      </w:r>
      <w:r w:rsidR="0039382C">
        <w:rPr>
          <w:rFonts w:ascii="Times New Roman" w:eastAsia="Times New Roman" w:hAnsi="Times New Roman" w:cs="Times New Roman"/>
          <w:b/>
          <w:bCs/>
          <w:noProof/>
          <w:sz w:val="24"/>
          <w:szCs w:val="24"/>
        </w:rPr>
        <w:t>33</w:t>
      </w:r>
      <w:r w:rsidRPr="003C16B9">
        <w:rPr>
          <w:rFonts w:ascii="Times New Roman" w:eastAsia="Times New Roman" w:hAnsi="Times New Roman" w:cs="Times New Roman"/>
          <w:b/>
          <w:bCs/>
          <w:noProof/>
          <w:sz w:val="24"/>
          <w:szCs w:val="24"/>
        </w:rPr>
        <w:t xml:space="preserve"> additional posts in 2024</w:t>
      </w:r>
      <w:r w:rsidRPr="003C16B9">
        <w:rPr>
          <w:rFonts w:ascii="Times New Roman" w:eastAsia="Times New Roman" w:hAnsi="Times New Roman" w:cs="Times New Roman"/>
          <w:noProof/>
          <w:sz w:val="24"/>
          <w:szCs w:val="24"/>
        </w:rPr>
        <w:t xml:space="preserve">, reaching a total of 232 posts in the central office. This includes the resources proposed by the Commission on 9 April 2024 in Draft Amending Budget No 3/2024 to cater for: (i) </w:t>
      </w:r>
      <w:r w:rsidRPr="003C16B9">
        <w:rPr>
          <w:rFonts w:ascii="Times New Roman" w:eastAsia="Times New Roman" w:hAnsi="Times New Roman" w:cs="Times New Roman"/>
          <w:noProof/>
          <w:sz w:val="24"/>
          <w:szCs w:val="24"/>
          <w:lang w:val="en-IE"/>
        </w:rPr>
        <w:t>the participation of Poland in the EPPO; and (ii) the expected participation of Sweden</w:t>
      </w:r>
      <w:r w:rsidRPr="003C16B9">
        <w:rPr>
          <w:rFonts w:ascii="Times New Roman" w:eastAsia="Times New Roman" w:hAnsi="Times New Roman" w:cs="Times New Roman"/>
          <w:noProof/>
          <w:sz w:val="24"/>
          <w:szCs w:val="24"/>
        </w:rPr>
        <w:t xml:space="preserve"> in the coming months. </w:t>
      </w:r>
      <w:r w:rsidRPr="00047872">
        <w:rPr>
          <w:rFonts w:ascii="Times New Roman" w:eastAsia="Calibri" w:hAnsi="Times New Roman" w:cs="Times New Roman"/>
          <w:noProof/>
          <w:sz w:val="24"/>
          <w:szCs w:val="24"/>
        </w:rPr>
        <w:t xml:space="preserve">The strengthening of the EPPO with additional posts takes into account the large increase in the EPPO’s operational activities since its entry into operation in June 2021, with </w:t>
      </w:r>
      <w:r w:rsidRPr="00336F0D">
        <w:rPr>
          <w:rFonts w:ascii="Times New Roman" w:eastAsia="Calibri" w:hAnsi="Times New Roman" w:cs="Times New Roman"/>
          <w:noProof/>
          <w:sz w:val="24"/>
          <w:szCs w:val="24"/>
        </w:rPr>
        <w:t xml:space="preserve">1 </w:t>
      </w:r>
      <w:r w:rsidR="002156E0" w:rsidRPr="00336F0D">
        <w:rPr>
          <w:rFonts w:ascii="Times New Roman" w:eastAsia="Calibri" w:hAnsi="Times New Roman" w:cs="Times New Roman"/>
          <w:noProof/>
          <w:sz w:val="24"/>
          <w:szCs w:val="24"/>
        </w:rPr>
        <w:t>9</w:t>
      </w:r>
      <w:r w:rsidRPr="00336F0D">
        <w:rPr>
          <w:rFonts w:ascii="Times New Roman" w:eastAsia="Calibri" w:hAnsi="Times New Roman" w:cs="Times New Roman"/>
          <w:noProof/>
          <w:sz w:val="24"/>
          <w:szCs w:val="24"/>
        </w:rPr>
        <w:t>27 inv</w:t>
      </w:r>
      <w:r w:rsidRPr="00047872">
        <w:rPr>
          <w:rFonts w:ascii="Times New Roman" w:eastAsia="Calibri" w:hAnsi="Times New Roman" w:cs="Times New Roman"/>
          <w:noProof/>
          <w:sz w:val="24"/>
          <w:szCs w:val="24"/>
        </w:rPr>
        <w:t>estigations ongoing by the end of 2023</w:t>
      </w:r>
      <w:r w:rsidRPr="00047872">
        <w:rPr>
          <w:rFonts w:ascii="Times New Roman" w:eastAsia="Times New Roman" w:hAnsi="Times New Roman" w:cs="Times New Roman"/>
          <w:noProof/>
          <w:sz w:val="24"/>
          <w:szCs w:val="24"/>
        </w:rPr>
        <w:t>.</w:t>
      </w:r>
    </w:p>
    <w:p w14:paraId="0CC662E5" w14:textId="77777777" w:rsidR="00F204F0" w:rsidRPr="003C16B9" w:rsidRDefault="00F204F0" w:rsidP="00F204F0">
      <w:pPr>
        <w:spacing w:before="120" w:after="120"/>
        <w:jc w:val="both"/>
        <w:rPr>
          <w:rFonts w:ascii="Times New Roman" w:eastAsia="Times New Roman" w:hAnsi="Times New Roman" w:cs="Times New Roman"/>
          <w:noProof/>
          <w:sz w:val="24"/>
          <w:szCs w:val="24"/>
        </w:rPr>
      </w:pPr>
      <w:r w:rsidRPr="003C16B9">
        <w:rPr>
          <w:rFonts w:ascii="Times New Roman" w:eastAsia="Times New Roman" w:hAnsi="Times New Roman" w:cs="Times New Roman"/>
          <w:noProof/>
          <w:sz w:val="24"/>
          <w:szCs w:val="24"/>
        </w:rPr>
        <w:t xml:space="preserve">On OLAF, the 2024 budget provides for </w:t>
      </w:r>
      <w:r w:rsidRPr="003C16B9">
        <w:rPr>
          <w:rFonts w:ascii="Times New Roman" w:eastAsia="Times New Roman" w:hAnsi="Times New Roman" w:cs="Times New Roman"/>
          <w:b/>
          <w:bCs/>
          <w:noProof/>
          <w:sz w:val="24"/>
          <w:szCs w:val="24"/>
        </w:rPr>
        <w:t>two additional external staff</w:t>
      </w:r>
      <w:r w:rsidRPr="003C16B9">
        <w:rPr>
          <w:rFonts w:ascii="Times New Roman" w:eastAsia="Times New Roman" w:hAnsi="Times New Roman" w:cs="Times New Roman"/>
          <w:noProof/>
          <w:sz w:val="24"/>
          <w:szCs w:val="24"/>
        </w:rPr>
        <w:t xml:space="preserve"> redeployed from other parts of the Commission to monitor the flow of funds to Ukraine.</w:t>
      </w:r>
    </w:p>
    <w:p w14:paraId="31CC9946" w14:textId="77777777" w:rsidR="00F204F0" w:rsidRPr="003C16B9" w:rsidRDefault="00F204F0" w:rsidP="00F204F0">
      <w:pPr>
        <w:pStyle w:val="ListParagraph"/>
        <w:numPr>
          <w:ilvl w:val="0"/>
          <w:numId w:val="18"/>
        </w:numPr>
        <w:spacing w:before="120" w:after="120" w:line="276" w:lineRule="auto"/>
        <w:contextualSpacing w:val="0"/>
        <w:jc w:val="both"/>
        <w:rPr>
          <w:rFonts w:ascii="Times New Roman" w:eastAsia="Times New Roman" w:hAnsi="Times New Roman" w:cs="Times New Roman"/>
          <w:b/>
          <w:bCs/>
          <w:noProof/>
          <w:sz w:val="24"/>
          <w:szCs w:val="24"/>
          <w:lang w:eastAsia="en-GB"/>
        </w:rPr>
      </w:pPr>
      <w:r w:rsidRPr="003C16B9">
        <w:rPr>
          <w:rFonts w:ascii="Times New Roman" w:eastAsia="Times New Roman" w:hAnsi="Times New Roman" w:cs="Times New Roman"/>
          <w:b/>
          <w:bCs/>
          <w:noProof/>
          <w:sz w:val="24"/>
          <w:szCs w:val="24"/>
          <w:lang w:eastAsia="en-GB"/>
        </w:rPr>
        <w:t>Cooperation between the EPPO, OLAF and other anti-fraud actors</w:t>
      </w:r>
    </w:p>
    <w:p w14:paraId="1120E11C" w14:textId="719C0484" w:rsidR="00F204F0" w:rsidRPr="003C16B9" w:rsidRDefault="00F204F0" w:rsidP="00F204F0">
      <w:pPr>
        <w:spacing w:before="120" w:after="120" w:line="276" w:lineRule="auto"/>
        <w:jc w:val="both"/>
        <w:rPr>
          <w:rFonts w:ascii="Times New Roman" w:eastAsia="Times New Roman" w:hAnsi="Times New Roman" w:cs="Times New Roman"/>
          <w:noProof/>
          <w:sz w:val="24"/>
          <w:szCs w:val="24"/>
          <w:lang w:eastAsia="en-GB"/>
        </w:rPr>
      </w:pPr>
      <w:r w:rsidRPr="003C16B9">
        <w:rPr>
          <w:rFonts w:ascii="Times New Roman" w:eastAsia="Times New Roman" w:hAnsi="Times New Roman" w:cs="Times New Roman"/>
          <w:noProof/>
          <w:sz w:val="24"/>
          <w:szCs w:val="24"/>
          <w:lang w:eastAsia="en-GB"/>
        </w:rPr>
        <w:t xml:space="preserve">The EPPO-OLAF cooperation ensures the complementarity of their respective mandates and avoids duplication of work. </w:t>
      </w:r>
      <w:r w:rsidR="62C423CD" w:rsidRPr="003C16B9">
        <w:rPr>
          <w:rFonts w:ascii="Times New Roman" w:eastAsia="Times New Roman" w:hAnsi="Times New Roman" w:cs="Times New Roman"/>
          <w:noProof/>
          <w:sz w:val="24"/>
          <w:szCs w:val="24"/>
          <w:lang w:eastAsia="en-GB"/>
        </w:rPr>
        <w:t>T</w:t>
      </w:r>
      <w:r w:rsidRPr="003C16B9">
        <w:rPr>
          <w:rFonts w:ascii="Times New Roman" w:eastAsia="Times New Roman" w:hAnsi="Times New Roman" w:cs="Times New Roman"/>
          <w:noProof/>
          <w:sz w:val="24"/>
          <w:szCs w:val="24"/>
          <w:lang w:eastAsia="en-GB"/>
        </w:rPr>
        <w:t>he EPPO</w:t>
      </w:r>
      <w:r w:rsidR="2BA1F81E" w:rsidRPr="003C16B9">
        <w:rPr>
          <w:rFonts w:ascii="Times New Roman" w:eastAsia="Times New Roman" w:hAnsi="Times New Roman" w:cs="Times New Roman"/>
          <w:noProof/>
          <w:sz w:val="24"/>
          <w:szCs w:val="24"/>
          <w:lang w:eastAsia="en-GB"/>
        </w:rPr>
        <w:t xml:space="preserve"> and OLAF </w:t>
      </w:r>
      <w:r w:rsidRPr="003C16B9">
        <w:rPr>
          <w:rFonts w:ascii="Times New Roman" w:eastAsia="Times New Roman" w:hAnsi="Times New Roman" w:cs="Times New Roman"/>
          <w:noProof/>
          <w:sz w:val="24"/>
          <w:szCs w:val="24"/>
          <w:lang w:eastAsia="en-GB"/>
        </w:rPr>
        <w:t>together with the other anti-fraud actors</w:t>
      </w:r>
      <w:r w:rsidRPr="003C16B9">
        <w:rPr>
          <w:rStyle w:val="FootnoteReference"/>
          <w:rFonts w:ascii="Times New Roman" w:eastAsia="Times New Roman" w:hAnsi="Times New Roman" w:cs="Times New Roman"/>
          <w:noProof/>
          <w:sz w:val="24"/>
          <w:szCs w:val="24"/>
          <w:lang w:eastAsia="en-GB"/>
        </w:rPr>
        <w:footnoteReference w:id="13"/>
      </w:r>
      <w:r w:rsidRPr="003C16B9">
        <w:rPr>
          <w:rFonts w:ascii="Times New Roman" w:eastAsia="Times New Roman" w:hAnsi="Times New Roman" w:cs="Times New Roman"/>
          <w:noProof/>
          <w:sz w:val="24"/>
          <w:szCs w:val="24"/>
          <w:lang w:eastAsia="en-GB"/>
        </w:rPr>
        <w:t xml:space="preserve">, are cooperating intensively in tens of cases every year. OLAF, together with national authorities and other EU institutions, bodies, offices and agencies inform the EPPO whenever they identify a suspicion of an offence falling within the EPPO’s remit. </w:t>
      </w:r>
      <w:r w:rsidRPr="003C16B9">
        <w:rPr>
          <w:rFonts w:ascii="Times New Roman" w:eastAsia="Verdana" w:hAnsi="Times New Roman" w:cs="Times New Roman"/>
          <w:noProof/>
          <w:sz w:val="24"/>
          <w:szCs w:val="24"/>
          <w:lang w:val="en-IE"/>
        </w:rPr>
        <w:t xml:space="preserve">Furthermore, OLAF </w:t>
      </w:r>
      <w:r w:rsidR="34B08B05" w:rsidRPr="003C16B9">
        <w:rPr>
          <w:rFonts w:ascii="Times New Roman" w:eastAsia="Verdana" w:hAnsi="Times New Roman" w:cs="Times New Roman"/>
          <w:noProof/>
          <w:sz w:val="24"/>
          <w:szCs w:val="24"/>
          <w:lang w:val="en-IE"/>
        </w:rPr>
        <w:t>complements and contributes in a number o</w:t>
      </w:r>
      <w:r w:rsidR="2ECE26C3" w:rsidRPr="003C16B9">
        <w:rPr>
          <w:rFonts w:ascii="Times New Roman" w:eastAsia="Verdana" w:hAnsi="Times New Roman" w:cs="Times New Roman"/>
          <w:noProof/>
          <w:sz w:val="24"/>
          <w:szCs w:val="24"/>
          <w:lang w:val="en-IE"/>
        </w:rPr>
        <w:t xml:space="preserve">f cases </w:t>
      </w:r>
      <w:r w:rsidR="4C414C6B" w:rsidRPr="003C16B9">
        <w:rPr>
          <w:rFonts w:ascii="Times New Roman" w:eastAsia="Verdana" w:hAnsi="Times New Roman" w:cs="Times New Roman"/>
          <w:noProof/>
          <w:sz w:val="24"/>
          <w:szCs w:val="24"/>
          <w:lang w:val="en-IE"/>
        </w:rPr>
        <w:t xml:space="preserve">to </w:t>
      </w:r>
      <w:r w:rsidRPr="003C16B9">
        <w:rPr>
          <w:rFonts w:ascii="Times New Roman" w:eastAsia="Verdana" w:hAnsi="Times New Roman" w:cs="Times New Roman"/>
          <w:noProof/>
          <w:sz w:val="24"/>
          <w:szCs w:val="24"/>
          <w:lang w:val="en-IE"/>
        </w:rPr>
        <w:t xml:space="preserve">the operational effectiveness of EPPO investigations </w:t>
      </w:r>
      <w:r w:rsidRPr="003C16B9">
        <w:rPr>
          <w:rFonts w:ascii="Times New Roman" w:eastAsia="Verdana" w:hAnsi="Times New Roman" w:cs="Times New Roman"/>
          <w:noProof/>
          <w:sz w:val="24"/>
          <w:szCs w:val="24"/>
          <w:lang w:val="en-IE" w:eastAsia="en-GB"/>
        </w:rPr>
        <w:t xml:space="preserve">by conducting complementary </w:t>
      </w:r>
      <w:r w:rsidRPr="003C16B9">
        <w:rPr>
          <w:rFonts w:ascii="Times New Roman" w:eastAsia="Verdana" w:hAnsi="Times New Roman" w:cs="Times New Roman"/>
          <w:noProof/>
          <w:sz w:val="24"/>
          <w:szCs w:val="24"/>
          <w:lang w:val="en-IE"/>
        </w:rPr>
        <w:t xml:space="preserve">administrative </w:t>
      </w:r>
      <w:r w:rsidRPr="003C16B9">
        <w:rPr>
          <w:rFonts w:ascii="Times New Roman" w:eastAsia="Verdana" w:hAnsi="Times New Roman" w:cs="Times New Roman"/>
          <w:noProof/>
          <w:sz w:val="24"/>
          <w:szCs w:val="24"/>
          <w:lang w:val="en-IE" w:eastAsia="en-GB"/>
        </w:rPr>
        <w:t xml:space="preserve">investigations and providing it with support </w:t>
      </w:r>
      <w:r w:rsidRPr="003C16B9">
        <w:rPr>
          <w:rFonts w:ascii="Times New Roman" w:eastAsia="Verdana" w:hAnsi="Times New Roman" w:cs="Times New Roman"/>
          <w:noProof/>
          <w:sz w:val="24"/>
          <w:szCs w:val="24"/>
          <w:lang w:val="en-IE"/>
        </w:rPr>
        <w:t xml:space="preserve">where necessary. </w:t>
      </w:r>
    </w:p>
    <w:p w14:paraId="35689802" w14:textId="45E325C5" w:rsidR="00F204F0" w:rsidRPr="003C16B9" w:rsidRDefault="00F204F0" w:rsidP="00F204F0">
      <w:pPr>
        <w:spacing w:before="120" w:after="120" w:line="276" w:lineRule="auto"/>
        <w:jc w:val="both"/>
        <w:rPr>
          <w:rFonts w:ascii="Times New Roman" w:eastAsia="Verdana" w:hAnsi="Times New Roman" w:cs="Times New Roman"/>
          <w:noProof/>
          <w:sz w:val="24"/>
          <w:szCs w:val="24"/>
          <w:lang w:val="en-GB"/>
        </w:rPr>
      </w:pPr>
      <w:r w:rsidRPr="003C16B9">
        <w:rPr>
          <w:rFonts w:ascii="Times New Roman" w:eastAsia="Verdana" w:hAnsi="Times New Roman" w:cs="Times New Roman"/>
          <w:noProof/>
          <w:sz w:val="24"/>
          <w:szCs w:val="24"/>
          <w:lang w:val="en-GB"/>
        </w:rPr>
        <w:t xml:space="preserve">After almost </w:t>
      </w:r>
      <w:r w:rsidR="0039382C">
        <w:rPr>
          <w:rFonts w:ascii="Times New Roman" w:eastAsia="Verdana" w:hAnsi="Times New Roman" w:cs="Times New Roman"/>
          <w:noProof/>
          <w:sz w:val="24"/>
          <w:szCs w:val="24"/>
          <w:lang w:val="en-GB"/>
        </w:rPr>
        <w:t>3</w:t>
      </w:r>
      <w:r w:rsidRPr="003C16B9">
        <w:rPr>
          <w:rFonts w:ascii="Times New Roman" w:eastAsia="Verdana" w:hAnsi="Times New Roman" w:cs="Times New Roman"/>
          <w:noProof/>
          <w:sz w:val="24"/>
          <w:szCs w:val="24"/>
          <w:lang w:val="en-GB"/>
        </w:rPr>
        <w:t xml:space="preserve"> years of cooperation, there are </w:t>
      </w:r>
      <w:r w:rsidR="00336F0D">
        <w:rPr>
          <w:rFonts w:ascii="Times New Roman" w:eastAsia="Verdana" w:hAnsi="Times New Roman" w:cs="Times New Roman"/>
          <w:noProof/>
          <w:sz w:val="24"/>
          <w:szCs w:val="24"/>
          <w:lang w:val="en-GB"/>
        </w:rPr>
        <w:t>several</w:t>
      </w:r>
      <w:r w:rsidR="007A062D" w:rsidRPr="586918AE">
        <w:rPr>
          <w:rFonts w:ascii="Times New Roman" w:eastAsia="Verdana" w:hAnsi="Times New Roman" w:cs="Times New Roman"/>
          <w:noProof/>
          <w:sz w:val="24"/>
          <w:szCs w:val="24"/>
          <w:lang w:val="en-GB"/>
        </w:rPr>
        <w:t xml:space="preserve"> </w:t>
      </w:r>
      <w:r w:rsidRPr="003C16B9">
        <w:rPr>
          <w:rFonts w:ascii="Times New Roman" w:eastAsia="Verdana" w:hAnsi="Times New Roman" w:cs="Times New Roman"/>
          <w:noProof/>
          <w:sz w:val="24"/>
          <w:szCs w:val="24"/>
          <w:lang w:val="en-GB"/>
        </w:rPr>
        <w:t xml:space="preserve">success stories: </w:t>
      </w:r>
    </w:p>
    <w:p w14:paraId="089C5E58" w14:textId="77777777" w:rsidR="00F204F0" w:rsidRPr="003C16B9" w:rsidRDefault="00F204F0" w:rsidP="00F204F0">
      <w:pPr>
        <w:pStyle w:val="ListParagraph"/>
        <w:numPr>
          <w:ilvl w:val="0"/>
          <w:numId w:val="27"/>
        </w:numPr>
        <w:spacing w:before="120" w:after="120" w:line="276" w:lineRule="auto"/>
        <w:contextualSpacing w:val="0"/>
        <w:jc w:val="both"/>
        <w:rPr>
          <w:rFonts w:ascii="Times New Roman" w:eastAsia="Verdana" w:hAnsi="Times New Roman" w:cs="Times New Roman"/>
          <w:noProof/>
          <w:sz w:val="24"/>
          <w:szCs w:val="24"/>
          <w:lang w:val="en-GB"/>
        </w:rPr>
      </w:pPr>
      <w:r w:rsidRPr="003C16B9">
        <w:rPr>
          <w:rFonts w:ascii="Times New Roman" w:eastAsia="Verdana" w:hAnsi="Times New Roman" w:cs="Times New Roman"/>
          <w:noProof/>
          <w:sz w:val="24"/>
          <w:szCs w:val="24"/>
          <w:lang w:val="en-GB"/>
        </w:rPr>
        <w:t xml:space="preserve">In 72 instances, OLAF has opened complementary investigations following the opening of an EPPO investigation. To date, this has led to recommendations for the recovery of </w:t>
      </w:r>
      <w:r w:rsidRPr="003C16B9">
        <w:rPr>
          <w:rFonts w:ascii="Times New Roman" w:eastAsia="Verdana" w:hAnsi="Times New Roman" w:cs="Times New Roman"/>
          <w:b/>
          <w:bCs/>
          <w:noProof/>
          <w:sz w:val="24"/>
          <w:szCs w:val="24"/>
          <w:lang w:val="en-GB"/>
        </w:rPr>
        <w:t xml:space="preserve">nearly EUR 300 million. </w:t>
      </w:r>
    </w:p>
    <w:p w14:paraId="71DC12BC" w14:textId="77777777" w:rsidR="00F204F0" w:rsidRPr="003C16B9" w:rsidRDefault="00F204F0" w:rsidP="00F204F0">
      <w:pPr>
        <w:pStyle w:val="ListParagraph"/>
        <w:numPr>
          <w:ilvl w:val="0"/>
          <w:numId w:val="27"/>
        </w:numPr>
        <w:spacing w:before="120" w:after="120" w:line="276" w:lineRule="auto"/>
        <w:contextualSpacing w:val="0"/>
        <w:jc w:val="both"/>
        <w:rPr>
          <w:rFonts w:ascii="Times New Roman" w:hAnsi="Times New Roman" w:cs="Times New Roman"/>
          <w:noProof/>
          <w:sz w:val="24"/>
          <w:szCs w:val="24"/>
          <w:lang w:val="en-GB"/>
        </w:rPr>
      </w:pPr>
      <w:r w:rsidRPr="003C16B9">
        <w:rPr>
          <w:rFonts w:ascii="Times New Roman" w:eastAsia="Verdana" w:hAnsi="Times New Roman" w:cs="Times New Roman"/>
          <w:noProof/>
          <w:sz w:val="24"/>
          <w:szCs w:val="24"/>
          <w:lang w:val="en-GB"/>
        </w:rPr>
        <w:t xml:space="preserve">In 26 cases, OLAF offered </w:t>
      </w:r>
      <w:r w:rsidRPr="003C16B9">
        <w:rPr>
          <w:rFonts w:ascii="Times New Roman" w:eastAsia="Verdana" w:hAnsi="Times New Roman" w:cs="Times New Roman"/>
          <w:b/>
          <w:noProof/>
          <w:sz w:val="24"/>
          <w:szCs w:val="24"/>
          <w:lang w:val="en-GB"/>
        </w:rPr>
        <w:t>operational support</w:t>
      </w:r>
      <w:r w:rsidRPr="003C16B9">
        <w:rPr>
          <w:rFonts w:ascii="Times New Roman" w:eastAsia="Verdana" w:hAnsi="Times New Roman" w:cs="Times New Roman"/>
          <w:noProof/>
          <w:sz w:val="24"/>
          <w:szCs w:val="24"/>
          <w:lang w:val="en-GB"/>
        </w:rPr>
        <w:t xml:space="preserve"> to the EPPO, including forensics analysis of evidence acquired by the EPPO, which in turn has been included in the </w:t>
      </w:r>
      <w:r w:rsidRPr="003C16B9">
        <w:rPr>
          <w:rFonts w:ascii="Times New Roman" w:hAnsi="Times New Roman" w:cs="Times New Roman"/>
          <w:noProof/>
          <w:sz w:val="24"/>
          <w:szCs w:val="24"/>
          <w:lang w:val="en-GB"/>
        </w:rPr>
        <w:t>criminal</w:t>
      </w:r>
      <w:r w:rsidRPr="003C16B9">
        <w:rPr>
          <w:rFonts w:ascii="Times New Roman" w:eastAsia="Verdana" w:hAnsi="Times New Roman" w:cs="Times New Roman"/>
          <w:noProof/>
          <w:sz w:val="24"/>
          <w:szCs w:val="24"/>
          <w:lang w:val="en-GB"/>
        </w:rPr>
        <w:t xml:space="preserve"> f</w:t>
      </w:r>
      <w:r w:rsidRPr="003C16B9">
        <w:rPr>
          <w:rFonts w:ascii="Times New Roman" w:hAnsi="Times New Roman" w:cs="Times New Roman"/>
          <w:noProof/>
          <w:sz w:val="24"/>
          <w:szCs w:val="24"/>
          <w:lang w:val="en-GB"/>
        </w:rPr>
        <w:t>ile.</w:t>
      </w:r>
    </w:p>
    <w:p w14:paraId="22C79C0D" w14:textId="362CE157" w:rsidR="00F204F0" w:rsidRPr="003C16B9" w:rsidRDefault="00F204F0" w:rsidP="00F204F0">
      <w:pPr>
        <w:spacing w:before="120" w:after="120" w:line="276" w:lineRule="auto"/>
        <w:jc w:val="both"/>
        <w:rPr>
          <w:rFonts w:ascii="Times New Roman" w:eastAsiaTheme="minorEastAsia" w:hAnsi="Times New Roman" w:cs="Times New Roman"/>
          <w:noProof/>
          <w:sz w:val="24"/>
          <w:szCs w:val="24"/>
          <w:lang w:val="en-IE"/>
        </w:rPr>
      </w:pPr>
      <w:r w:rsidRPr="003C16B9">
        <w:rPr>
          <w:rFonts w:ascii="Times New Roman" w:hAnsi="Times New Roman" w:cs="Times New Roman"/>
          <w:noProof/>
          <w:sz w:val="24"/>
          <w:szCs w:val="24"/>
        </w:rPr>
        <w:t>To further strengthen their cooperation, a</w:t>
      </w:r>
      <w:r w:rsidRPr="003C16B9">
        <w:rPr>
          <w:rFonts w:ascii="Times New Roman" w:eastAsiaTheme="minorEastAsia" w:hAnsi="Times New Roman" w:cs="Times New Roman"/>
          <w:noProof/>
          <w:sz w:val="24"/>
          <w:szCs w:val="24"/>
          <w:lang w:val="en-IE"/>
        </w:rPr>
        <w:t xml:space="preserve">n </w:t>
      </w:r>
      <w:r w:rsidRPr="003C16B9">
        <w:rPr>
          <w:rFonts w:ascii="Times New Roman" w:eastAsiaTheme="minorEastAsia" w:hAnsi="Times New Roman" w:cs="Times New Roman"/>
          <w:b/>
          <w:bCs/>
          <w:noProof/>
          <w:sz w:val="24"/>
          <w:szCs w:val="24"/>
          <w:lang w:val="en-IE"/>
        </w:rPr>
        <w:t>operational partnership conference</w:t>
      </w:r>
      <w:r w:rsidRPr="003C16B9">
        <w:rPr>
          <w:rFonts w:ascii="Times New Roman" w:eastAsiaTheme="minorEastAsia" w:hAnsi="Times New Roman" w:cs="Times New Roman"/>
          <w:noProof/>
          <w:sz w:val="24"/>
          <w:szCs w:val="24"/>
          <w:lang w:val="en-IE"/>
        </w:rPr>
        <w:t xml:space="preserve"> of OLAF and the EPPO took place on 22-23 April 2024. European Delegated Prosecutors from the EPPO and investigators from OLAF exchanged their respective experiences and possible future improvements they could make to their cooperation.</w:t>
      </w:r>
    </w:p>
    <w:p w14:paraId="30CD13B6" w14:textId="54A271D2" w:rsidR="00F204F0" w:rsidRPr="003C16B9" w:rsidRDefault="00F204F0" w:rsidP="00043CFB">
      <w:pPr>
        <w:spacing w:before="120" w:after="120"/>
        <w:jc w:val="both"/>
        <w:rPr>
          <w:rFonts w:ascii="Times New Roman" w:eastAsia="Calibri" w:hAnsi="Times New Roman" w:cs="Times New Roman"/>
          <w:noProof/>
          <w:sz w:val="24"/>
          <w:szCs w:val="24"/>
        </w:rPr>
      </w:pPr>
      <w:r w:rsidRPr="003C16B9">
        <w:rPr>
          <w:rFonts w:ascii="Times New Roman" w:hAnsi="Times New Roman" w:cs="Times New Roman"/>
          <w:noProof/>
          <w:color w:val="000000" w:themeColor="text1"/>
          <w:sz w:val="24"/>
          <w:szCs w:val="24"/>
        </w:rPr>
        <w:t xml:space="preserve">In addition, </w:t>
      </w:r>
      <w:r w:rsidR="00451645">
        <w:rPr>
          <w:rFonts w:ascii="Times New Roman" w:hAnsi="Times New Roman" w:cs="Times New Roman"/>
          <w:noProof/>
          <w:color w:val="000000" w:themeColor="text1"/>
          <w:sz w:val="24"/>
          <w:szCs w:val="24"/>
        </w:rPr>
        <w:t xml:space="preserve">in accordance with </w:t>
      </w:r>
      <w:r w:rsidRPr="003C16B9">
        <w:rPr>
          <w:rFonts w:ascii="Times New Roman" w:hAnsi="Times New Roman" w:cs="Times New Roman"/>
          <w:noProof/>
          <w:color w:val="000000" w:themeColor="text1"/>
          <w:sz w:val="24"/>
          <w:szCs w:val="24"/>
        </w:rPr>
        <w:t>the OLAF Regulation</w:t>
      </w:r>
      <w:r w:rsidRPr="003C16B9">
        <w:rPr>
          <w:rStyle w:val="FootnoteReference"/>
          <w:rFonts w:ascii="Times New Roman" w:hAnsi="Times New Roman" w:cs="Times New Roman"/>
          <w:noProof/>
          <w:color w:val="000000" w:themeColor="text1"/>
          <w:sz w:val="24"/>
          <w:szCs w:val="24"/>
        </w:rPr>
        <w:footnoteReference w:id="14"/>
      </w:r>
      <w:r w:rsidRPr="003C16B9">
        <w:rPr>
          <w:rFonts w:ascii="Times New Roman" w:hAnsi="Times New Roman" w:cs="Times New Roman"/>
          <w:noProof/>
          <w:color w:val="000000" w:themeColor="text1"/>
          <w:sz w:val="24"/>
          <w:szCs w:val="24"/>
        </w:rPr>
        <w:t xml:space="preserve"> and the EPPO Regulation</w:t>
      </w:r>
      <w:r w:rsidRPr="003C16B9">
        <w:rPr>
          <w:rStyle w:val="FootnoteReference"/>
          <w:rFonts w:ascii="Times New Roman" w:hAnsi="Times New Roman" w:cs="Times New Roman"/>
          <w:noProof/>
          <w:color w:val="000000" w:themeColor="text1"/>
          <w:sz w:val="24"/>
          <w:szCs w:val="24"/>
        </w:rPr>
        <w:footnoteReference w:id="15"/>
      </w:r>
      <w:r w:rsidR="0039382C">
        <w:rPr>
          <w:rFonts w:ascii="Times New Roman" w:hAnsi="Times New Roman" w:cs="Times New Roman"/>
          <w:noProof/>
          <w:color w:val="000000" w:themeColor="text1"/>
          <w:sz w:val="24"/>
          <w:szCs w:val="24"/>
        </w:rPr>
        <w:t>,</w:t>
      </w:r>
      <w:r w:rsidRPr="003C16B9">
        <w:rPr>
          <w:rFonts w:ascii="Times New Roman" w:hAnsi="Times New Roman" w:cs="Times New Roman"/>
          <w:noProof/>
          <w:color w:val="000000" w:themeColor="text1"/>
          <w:sz w:val="24"/>
          <w:szCs w:val="24"/>
        </w:rPr>
        <w:t xml:space="preserve"> </w:t>
      </w:r>
      <w:r w:rsidR="00451645">
        <w:rPr>
          <w:rFonts w:ascii="Times New Roman" w:hAnsi="Times New Roman" w:cs="Times New Roman"/>
          <w:noProof/>
          <w:color w:val="000000" w:themeColor="text1"/>
          <w:sz w:val="24"/>
          <w:szCs w:val="24"/>
        </w:rPr>
        <w:t>the implementation of both sets of legal acts should be evaluated by 1 June 2026.</w:t>
      </w:r>
      <w:r w:rsidRPr="003C16B9">
        <w:rPr>
          <w:rFonts w:ascii="Times New Roman" w:eastAsia="Calibri" w:hAnsi="Times New Roman" w:cs="Times New Roman"/>
          <w:noProof/>
          <w:sz w:val="24"/>
          <w:szCs w:val="24"/>
        </w:rPr>
        <w:t xml:space="preserve"> The effectiveness and efficiency of the cooperation between the EPPO and OLAF will be an important part of the </w:t>
      </w:r>
      <w:r w:rsidR="38772914" w:rsidRPr="003C16B9">
        <w:rPr>
          <w:rFonts w:ascii="Times New Roman" w:eastAsia="Calibri" w:hAnsi="Times New Roman" w:cs="Times New Roman"/>
          <w:noProof/>
          <w:sz w:val="24"/>
          <w:szCs w:val="24"/>
        </w:rPr>
        <w:t xml:space="preserve">ongoing </w:t>
      </w:r>
      <w:r w:rsidRPr="003C16B9">
        <w:rPr>
          <w:rFonts w:ascii="Times New Roman" w:eastAsia="Calibri" w:hAnsi="Times New Roman" w:cs="Times New Roman"/>
          <w:noProof/>
          <w:sz w:val="24"/>
          <w:szCs w:val="24"/>
        </w:rPr>
        <w:t>evaluations of both Regulations. The</w:t>
      </w:r>
      <w:r w:rsidR="7173DFF4" w:rsidRPr="003C16B9">
        <w:rPr>
          <w:rFonts w:ascii="Times New Roman" w:eastAsia="Calibri" w:hAnsi="Times New Roman" w:cs="Times New Roman"/>
          <w:noProof/>
          <w:sz w:val="24"/>
          <w:szCs w:val="24"/>
        </w:rPr>
        <w:t xml:space="preserve">se evaluations </w:t>
      </w:r>
      <w:r w:rsidRPr="003C16B9">
        <w:rPr>
          <w:rFonts w:ascii="Times New Roman" w:eastAsia="Calibri" w:hAnsi="Times New Roman" w:cs="Times New Roman"/>
          <w:noProof/>
          <w:sz w:val="24"/>
          <w:szCs w:val="24"/>
        </w:rPr>
        <w:t xml:space="preserve">will thus be synchronised as much as possible in terms of content and timing, to ensure synergies and avoid overlaps and contradictions. </w:t>
      </w:r>
    </w:p>
    <w:p w14:paraId="467A084E" w14:textId="77777777" w:rsidR="00F204F0" w:rsidRPr="003C16B9" w:rsidRDefault="00F204F0" w:rsidP="00F204F0">
      <w:pPr>
        <w:pStyle w:val="ListParagraph"/>
        <w:numPr>
          <w:ilvl w:val="0"/>
          <w:numId w:val="18"/>
        </w:numPr>
        <w:spacing w:before="120" w:after="120"/>
        <w:contextualSpacing w:val="0"/>
        <w:jc w:val="both"/>
        <w:rPr>
          <w:rFonts w:ascii="Times New Roman" w:eastAsia="Calibri" w:hAnsi="Times New Roman" w:cs="Times New Roman"/>
          <w:b/>
          <w:bCs/>
          <w:noProof/>
          <w:sz w:val="24"/>
          <w:szCs w:val="24"/>
          <w:lang w:val="en-GB"/>
        </w:rPr>
      </w:pPr>
      <w:r w:rsidRPr="003C16B9">
        <w:rPr>
          <w:rFonts w:ascii="Times New Roman" w:eastAsia="Calibri" w:hAnsi="Times New Roman" w:cs="Times New Roman"/>
          <w:b/>
          <w:bCs/>
          <w:noProof/>
          <w:sz w:val="24"/>
          <w:szCs w:val="24"/>
          <w:lang w:val="en-GB"/>
        </w:rPr>
        <w:t>The revision of the Financial Regulation and the fight against fraud</w:t>
      </w:r>
    </w:p>
    <w:p w14:paraId="529D7459" w14:textId="571C3397" w:rsidR="00F204F0" w:rsidRPr="003C16B9" w:rsidRDefault="00F204F0" w:rsidP="00F204F0">
      <w:pPr>
        <w:spacing w:before="120" w:after="120"/>
        <w:jc w:val="both"/>
        <w:rPr>
          <w:rFonts w:ascii="Times New Roman" w:hAnsi="Times New Roman" w:cs="Times New Roman"/>
          <w:noProof/>
          <w:color w:val="000000"/>
          <w:sz w:val="24"/>
          <w:szCs w:val="24"/>
          <w:lang w:val="en-GB"/>
        </w:rPr>
      </w:pPr>
      <w:r w:rsidRPr="003C16B9">
        <w:rPr>
          <w:rFonts w:ascii="Times New Roman" w:hAnsi="Times New Roman" w:cs="Times New Roman"/>
          <w:noProof/>
          <w:color w:val="000000"/>
          <w:sz w:val="24"/>
          <w:szCs w:val="24"/>
          <w:lang w:val="en-GB"/>
        </w:rPr>
        <w:t>Lastly, the targeted revision of the Financial Regulation</w:t>
      </w:r>
      <w:r w:rsidR="002B6E8F">
        <w:rPr>
          <w:rFonts w:ascii="Times New Roman" w:hAnsi="Times New Roman" w:cs="Times New Roman"/>
          <w:noProof/>
          <w:color w:val="000000"/>
          <w:sz w:val="24"/>
          <w:szCs w:val="24"/>
          <w:lang w:val="en-GB"/>
        </w:rPr>
        <w:t>,</w:t>
      </w:r>
      <w:r w:rsidR="00B64F9C">
        <w:rPr>
          <w:rFonts w:ascii="Times New Roman" w:hAnsi="Times New Roman" w:cs="Times New Roman"/>
          <w:noProof/>
          <w:color w:val="000000"/>
          <w:sz w:val="24"/>
          <w:szCs w:val="24"/>
          <w:lang w:val="en-GB"/>
        </w:rPr>
        <w:t xml:space="preserve"> </w:t>
      </w:r>
      <w:r w:rsidRPr="003C16B9">
        <w:rPr>
          <w:rFonts w:ascii="Times New Roman" w:hAnsi="Times New Roman" w:cs="Times New Roman"/>
          <w:noProof/>
          <w:color w:val="000000"/>
          <w:sz w:val="24"/>
          <w:szCs w:val="24"/>
          <w:lang w:val="en-GB"/>
        </w:rPr>
        <w:t>politically agreed in December 2023</w:t>
      </w:r>
      <w:r w:rsidR="002B6E8F">
        <w:rPr>
          <w:rFonts w:ascii="Times New Roman" w:hAnsi="Times New Roman" w:cs="Times New Roman"/>
          <w:noProof/>
          <w:color w:val="000000"/>
          <w:sz w:val="24"/>
          <w:szCs w:val="24"/>
          <w:lang w:val="en-GB"/>
        </w:rPr>
        <w:t>,</w:t>
      </w:r>
      <w:r w:rsidRPr="003C16B9">
        <w:rPr>
          <w:rFonts w:ascii="Times New Roman" w:hAnsi="Times New Roman" w:cs="Times New Roman"/>
          <w:noProof/>
          <w:color w:val="000000"/>
          <w:sz w:val="24"/>
          <w:szCs w:val="24"/>
          <w:lang w:val="en-GB"/>
        </w:rPr>
        <w:t xml:space="preserve"> will</w:t>
      </w:r>
      <w:r w:rsidR="00451645">
        <w:rPr>
          <w:rFonts w:ascii="Times New Roman" w:hAnsi="Times New Roman" w:cs="Times New Roman"/>
          <w:noProof/>
          <w:color w:val="000000"/>
          <w:sz w:val="24"/>
          <w:szCs w:val="24"/>
          <w:lang w:val="en-GB"/>
        </w:rPr>
        <w:t xml:space="preserve"> </w:t>
      </w:r>
      <w:r w:rsidR="002B6E8F">
        <w:rPr>
          <w:rFonts w:ascii="Times New Roman" w:hAnsi="Times New Roman" w:cs="Times New Roman"/>
          <w:noProof/>
          <w:color w:val="000000"/>
          <w:sz w:val="24"/>
          <w:szCs w:val="24"/>
          <w:lang w:val="en-GB"/>
        </w:rPr>
        <w:t>strengthen</w:t>
      </w:r>
      <w:r w:rsidRPr="003C16B9">
        <w:rPr>
          <w:rFonts w:ascii="Times New Roman" w:hAnsi="Times New Roman" w:cs="Times New Roman"/>
          <w:noProof/>
          <w:color w:val="000000"/>
          <w:sz w:val="24"/>
          <w:szCs w:val="24"/>
          <w:lang w:val="en-GB"/>
        </w:rPr>
        <w:t xml:space="preserve"> the protection of the EU budget by: (i) ensuring standardised electronic recording and storage of </w:t>
      </w:r>
      <w:r w:rsidRPr="003C16B9">
        <w:rPr>
          <w:rFonts w:ascii="Times New Roman" w:hAnsi="Times New Roman" w:cs="Times New Roman"/>
          <w:b/>
          <w:bCs/>
          <w:noProof/>
          <w:color w:val="000000"/>
          <w:sz w:val="24"/>
          <w:szCs w:val="24"/>
          <w:lang w:val="en-GB"/>
        </w:rPr>
        <w:t>data on the recipients of EU funding and their beneficial owners</w:t>
      </w:r>
      <w:r w:rsidRPr="003C16B9">
        <w:rPr>
          <w:rFonts w:ascii="Times New Roman" w:hAnsi="Times New Roman" w:cs="Times New Roman"/>
          <w:noProof/>
          <w:color w:val="000000"/>
          <w:sz w:val="24"/>
          <w:szCs w:val="24"/>
          <w:lang w:val="en-GB"/>
        </w:rPr>
        <w:t xml:space="preserve">; and (ii) making the use of an </w:t>
      </w:r>
      <w:r w:rsidRPr="003C16B9">
        <w:rPr>
          <w:rFonts w:ascii="Times New Roman" w:hAnsi="Times New Roman" w:cs="Times New Roman"/>
          <w:b/>
          <w:bCs/>
          <w:noProof/>
          <w:color w:val="000000"/>
          <w:sz w:val="24"/>
          <w:szCs w:val="24"/>
          <w:lang w:val="en-GB"/>
        </w:rPr>
        <w:t xml:space="preserve">integrated IT system for mining and risk-scoring </w:t>
      </w:r>
      <w:r w:rsidRPr="003C16B9">
        <w:rPr>
          <w:rFonts w:ascii="Times New Roman" w:hAnsi="Times New Roman" w:cs="Times New Roman"/>
          <w:noProof/>
          <w:color w:val="000000"/>
          <w:sz w:val="24"/>
          <w:szCs w:val="24"/>
          <w:lang w:val="en-GB"/>
        </w:rPr>
        <w:t>of data on recipients and beneficial owners compulsory in all budget-management modes, starting from the post-2027</w:t>
      </w:r>
      <w:r w:rsidR="00451645">
        <w:rPr>
          <w:rFonts w:ascii="Times New Roman" w:hAnsi="Times New Roman" w:cs="Times New Roman"/>
          <w:noProof/>
          <w:color w:val="000000"/>
          <w:sz w:val="24"/>
          <w:szCs w:val="24"/>
          <w:lang w:val="en-GB"/>
        </w:rPr>
        <w:t xml:space="preserve"> MFF</w:t>
      </w:r>
      <w:r w:rsidRPr="003C16B9">
        <w:rPr>
          <w:rFonts w:ascii="Times New Roman" w:hAnsi="Times New Roman" w:cs="Times New Roman"/>
          <w:noProof/>
          <w:color w:val="000000"/>
          <w:sz w:val="24"/>
          <w:szCs w:val="24"/>
          <w:lang w:val="en-GB"/>
        </w:rPr>
        <w:t xml:space="preserve">. </w:t>
      </w:r>
    </w:p>
    <w:p w14:paraId="7D855644" w14:textId="77777777" w:rsidR="00F204F0" w:rsidRPr="003C16B9" w:rsidRDefault="00F204F0" w:rsidP="00F204F0">
      <w:pPr>
        <w:pStyle w:val="ListParagraph"/>
        <w:numPr>
          <w:ilvl w:val="1"/>
          <w:numId w:val="20"/>
        </w:numPr>
        <w:spacing w:before="120" w:after="120"/>
        <w:ind w:left="714" w:hanging="357"/>
        <w:contextualSpacing w:val="0"/>
        <w:jc w:val="both"/>
        <w:rPr>
          <w:rFonts w:ascii="Times New Roman" w:hAnsi="Times New Roman" w:cs="Times New Roman"/>
          <w:b/>
          <w:bCs/>
          <w:noProof/>
          <w:sz w:val="24"/>
          <w:szCs w:val="24"/>
        </w:rPr>
      </w:pPr>
      <w:r w:rsidRPr="003C16B9">
        <w:rPr>
          <w:rFonts w:ascii="Times New Roman" w:hAnsi="Times New Roman" w:cs="Times New Roman"/>
          <w:b/>
          <w:bCs/>
          <w:noProof/>
          <w:sz w:val="24"/>
          <w:szCs w:val="24"/>
        </w:rPr>
        <w:t>Limiting spending errors</w:t>
      </w:r>
    </w:p>
    <w:p w14:paraId="7F4B6A08" w14:textId="77777777" w:rsidR="00F204F0" w:rsidRPr="003C16B9" w:rsidRDefault="00F204F0" w:rsidP="00F204F0">
      <w:pPr>
        <w:spacing w:before="120" w:after="120"/>
        <w:jc w:val="both"/>
        <w:rPr>
          <w:rFonts w:ascii="Times New Roman" w:hAnsi="Times New Roman" w:cs="Times New Roman"/>
          <w:noProof/>
          <w:sz w:val="24"/>
          <w:szCs w:val="24"/>
        </w:rPr>
      </w:pPr>
      <w:r w:rsidRPr="003C16B9">
        <w:rPr>
          <w:rFonts w:ascii="Times New Roman" w:eastAsia="Times New Roman" w:hAnsi="Times New Roman" w:cs="Times New Roman"/>
          <w:noProof/>
          <w:sz w:val="24"/>
          <w:szCs w:val="24"/>
          <w:lang w:eastAsia="en-GB"/>
        </w:rPr>
        <w:t>The Commission concurs with Parliament’s observation that ‘spending areas subject to more complex rules and eligibility criteria are at higher risk of errors’</w:t>
      </w:r>
      <w:r w:rsidRPr="003C16B9">
        <w:rPr>
          <w:rStyle w:val="FootnoteReference"/>
          <w:rFonts w:ascii="Times New Roman" w:eastAsia="Times New Roman" w:hAnsi="Times New Roman" w:cs="Times New Roman"/>
          <w:noProof/>
          <w:sz w:val="24"/>
          <w:szCs w:val="24"/>
          <w:lang w:eastAsia="en-GB"/>
        </w:rPr>
        <w:footnoteReference w:id="16"/>
      </w:r>
      <w:r w:rsidRPr="003C16B9">
        <w:rPr>
          <w:rFonts w:ascii="Times New Roman" w:eastAsia="Times New Roman" w:hAnsi="Times New Roman" w:cs="Times New Roman"/>
          <w:noProof/>
          <w:sz w:val="24"/>
          <w:szCs w:val="24"/>
          <w:lang w:eastAsia="en-GB"/>
        </w:rPr>
        <w:t xml:space="preserve">. </w:t>
      </w:r>
    </w:p>
    <w:p w14:paraId="0B2FB483" w14:textId="77777777" w:rsidR="00F204F0" w:rsidRPr="007E28D1" w:rsidRDefault="00F204F0" w:rsidP="00F204F0">
      <w:pPr>
        <w:spacing w:before="120" w:after="120"/>
        <w:jc w:val="both"/>
        <w:rPr>
          <w:rFonts w:ascii="Times New Roman" w:hAnsi="Times New Roman" w:cs="Times New Roman"/>
          <w:noProof/>
          <w:sz w:val="24"/>
          <w:szCs w:val="24"/>
        </w:rPr>
      </w:pPr>
      <w:r w:rsidRPr="007E28D1">
        <w:rPr>
          <w:rFonts w:ascii="Times New Roman" w:hAnsi="Times New Roman" w:cs="Times New Roman"/>
          <w:b/>
          <w:bCs/>
          <w:noProof/>
          <w:sz w:val="24"/>
          <w:szCs w:val="24"/>
        </w:rPr>
        <w:t>Most of the Commission’s actions to limit spending errors – which often include simplifications of rules – are taken at the level of the spending programme</w:t>
      </w:r>
      <w:r w:rsidRPr="007E28D1">
        <w:rPr>
          <w:rFonts w:ascii="Times New Roman" w:hAnsi="Times New Roman" w:cs="Times New Roman"/>
          <w:noProof/>
          <w:sz w:val="24"/>
          <w:szCs w:val="24"/>
        </w:rPr>
        <w:t xml:space="preserve">, as each spending programme differs in terms of delivery model and control system. </w:t>
      </w:r>
    </w:p>
    <w:p w14:paraId="048466BD" w14:textId="0966406E" w:rsidR="00867C5D" w:rsidRPr="0039382C" w:rsidRDefault="00F204F0" w:rsidP="00336F0D">
      <w:pPr>
        <w:jc w:val="both"/>
        <w:rPr>
          <w:rFonts w:ascii="Times New Roman" w:hAnsi="Times New Roman"/>
          <w:noProof/>
          <w:sz w:val="24"/>
        </w:rPr>
      </w:pPr>
      <w:r w:rsidRPr="004507FC">
        <w:rPr>
          <w:rFonts w:ascii="Times New Roman" w:hAnsi="Times New Roman"/>
          <w:noProof/>
          <w:sz w:val="24"/>
        </w:rPr>
        <w:t xml:space="preserve">Under the </w:t>
      </w:r>
      <w:r w:rsidRPr="004507FC">
        <w:rPr>
          <w:rFonts w:ascii="Times New Roman" w:hAnsi="Times New Roman"/>
          <w:b/>
          <w:noProof/>
          <w:sz w:val="24"/>
        </w:rPr>
        <w:t>common agricultural policy</w:t>
      </w:r>
      <w:r w:rsidRPr="004507FC">
        <w:rPr>
          <w:rFonts w:ascii="Times New Roman" w:hAnsi="Times New Roman"/>
          <w:noProof/>
          <w:sz w:val="24"/>
        </w:rPr>
        <w:t xml:space="preserve"> (CAP), the Commission and the ECA agree that the level of spending errors for income support to farmers is currently below the 2% threshold above which errors are considered to be material. Hence, efforts to reduce the level of error</w:t>
      </w:r>
      <w:r w:rsidRPr="00971277">
        <w:rPr>
          <w:rFonts w:ascii="Times New Roman" w:hAnsi="Times New Roman" w:cs="Times New Roman"/>
          <w:noProof/>
          <w:sz w:val="24"/>
          <w:szCs w:val="24"/>
        </w:rPr>
        <w:t xml:space="preserve"> </w:t>
      </w:r>
      <w:r w:rsidRPr="004507FC">
        <w:rPr>
          <w:rFonts w:ascii="Times New Roman" w:hAnsi="Times New Roman"/>
          <w:noProof/>
          <w:sz w:val="24"/>
        </w:rPr>
        <w:t xml:space="preserve">are focused on rural development and market measures, where the level of error remains higher. In addition, the delivery model for the 2023-2027 CAP supports the simplification of rules by allowing </w:t>
      </w:r>
      <w:r w:rsidRPr="00971277">
        <w:rPr>
          <w:rFonts w:ascii="Times New Roman" w:hAnsi="Times New Roman" w:cs="Times New Roman"/>
          <w:noProof/>
          <w:sz w:val="24"/>
          <w:szCs w:val="24"/>
        </w:rPr>
        <w:t>Member States to tailor the interventions to their needs. The new CAP also fosters the use of new technologies which should help tackle errors.</w:t>
      </w:r>
      <w:r w:rsidR="00867C5D" w:rsidRPr="00971277">
        <w:rPr>
          <w:noProof/>
          <w:color w:val="5B9BD5" w:themeColor="accent1"/>
        </w:rPr>
        <w:t xml:space="preserve"> </w:t>
      </w:r>
    </w:p>
    <w:p w14:paraId="10B2FC9B" w14:textId="0AAD757F" w:rsidR="00F204F0" w:rsidRPr="006B4EBE" w:rsidRDefault="00173426" w:rsidP="00F204F0">
      <w:pPr>
        <w:spacing w:before="120" w:after="120"/>
        <w:jc w:val="both"/>
        <w:rPr>
          <w:rFonts w:ascii="Times New Roman" w:hAnsi="Times New Roman"/>
          <w:noProof/>
          <w:sz w:val="24"/>
        </w:rPr>
      </w:pPr>
      <w:r>
        <w:rPr>
          <w:rFonts w:ascii="Times New Roman" w:hAnsi="Times New Roman" w:cs="Times New Roman"/>
          <w:noProof/>
          <w:sz w:val="24"/>
          <w:szCs w:val="24"/>
        </w:rPr>
        <w:t>For</w:t>
      </w:r>
      <w:r w:rsidR="00F204F0" w:rsidRPr="003C16B9">
        <w:rPr>
          <w:rFonts w:ascii="Times New Roman" w:hAnsi="Times New Roman" w:cs="Times New Roman"/>
          <w:noProof/>
          <w:sz w:val="24"/>
          <w:szCs w:val="24"/>
        </w:rPr>
        <w:t xml:space="preserve"> the </w:t>
      </w:r>
      <w:r w:rsidR="00F204F0" w:rsidRPr="003C16B9">
        <w:rPr>
          <w:rFonts w:ascii="Times New Roman" w:hAnsi="Times New Roman" w:cs="Times New Roman"/>
          <w:b/>
          <w:bCs/>
          <w:noProof/>
          <w:sz w:val="24"/>
          <w:szCs w:val="24"/>
        </w:rPr>
        <w:t>cohesion policy funds</w:t>
      </w:r>
      <w:r w:rsidR="00F204F0" w:rsidRPr="003C16B9">
        <w:rPr>
          <w:rFonts w:ascii="Times New Roman" w:hAnsi="Times New Roman" w:cs="Times New Roman"/>
          <w:noProof/>
          <w:sz w:val="24"/>
          <w:szCs w:val="24"/>
        </w:rPr>
        <w:t xml:space="preserve">, the Commission actively cooperates with all programme authorities to improve their capacities to detect and address errors through various means (guidance; targeted support and continuous training; and feedback from Commission auditors to national authorities about non-detected errors and their root causes). In parallel, the Commission promotes the less-error-prone </w:t>
      </w:r>
      <w:r w:rsidR="00F204F0" w:rsidRPr="003C16B9">
        <w:rPr>
          <w:rFonts w:ascii="Times New Roman" w:hAnsi="Times New Roman" w:cs="Times New Roman"/>
          <w:b/>
          <w:bCs/>
          <w:noProof/>
          <w:sz w:val="24"/>
          <w:szCs w:val="24"/>
        </w:rPr>
        <w:t xml:space="preserve">simplified cost options </w:t>
      </w:r>
      <w:r w:rsidR="00F204F0" w:rsidRPr="003C16B9">
        <w:rPr>
          <w:rFonts w:ascii="Times New Roman" w:hAnsi="Times New Roman" w:cs="Times New Roman"/>
          <w:noProof/>
          <w:sz w:val="24"/>
          <w:szCs w:val="24"/>
        </w:rPr>
        <w:t xml:space="preserve">and </w:t>
      </w:r>
      <w:r w:rsidR="00F204F0" w:rsidRPr="003C16B9">
        <w:rPr>
          <w:rFonts w:ascii="Times New Roman" w:hAnsi="Times New Roman" w:cs="Times New Roman"/>
          <w:b/>
          <w:bCs/>
          <w:noProof/>
          <w:sz w:val="24"/>
          <w:szCs w:val="24"/>
        </w:rPr>
        <w:t xml:space="preserve">financing not linked to costs. </w:t>
      </w:r>
    </w:p>
    <w:p w14:paraId="3D918D6B" w14:textId="631EB105" w:rsidR="00F204F0" w:rsidRPr="003C16B9" w:rsidRDefault="00F204F0" w:rsidP="00F204F0">
      <w:pPr>
        <w:spacing w:before="120" w:after="120"/>
        <w:jc w:val="both"/>
        <w:rPr>
          <w:rFonts w:ascii="Times New Roman" w:hAnsi="Times New Roman" w:cs="Times New Roman"/>
          <w:noProof/>
          <w:sz w:val="24"/>
          <w:szCs w:val="24"/>
        </w:rPr>
      </w:pPr>
      <w:r w:rsidRPr="003C16B9">
        <w:rPr>
          <w:rFonts w:ascii="Times New Roman" w:hAnsi="Times New Roman" w:cs="Times New Roman"/>
          <w:noProof/>
          <w:sz w:val="24"/>
          <w:szCs w:val="24"/>
        </w:rPr>
        <w:t xml:space="preserve">On </w:t>
      </w:r>
      <w:r w:rsidRPr="003C16B9">
        <w:rPr>
          <w:rFonts w:ascii="Times New Roman" w:hAnsi="Times New Roman" w:cs="Times New Roman"/>
          <w:b/>
          <w:bCs/>
          <w:noProof/>
          <w:sz w:val="24"/>
          <w:szCs w:val="24"/>
        </w:rPr>
        <w:t>funding for research and innovation</w:t>
      </w:r>
      <w:r w:rsidRPr="003C16B9">
        <w:rPr>
          <w:rFonts w:ascii="Times New Roman" w:hAnsi="Times New Roman" w:cs="Times New Roman"/>
          <w:noProof/>
          <w:sz w:val="24"/>
          <w:szCs w:val="24"/>
        </w:rPr>
        <w:t xml:space="preserve">, Horizon 2020 already introduced major simplifications. Horizon Europe is continuing this simplification effort. This includes greater use of simplified forms of funding, such as lump-sum project funding and unit costs, which significantly reduce the administrative burden for beneficiaries, and are therefore expected to reduce the number of errors. In addition, the Commission has further strengthened its communication campaigns towards beneficiaries, with a focus on the declaration of personnel costs, the calculation of which is prone to error. </w:t>
      </w:r>
    </w:p>
    <w:p w14:paraId="13EB03D0" w14:textId="77777777" w:rsidR="00F204F0" w:rsidRPr="003C16B9" w:rsidRDefault="00F204F0" w:rsidP="00F204F0">
      <w:pPr>
        <w:spacing w:before="120" w:after="120"/>
        <w:jc w:val="both"/>
        <w:rPr>
          <w:rFonts w:ascii="Times New Roman" w:hAnsi="Times New Roman" w:cs="Times New Roman"/>
          <w:noProof/>
          <w:sz w:val="24"/>
          <w:szCs w:val="24"/>
        </w:rPr>
      </w:pPr>
      <w:r w:rsidRPr="003C16B9">
        <w:rPr>
          <w:rFonts w:ascii="Times New Roman" w:hAnsi="Times New Roman" w:cs="Times New Roman"/>
          <w:noProof/>
          <w:sz w:val="24"/>
          <w:szCs w:val="24"/>
        </w:rPr>
        <w:t xml:space="preserve">Lastly, the Commission is currently reviewing its audit and control strategy for the </w:t>
      </w:r>
      <w:r w:rsidRPr="003C16B9">
        <w:rPr>
          <w:rFonts w:ascii="Times New Roman" w:hAnsi="Times New Roman" w:cs="Times New Roman"/>
          <w:b/>
          <w:bCs/>
          <w:noProof/>
          <w:sz w:val="24"/>
          <w:szCs w:val="24"/>
        </w:rPr>
        <w:t>Neighbourhood, Development and International Cooperation Instrument</w:t>
      </w:r>
      <w:r w:rsidRPr="003C16B9">
        <w:rPr>
          <w:rFonts w:ascii="Times New Roman" w:hAnsi="Times New Roman" w:cs="Times New Roman"/>
          <w:noProof/>
          <w:sz w:val="24"/>
          <w:szCs w:val="24"/>
        </w:rPr>
        <w:t>. One of the main objectives of this review is to develop a sound and focused risk-profile methodology to better assess and address the risk of error.</w:t>
      </w:r>
    </w:p>
    <w:p w14:paraId="39FDF00B" w14:textId="2267787B" w:rsidR="00F204F0" w:rsidRPr="003C16B9" w:rsidRDefault="00F204F0" w:rsidP="00F204F0">
      <w:pPr>
        <w:pStyle w:val="ListParagraph"/>
        <w:numPr>
          <w:ilvl w:val="1"/>
          <w:numId w:val="20"/>
        </w:numPr>
        <w:spacing w:before="120" w:after="120"/>
        <w:ind w:left="714" w:hanging="357"/>
        <w:contextualSpacing w:val="0"/>
        <w:jc w:val="both"/>
        <w:rPr>
          <w:rFonts w:ascii="Times New Roman" w:hAnsi="Times New Roman" w:cs="Times New Roman"/>
          <w:b/>
          <w:bCs/>
          <w:noProof/>
          <w:sz w:val="24"/>
          <w:szCs w:val="24"/>
        </w:rPr>
      </w:pPr>
      <w:r w:rsidRPr="003C16B9">
        <w:rPr>
          <w:rFonts w:ascii="Times New Roman" w:hAnsi="Times New Roman" w:cs="Times New Roman"/>
          <w:b/>
          <w:bCs/>
          <w:noProof/>
          <w:sz w:val="24"/>
          <w:szCs w:val="24"/>
        </w:rPr>
        <w:t xml:space="preserve">Monitoring the implementation of the </w:t>
      </w:r>
      <w:r w:rsidR="00365075">
        <w:rPr>
          <w:rFonts w:ascii="Times New Roman" w:hAnsi="Times New Roman" w:cs="Times New Roman"/>
          <w:b/>
          <w:bCs/>
          <w:noProof/>
          <w:sz w:val="24"/>
          <w:szCs w:val="24"/>
        </w:rPr>
        <w:t>RRF</w:t>
      </w:r>
    </w:p>
    <w:p w14:paraId="5DEEB9A6" w14:textId="77777777" w:rsidR="00F204F0" w:rsidRPr="003C16B9" w:rsidDel="000F79A4" w:rsidRDefault="00F204F0" w:rsidP="00F204F0">
      <w:pPr>
        <w:spacing w:before="120" w:after="120"/>
        <w:jc w:val="both"/>
        <w:rPr>
          <w:rFonts w:ascii="Times New Roman" w:eastAsia="Times New Roman" w:hAnsi="Times New Roman" w:cs="Times New Roman"/>
          <w:i/>
          <w:iCs/>
          <w:noProof/>
          <w:sz w:val="24"/>
          <w:szCs w:val="24"/>
        </w:rPr>
      </w:pPr>
      <w:r w:rsidRPr="003C16B9">
        <w:rPr>
          <w:rFonts w:ascii="Times New Roman" w:eastAsia="Times New Roman" w:hAnsi="Times New Roman" w:cs="Times New Roman"/>
          <w:noProof/>
          <w:sz w:val="24"/>
          <w:szCs w:val="24"/>
        </w:rPr>
        <w:t>The Commission notes that, in the discharge resolution, Parliament regrets that ‘milestones have not been better defined and calls on the Commission to monitor Member States’ implementation of the associated actions in accordance with the agreed milestones and targets’</w:t>
      </w:r>
      <w:r w:rsidRPr="003C16B9">
        <w:rPr>
          <w:rStyle w:val="FootnoteReference"/>
          <w:rFonts w:ascii="Times New Roman" w:eastAsia="Times New Roman" w:hAnsi="Times New Roman" w:cs="Times New Roman"/>
          <w:noProof/>
          <w:sz w:val="24"/>
          <w:szCs w:val="24"/>
        </w:rPr>
        <w:footnoteReference w:id="17"/>
      </w:r>
      <w:r w:rsidRPr="003C16B9">
        <w:rPr>
          <w:rFonts w:ascii="Times New Roman" w:eastAsia="Times New Roman" w:hAnsi="Times New Roman" w:cs="Times New Roman"/>
          <w:noProof/>
          <w:sz w:val="24"/>
          <w:szCs w:val="24"/>
        </w:rPr>
        <w:t>.</w:t>
      </w:r>
      <w:r w:rsidRPr="003C16B9">
        <w:rPr>
          <w:rFonts w:ascii="Times New Roman" w:eastAsia="Times New Roman" w:hAnsi="Times New Roman" w:cs="Times New Roman"/>
          <w:i/>
          <w:iCs/>
          <w:noProof/>
          <w:sz w:val="24"/>
          <w:szCs w:val="24"/>
        </w:rPr>
        <w:t xml:space="preserve"> </w:t>
      </w:r>
    </w:p>
    <w:p w14:paraId="2A550579" w14:textId="20238EB9" w:rsidR="00F204F0" w:rsidRPr="003C16B9" w:rsidRDefault="00F204F0" w:rsidP="00F204F0">
      <w:pPr>
        <w:spacing w:before="120" w:after="120"/>
        <w:jc w:val="both"/>
        <w:rPr>
          <w:rFonts w:ascii="Times New Roman" w:eastAsia="Times New Roman" w:hAnsi="Times New Roman" w:cs="Times New Roman"/>
          <w:noProof/>
          <w:color w:val="000000"/>
          <w:sz w:val="24"/>
          <w:szCs w:val="24"/>
        </w:rPr>
      </w:pPr>
      <w:r w:rsidRPr="00867C5D">
        <w:rPr>
          <w:rFonts w:ascii="Times New Roman" w:eastAsia="Times New Roman" w:hAnsi="Times New Roman" w:cs="Times New Roman"/>
          <w:noProof/>
          <w:color w:val="000000" w:themeColor="text1"/>
          <w:sz w:val="24"/>
          <w:szCs w:val="24"/>
        </w:rPr>
        <w:t xml:space="preserve">The Commission assessed that all milestones and targets of the 2022 payments have been satisfactorily fulfilled. The </w:t>
      </w:r>
      <w:r w:rsidRPr="003C16B9">
        <w:rPr>
          <w:rFonts w:ascii="Times New Roman" w:eastAsia="Times New Roman" w:hAnsi="Times New Roman" w:cs="Times New Roman"/>
          <w:noProof/>
          <w:color w:val="000000" w:themeColor="text1"/>
          <w:sz w:val="24"/>
          <w:szCs w:val="24"/>
        </w:rPr>
        <w:t>ECA</w:t>
      </w:r>
      <w:r w:rsidRPr="00867C5D">
        <w:rPr>
          <w:rFonts w:ascii="Times New Roman" w:eastAsia="Times New Roman" w:hAnsi="Times New Roman" w:cs="Times New Roman"/>
          <w:noProof/>
          <w:color w:val="000000" w:themeColor="text1"/>
          <w:sz w:val="24"/>
          <w:szCs w:val="24"/>
        </w:rPr>
        <w:t xml:space="preserve"> agreed with almost all of the Commission’s individual assessments. In only a few instances did the ECA have a different interpretation, or a different reading of the legal </w:t>
      </w:r>
      <w:r w:rsidR="00173426" w:rsidRPr="00962CC0">
        <w:rPr>
          <w:rFonts w:ascii="Times New Roman" w:eastAsia="Times New Roman" w:hAnsi="Times New Roman" w:cs="Times New Roman"/>
          <w:noProof/>
          <w:color w:val="000000" w:themeColor="text1"/>
          <w:sz w:val="24"/>
          <w:szCs w:val="24"/>
        </w:rPr>
        <w:t>basis</w:t>
      </w:r>
      <w:r w:rsidRPr="00867C5D">
        <w:rPr>
          <w:rFonts w:ascii="Times New Roman" w:eastAsia="Times New Roman" w:hAnsi="Times New Roman" w:cs="Times New Roman"/>
          <w:noProof/>
          <w:color w:val="000000" w:themeColor="text1"/>
          <w:sz w:val="24"/>
          <w:szCs w:val="24"/>
        </w:rPr>
        <w:t>, leading it to conclude that a milestone or target was not satisfactorily fulfilled.</w:t>
      </w:r>
      <w:r w:rsidRPr="003C16B9">
        <w:rPr>
          <w:rFonts w:ascii="Times New Roman" w:eastAsia="Times New Roman" w:hAnsi="Times New Roman" w:cs="Times New Roman"/>
          <w:noProof/>
          <w:color w:val="000000" w:themeColor="text1"/>
          <w:sz w:val="24"/>
          <w:szCs w:val="24"/>
        </w:rPr>
        <w:t xml:space="preserve"> </w:t>
      </w:r>
    </w:p>
    <w:p w14:paraId="1ABFC994" w14:textId="1841CE11" w:rsidR="00F204F0" w:rsidRPr="001B3D5B" w:rsidRDefault="00F204F0" w:rsidP="00F204F0">
      <w:pPr>
        <w:spacing w:before="120" w:after="120"/>
        <w:jc w:val="both"/>
        <w:rPr>
          <w:rFonts w:ascii="Times New Roman" w:hAnsi="Times New Roman"/>
          <w:noProof/>
          <w:color w:val="000000"/>
          <w:sz w:val="24"/>
        </w:rPr>
      </w:pPr>
      <w:r w:rsidRPr="003C16B9">
        <w:rPr>
          <w:rFonts w:ascii="Times New Roman" w:eastAsia="Times New Roman" w:hAnsi="Times New Roman" w:cs="Times New Roman"/>
          <w:noProof/>
          <w:color w:val="000000" w:themeColor="text1"/>
          <w:sz w:val="24"/>
          <w:szCs w:val="24"/>
        </w:rPr>
        <w:t xml:space="preserve">When </w:t>
      </w:r>
      <w:r w:rsidRPr="003C16B9">
        <w:rPr>
          <w:rFonts w:ascii="Times New Roman" w:eastAsia="Times New Roman" w:hAnsi="Times New Roman" w:cs="Times New Roman"/>
          <w:b/>
          <w:bCs/>
          <w:noProof/>
          <w:color w:val="000000" w:themeColor="text1"/>
          <w:sz w:val="24"/>
          <w:szCs w:val="24"/>
        </w:rPr>
        <w:t xml:space="preserve">a national </w:t>
      </w:r>
      <w:r w:rsidR="002E6AA0" w:rsidRPr="62E9D340">
        <w:rPr>
          <w:rFonts w:ascii="Times New Roman" w:eastAsia="Times New Roman" w:hAnsi="Times New Roman" w:cs="Times New Roman"/>
          <w:b/>
          <w:bCs/>
          <w:noProof/>
          <w:color w:val="000000" w:themeColor="text1"/>
          <w:sz w:val="24"/>
          <w:szCs w:val="24"/>
        </w:rPr>
        <w:t>R</w:t>
      </w:r>
      <w:r w:rsidR="002E6AA0">
        <w:rPr>
          <w:rFonts w:ascii="Times New Roman" w:eastAsia="Times New Roman" w:hAnsi="Times New Roman" w:cs="Times New Roman"/>
          <w:b/>
          <w:bCs/>
          <w:noProof/>
          <w:color w:val="000000" w:themeColor="text1"/>
          <w:sz w:val="24"/>
          <w:szCs w:val="24"/>
        </w:rPr>
        <w:t>RP</w:t>
      </w:r>
      <w:r w:rsidRPr="003C16B9">
        <w:rPr>
          <w:rFonts w:ascii="Times New Roman" w:eastAsia="Times New Roman" w:hAnsi="Times New Roman" w:cs="Times New Roman"/>
          <w:b/>
          <w:bCs/>
          <w:noProof/>
          <w:color w:val="000000" w:themeColor="text1"/>
          <w:sz w:val="24"/>
          <w:szCs w:val="24"/>
        </w:rPr>
        <w:t xml:space="preserve"> is revised</w:t>
      </w:r>
      <w:r w:rsidRPr="003C16B9">
        <w:rPr>
          <w:rFonts w:ascii="Times New Roman" w:eastAsia="Times New Roman" w:hAnsi="Times New Roman" w:cs="Times New Roman"/>
          <w:noProof/>
          <w:color w:val="000000" w:themeColor="text1"/>
          <w:sz w:val="24"/>
          <w:szCs w:val="24"/>
        </w:rPr>
        <w:t xml:space="preserve">, the Commission strives to clarify measures and related milestones and targets, while maintaining the overall ambition of the national RRP, in particular on reforms addressing country-specific recommendations. </w:t>
      </w:r>
    </w:p>
    <w:p w14:paraId="7AF49BBB" w14:textId="38CCC64C" w:rsidR="2FB6F5FA" w:rsidRPr="00BE6F14" w:rsidRDefault="2FB6F5FA" w:rsidP="0039382C">
      <w:pPr>
        <w:spacing w:before="120" w:after="120"/>
        <w:jc w:val="both"/>
        <w:rPr>
          <w:noProof/>
        </w:rPr>
      </w:pPr>
      <w:r w:rsidRPr="0039382C">
        <w:rPr>
          <w:rFonts w:ascii="Times New Roman" w:hAnsi="Times New Roman"/>
          <w:noProof/>
          <w:color w:val="000000" w:themeColor="text1"/>
          <w:sz w:val="24"/>
        </w:rPr>
        <w:t xml:space="preserve">Moreover, the Commission has taken steps to reduce </w:t>
      </w:r>
      <w:r w:rsidRPr="0039382C">
        <w:rPr>
          <w:rFonts w:ascii="Times New Roman" w:hAnsi="Times New Roman"/>
          <w:b/>
          <w:noProof/>
          <w:color w:val="000000" w:themeColor="text1"/>
          <w:sz w:val="24"/>
        </w:rPr>
        <w:t>administrative burden</w:t>
      </w:r>
      <w:r w:rsidRPr="0039382C">
        <w:rPr>
          <w:rFonts w:ascii="Times New Roman" w:hAnsi="Times New Roman"/>
          <w:noProof/>
          <w:color w:val="000000" w:themeColor="text1"/>
          <w:sz w:val="24"/>
        </w:rPr>
        <w:t xml:space="preserve"> and </w:t>
      </w:r>
      <w:r w:rsidRPr="0039382C">
        <w:rPr>
          <w:rFonts w:ascii="Times New Roman" w:hAnsi="Times New Roman"/>
          <w:b/>
          <w:noProof/>
          <w:sz w:val="24"/>
        </w:rPr>
        <w:t xml:space="preserve">streamline the implementation of </w:t>
      </w:r>
      <w:r w:rsidR="002E6AA0">
        <w:rPr>
          <w:rFonts w:ascii="Times New Roman" w:eastAsia="Times New Roman" w:hAnsi="Times New Roman" w:cs="Times New Roman"/>
          <w:b/>
          <w:bCs/>
          <w:noProof/>
          <w:sz w:val="24"/>
          <w:szCs w:val="24"/>
        </w:rPr>
        <w:t>RRPs</w:t>
      </w:r>
      <w:r w:rsidRPr="0039382C">
        <w:rPr>
          <w:rFonts w:ascii="Times New Roman" w:hAnsi="Times New Roman"/>
          <w:noProof/>
          <w:sz w:val="24"/>
        </w:rPr>
        <w:t>, whilst ensuring the adequate protection of the EU’s financial interests and full compliance with the R</w:t>
      </w:r>
      <w:r w:rsidR="00365075">
        <w:rPr>
          <w:rFonts w:ascii="Times New Roman" w:hAnsi="Times New Roman"/>
          <w:noProof/>
          <w:sz w:val="24"/>
        </w:rPr>
        <w:t xml:space="preserve">RF </w:t>
      </w:r>
      <w:r w:rsidRPr="0039382C">
        <w:rPr>
          <w:rFonts w:ascii="Times New Roman" w:hAnsi="Times New Roman"/>
          <w:noProof/>
          <w:sz w:val="24"/>
        </w:rPr>
        <w:t xml:space="preserve">Regulation. In its updated guidance on </w:t>
      </w:r>
      <w:r w:rsidR="00365075">
        <w:rPr>
          <w:rFonts w:ascii="Times New Roman" w:hAnsi="Times New Roman"/>
          <w:noProof/>
          <w:sz w:val="24"/>
        </w:rPr>
        <w:t>RRPs</w:t>
      </w:r>
      <w:r w:rsidRPr="0039382C">
        <w:rPr>
          <w:rFonts w:ascii="Times New Roman" w:hAnsi="Times New Roman"/>
          <w:noProof/>
          <w:sz w:val="24"/>
        </w:rPr>
        <w:t xml:space="preserve">, simplifications were introduced to support </w:t>
      </w:r>
      <w:r w:rsidRPr="008011AA">
        <w:rPr>
          <w:rFonts w:ascii="Times New Roman" w:eastAsia="Times New Roman" w:hAnsi="Times New Roman" w:cs="Times New Roman"/>
          <w:noProof/>
          <w:sz w:val="24"/>
          <w:szCs w:val="24"/>
        </w:rPr>
        <w:t>the</w:t>
      </w:r>
      <w:r w:rsidR="002E6AA0" w:rsidRPr="008011AA">
        <w:rPr>
          <w:rFonts w:ascii="Times New Roman" w:eastAsia="Times New Roman" w:hAnsi="Times New Roman" w:cs="Times New Roman"/>
          <w:noProof/>
          <w:sz w:val="24"/>
          <w:szCs w:val="24"/>
        </w:rPr>
        <w:t>ir</w:t>
      </w:r>
      <w:r w:rsidRPr="008011AA">
        <w:rPr>
          <w:rFonts w:ascii="Times New Roman" w:hAnsi="Times New Roman"/>
          <w:noProof/>
          <w:sz w:val="24"/>
        </w:rPr>
        <w:t xml:space="preserve"> swift implementation and provide more clarity to Member States on </w:t>
      </w:r>
      <w:r w:rsidR="00365075" w:rsidRPr="008011AA">
        <w:rPr>
          <w:rFonts w:ascii="Times New Roman" w:hAnsi="Times New Roman"/>
          <w:noProof/>
          <w:sz w:val="24"/>
        </w:rPr>
        <w:t>their</w:t>
      </w:r>
      <w:r w:rsidRPr="008011AA">
        <w:rPr>
          <w:rFonts w:ascii="Times New Roman" w:hAnsi="Times New Roman"/>
          <w:noProof/>
          <w:sz w:val="24"/>
        </w:rPr>
        <w:t xml:space="preserve"> amendments.</w:t>
      </w:r>
      <w:r w:rsidR="001761F6" w:rsidRPr="008011AA">
        <w:rPr>
          <w:rStyle w:val="FootnoteReference"/>
          <w:rFonts w:ascii="Times New Roman" w:eastAsia="Times New Roman" w:hAnsi="Times New Roman" w:cs="Times New Roman"/>
          <w:noProof/>
          <w:sz w:val="24"/>
          <w:szCs w:val="24"/>
          <w:lang w:val="en-IE"/>
        </w:rPr>
        <w:footnoteReference w:id="18"/>
      </w:r>
    </w:p>
    <w:p w14:paraId="4AA4E558" w14:textId="01C5DD2D" w:rsidR="00F204F0" w:rsidRPr="003C16B9" w:rsidRDefault="00F204F0" w:rsidP="00F204F0">
      <w:pPr>
        <w:spacing w:before="120" w:after="120"/>
        <w:jc w:val="both"/>
        <w:rPr>
          <w:rFonts w:ascii="Times New Roman" w:eastAsia="Times New Roman" w:hAnsi="Times New Roman" w:cs="Times New Roman"/>
          <w:noProof/>
          <w:color w:val="000000"/>
          <w:sz w:val="24"/>
          <w:szCs w:val="24"/>
          <w:lang w:val="en-IE"/>
        </w:rPr>
      </w:pPr>
      <w:r w:rsidRPr="003C16B9">
        <w:rPr>
          <w:rFonts w:ascii="Times New Roman" w:eastAsia="Times New Roman" w:hAnsi="Times New Roman" w:cs="Times New Roman"/>
          <w:noProof/>
          <w:color w:val="000000"/>
          <w:sz w:val="24"/>
          <w:szCs w:val="24"/>
          <w:lang w:val="en-IE"/>
        </w:rPr>
        <w:t xml:space="preserve">The Commission equally notes </w:t>
      </w:r>
      <w:r w:rsidRPr="003C16B9">
        <w:rPr>
          <w:rFonts w:ascii="Times New Roman" w:eastAsia="Times New Roman" w:hAnsi="Times New Roman" w:cs="Times New Roman"/>
          <w:noProof/>
          <w:color w:val="000000" w:themeColor="text1"/>
          <w:sz w:val="24"/>
          <w:szCs w:val="24"/>
          <w:lang w:val="en-IE"/>
        </w:rPr>
        <w:t>Parliament</w:t>
      </w:r>
      <w:r w:rsidRPr="003C16B9">
        <w:rPr>
          <w:rFonts w:ascii="Times New Roman" w:eastAsia="Times New Roman" w:hAnsi="Times New Roman" w:cs="Times New Roman"/>
          <w:noProof/>
          <w:color w:val="000000"/>
          <w:sz w:val="24"/>
          <w:szCs w:val="24"/>
          <w:lang w:val="en-IE"/>
        </w:rPr>
        <w:t xml:space="preserve">’s concern that </w:t>
      </w:r>
      <w:r w:rsidRPr="003C16B9">
        <w:rPr>
          <w:rFonts w:ascii="Times New Roman" w:eastAsia="Times New Roman" w:hAnsi="Times New Roman" w:cs="Times New Roman"/>
          <w:noProof/>
          <w:color w:val="000000" w:themeColor="text1"/>
          <w:sz w:val="24"/>
          <w:szCs w:val="24"/>
          <w:lang w:val="en-IE"/>
        </w:rPr>
        <w:t>‘</w:t>
      </w:r>
      <w:r w:rsidRPr="003C16B9">
        <w:rPr>
          <w:rFonts w:ascii="Times New Roman" w:eastAsia="Times New Roman" w:hAnsi="Times New Roman" w:cs="Times New Roman"/>
          <w:noProof/>
          <w:color w:val="000000"/>
          <w:sz w:val="24"/>
          <w:szCs w:val="24"/>
          <w:lang w:val="en-IE"/>
        </w:rPr>
        <w:t xml:space="preserve">the Court, in its assessment of the </w:t>
      </w:r>
      <w:r w:rsidR="00365075">
        <w:rPr>
          <w:rFonts w:ascii="Times New Roman" w:eastAsia="Times New Roman" w:hAnsi="Times New Roman" w:cs="Times New Roman"/>
          <w:noProof/>
          <w:color w:val="000000"/>
          <w:sz w:val="24"/>
          <w:szCs w:val="24"/>
          <w:lang w:val="en-IE"/>
        </w:rPr>
        <w:t>RRF</w:t>
      </w:r>
      <w:r w:rsidRPr="003C16B9">
        <w:rPr>
          <w:rFonts w:ascii="Times New Roman" w:eastAsia="Times New Roman" w:hAnsi="Times New Roman" w:cs="Times New Roman"/>
          <w:noProof/>
          <w:color w:val="000000"/>
          <w:sz w:val="24"/>
          <w:szCs w:val="24"/>
          <w:lang w:val="en-IE"/>
        </w:rPr>
        <w:t>, identified shortcomings in the Commission preliminary assessment and ex post audits and considers that weaknesses remain in the Member States’ reporting and control systems</w:t>
      </w:r>
      <w:r w:rsidRPr="003C16B9">
        <w:rPr>
          <w:rFonts w:ascii="Times New Roman" w:eastAsia="Times New Roman" w:hAnsi="Times New Roman" w:cs="Times New Roman"/>
          <w:noProof/>
          <w:color w:val="000000" w:themeColor="text1"/>
          <w:sz w:val="24"/>
          <w:szCs w:val="24"/>
          <w:lang w:val="en-IE"/>
        </w:rPr>
        <w:t>’</w:t>
      </w:r>
      <w:r w:rsidRPr="003C16B9">
        <w:rPr>
          <w:rStyle w:val="FootnoteReference"/>
          <w:rFonts w:ascii="Times New Roman" w:eastAsia="Times New Roman" w:hAnsi="Times New Roman" w:cs="Times New Roman"/>
          <w:noProof/>
          <w:color w:val="000000"/>
          <w:sz w:val="24"/>
          <w:szCs w:val="24"/>
          <w:lang w:val="en-IE"/>
        </w:rPr>
        <w:footnoteReference w:id="19"/>
      </w:r>
      <w:r w:rsidRPr="003C16B9">
        <w:rPr>
          <w:rFonts w:ascii="Times New Roman" w:eastAsia="Times New Roman" w:hAnsi="Times New Roman" w:cs="Times New Roman"/>
          <w:noProof/>
          <w:color w:val="000000"/>
          <w:sz w:val="24"/>
          <w:szCs w:val="24"/>
          <w:lang w:val="en-IE"/>
        </w:rPr>
        <w:t xml:space="preserve">. </w:t>
      </w:r>
    </w:p>
    <w:p w14:paraId="32FF2BC0" w14:textId="555EE467" w:rsidR="00F204F0" w:rsidRPr="003C16B9" w:rsidRDefault="00F204F0" w:rsidP="00F204F0">
      <w:pPr>
        <w:spacing w:before="120" w:after="120"/>
        <w:jc w:val="both"/>
        <w:rPr>
          <w:rFonts w:ascii="Times New Roman" w:eastAsia="Times New Roman" w:hAnsi="Times New Roman" w:cs="Times New Roman"/>
          <w:noProof/>
          <w:color w:val="000000"/>
          <w:sz w:val="24"/>
          <w:szCs w:val="24"/>
          <w:lang w:val="en-IE"/>
        </w:rPr>
      </w:pPr>
      <w:r w:rsidRPr="003C16B9">
        <w:rPr>
          <w:rFonts w:ascii="Times New Roman" w:eastAsia="Times New Roman" w:hAnsi="Times New Roman" w:cs="Times New Roman"/>
          <w:noProof/>
          <w:color w:val="000000"/>
          <w:sz w:val="24"/>
          <w:szCs w:val="24"/>
          <w:lang w:val="en-IE"/>
        </w:rPr>
        <w:t xml:space="preserve">Since the start of the </w:t>
      </w:r>
      <w:r w:rsidR="00365075">
        <w:rPr>
          <w:rFonts w:ascii="Times New Roman" w:eastAsia="Times New Roman" w:hAnsi="Times New Roman" w:cs="Times New Roman"/>
          <w:noProof/>
          <w:color w:val="000000"/>
          <w:sz w:val="24"/>
          <w:szCs w:val="24"/>
          <w:lang w:val="en-IE"/>
        </w:rPr>
        <w:t>RRF</w:t>
      </w:r>
      <w:r w:rsidRPr="003C16B9">
        <w:rPr>
          <w:rFonts w:ascii="Times New Roman" w:eastAsia="Times New Roman" w:hAnsi="Times New Roman" w:cs="Times New Roman"/>
          <w:noProof/>
          <w:color w:val="000000"/>
          <w:sz w:val="24"/>
          <w:szCs w:val="24"/>
          <w:lang w:val="en-IE"/>
        </w:rPr>
        <w:t xml:space="preserve">, the Commission has taken a dynamic approach to audit and control. It updated its </w:t>
      </w:r>
      <w:r w:rsidRPr="003C16B9">
        <w:rPr>
          <w:rFonts w:ascii="Times New Roman" w:eastAsia="Times New Roman" w:hAnsi="Times New Roman" w:cs="Times New Roman"/>
          <w:b/>
          <w:noProof/>
          <w:color w:val="000000"/>
          <w:sz w:val="24"/>
          <w:szCs w:val="24"/>
          <w:lang w:val="en-IE"/>
        </w:rPr>
        <w:t xml:space="preserve">audit and control strategies </w:t>
      </w:r>
      <w:r w:rsidRPr="003C16B9">
        <w:rPr>
          <w:rFonts w:ascii="Times New Roman" w:eastAsia="Times New Roman" w:hAnsi="Times New Roman" w:cs="Times New Roman"/>
          <w:bCs/>
          <w:noProof/>
          <w:color w:val="000000"/>
          <w:sz w:val="24"/>
          <w:szCs w:val="24"/>
          <w:lang w:val="en-IE"/>
        </w:rPr>
        <w:t xml:space="preserve">taking account of </w:t>
      </w:r>
      <w:r w:rsidRPr="003C16B9">
        <w:rPr>
          <w:rFonts w:ascii="Times New Roman" w:eastAsia="Times New Roman" w:hAnsi="Times New Roman" w:cs="Times New Roman"/>
          <w:noProof/>
          <w:color w:val="000000"/>
          <w:sz w:val="24"/>
          <w:szCs w:val="24"/>
          <w:lang w:val="en-IE"/>
        </w:rPr>
        <w:t xml:space="preserve">the findings and recommendations from the Commission’s internal audit service, the ECA and the Parliament. </w:t>
      </w:r>
    </w:p>
    <w:p w14:paraId="023E22DF" w14:textId="0C2F788E" w:rsidR="00F204F0" w:rsidRPr="003C16B9" w:rsidRDefault="00F204F0" w:rsidP="00F204F0">
      <w:pPr>
        <w:spacing w:before="120" w:after="120"/>
        <w:jc w:val="both"/>
        <w:rPr>
          <w:rFonts w:ascii="Times New Roman" w:eastAsia="Times New Roman" w:hAnsi="Times New Roman" w:cs="Times New Roman"/>
          <w:noProof/>
          <w:color w:val="000000"/>
          <w:sz w:val="24"/>
          <w:szCs w:val="24"/>
        </w:rPr>
      </w:pPr>
      <w:r w:rsidRPr="003C16B9">
        <w:rPr>
          <w:rFonts w:ascii="Times New Roman" w:eastAsia="Times New Roman" w:hAnsi="Times New Roman" w:cs="Times New Roman"/>
          <w:noProof/>
          <w:color w:val="000000"/>
          <w:sz w:val="24"/>
          <w:szCs w:val="24"/>
          <w:lang w:val="en-IE"/>
        </w:rPr>
        <w:t xml:space="preserve">In particular, the Commission </w:t>
      </w:r>
      <w:r w:rsidRPr="003C16B9">
        <w:rPr>
          <w:rFonts w:ascii="Times New Roman" w:eastAsia="Times New Roman" w:hAnsi="Times New Roman" w:cs="Times New Roman"/>
          <w:b/>
          <w:bCs/>
          <w:noProof/>
          <w:color w:val="000000"/>
          <w:sz w:val="24"/>
          <w:szCs w:val="24"/>
        </w:rPr>
        <w:t xml:space="preserve">strengthened its checks on the Member States’ internal control systems </w:t>
      </w:r>
      <w:r w:rsidRPr="003C16B9">
        <w:rPr>
          <w:rFonts w:ascii="Times New Roman" w:eastAsia="Times New Roman" w:hAnsi="Times New Roman" w:cs="Times New Roman"/>
          <w:noProof/>
          <w:color w:val="000000"/>
          <w:sz w:val="24"/>
          <w:szCs w:val="24"/>
        </w:rPr>
        <w:t xml:space="preserve">to verify how these systems ensure compliance with public procurement and State aid rules. All the Commission’s audits and fact-finding missions now include verifying that Member States regularly and effectively check compliance with public procurement </w:t>
      </w:r>
      <w:r w:rsidR="00365075">
        <w:rPr>
          <w:rFonts w:ascii="Times New Roman" w:eastAsia="Times New Roman" w:hAnsi="Times New Roman" w:cs="Times New Roman"/>
          <w:noProof/>
          <w:color w:val="000000"/>
          <w:sz w:val="24"/>
          <w:szCs w:val="24"/>
        </w:rPr>
        <w:t xml:space="preserve">and State aid </w:t>
      </w:r>
      <w:r w:rsidRPr="003C16B9">
        <w:rPr>
          <w:rFonts w:ascii="Times New Roman" w:eastAsia="Times New Roman" w:hAnsi="Times New Roman" w:cs="Times New Roman"/>
          <w:noProof/>
          <w:color w:val="000000"/>
          <w:sz w:val="24"/>
          <w:szCs w:val="24"/>
        </w:rPr>
        <w:t>rules.</w:t>
      </w:r>
    </w:p>
    <w:p w14:paraId="24CC6861" w14:textId="65137F84" w:rsidR="00F204F0" w:rsidRPr="001B3D5B" w:rsidRDefault="00F204F0" w:rsidP="00F204F0">
      <w:pPr>
        <w:spacing w:before="120" w:after="120"/>
        <w:jc w:val="both"/>
        <w:rPr>
          <w:rFonts w:ascii="Times New Roman" w:hAnsi="Times New Roman"/>
          <w:noProof/>
          <w:color w:val="000000"/>
          <w:sz w:val="24"/>
          <w:lang w:val="en-IE"/>
        </w:rPr>
      </w:pPr>
      <w:r w:rsidRPr="001B3D5B">
        <w:rPr>
          <w:rFonts w:ascii="Times New Roman" w:hAnsi="Times New Roman"/>
          <w:noProof/>
          <w:color w:val="000000"/>
          <w:sz w:val="24"/>
        </w:rPr>
        <w:t xml:space="preserve">The Commission also </w:t>
      </w:r>
      <w:r w:rsidRPr="001B3D5B">
        <w:rPr>
          <w:rFonts w:ascii="Times New Roman" w:hAnsi="Times New Roman"/>
          <w:b/>
          <w:noProof/>
          <w:color w:val="000000"/>
          <w:sz w:val="24"/>
        </w:rPr>
        <w:t>up</w:t>
      </w:r>
      <w:r w:rsidRPr="001B3D5B">
        <w:rPr>
          <w:rFonts w:ascii="Times New Roman" w:hAnsi="Times New Roman"/>
          <w:b/>
          <w:noProof/>
          <w:color w:val="000000"/>
          <w:sz w:val="24"/>
          <w:lang w:val="en-IE"/>
        </w:rPr>
        <w:t>dated its methodology for auditing the</w:t>
      </w:r>
      <w:r w:rsidRPr="003C16B9">
        <w:rPr>
          <w:rFonts w:ascii="Times New Roman" w:eastAsia="Times New Roman" w:hAnsi="Times New Roman" w:cs="Times New Roman"/>
          <w:b/>
          <w:noProof/>
          <w:color w:val="000000"/>
          <w:sz w:val="24"/>
          <w:szCs w:val="24"/>
          <w:lang w:val="en-IE"/>
        </w:rPr>
        <w:t xml:space="preserve"> </w:t>
      </w:r>
      <w:r w:rsidR="00D50075">
        <w:rPr>
          <w:rFonts w:ascii="Times New Roman" w:eastAsia="Times New Roman" w:hAnsi="Times New Roman" w:cs="Times New Roman"/>
          <w:b/>
          <w:noProof/>
          <w:color w:val="000000"/>
          <w:sz w:val="24"/>
          <w:szCs w:val="24"/>
          <w:lang w:val="en-IE"/>
        </w:rPr>
        <w:t>Member State’s control systems for the</w:t>
      </w:r>
      <w:r w:rsidRPr="2CE0B006">
        <w:rPr>
          <w:rFonts w:ascii="Times New Roman" w:eastAsia="Times New Roman" w:hAnsi="Times New Roman" w:cs="Times New Roman"/>
          <w:b/>
          <w:bCs/>
          <w:noProof/>
          <w:color w:val="000000" w:themeColor="text1"/>
          <w:sz w:val="24"/>
          <w:szCs w:val="24"/>
          <w:lang w:val="en-IE"/>
        </w:rPr>
        <w:t xml:space="preserve"> </w:t>
      </w:r>
      <w:r w:rsidRPr="001B3D5B">
        <w:rPr>
          <w:rFonts w:ascii="Times New Roman" w:hAnsi="Times New Roman"/>
          <w:b/>
          <w:noProof/>
          <w:color w:val="000000"/>
          <w:sz w:val="24"/>
          <w:lang w:val="en-IE"/>
        </w:rPr>
        <w:t>protection of the EU’s financial interests</w:t>
      </w:r>
      <w:r w:rsidRPr="001B3D5B">
        <w:rPr>
          <w:rFonts w:ascii="Times New Roman" w:hAnsi="Times New Roman"/>
          <w:noProof/>
          <w:color w:val="000000"/>
          <w:sz w:val="24"/>
          <w:lang w:val="en-IE"/>
        </w:rPr>
        <w:t xml:space="preserve">. Since the entry into force of the </w:t>
      </w:r>
      <w:r w:rsidR="002415B7">
        <w:rPr>
          <w:rFonts w:ascii="Times New Roman" w:hAnsi="Times New Roman"/>
          <w:noProof/>
          <w:color w:val="000000"/>
          <w:sz w:val="24"/>
          <w:lang w:val="en-IE"/>
        </w:rPr>
        <w:t>RRF</w:t>
      </w:r>
      <w:r w:rsidRPr="001B3D5B">
        <w:rPr>
          <w:rFonts w:ascii="Times New Roman" w:hAnsi="Times New Roman"/>
          <w:noProof/>
          <w:color w:val="000000"/>
          <w:sz w:val="24"/>
          <w:lang w:val="en-IE"/>
        </w:rPr>
        <w:t xml:space="preserve">, it conducted at least one system audit on all 27 national control systems. Based on this audit work, and in the context of the revision of the </w:t>
      </w:r>
      <w:r w:rsidR="002415B7">
        <w:rPr>
          <w:rFonts w:ascii="Times New Roman" w:hAnsi="Times New Roman"/>
          <w:noProof/>
          <w:color w:val="000000"/>
          <w:sz w:val="24"/>
          <w:lang w:val="en-IE"/>
        </w:rPr>
        <w:t>RRPs</w:t>
      </w:r>
      <w:r w:rsidRPr="001B3D5B">
        <w:rPr>
          <w:rFonts w:ascii="Times New Roman" w:hAnsi="Times New Roman"/>
          <w:noProof/>
          <w:color w:val="000000"/>
          <w:sz w:val="24"/>
          <w:lang w:val="en-IE"/>
        </w:rPr>
        <w:t xml:space="preserve">, the Commission proposed, where necessary, additional audit and control milestones that need to be addressed before the next payment. To ensure that risks are adequately monitored and addressed throughout the life of the </w:t>
      </w:r>
      <w:r w:rsidR="002415B7">
        <w:rPr>
          <w:rFonts w:ascii="Times New Roman" w:hAnsi="Times New Roman"/>
          <w:noProof/>
          <w:color w:val="000000"/>
          <w:sz w:val="24"/>
          <w:lang w:val="en-IE"/>
        </w:rPr>
        <w:t>RRF</w:t>
      </w:r>
      <w:r w:rsidRPr="001B3D5B">
        <w:rPr>
          <w:rFonts w:ascii="Times New Roman" w:hAnsi="Times New Roman"/>
          <w:noProof/>
          <w:color w:val="000000"/>
          <w:sz w:val="24"/>
          <w:lang w:val="en-IE"/>
        </w:rPr>
        <w:t xml:space="preserve">, the Commission is actively conducting further audit work on a risk basis. </w:t>
      </w:r>
    </w:p>
    <w:p w14:paraId="50CD20E4" w14:textId="77777777" w:rsidR="00F204F0" w:rsidRPr="003C16B9" w:rsidRDefault="00F204F0" w:rsidP="00F204F0">
      <w:pPr>
        <w:pStyle w:val="ListParagraph"/>
        <w:numPr>
          <w:ilvl w:val="0"/>
          <w:numId w:val="20"/>
        </w:numPr>
        <w:spacing w:before="120" w:after="120"/>
        <w:ind w:left="357" w:hanging="357"/>
        <w:contextualSpacing w:val="0"/>
        <w:jc w:val="both"/>
        <w:rPr>
          <w:rFonts w:ascii="Times New Roman" w:hAnsi="Times New Roman" w:cs="Times New Roman"/>
          <w:b/>
          <w:bCs/>
          <w:noProof/>
          <w:sz w:val="24"/>
          <w:szCs w:val="24"/>
        </w:rPr>
      </w:pPr>
      <w:r w:rsidRPr="003C16B9">
        <w:rPr>
          <w:rFonts w:ascii="Times New Roman" w:hAnsi="Times New Roman" w:cs="Times New Roman"/>
          <w:b/>
          <w:bCs/>
          <w:noProof/>
          <w:sz w:val="24"/>
          <w:szCs w:val="24"/>
        </w:rPr>
        <w:t>Performance of the EU budget</w:t>
      </w:r>
    </w:p>
    <w:p w14:paraId="2A1D0D09" w14:textId="6B1C704C" w:rsidR="0039382C" w:rsidRDefault="0039382C" w:rsidP="00F204F0">
      <w:pPr>
        <w:spacing w:before="120" w:after="120"/>
        <w:jc w:val="both"/>
        <w:rPr>
          <w:rFonts w:ascii="Times New Roman" w:hAnsi="Times New Roman" w:cs="Times New Roman"/>
          <w:noProof/>
          <w:sz w:val="24"/>
          <w:szCs w:val="24"/>
        </w:rPr>
      </w:pPr>
      <w:r w:rsidRPr="0039382C">
        <w:rPr>
          <w:rFonts w:ascii="Times New Roman" w:hAnsi="Times New Roman" w:cs="Times New Roman"/>
          <w:noProof/>
          <w:sz w:val="24"/>
          <w:szCs w:val="24"/>
        </w:rPr>
        <w:t>The Commission agrees with Parliament that ‘carrying out ex post and mid-term evaluations of financial programmes created to respond to crises, concerning their relevance, coherence and European added value […]’</w:t>
      </w:r>
      <w:r w:rsidR="008011AA">
        <w:rPr>
          <w:rStyle w:val="FootnoteReference"/>
          <w:rFonts w:ascii="Times New Roman" w:hAnsi="Times New Roman" w:cs="Times New Roman"/>
          <w:noProof/>
          <w:sz w:val="24"/>
          <w:szCs w:val="24"/>
        </w:rPr>
        <w:footnoteReference w:id="20"/>
      </w:r>
      <w:r w:rsidRPr="0039382C">
        <w:rPr>
          <w:rFonts w:ascii="Times New Roman" w:hAnsi="Times New Roman" w:cs="Times New Roman"/>
          <w:noProof/>
          <w:sz w:val="24"/>
          <w:szCs w:val="24"/>
        </w:rPr>
        <w:t xml:space="preserve"> is of paramount importance. </w:t>
      </w:r>
    </w:p>
    <w:p w14:paraId="35AF5ABF" w14:textId="5EA85792" w:rsidR="00F204F0" w:rsidRPr="003C16B9" w:rsidRDefault="00F204F0" w:rsidP="00F204F0">
      <w:pPr>
        <w:spacing w:before="120" w:after="120"/>
        <w:jc w:val="both"/>
        <w:rPr>
          <w:rFonts w:ascii="Times New Roman" w:hAnsi="Times New Roman" w:cs="Times New Roman"/>
          <w:noProof/>
          <w:sz w:val="24"/>
          <w:szCs w:val="24"/>
        </w:rPr>
      </w:pPr>
      <w:r w:rsidRPr="003C16B9">
        <w:rPr>
          <w:rFonts w:ascii="Times New Roman" w:hAnsi="Times New Roman" w:cs="Times New Roman"/>
          <w:noProof/>
          <w:sz w:val="24"/>
          <w:szCs w:val="24"/>
        </w:rPr>
        <w:t xml:space="preserve">On 21 February 2024, the Commission published its </w:t>
      </w:r>
      <w:r w:rsidRPr="003C16B9">
        <w:rPr>
          <w:rFonts w:ascii="Times New Roman" w:hAnsi="Times New Roman" w:cs="Times New Roman"/>
          <w:b/>
          <w:bCs/>
          <w:noProof/>
          <w:sz w:val="24"/>
          <w:szCs w:val="24"/>
        </w:rPr>
        <w:t xml:space="preserve">mid-term evaluation of the </w:t>
      </w:r>
      <w:r w:rsidR="002415B7">
        <w:rPr>
          <w:rFonts w:ascii="Times New Roman" w:hAnsi="Times New Roman" w:cs="Times New Roman"/>
          <w:noProof/>
          <w:sz w:val="24"/>
          <w:szCs w:val="24"/>
        </w:rPr>
        <w:t>RRF</w:t>
      </w:r>
      <w:r w:rsidRPr="003C16B9">
        <w:rPr>
          <w:rFonts w:ascii="Times New Roman" w:hAnsi="Times New Roman" w:cs="Times New Roman"/>
          <w:noProof/>
          <w:sz w:val="24"/>
          <w:szCs w:val="24"/>
        </w:rPr>
        <w:t xml:space="preserve">. The evaluation covers the five ‘better regulation’ criteria of effectiveness, efficiency, coherence, relevance, and EU-added value. An independent, external evaluation study contributed to the assessment. The evaluation concludes that, although it is not yet feasible to fully assess the impacts of the </w:t>
      </w:r>
      <w:r w:rsidR="002415B7">
        <w:rPr>
          <w:rFonts w:ascii="Times New Roman" w:hAnsi="Times New Roman" w:cs="Times New Roman"/>
          <w:noProof/>
          <w:sz w:val="24"/>
          <w:szCs w:val="24"/>
        </w:rPr>
        <w:t>RRF</w:t>
      </w:r>
      <w:r w:rsidRPr="003C16B9">
        <w:rPr>
          <w:rFonts w:ascii="Times New Roman" w:hAnsi="Times New Roman" w:cs="Times New Roman"/>
          <w:noProof/>
          <w:sz w:val="24"/>
          <w:szCs w:val="24"/>
        </w:rPr>
        <w:t xml:space="preserve">, it is already apparent that </w:t>
      </w:r>
      <w:r w:rsidR="002E6AA0">
        <w:rPr>
          <w:rFonts w:ascii="Times New Roman" w:hAnsi="Times New Roman" w:cs="Times New Roman"/>
          <w:noProof/>
          <w:sz w:val="24"/>
          <w:szCs w:val="24"/>
        </w:rPr>
        <w:t>it</w:t>
      </w:r>
      <w:r w:rsidRPr="003C16B9">
        <w:rPr>
          <w:rFonts w:ascii="Times New Roman" w:hAnsi="Times New Roman" w:cs="Times New Roman"/>
          <w:noProof/>
          <w:sz w:val="24"/>
          <w:szCs w:val="24"/>
        </w:rPr>
        <w:t xml:space="preserve"> has proven to be a key tool to boost Member States’ implementation of structural reforms in line with the European Semester’s country-specific recommendations. However, it also appears that the </w:t>
      </w:r>
      <w:r w:rsidR="002415B7">
        <w:rPr>
          <w:rFonts w:ascii="Times New Roman" w:hAnsi="Times New Roman" w:cs="Times New Roman"/>
          <w:noProof/>
          <w:sz w:val="24"/>
          <w:szCs w:val="24"/>
        </w:rPr>
        <w:t>RRF</w:t>
      </w:r>
      <w:r w:rsidR="002E6AA0" w:rsidRPr="003C16B9">
        <w:rPr>
          <w:rFonts w:ascii="Times New Roman" w:hAnsi="Times New Roman" w:cs="Times New Roman"/>
          <w:noProof/>
          <w:sz w:val="24"/>
          <w:szCs w:val="24"/>
        </w:rPr>
        <w:t xml:space="preserve"> </w:t>
      </w:r>
      <w:r w:rsidRPr="003C16B9">
        <w:rPr>
          <w:rFonts w:ascii="Times New Roman" w:hAnsi="Times New Roman" w:cs="Times New Roman"/>
          <w:noProof/>
          <w:sz w:val="24"/>
          <w:szCs w:val="24"/>
        </w:rPr>
        <w:t xml:space="preserve">has not so far led to the administrative simplification that some Member States had hoped for. </w:t>
      </w:r>
    </w:p>
    <w:p w14:paraId="233913DA" w14:textId="7A2809C7" w:rsidR="00F204F0" w:rsidRPr="003C16B9" w:rsidRDefault="00F204F0" w:rsidP="00F204F0">
      <w:pPr>
        <w:spacing w:before="120" w:after="120" w:line="240" w:lineRule="auto"/>
        <w:jc w:val="both"/>
        <w:rPr>
          <w:rFonts w:ascii="Times New Roman" w:hAnsi="Times New Roman" w:cs="Times New Roman"/>
          <w:noProof/>
          <w:sz w:val="24"/>
          <w:szCs w:val="24"/>
        </w:rPr>
      </w:pPr>
      <w:r w:rsidRPr="003C16B9">
        <w:rPr>
          <w:rFonts w:ascii="Times New Roman" w:hAnsi="Times New Roman" w:cs="Times New Roman"/>
          <w:noProof/>
          <w:sz w:val="24"/>
          <w:szCs w:val="24"/>
        </w:rPr>
        <w:t xml:space="preserve">The </w:t>
      </w:r>
      <w:r w:rsidRPr="003C16B9">
        <w:rPr>
          <w:rFonts w:ascii="Times New Roman" w:hAnsi="Times New Roman" w:cs="Times New Roman"/>
          <w:b/>
          <w:bCs/>
          <w:noProof/>
          <w:sz w:val="24"/>
          <w:szCs w:val="24"/>
        </w:rPr>
        <w:t>preliminary evaluation</w:t>
      </w:r>
      <w:r w:rsidRPr="003C16B9">
        <w:rPr>
          <w:rFonts w:ascii="Times New Roman" w:hAnsi="Times New Roman" w:cs="Times New Roman"/>
          <w:noProof/>
          <w:sz w:val="24"/>
          <w:szCs w:val="24"/>
        </w:rPr>
        <w:t xml:space="preserve"> of the support provided under the </w:t>
      </w:r>
      <w:r w:rsidRPr="003C16B9">
        <w:rPr>
          <w:rFonts w:ascii="Times New Roman" w:hAnsi="Times New Roman" w:cs="Times New Roman"/>
          <w:b/>
          <w:bCs/>
          <w:noProof/>
          <w:sz w:val="24"/>
          <w:szCs w:val="24"/>
        </w:rPr>
        <w:t>Coronavirus Response Investment Initiatives (CRII and CRII+)</w:t>
      </w:r>
      <w:r w:rsidRPr="003C16B9">
        <w:rPr>
          <w:rStyle w:val="FootnoteReference"/>
          <w:rFonts w:ascii="Times New Roman" w:hAnsi="Times New Roman" w:cs="Times New Roman"/>
          <w:b/>
          <w:bCs/>
          <w:noProof/>
          <w:sz w:val="24"/>
          <w:szCs w:val="24"/>
        </w:rPr>
        <w:footnoteReference w:id="21"/>
      </w:r>
      <w:r w:rsidRPr="003C16B9">
        <w:rPr>
          <w:rFonts w:ascii="Times New Roman" w:hAnsi="Times New Roman" w:cs="Times New Roman"/>
          <w:noProof/>
          <w:sz w:val="24"/>
          <w:szCs w:val="24"/>
        </w:rPr>
        <w:t xml:space="preserve"> to respond to the impacts of the COVID-19 pandemic has shown that this support led to the efficient use of unspent funds from both the </w:t>
      </w:r>
      <w:r w:rsidR="009D5C7E" w:rsidRPr="003C16B9">
        <w:rPr>
          <w:rFonts w:ascii="Times New Roman" w:hAnsi="Times New Roman" w:cs="Times New Roman"/>
          <w:noProof/>
          <w:sz w:val="24"/>
          <w:szCs w:val="24"/>
        </w:rPr>
        <w:t>E</w:t>
      </w:r>
      <w:r w:rsidR="009D5C7E">
        <w:rPr>
          <w:rFonts w:ascii="Times New Roman" w:hAnsi="Times New Roman" w:cs="Times New Roman"/>
          <w:noProof/>
          <w:sz w:val="24"/>
          <w:szCs w:val="24"/>
        </w:rPr>
        <w:t xml:space="preserve">uropean Social </w:t>
      </w:r>
      <w:r w:rsidR="009D5C7E" w:rsidRPr="003C16B9">
        <w:rPr>
          <w:rFonts w:ascii="Times New Roman" w:hAnsi="Times New Roman" w:cs="Times New Roman"/>
          <w:noProof/>
          <w:sz w:val="24"/>
          <w:szCs w:val="24"/>
        </w:rPr>
        <w:t>F</w:t>
      </w:r>
      <w:r w:rsidR="009D5C7E">
        <w:rPr>
          <w:rFonts w:ascii="Times New Roman" w:hAnsi="Times New Roman" w:cs="Times New Roman"/>
          <w:noProof/>
          <w:sz w:val="24"/>
          <w:szCs w:val="24"/>
        </w:rPr>
        <w:t>und</w:t>
      </w:r>
      <w:r w:rsidR="009D5C7E" w:rsidRPr="003C16B9">
        <w:rPr>
          <w:rFonts w:ascii="Times New Roman" w:hAnsi="Times New Roman" w:cs="Times New Roman"/>
          <w:noProof/>
          <w:sz w:val="24"/>
          <w:szCs w:val="24"/>
        </w:rPr>
        <w:t xml:space="preserve"> </w:t>
      </w:r>
      <w:r w:rsidRPr="003C16B9">
        <w:rPr>
          <w:rFonts w:ascii="Times New Roman" w:hAnsi="Times New Roman" w:cs="Times New Roman"/>
          <w:noProof/>
          <w:sz w:val="24"/>
          <w:szCs w:val="24"/>
        </w:rPr>
        <w:t xml:space="preserve">and the Fund for European Aid to the Most Deprived. The flexibilities offered to Member States to adapt their programmes resulted in the redirection of almost EUR 24 billion in cohesion-policy funding. </w:t>
      </w:r>
    </w:p>
    <w:p w14:paraId="5FBB4A17" w14:textId="77777777" w:rsidR="00F204F0" w:rsidRPr="003C16B9" w:rsidRDefault="00F204F0" w:rsidP="00F204F0">
      <w:pPr>
        <w:spacing w:before="120" w:after="120" w:line="240" w:lineRule="auto"/>
        <w:jc w:val="both"/>
        <w:rPr>
          <w:rFonts w:ascii="Times New Roman" w:hAnsi="Times New Roman" w:cs="Times New Roman"/>
          <w:noProof/>
          <w:sz w:val="24"/>
          <w:szCs w:val="24"/>
        </w:rPr>
      </w:pPr>
      <w:r w:rsidRPr="003C16B9">
        <w:rPr>
          <w:rFonts w:ascii="Times New Roman" w:hAnsi="Times New Roman" w:cs="Times New Roman"/>
          <w:noProof/>
          <w:sz w:val="24"/>
          <w:szCs w:val="24"/>
        </w:rPr>
        <w:t>By the start of 2025, the Commission will also issue evaluations of the other instruments put in place under cohesion-policy funding to address recent crises</w:t>
      </w:r>
      <w:r w:rsidRPr="003C16B9">
        <w:rPr>
          <w:rStyle w:val="FootnoteReference"/>
          <w:rFonts w:ascii="Times New Roman" w:hAnsi="Times New Roman" w:cs="Times New Roman"/>
          <w:noProof/>
          <w:sz w:val="24"/>
          <w:szCs w:val="24"/>
        </w:rPr>
        <w:footnoteReference w:id="22"/>
      </w:r>
      <w:r w:rsidRPr="003C16B9">
        <w:rPr>
          <w:rFonts w:ascii="Times New Roman" w:hAnsi="Times New Roman" w:cs="Times New Roman"/>
          <w:noProof/>
          <w:sz w:val="24"/>
          <w:szCs w:val="24"/>
        </w:rPr>
        <w:t>.</w:t>
      </w:r>
    </w:p>
    <w:p w14:paraId="2F164187" w14:textId="77777777" w:rsidR="00F204F0" w:rsidRPr="003C16B9" w:rsidRDefault="00F204F0" w:rsidP="00F204F0">
      <w:pPr>
        <w:spacing w:before="120" w:after="120"/>
        <w:jc w:val="both"/>
        <w:rPr>
          <w:rFonts w:ascii="Times New Roman" w:hAnsi="Times New Roman" w:cs="Times New Roman"/>
          <w:noProof/>
          <w:sz w:val="24"/>
          <w:szCs w:val="24"/>
        </w:rPr>
      </w:pPr>
      <w:r w:rsidRPr="003C16B9">
        <w:rPr>
          <w:rFonts w:ascii="Times New Roman" w:hAnsi="Times New Roman" w:cs="Times New Roman"/>
          <w:noProof/>
          <w:sz w:val="24"/>
          <w:szCs w:val="24"/>
        </w:rPr>
        <w:t>The Commission is also acting on the Council’s call ‘to increase the focus on results-based performance indicators that can be directly linked to the EU actions’</w:t>
      </w:r>
      <w:r w:rsidRPr="003C16B9">
        <w:rPr>
          <w:rStyle w:val="FootnoteReference"/>
          <w:rFonts w:ascii="Times New Roman" w:hAnsi="Times New Roman" w:cs="Times New Roman"/>
          <w:noProof/>
          <w:sz w:val="24"/>
          <w:szCs w:val="24"/>
        </w:rPr>
        <w:footnoteReference w:id="23"/>
      </w:r>
      <w:r w:rsidRPr="003C16B9">
        <w:rPr>
          <w:rFonts w:ascii="Times New Roman" w:hAnsi="Times New Roman" w:cs="Times New Roman"/>
          <w:noProof/>
          <w:sz w:val="24"/>
          <w:szCs w:val="24"/>
        </w:rPr>
        <w:t xml:space="preserve">. </w:t>
      </w:r>
    </w:p>
    <w:p w14:paraId="03DCA479" w14:textId="6917423F" w:rsidR="00F204F0" w:rsidRPr="003C16B9" w:rsidRDefault="00F204F0" w:rsidP="00F204F0">
      <w:pPr>
        <w:spacing w:before="120" w:after="120"/>
        <w:jc w:val="both"/>
        <w:rPr>
          <w:rFonts w:ascii="Times New Roman" w:hAnsi="Times New Roman" w:cs="Times New Roman"/>
          <w:noProof/>
          <w:sz w:val="24"/>
          <w:szCs w:val="24"/>
          <w:lang w:val="en-IE"/>
        </w:rPr>
      </w:pPr>
      <w:r w:rsidRPr="003C16B9">
        <w:rPr>
          <w:rFonts w:ascii="Times New Roman" w:hAnsi="Times New Roman" w:cs="Times New Roman"/>
          <w:noProof/>
          <w:sz w:val="24"/>
          <w:szCs w:val="24"/>
          <w:lang w:val="en-IE"/>
        </w:rPr>
        <w:t>The Commission reports on the 2021-2027 core performance indicators</w:t>
      </w:r>
      <w:r w:rsidRPr="003C16B9">
        <w:rPr>
          <w:rStyle w:val="FootnoteReference"/>
          <w:rFonts w:ascii="Times New Roman" w:hAnsi="Times New Roman" w:cs="Times New Roman"/>
          <w:noProof/>
          <w:sz w:val="24"/>
          <w:szCs w:val="24"/>
          <w:lang w:val="en-IE"/>
        </w:rPr>
        <w:footnoteReference w:id="24"/>
      </w:r>
      <w:r w:rsidRPr="003C16B9">
        <w:rPr>
          <w:rFonts w:ascii="Times New Roman" w:hAnsi="Times New Roman" w:cs="Times New Roman"/>
          <w:noProof/>
          <w:sz w:val="24"/>
          <w:szCs w:val="24"/>
          <w:lang w:val="en-IE"/>
        </w:rPr>
        <w:t xml:space="preserve"> by spending programme in the </w:t>
      </w:r>
      <w:hyperlink r:id="rId19" w:history="1">
        <w:r w:rsidRPr="003C16B9">
          <w:rPr>
            <w:rStyle w:val="Hyperlink"/>
            <w:rFonts w:ascii="Times New Roman" w:hAnsi="Times New Roman" w:cs="Times New Roman"/>
            <w:noProof/>
            <w:sz w:val="24"/>
            <w:szCs w:val="24"/>
            <w:lang w:val="en-IE"/>
          </w:rPr>
          <w:t>programme-performance statements</w:t>
        </w:r>
      </w:hyperlink>
      <w:r w:rsidRPr="003C16B9">
        <w:rPr>
          <w:rFonts w:ascii="Times New Roman" w:hAnsi="Times New Roman" w:cs="Times New Roman"/>
          <w:noProof/>
          <w:sz w:val="24"/>
          <w:szCs w:val="24"/>
          <w:lang w:val="en-IE"/>
        </w:rPr>
        <w:t xml:space="preserve">, which are part of the Annual Management and Performance Report. 45% of these indicators are results-based, demonstrating a strong emphasis on results. </w:t>
      </w:r>
    </w:p>
    <w:p w14:paraId="429E73EC" w14:textId="1BD9CB49" w:rsidR="00F204F0" w:rsidRPr="003C16B9" w:rsidRDefault="00F204F0" w:rsidP="00F204F0">
      <w:pPr>
        <w:spacing w:before="120" w:after="120"/>
        <w:jc w:val="both"/>
        <w:rPr>
          <w:rFonts w:ascii="Times New Roman" w:hAnsi="Times New Roman" w:cs="Times New Roman"/>
          <w:noProof/>
          <w:sz w:val="24"/>
          <w:szCs w:val="24"/>
          <w:lang w:val="en-IE"/>
        </w:rPr>
      </w:pPr>
      <w:r w:rsidRPr="003C16B9">
        <w:rPr>
          <w:rFonts w:ascii="Times New Roman" w:hAnsi="Times New Roman" w:cs="Times New Roman"/>
          <w:noProof/>
          <w:sz w:val="24"/>
          <w:szCs w:val="24"/>
          <w:lang w:val="en-IE"/>
        </w:rPr>
        <w:t>In addition, in December 2023</w:t>
      </w:r>
      <w:r w:rsidR="00173426">
        <w:rPr>
          <w:rFonts w:ascii="Times New Roman" w:hAnsi="Times New Roman" w:cs="Times New Roman"/>
          <w:noProof/>
          <w:sz w:val="24"/>
          <w:szCs w:val="24"/>
          <w:lang w:val="en-IE"/>
        </w:rPr>
        <w:t>,</w:t>
      </w:r>
      <w:r w:rsidRPr="003C16B9">
        <w:rPr>
          <w:rFonts w:ascii="Times New Roman" w:hAnsi="Times New Roman" w:cs="Times New Roman"/>
          <w:noProof/>
          <w:sz w:val="24"/>
          <w:szCs w:val="24"/>
          <w:lang w:val="en-IE"/>
        </w:rPr>
        <w:t xml:space="preserve"> the Commission unveiled the first impact report for the NextGenerationEU green bonds</w:t>
      </w:r>
      <w:r w:rsidRPr="003C16B9">
        <w:rPr>
          <w:rStyle w:val="FootnoteReference"/>
          <w:rFonts w:ascii="Times New Roman" w:hAnsi="Times New Roman" w:cs="Times New Roman"/>
          <w:noProof/>
          <w:sz w:val="24"/>
          <w:szCs w:val="24"/>
          <w:lang w:val="en-IE"/>
        </w:rPr>
        <w:footnoteReference w:id="25"/>
      </w:r>
      <w:r w:rsidRPr="003C16B9">
        <w:rPr>
          <w:rFonts w:ascii="Times New Roman" w:hAnsi="Times New Roman" w:cs="Times New Roman"/>
          <w:noProof/>
          <w:sz w:val="24"/>
          <w:szCs w:val="24"/>
          <w:lang w:val="en-IE"/>
        </w:rPr>
        <w:t xml:space="preserve">. This report measured the </w:t>
      </w:r>
      <w:r w:rsidRPr="003C16B9">
        <w:rPr>
          <w:rFonts w:ascii="Times New Roman" w:hAnsi="Times New Roman" w:cs="Times New Roman"/>
          <w:b/>
          <w:bCs/>
          <w:noProof/>
          <w:sz w:val="24"/>
          <w:szCs w:val="24"/>
          <w:lang w:val="en-IE"/>
        </w:rPr>
        <w:t xml:space="preserve">concrete climate impact </w:t>
      </w:r>
      <w:r w:rsidRPr="003C16B9">
        <w:rPr>
          <w:rFonts w:ascii="Times New Roman" w:hAnsi="Times New Roman" w:cs="Times New Roman"/>
          <w:noProof/>
          <w:sz w:val="24"/>
          <w:szCs w:val="24"/>
          <w:lang w:val="en-IE"/>
        </w:rPr>
        <w:t xml:space="preserve">of the investments financed by </w:t>
      </w:r>
      <w:r w:rsidR="009D5C7E">
        <w:rPr>
          <w:rFonts w:ascii="Times New Roman" w:hAnsi="Times New Roman" w:cs="Times New Roman"/>
          <w:noProof/>
          <w:sz w:val="24"/>
          <w:szCs w:val="24"/>
          <w:lang w:val="en-IE"/>
        </w:rPr>
        <w:t>those</w:t>
      </w:r>
      <w:r w:rsidR="009D5C7E" w:rsidRPr="003C16B9">
        <w:rPr>
          <w:rFonts w:ascii="Times New Roman" w:hAnsi="Times New Roman" w:cs="Times New Roman"/>
          <w:noProof/>
          <w:sz w:val="24"/>
          <w:szCs w:val="24"/>
          <w:lang w:val="en-IE"/>
        </w:rPr>
        <w:t xml:space="preserve"> </w:t>
      </w:r>
      <w:r w:rsidRPr="003C16B9">
        <w:rPr>
          <w:rFonts w:ascii="Times New Roman" w:hAnsi="Times New Roman" w:cs="Times New Roman"/>
          <w:noProof/>
          <w:sz w:val="24"/>
          <w:szCs w:val="24"/>
          <w:lang w:val="en-IE"/>
        </w:rPr>
        <w:t xml:space="preserve">green bonds in terms of greenhouse-gas emissions that have been avoided. </w:t>
      </w:r>
    </w:p>
    <w:p w14:paraId="53D206E4" w14:textId="77777777" w:rsidR="00F204F0" w:rsidRPr="003C16B9" w:rsidRDefault="00F204F0" w:rsidP="00F204F0">
      <w:pPr>
        <w:spacing w:before="120" w:after="120"/>
        <w:jc w:val="both"/>
        <w:rPr>
          <w:rFonts w:ascii="Times New Roman" w:hAnsi="Times New Roman" w:cs="Times New Roman"/>
          <w:b/>
          <w:bCs/>
          <w:noProof/>
          <w:sz w:val="24"/>
          <w:szCs w:val="24"/>
        </w:rPr>
      </w:pPr>
      <w:r w:rsidRPr="003C16B9">
        <w:rPr>
          <w:rFonts w:ascii="Times New Roman" w:hAnsi="Times New Roman" w:cs="Times New Roman"/>
          <w:noProof/>
          <w:sz w:val="24"/>
          <w:szCs w:val="24"/>
        </w:rPr>
        <w:t>Lastly, the Commission also shares Parliament’s view on the</w:t>
      </w:r>
      <w:r w:rsidRPr="003C16B9">
        <w:rPr>
          <w:rFonts w:ascii="Times New Roman" w:hAnsi="Times New Roman" w:cs="Times New Roman"/>
          <w:b/>
          <w:bCs/>
          <w:noProof/>
          <w:sz w:val="24"/>
          <w:szCs w:val="24"/>
        </w:rPr>
        <w:t xml:space="preserve"> </w:t>
      </w:r>
      <w:r w:rsidRPr="003C16B9">
        <w:rPr>
          <w:rFonts w:ascii="Times New Roman" w:hAnsi="Times New Roman" w:cs="Times New Roman"/>
          <w:noProof/>
          <w:sz w:val="24"/>
          <w:szCs w:val="24"/>
        </w:rPr>
        <w:t>‘importance of continuing the efforts made in gender budgeting’</w:t>
      </w:r>
      <w:r w:rsidRPr="003C16B9">
        <w:rPr>
          <w:rStyle w:val="FootnoteReference"/>
          <w:rFonts w:ascii="Times New Roman" w:hAnsi="Times New Roman" w:cs="Times New Roman"/>
          <w:noProof/>
          <w:sz w:val="24"/>
          <w:szCs w:val="24"/>
        </w:rPr>
        <w:footnoteReference w:id="26"/>
      </w:r>
      <w:r w:rsidRPr="003C16B9">
        <w:rPr>
          <w:rFonts w:ascii="Times New Roman" w:hAnsi="Times New Roman" w:cs="Times New Roman"/>
          <w:noProof/>
          <w:sz w:val="24"/>
          <w:szCs w:val="24"/>
        </w:rPr>
        <w:t>.</w:t>
      </w:r>
    </w:p>
    <w:p w14:paraId="3B5F30B8" w14:textId="0F0EFC71" w:rsidR="00F204F0" w:rsidRPr="003C16B9" w:rsidRDefault="00F204F0" w:rsidP="00F204F0">
      <w:pPr>
        <w:spacing w:before="120" w:after="120"/>
        <w:jc w:val="both"/>
        <w:rPr>
          <w:rFonts w:ascii="Times New Roman" w:hAnsi="Times New Roman" w:cs="Times New Roman"/>
          <w:noProof/>
          <w:sz w:val="24"/>
          <w:szCs w:val="24"/>
        </w:rPr>
      </w:pPr>
      <w:r w:rsidRPr="003C16B9">
        <w:rPr>
          <w:rFonts w:ascii="Times New Roman" w:hAnsi="Times New Roman" w:cs="Times New Roman"/>
          <w:noProof/>
          <w:sz w:val="24"/>
          <w:szCs w:val="24"/>
        </w:rPr>
        <w:t xml:space="preserve">The Commission has integrated cross-policy priorities into the EU budget, including the priority of </w:t>
      </w:r>
      <w:r w:rsidRPr="003C16B9">
        <w:rPr>
          <w:rFonts w:ascii="Times New Roman" w:hAnsi="Times New Roman" w:cs="Times New Roman"/>
          <w:b/>
          <w:bCs/>
          <w:noProof/>
          <w:sz w:val="24"/>
          <w:szCs w:val="24"/>
        </w:rPr>
        <w:t>promoting gender equality</w:t>
      </w:r>
      <w:r w:rsidRPr="003C16B9">
        <w:rPr>
          <w:rFonts w:ascii="Times New Roman" w:hAnsi="Times New Roman" w:cs="Times New Roman"/>
          <w:noProof/>
          <w:sz w:val="24"/>
          <w:szCs w:val="24"/>
        </w:rPr>
        <w:t xml:space="preserve">. In 2022, the Commission issued a methodology to quantify EU budget expenditure supporting gender equality. This methodology has been applied to the entire EU budget since the 2023 draft budget. </w:t>
      </w:r>
    </w:p>
    <w:p w14:paraId="4DDCDF28" w14:textId="77777777" w:rsidR="00F204F0" w:rsidRPr="003C16B9" w:rsidRDefault="00F204F0" w:rsidP="00F204F0">
      <w:pPr>
        <w:pStyle w:val="ListParagraph"/>
        <w:numPr>
          <w:ilvl w:val="0"/>
          <w:numId w:val="20"/>
        </w:numPr>
        <w:spacing w:before="120" w:after="120"/>
        <w:ind w:left="357" w:hanging="357"/>
        <w:contextualSpacing w:val="0"/>
        <w:jc w:val="both"/>
        <w:rPr>
          <w:rFonts w:ascii="Times New Roman" w:hAnsi="Times New Roman" w:cs="Times New Roman"/>
          <w:b/>
          <w:bCs/>
          <w:noProof/>
          <w:sz w:val="24"/>
          <w:szCs w:val="24"/>
        </w:rPr>
      </w:pPr>
      <w:bookmarkStart w:id="5" w:name="_Hlk167270624"/>
      <w:r w:rsidRPr="003C16B9">
        <w:rPr>
          <w:rFonts w:ascii="Times New Roman" w:hAnsi="Times New Roman" w:cs="Times New Roman"/>
          <w:b/>
          <w:bCs/>
          <w:noProof/>
          <w:sz w:val="24"/>
          <w:szCs w:val="24"/>
        </w:rPr>
        <w:t>Outstanding budgetary commitments – ‘reste à liquider’ (RAL) and measures to speed up the implementation of EU funds</w:t>
      </w:r>
    </w:p>
    <w:bookmarkEnd w:id="5"/>
    <w:p w14:paraId="2D69D2FB" w14:textId="77777777" w:rsidR="00F204F0" w:rsidRPr="003C16B9" w:rsidRDefault="00F204F0" w:rsidP="00F204F0">
      <w:pPr>
        <w:spacing w:before="120" w:after="120"/>
        <w:jc w:val="both"/>
        <w:rPr>
          <w:rFonts w:ascii="Times New Roman" w:eastAsia="Times New Roman" w:hAnsi="Times New Roman" w:cs="Times New Roman"/>
          <w:noProof/>
          <w:sz w:val="24"/>
          <w:szCs w:val="24"/>
        </w:rPr>
      </w:pPr>
      <w:r w:rsidRPr="003C16B9">
        <w:rPr>
          <w:rFonts w:ascii="Times New Roman" w:eastAsia="Times New Roman" w:hAnsi="Times New Roman" w:cs="Times New Roman"/>
          <w:noProof/>
          <w:sz w:val="24"/>
          <w:szCs w:val="24"/>
        </w:rPr>
        <w:t>The Commission notes that, in the discharge resolution, Parliament ‘is concerned that the late adoption of several sectoral regulations governing different EU policies, such as the cohesion policy, resulted in a significant delay in the implementation of the 2021-2027 programming period’ and that it ‘calls on the Commission to indicate to the discharge authority which measures it intends to take to address this situation’</w:t>
      </w:r>
      <w:r w:rsidRPr="003C16B9">
        <w:rPr>
          <w:rStyle w:val="FootnoteReference"/>
          <w:rFonts w:ascii="Times New Roman" w:eastAsia="Times New Roman" w:hAnsi="Times New Roman" w:cs="Times New Roman"/>
          <w:noProof/>
          <w:sz w:val="24"/>
          <w:szCs w:val="24"/>
        </w:rPr>
        <w:footnoteReference w:id="27"/>
      </w:r>
      <w:r w:rsidRPr="003C16B9">
        <w:rPr>
          <w:rFonts w:ascii="Times New Roman" w:eastAsia="Times New Roman" w:hAnsi="Times New Roman" w:cs="Times New Roman"/>
          <w:noProof/>
          <w:sz w:val="24"/>
          <w:szCs w:val="24"/>
        </w:rPr>
        <w:t xml:space="preserve">. </w:t>
      </w:r>
    </w:p>
    <w:p w14:paraId="4FCFABAB" w14:textId="77777777" w:rsidR="00F204F0" w:rsidRPr="003C16B9" w:rsidRDefault="00F204F0" w:rsidP="00F204F0">
      <w:pPr>
        <w:spacing w:before="120" w:after="120"/>
        <w:jc w:val="both"/>
        <w:rPr>
          <w:rFonts w:ascii="Times New Roman" w:eastAsia="Times New Roman" w:hAnsi="Times New Roman" w:cs="Times New Roman"/>
          <w:noProof/>
          <w:sz w:val="24"/>
          <w:szCs w:val="24"/>
        </w:rPr>
      </w:pPr>
      <w:r w:rsidRPr="003C16B9">
        <w:rPr>
          <w:rFonts w:ascii="Times New Roman" w:eastAsia="Times New Roman" w:hAnsi="Times New Roman" w:cs="Times New Roman"/>
          <w:b/>
          <w:bCs/>
          <w:noProof/>
          <w:sz w:val="24"/>
          <w:szCs w:val="24"/>
        </w:rPr>
        <w:t>Outstanding commitments</w:t>
      </w:r>
      <w:r w:rsidRPr="003C16B9">
        <w:rPr>
          <w:rFonts w:ascii="Times New Roman" w:eastAsia="Times New Roman" w:hAnsi="Times New Roman" w:cs="Times New Roman"/>
          <w:noProof/>
          <w:sz w:val="24"/>
          <w:szCs w:val="24"/>
        </w:rPr>
        <w:t xml:space="preserve"> (commonly referred to as ‘the RAL’ – reste à liquider) are amounts that have been committed but not yet paid. </w:t>
      </w:r>
      <w:r w:rsidRPr="003C16B9">
        <w:rPr>
          <w:rFonts w:ascii="Times New Roman" w:hAnsi="Times New Roman" w:cs="Times New Roman"/>
          <w:noProof/>
          <w:sz w:val="24"/>
          <w:szCs w:val="24"/>
        </w:rPr>
        <w:t xml:space="preserve">The total RAL stood at EUR 543.0 billion at the end of 2023. The non-repayable part </w:t>
      </w:r>
      <w:r w:rsidRPr="003C16B9">
        <w:rPr>
          <w:rFonts w:ascii="Times New Roman" w:eastAsia="Times New Roman" w:hAnsi="Times New Roman" w:cs="Times New Roman"/>
          <w:noProof/>
          <w:sz w:val="24"/>
          <w:szCs w:val="24"/>
        </w:rPr>
        <w:t>of NextGenerationEU</w:t>
      </w:r>
      <w:r w:rsidRPr="003C16B9">
        <w:rPr>
          <w:rFonts w:ascii="Times New Roman" w:hAnsi="Times New Roman" w:cs="Times New Roman"/>
          <w:noProof/>
          <w:sz w:val="24"/>
          <w:szCs w:val="24"/>
        </w:rPr>
        <w:t xml:space="preserve"> contributed EUR 238.6 billion, which represents almost 44% of the total RAL</w:t>
      </w:r>
      <w:r w:rsidRPr="003C16B9">
        <w:rPr>
          <w:rStyle w:val="FootnoteReference"/>
          <w:rFonts w:ascii="Times New Roman" w:eastAsia="Times New Roman" w:hAnsi="Times New Roman" w:cs="Times New Roman"/>
          <w:noProof/>
          <w:sz w:val="24"/>
          <w:szCs w:val="24"/>
        </w:rPr>
        <w:footnoteReference w:id="28"/>
      </w:r>
      <w:r w:rsidRPr="003C16B9">
        <w:rPr>
          <w:rFonts w:ascii="Times New Roman" w:eastAsia="Times New Roman" w:hAnsi="Times New Roman" w:cs="Times New Roman"/>
          <w:noProof/>
          <w:sz w:val="24"/>
          <w:szCs w:val="24"/>
        </w:rPr>
        <w:t xml:space="preserve">. </w:t>
      </w:r>
    </w:p>
    <w:p w14:paraId="6CF999B5" w14:textId="77777777" w:rsidR="00F204F0" w:rsidRPr="003C16B9" w:rsidRDefault="00F204F0" w:rsidP="00F204F0">
      <w:pPr>
        <w:spacing w:before="120" w:after="120"/>
        <w:jc w:val="both"/>
        <w:rPr>
          <w:rFonts w:ascii="Times New Roman" w:eastAsia="Times New Roman" w:hAnsi="Times New Roman" w:cs="Times New Roman"/>
          <w:noProof/>
          <w:sz w:val="24"/>
          <w:szCs w:val="24"/>
        </w:rPr>
      </w:pPr>
      <w:r w:rsidRPr="003C16B9">
        <w:rPr>
          <w:rFonts w:ascii="Times New Roman" w:eastAsia="Times New Roman" w:hAnsi="Times New Roman" w:cs="Times New Roman"/>
          <w:noProof/>
          <w:sz w:val="24"/>
          <w:szCs w:val="24"/>
        </w:rPr>
        <w:t xml:space="preserve">The Commission will continue to monitor the implementation of the overall level of outstanding commitments and will also continue to propose, during the annual budgetary procedures, </w:t>
      </w:r>
      <w:r w:rsidRPr="003C16B9">
        <w:rPr>
          <w:rFonts w:ascii="Times New Roman" w:eastAsia="Times New Roman" w:hAnsi="Times New Roman" w:cs="Times New Roman"/>
          <w:b/>
          <w:bCs/>
          <w:noProof/>
          <w:sz w:val="24"/>
          <w:szCs w:val="24"/>
        </w:rPr>
        <w:t>levels of payment appropriations that adequately meet payment needs</w:t>
      </w:r>
      <w:r w:rsidRPr="003C16B9">
        <w:rPr>
          <w:rFonts w:ascii="Times New Roman" w:eastAsia="Times New Roman" w:hAnsi="Times New Roman" w:cs="Times New Roman"/>
          <w:noProof/>
          <w:sz w:val="24"/>
          <w:szCs w:val="24"/>
        </w:rPr>
        <w:t xml:space="preserve">. </w:t>
      </w:r>
    </w:p>
    <w:p w14:paraId="3E8AA5BF" w14:textId="77777777" w:rsidR="00F204F0" w:rsidRPr="003C16B9" w:rsidRDefault="00F204F0" w:rsidP="00F204F0">
      <w:pPr>
        <w:spacing w:before="120" w:after="120"/>
        <w:jc w:val="both"/>
        <w:rPr>
          <w:rFonts w:ascii="Times New Roman" w:eastAsia="Calibri" w:hAnsi="Times New Roman" w:cs="Times New Roman"/>
          <w:noProof/>
          <w:sz w:val="24"/>
          <w:szCs w:val="24"/>
          <w:lang w:val="en-GB"/>
        </w:rPr>
      </w:pPr>
      <w:r w:rsidRPr="004507FC">
        <w:rPr>
          <w:rFonts w:ascii="Times New Roman" w:hAnsi="Times New Roman"/>
          <w:noProof/>
          <w:sz w:val="24"/>
          <w:lang w:val="en-GB"/>
        </w:rPr>
        <w:t xml:space="preserve">Some </w:t>
      </w:r>
      <w:r w:rsidRPr="004507FC">
        <w:rPr>
          <w:rFonts w:ascii="Times New Roman" w:hAnsi="Times New Roman"/>
          <w:b/>
          <w:noProof/>
          <w:sz w:val="24"/>
          <w:lang w:val="en-GB"/>
        </w:rPr>
        <w:t>far-reaching simplifications</w:t>
      </w:r>
      <w:r w:rsidRPr="004507FC">
        <w:rPr>
          <w:rFonts w:ascii="Times New Roman" w:hAnsi="Times New Roman"/>
          <w:noProof/>
          <w:sz w:val="24"/>
          <w:lang w:val="en-GB"/>
        </w:rPr>
        <w:t xml:space="preserve"> were adopted in the Common Provisions Regulation and as part of the new legislative framework for the CAP (in particular thanks to its new delivery model).</w:t>
      </w:r>
    </w:p>
    <w:p w14:paraId="680566ED" w14:textId="75947AB8" w:rsidR="00F204F0" w:rsidRPr="003C16B9" w:rsidRDefault="00F204F0" w:rsidP="00F204F0">
      <w:pPr>
        <w:spacing w:before="120" w:after="120"/>
        <w:jc w:val="both"/>
        <w:rPr>
          <w:rFonts w:ascii="Times New Roman" w:eastAsia="Calibri" w:hAnsi="Times New Roman" w:cs="Times New Roman"/>
          <w:noProof/>
          <w:sz w:val="24"/>
          <w:szCs w:val="24"/>
        </w:rPr>
      </w:pPr>
      <w:r w:rsidRPr="003C16B9">
        <w:rPr>
          <w:rFonts w:ascii="Times New Roman" w:eastAsia="Calibri" w:hAnsi="Times New Roman" w:cs="Times New Roman"/>
          <w:noProof/>
          <w:sz w:val="24"/>
          <w:szCs w:val="24"/>
        </w:rPr>
        <w:t xml:space="preserve">The </w:t>
      </w:r>
      <w:r w:rsidRPr="003C16B9">
        <w:rPr>
          <w:rFonts w:ascii="Times New Roman" w:eastAsia="Calibri" w:hAnsi="Times New Roman" w:cs="Times New Roman"/>
          <w:b/>
          <w:bCs/>
          <w:noProof/>
          <w:sz w:val="24"/>
          <w:szCs w:val="24"/>
        </w:rPr>
        <w:t>Strategic Technologies for Europe Platform (STEP)</w:t>
      </w:r>
      <w:r w:rsidRPr="003C16B9">
        <w:rPr>
          <w:rStyle w:val="FootnoteReference"/>
          <w:rFonts w:ascii="Times New Roman" w:eastAsia="Calibri" w:hAnsi="Times New Roman" w:cs="Times New Roman"/>
          <w:noProof/>
          <w:sz w:val="24"/>
          <w:szCs w:val="24"/>
        </w:rPr>
        <w:footnoteReference w:id="29"/>
      </w:r>
      <w:r w:rsidRPr="003C16B9">
        <w:rPr>
          <w:rFonts w:ascii="Times New Roman" w:eastAsia="Calibri" w:hAnsi="Times New Roman" w:cs="Times New Roman"/>
          <w:b/>
          <w:bCs/>
          <w:noProof/>
          <w:sz w:val="24"/>
          <w:szCs w:val="24"/>
        </w:rPr>
        <w:t xml:space="preserve"> </w:t>
      </w:r>
      <w:r w:rsidRPr="003C16B9">
        <w:rPr>
          <w:rFonts w:ascii="Times New Roman" w:eastAsia="Calibri" w:hAnsi="Times New Roman" w:cs="Times New Roman"/>
          <w:noProof/>
          <w:sz w:val="24"/>
          <w:szCs w:val="24"/>
        </w:rPr>
        <w:t>provides additional flexibilities for spending dedicated to one of the three priorities of the platform across</w:t>
      </w:r>
      <w:r w:rsidRPr="003C16B9">
        <w:rPr>
          <w:rFonts w:ascii="Times New Roman" w:hAnsi="Times New Roman" w:cs="Times New Roman"/>
          <w:noProof/>
          <w:sz w:val="24"/>
          <w:szCs w:val="24"/>
        </w:rPr>
        <w:t xml:space="preserve"> 11 EU programmes</w:t>
      </w:r>
      <w:r w:rsidRPr="003C16B9">
        <w:rPr>
          <w:rFonts w:ascii="Times New Roman" w:eastAsia="Calibri" w:hAnsi="Times New Roman" w:cs="Times New Roman"/>
          <w:noProof/>
          <w:sz w:val="24"/>
          <w:szCs w:val="24"/>
        </w:rPr>
        <w:t>. Right after the entry into force of the STEP Regulation</w:t>
      </w:r>
      <w:r w:rsidRPr="003C16B9">
        <w:rPr>
          <w:rStyle w:val="FootnoteReference"/>
          <w:rFonts w:ascii="Times New Roman" w:eastAsia="Calibri" w:hAnsi="Times New Roman" w:cs="Times New Roman"/>
          <w:noProof/>
          <w:sz w:val="24"/>
          <w:szCs w:val="24"/>
        </w:rPr>
        <w:footnoteReference w:id="30"/>
      </w:r>
      <w:r w:rsidRPr="003C16B9">
        <w:rPr>
          <w:rFonts w:ascii="Times New Roman" w:eastAsia="Calibri" w:hAnsi="Times New Roman" w:cs="Times New Roman"/>
          <w:noProof/>
          <w:sz w:val="24"/>
          <w:szCs w:val="24"/>
        </w:rPr>
        <w:t xml:space="preserve">, the Commission started providing support and guidance to Member States – through meetings, replies to written questions and webinars – on the functioning of </w:t>
      </w:r>
      <w:r w:rsidR="002415B7">
        <w:rPr>
          <w:rFonts w:ascii="Times New Roman" w:eastAsia="Calibri" w:hAnsi="Times New Roman" w:cs="Times New Roman"/>
          <w:noProof/>
          <w:sz w:val="24"/>
          <w:szCs w:val="24"/>
        </w:rPr>
        <w:t xml:space="preserve">STEP </w:t>
      </w:r>
      <w:r w:rsidRPr="003C16B9">
        <w:rPr>
          <w:rFonts w:ascii="Times New Roman" w:eastAsia="Calibri" w:hAnsi="Times New Roman" w:cs="Times New Roman"/>
          <w:noProof/>
          <w:sz w:val="24"/>
          <w:szCs w:val="24"/>
        </w:rPr>
        <w:t>to make the most of the flexibilities provided. As mandated by the co-legislators, the Commission issued guidance</w:t>
      </w:r>
      <w:r w:rsidRPr="003C16B9">
        <w:rPr>
          <w:rStyle w:val="FootnoteReference"/>
          <w:rFonts w:ascii="Times New Roman" w:eastAsiaTheme="minorEastAsia" w:hAnsi="Times New Roman" w:cs="Times New Roman"/>
          <w:noProof/>
          <w:sz w:val="24"/>
          <w:szCs w:val="24"/>
        </w:rPr>
        <w:footnoteReference w:id="31"/>
      </w:r>
      <w:r w:rsidRPr="003C16B9">
        <w:rPr>
          <w:rFonts w:ascii="Times New Roman" w:eastAsia="Calibri" w:hAnsi="Times New Roman" w:cs="Times New Roman"/>
          <w:noProof/>
          <w:sz w:val="24"/>
          <w:szCs w:val="24"/>
        </w:rPr>
        <w:t xml:space="preserve"> in May 2024 on certain provisions of the </w:t>
      </w:r>
      <w:r w:rsidR="002415B7">
        <w:rPr>
          <w:rFonts w:ascii="Times New Roman" w:eastAsia="Calibri" w:hAnsi="Times New Roman" w:cs="Times New Roman"/>
          <w:noProof/>
          <w:sz w:val="24"/>
          <w:szCs w:val="24"/>
        </w:rPr>
        <w:t xml:space="preserve">STEP </w:t>
      </w:r>
      <w:r w:rsidRPr="003C16B9">
        <w:rPr>
          <w:rFonts w:ascii="Times New Roman" w:eastAsia="Calibri" w:hAnsi="Times New Roman" w:cs="Times New Roman"/>
          <w:noProof/>
          <w:sz w:val="24"/>
          <w:szCs w:val="24"/>
        </w:rPr>
        <w:t xml:space="preserve">Regulation, including clarifying </w:t>
      </w:r>
      <w:r w:rsidR="002415B7">
        <w:rPr>
          <w:rFonts w:ascii="Times New Roman" w:eastAsia="Calibri" w:hAnsi="Times New Roman" w:cs="Times New Roman"/>
          <w:noProof/>
          <w:sz w:val="24"/>
          <w:szCs w:val="24"/>
        </w:rPr>
        <w:t>its</w:t>
      </w:r>
      <w:r w:rsidR="009D5C7E">
        <w:rPr>
          <w:rFonts w:ascii="Times New Roman" w:eastAsia="Calibri" w:hAnsi="Times New Roman" w:cs="Times New Roman"/>
          <w:noProof/>
          <w:sz w:val="24"/>
          <w:szCs w:val="24"/>
        </w:rPr>
        <w:t xml:space="preserve"> </w:t>
      </w:r>
      <w:r w:rsidRPr="003C16B9">
        <w:rPr>
          <w:rFonts w:ascii="Times New Roman" w:eastAsia="Calibri" w:hAnsi="Times New Roman" w:cs="Times New Roman"/>
          <w:noProof/>
          <w:sz w:val="24"/>
          <w:szCs w:val="24"/>
        </w:rPr>
        <w:t xml:space="preserve">objectives and sectors, and illustrating the conditions for technologies to be considered critical under </w:t>
      </w:r>
      <w:r w:rsidR="002415B7">
        <w:rPr>
          <w:rFonts w:ascii="Times New Roman" w:eastAsia="Calibri" w:hAnsi="Times New Roman" w:cs="Times New Roman"/>
          <w:noProof/>
          <w:sz w:val="24"/>
          <w:szCs w:val="24"/>
        </w:rPr>
        <w:t>STEP</w:t>
      </w:r>
      <w:r w:rsidRPr="003C16B9">
        <w:rPr>
          <w:rFonts w:ascii="Times New Roman" w:eastAsia="Calibri" w:hAnsi="Times New Roman" w:cs="Times New Roman"/>
          <w:noProof/>
          <w:sz w:val="24"/>
          <w:szCs w:val="24"/>
        </w:rPr>
        <w:t>.</w:t>
      </w:r>
    </w:p>
    <w:p w14:paraId="324A8A6F" w14:textId="77777777" w:rsidR="00F204F0" w:rsidRPr="003C16B9" w:rsidRDefault="00F204F0" w:rsidP="00F204F0">
      <w:pPr>
        <w:spacing w:before="120" w:after="120"/>
        <w:jc w:val="both"/>
        <w:rPr>
          <w:rFonts w:ascii="Times New Roman" w:eastAsia="Times New Roman" w:hAnsi="Times New Roman" w:cs="Times New Roman"/>
          <w:noProof/>
          <w:sz w:val="24"/>
          <w:szCs w:val="24"/>
        </w:rPr>
      </w:pPr>
      <w:r w:rsidRPr="003C16B9">
        <w:rPr>
          <w:rFonts w:ascii="Times New Roman" w:eastAsia="Times New Roman" w:hAnsi="Times New Roman" w:cs="Times New Roman"/>
          <w:noProof/>
          <w:sz w:val="24"/>
          <w:szCs w:val="24"/>
        </w:rPr>
        <w:t>On Parliament’s call ‘on the Commission to take initiatives, such as technical assistance, to increase the absorption rate in the Member States on a permanent basis’ and to ‘closely monitor the progress of implementation in Member States […] and to deliver a country-analysis to the discharge authority, identifying the recurrent problems, as well as the measures taken to optimise the situation’</w:t>
      </w:r>
      <w:r w:rsidRPr="003C16B9">
        <w:rPr>
          <w:rStyle w:val="FootnoteReference"/>
          <w:rFonts w:ascii="Times New Roman" w:eastAsia="Times New Roman" w:hAnsi="Times New Roman" w:cs="Times New Roman"/>
          <w:noProof/>
          <w:sz w:val="24"/>
          <w:szCs w:val="24"/>
        </w:rPr>
        <w:footnoteReference w:id="32"/>
      </w:r>
      <w:r w:rsidRPr="003C16B9">
        <w:rPr>
          <w:rFonts w:ascii="Times New Roman" w:eastAsia="Times New Roman" w:hAnsi="Times New Roman" w:cs="Times New Roman"/>
          <w:noProof/>
          <w:sz w:val="24"/>
          <w:szCs w:val="24"/>
        </w:rPr>
        <w:t xml:space="preserve">, the Commission stresses that </w:t>
      </w:r>
      <w:r w:rsidRPr="003C16B9">
        <w:rPr>
          <w:rFonts w:ascii="Times New Roman" w:eastAsia="Times New Roman" w:hAnsi="Times New Roman" w:cs="Times New Roman"/>
          <w:b/>
          <w:bCs/>
          <w:noProof/>
          <w:sz w:val="24"/>
          <w:szCs w:val="24"/>
        </w:rPr>
        <w:t>absorption patterns vary significantly across management modes, programmes and Member States</w:t>
      </w:r>
      <w:r w:rsidRPr="003C16B9">
        <w:rPr>
          <w:rFonts w:ascii="Times New Roman" w:eastAsia="Times New Roman" w:hAnsi="Times New Roman" w:cs="Times New Roman"/>
          <w:noProof/>
          <w:sz w:val="24"/>
          <w:szCs w:val="24"/>
        </w:rPr>
        <w:t xml:space="preserve">. </w:t>
      </w:r>
    </w:p>
    <w:p w14:paraId="70AD9339" w14:textId="3FCD1320" w:rsidR="00F204F0" w:rsidRPr="003C16B9" w:rsidRDefault="00F204F0" w:rsidP="00F204F0">
      <w:pPr>
        <w:spacing w:before="120" w:after="120"/>
        <w:jc w:val="both"/>
        <w:rPr>
          <w:rFonts w:ascii="Times New Roman" w:eastAsia="Calibri" w:hAnsi="Times New Roman" w:cs="Times New Roman"/>
          <w:noProof/>
          <w:sz w:val="24"/>
          <w:szCs w:val="24"/>
          <w:lang w:val="en-GB"/>
        </w:rPr>
      </w:pPr>
      <w:r w:rsidRPr="003C16B9">
        <w:rPr>
          <w:rFonts w:ascii="Times New Roman" w:eastAsia="Times New Roman" w:hAnsi="Times New Roman" w:cs="Times New Roman"/>
          <w:noProof/>
          <w:sz w:val="24"/>
          <w:szCs w:val="24"/>
        </w:rPr>
        <w:t xml:space="preserve">For programmes implemented with national authorities, the Commission helps strengthen their administrative capacity and address bottlenecks in investments in many ways, be it through technical assistance in cohesion policy, the </w:t>
      </w:r>
      <w:r w:rsidR="002415B7">
        <w:rPr>
          <w:rFonts w:ascii="Times New Roman" w:eastAsia="Times New Roman" w:hAnsi="Times New Roman" w:cs="Times New Roman"/>
          <w:noProof/>
          <w:sz w:val="24"/>
          <w:szCs w:val="24"/>
        </w:rPr>
        <w:t>t</w:t>
      </w:r>
      <w:r w:rsidRPr="003C16B9">
        <w:rPr>
          <w:rFonts w:ascii="Times New Roman" w:eastAsia="Times New Roman" w:hAnsi="Times New Roman" w:cs="Times New Roman"/>
          <w:noProof/>
          <w:sz w:val="24"/>
          <w:szCs w:val="24"/>
        </w:rPr>
        <w:t xml:space="preserve">echnical </w:t>
      </w:r>
      <w:r w:rsidR="002415B7">
        <w:rPr>
          <w:rFonts w:ascii="Times New Roman" w:eastAsia="Times New Roman" w:hAnsi="Times New Roman" w:cs="Times New Roman"/>
          <w:noProof/>
          <w:sz w:val="24"/>
          <w:szCs w:val="24"/>
        </w:rPr>
        <w:t>s</w:t>
      </w:r>
      <w:r w:rsidRPr="003C16B9">
        <w:rPr>
          <w:rFonts w:ascii="Times New Roman" w:eastAsia="Times New Roman" w:hAnsi="Times New Roman" w:cs="Times New Roman"/>
          <w:noProof/>
          <w:sz w:val="24"/>
          <w:szCs w:val="24"/>
        </w:rPr>
        <w:t xml:space="preserve">upport </w:t>
      </w:r>
      <w:r w:rsidR="002415B7">
        <w:rPr>
          <w:rFonts w:ascii="Times New Roman" w:eastAsia="Times New Roman" w:hAnsi="Times New Roman" w:cs="Times New Roman"/>
          <w:noProof/>
          <w:sz w:val="24"/>
          <w:szCs w:val="24"/>
        </w:rPr>
        <w:t>i</w:t>
      </w:r>
      <w:r w:rsidRPr="003C16B9">
        <w:rPr>
          <w:rFonts w:ascii="Times New Roman" w:eastAsia="Times New Roman" w:hAnsi="Times New Roman" w:cs="Times New Roman"/>
          <w:noProof/>
          <w:sz w:val="24"/>
          <w:szCs w:val="24"/>
        </w:rPr>
        <w:t>nstrument</w:t>
      </w:r>
      <w:r w:rsidR="00173426">
        <w:rPr>
          <w:rStyle w:val="FootnoteReference"/>
          <w:rFonts w:ascii="Times New Roman" w:eastAsia="Times New Roman" w:hAnsi="Times New Roman" w:cs="Times New Roman"/>
          <w:noProof/>
          <w:sz w:val="24"/>
          <w:szCs w:val="24"/>
        </w:rPr>
        <w:footnoteReference w:id="33"/>
      </w:r>
      <w:r w:rsidRPr="003C16B9">
        <w:rPr>
          <w:rFonts w:ascii="Times New Roman" w:eastAsia="Times New Roman" w:hAnsi="Times New Roman" w:cs="Times New Roman"/>
          <w:noProof/>
          <w:sz w:val="24"/>
          <w:szCs w:val="24"/>
        </w:rPr>
        <w:t xml:space="preserve">, or measures supported by the </w:t>
      </w:r>
      <w:r w:rsidR="002415B7">
        <w:rPr>
          <w:rFonts w:ascii="Times New Roman" w:eastAsia="Times New Roman" w:hAnsi="Times New Roman" w:cs="Times New Roman"/>
          <w:noProof/>
          <w:sz w:val="24"/>
          <w:szCs w:val="24"/>
        </w:rPr>
        <w:t>RRF</w:t>
      </w:r>
      <w:r w:rsidRPr="003C16B9">
        <w:rPr>
          <w:rFonts w:ascii="Times New Roman" w:eastAsia="Times New Roman" w:hAnsi="Times New Roman" w:cs="Times New Roman"/>
          <w:noProof/>
          <w:sz w:val="24"/>
          <w:szCs w:val="24"/>
        </w:rPr>
        <w:t xml:space="preserve">. </w:t>
      </w:r>
    </w:p>
    <w:p w14:paraId="4DF5D5D0" w14:textId="77777777" w:rsidR="00F204F0" w:rsidRPr="003C16B9" w:rsidRDefault="00F204F0" w:rsidP="00F204F0">
      <w:pPr>
        <w:spacing w:before="120" w:after="120"/>
        <w:jc w:val="both"/>
        <w:rPr>
          <w:rFonts w:ascii="Times New Roman" w:eastAsia="Calibri" w:hAnsi="Times New Roman" w:cs="Times New Roman"/>
          <w:noProof/>
          <w:sz w:val="24"/>
          <w:szCs w:val="24"/>
          <w:lang w:val="en-GB"/>
        </w:rPr>
      </w:pPr>
      <w:r w:rsidRPr="003C16B9">
        <w:rPr>
          <w:rFonts w:ascii="Times New Roman" w:eastAsia="Calibri" w:hAnsi="Times New Roman" w:cs="Times New Roman"/>
          <w:noProof/>
          <w:sz w:val="24"/>
          <w:szCs w:val="24"/>
          <w:lang w:val="en-GB"/>
        </w:rPr>
        <w:t>In addition, f</w:t>
      </w:r>
      <w:r w:rsidRPr="003C16B9">
        <w:rPr>
          <w:rFonts w:ascii="Times New Roman" w:eastAsia="Calibri" w:hAnsi="Times New Roman" w:cs="Times New Roman"/>
          <w:noProof/>
          <w:sz w:val="24"/>
          <w:szCs w:val="24"/>
        </w:rPr>
        <w:t xml:space="preserve">ollowing the adoption of the 2021-2027 cohesion-policy programmes, </w:t>
      </w:r>
      <w:r w:rsidRPr="003C16B9">
        <w:rPr>
          <w:rFonts w:ascii="Times New Roman" w:eastAsia="Calibri" w:hAnsi="Times New Roman" w:cs="Times New Roman"/>
          <w:b/>
          <w:bCs/>
          <w:noProof/>
          <w:sz w:val="24"/>
          <w:szCs w:val="24"/>
          <w:lang w:val="en-GB"/>
        </w:rPr>
        <w:t>the Commission is participating in the work of the programmes’ monitoring committees</w:t>
      </w:r>
      <w:r w:rsidRPr="003C16B9">
        <w:rPr>
          <w:rFonts w:ascii="Times New Roman" w:eastAsia="Calibri" w:hAnsi="Times New Roman" w:cs="Times New Roman"/>
          <w:noProof/>
          <w:sz w:val="24"/>
          <w:szCs w:val="24"/>
          <w:lang w:val="en-GB"/>
        </w:rPr>
        <w:t xml:space="preserve">. If there is any indication of issues hindering smooth implementation, the Commission provides advice to – and cooperates with – the Member State concerned until the issue is resolved. Action plans can be agreed with the Member States if the programmes or parts of the programmes are being implemented slowly. </w:t>
      </w:r>
    </w:p>
    <w:p w14:paraId="6B1859D0" w14:textId="62A83D00" w:rsidR="00F204F0" w:rsidRPr="003C16B9" w:rsidRDefault="00F204F0" w:rsidP="00F204F0">
      <w:pPr>
        <w:spacing w:before="120" w:after="120"/>
        <w:jc w:val="both"/>
        <w:rPr>
          <w:rFonts w:ascii="Times New Roman" w:eastAsia="Calibri" w:hAnsi="Times New Roman" w:cs="Times New Roman"/>
          <w:noProof/>
          <w:sz w:val="24"/>
          <w:szCs w:val="24"/>
          <w:lang w:val="en-GB"/>
        </w:rPr>
      </w:pPr>
      <w:r w:rsidRPr="003C16B9">
        <w:rPr>
          <w:rFonts w:ascii="Times New Roman" w:eastAsia="Calibri" w:hAnsi="Times New Roman" w:cs="Times New Roman"/>
          <w:noProof/>
          <w:sz w:val="24"/>
          <w:szCs w:val="24"/>
          <w:lang w:val="en-GB"/>
        </w:rPr>
        <w:t xml:space="preserve">The submission of data to the Commission on the implementation of programmes </w:t>
      </w:r>
      <w:r w:rsidR="009D5C7E">
        <w:rPr>
          <w:rFonts w:ascii="Times New Roman" w:eastAsia="Calibri" w:hAnsi="Times New Roman" w:cs="Times New Roman"/>
          <w:noProof/>
          <w:sz w:val="24"/>
          <w:szCs w:val="24"/>
          <w:lang w:val="en-GB"/>
        </w:rPr>
        <w:t xml:space="preserve">falling under the Common Provisions Regulation </w:t>
      </w:r>
      <w:r w:rsidRPr="003C16B9">
        <w:rPr>
          <w:rFonts w:ascii="Times New Roman" w:eastAsia="Calibri" w:hAnsi="Times New Roman" w:cs="Times New Roman"/>
          <w:noProof/>
          <w:sz w:val="24"/>
          <w:szCs w:val="24"/>
          <w:lang w:val="en-GB"/>
        </w:rPr>
        <w:t xml:space="preserve">is required more frequently than in the previous programming period. </w:t>
      </w:r>
      <w:bookmarkStart w:id="6" w:name="_Hlk165884667"/>
      <w:r w:rsidRPr="003C16B9">
        <w:rPr>
          <w:rFonts w:ascii="Times New Roman" w:eastAsia="Calibri" w:hAnsi="Times New Roman" w:cs="Times New Roman"/>
          <w:noProof/>
          <w:sz w:val="24"/>
          <w:szCs w:val="24"/>
          <w:lang w:val="en-GB"/>
        </w:rPr>
        <w:t xml:space="preserve">Data must now be submitted five times per year, </w:t>
      </w:r>
      <w:r w:rsidR="00173426">
        <w:rPr>
          <w:rFonts w:ascii="Times New Roman" w:eastAsia="Calibri" w:hAnsi="Times New Roman" w:cs="Times New Roman"/>
          <w:noProof/>
          <w:sz w:val="24"/>
          <w:szCs w:val="24"/>
          <w:lang w:val="en-GB"/>
        </w:rPr>
        <w:t>providing the</w:t>
      </w:r>
      <w:r w:rsidRPr="003C16B9">
        <w:rPr>
          <w:rFonts w:ascii="Times New Roman" w:eastAsia="Calibri" w:hAnsi="Times New Roman" w:cs="Times New Roman"/>
          <w:noProof/>
          <w:sz w:val="24"/>
          <w:szCs w:val="24"/>
          <w:lang w:val="en-GB"/>
        </w:rPr>
        <w:t xml:space="preserve"> Commission with </w:t>
      </w:r>
      <w:r w:rsidRPr="003C16B9">
        <w:rPr>
          <w:rFonts w:ascii="Times New Roman" w:eastAsia="Calibri" w:hAnsi="Times New Roman" w:cs="Times New Roman"/>
          <w:b/>
          <w:bCs/>
          <w:noProof/>
          <w:sz w:val="24"/>
          <w:szCs w:val="24"/>
          <w:lang w:val="en-GB"/>
        </w:rPr>
        <w:t xml:space="preserve">almost real-time data on implementation </w:t>
      </w:r>
      <w:r w:rsidR="00173426" w:rsidRPr="003C16B9">
        <w:rPr>
          <w:rFonts w:ascii="Times New Roman" w:eastAsia="Calibri" w:hAnsi="Times New Roman" w:cs="Times New Roman"/>
          <w:b/>
          <w:bCs/>
          <w:noProof/>
          <w:sz w:val="24"/>
          <w:szCs w:val="24"/>
          <w:lang w:val="en-GB"/>
        </w:rPr>
        <w:t>progress</w:t>
      </w:r>
      <w:r w:rsidR="00173426" w:rsidRPr="003C16B9">
        <w:rPr>
          <w:rFonts w:ascii="Times New Roman" w:eastAsia="Calibri" w:hAnsi="Times New Roman" w:cs="Times New Roman"/>
          <w:noProof/>
          <w:sz w:val="24"/>
          <w:szCs w:val="24"/>
          <w:lang w:val="en-GB"/>
        </w:rPr>
        <w:t xml:space="preserve"> and</w:t>
      </w:r>
      <w:r w:rsidRPr="003C16B9">
        <w:rPr>
          <w:rFonts w:ascii="Times New Roman" w:eastAsia="Calibri" w:hAnsi="Times New Roman" w:cs="Times New Roman"/>
          <w:noProof/>
          <w:sz w:val="24"/>
          <w:szCs w:val="24"/>
          <w:lang w:val="en-GB"/>
        </w:rPr>
        <w:t xml:space="preserve"> enabl</w:t>
      </w:r>
      <w:r w:rsidR="00173426">
        <w:rPr>
          <w:rFonts w:ascii="Times New Roman" w:eastAsia="Calibri" w:hAnsi="Times New Roman" w:cs="Times New Roman"/>
          <w:noProof/>
          <w:sz w:val="24"/>
          <w:szCs w:val="24"/>
          <w:lang w:val="en-GB"/>
        </w:rPr>
        <w:t>ing</w:t>
      </w:r>
      <w:r w:rsidRPr="003C16B9">
        <w:rPr>
          <w:rFonts w:ascii="Times New Roman" w:eastAsia="Calibri" w:hAnsi="Times New Roman" w:cs="Times New Roman"/>
          <w:noProof/>
          <w:sz w:val="24"/>
          <w:szCs w:val="24"/>
          <w:lang w:val="en-GB"/>
        </w:rPr>
        <w:t xml:space="preserve"> it to </w:t>
      </w:r>
      <w:r w:rsidR="00D44A45">
        <w:rPr>
          <w:rFonts w:ascii="Times New Roman" w:eastAsia="Calibri" w:hAnsi="Times New Roman" w:cs="Times New Roman"/>
          <w:noProof/>
          <w:sz w:val="24"/>
          <w:szCs w:val="24"/>
          <w:lang w:val="en-GB"/>
        </w:rPr>
        <w:t xml:space="preserve">promptly </w:t>
      </w:r>
      <w:r w:rsidRPr="003C16B9">
        <w:rPr>
          <w:rFonts w:ascii="Times New Roman" w:eastAsia="Calibri" w:hAnsi="Times New Roman" w:cs="Times New Roman"/>
          <w:noProof/>
          <w:sz w:val="24"/>
          <w:szCs w:val="24"/>
          <w:lang w:val="en-GB"/>
        </w:rPr>
        <w:t>increase its support to Member States.</w:t>
      </w:r>
      <w:bookmarkEnd w:id="6"/>
      <w:r w:rsidRPr="003C16B9">
        <w:rPr>
          <w:rFonts w:ascii="Times New Roman" w:eastAsia="Calibri" w:hAnsi="Times New Roman" w:cs="Times New Roman"/>
          <w:noProof/>
          <w:sz w:val="24"/>
          <w:szCs w:val="24"/>
          <w:lang w:val="en-GB"/>
        </w:rPr>
        <w:t xml:space="preserve"> </w:t>
      </w:r>
    </w:p>
    <w:p w14:paraId="203A64D2" w14:textId="78A2DEB8" w:rsidR="00F204F0" w:rsidRPr="00971277" w:rsidRDefault="00F204F0" w:rsidP="00F204F0">
      <w:pPr>
        <w:spacing w:before="120" w:after="120"/>
        <w:jc w:val="both"/>
        <w:rPr>
          <w:rFonts w:ascii="Times New Roman" w:hAnsi="Times New Roman" w:cs="Times New Roman"/>
          <w:noProof/>
          <w:sz w:val="24"/>
          <w:szCs w:val="24"/>
        </w:rPr>
      </w:pPr>
      <w:r w:rsidRPr="003C16B9">
        <w:rPr>
          <w:rFonts w:ascii="Times New Roman" w:hAnsi="Times New Roman" w:cs="Times New Roman"/>
          <w:noProof/>
          <w:sz w:val="24"/>
          <w:szCs w:val="24"/>
        </w:rPr>
        <w:t xml:space="preserve">Detailed absorption data by country are made available by spending programme. For the biggest programmes, information can be found under: (i) the </w:t>
      </w:r>
      <w:hyperlink r:id="rId20" w:history="1">
        <w:r w:rsidR="009D5C7E">
          <w:rPr>
            <w:rStyle w:val="Hyperlink"/>
            <w:rFonts w:ascii="Times New Roman" w:hAnsi="Times New Roman" w:cs="Times New Roman"/>
            <w:noProof/>
            <w:sz w:val="24"/>
            <w:szCs w:val="24"/>
          </w:rPr>
          <w:t>R</w:t>
        </w:r>
        <w:r w:rsidR="009D5C7E" w:rsidRPr="003C16B9">
          <w:rPr>
            <w:rStyle w:val="Hyperlink"/>
            <w:rFonts w:ascii="Times New Roman" w:hAnsi="Times New Roman" w:cs="Times New Roman"/>
            <w:noProof/>
            <w:sz w:val="24"/>
            <w:szCs w:val="24"/>
          </w:rPr>
          <w:t xml:space="preserve">ecovery and </w:t>
        </w:r>
        <w:r w:rsidR="009D5C7E">
          <w:rPr>
            <w:rStyle w:val="Hyperlink"/>
            <w:rFonts w:ascii="Times New Roman" w:hAnsi="Times New Roman" w:cs="Times New Roman"/>
            <w:noProof/>
            <w:sz w:val="24"/>
            <w:szCs w:val="24"/>
          </w:rPr>
          <w:t>R</w:t>
        </w:r>
        <w:r w:rsidR="009D5C7E" w:rsidRPr="003C16B9">
          <w:rPr>
            <w:rStyle w:val="Hyperlink"/>
            <w:rFonts w:ascii="Times New Roman" w:hAnsi="Times New Roman" w:cs="Times New Roman"/>
            <w:noProof/>
            <w:sz w:val="24"/>
            <w:szCs w:val="24"/>
          </w:rPr>
          <w:t>esilience</w:t>
        </w:r>
        <w:r w:rsidR="009D5C7E">
          <w:rPr>
            <w:rStyle w:val="Hyperlink"/>
            <w:rFonts w:ascii="Times New Roman" w:hAnsi="Times New Roman" w:cs="Times New Roman"/>
            <w:noProof/>
            <w:sz w:val="24"/>
            <w:szCs w:val="24"/>
          </w:rPr>
          <w:t xml:space="preserve"> Facility’s</w:t>
        </w:r>
        <w:r w:rsidR="009D5C7E" w:rsidRPr="003C16B9">
          <w:rPr>
            <w:rStyle w:val="Hyperlink"/>
            <w:rFonts w:ascii="Times New Roman" w:hAnsi="Times New Roman" w:cs="Times New Roman"/>
            <w:noProof/>
            <w:sz w:val="24"/>
            <w:szCs w:val="24"/>
          </w:rPr>
          <w:t xml:space="preserve"> scoreboard</w:t>
        </w:r>
      </w:hyperlink>
      <w:r w:rsidRPr="00971277">
        <w:rPr>
          <w:rFonts w:ascii="Times New Roman" w:hAnsi="Times New Roman" w:cs="Times New Roman"/>
          <w:noProof/>
          <w:sz w:val="24"/>
          <w:szCs w:val="24"/>
        </w:rPr>
        <w:t xml:space="preserve">; (ii) the </w:t>
      </w:r>
      <w:hyperlink r:id="rId21" w:history="1">
        <w:r w:rsidRPr="00971277">
          <w:rPr>
            <w:rStyle w:val="Hyperlink"/>
            <w:rFonts w:ascii="Times New Roman" w:hAnsi="Times New Roman" w:cs="Times New Roman"/>
            <w:noProof/>
            <w:sz w:val="24"/>
            <w:szCs w:val="24"/>
          </w:rPr>
          <w:t>cohesion open data platform</w:t>
        </w:r>
      </w:hyperlink>
      <w:r w:rsidR="006B503D" w:rsidRPr="008011AA">
        <w:rPr>
          <w:rStyle w:val="FootnoteReference"/>
          <w:rFonts w:ascii="Times New Roman" w:hAnsi="Times New Roman" w:cs="Times New Roman"/>
          <w:noProof/>
          <w:sz w:val="24"/>
          <w:szCs w:val="24"/>
        </w:rPr>
        <w:footnoteReference w:id="34"/>
      </w:r>
      <w:r w:rsidR="0039382C" w:rsidRPr="008011AA">
        <w:rPr>
          <w:rFonts w:ascii="Times New Roman" w:hAnsi="Times New Roman" w:cs="Times New Roman"/>
          <w:noProof/>
          <w:sz w:val="24"/>
          <w:szCs w:val="24"/>
        </w:rPr>
        <w:t xml:space="preserve"> </w:t>
      </w:r>
      <w:r w:rsidR="0039382C">
        <w:rPr>
          <w:rFonts w:ascii="Times New Roman" w:hAnsi="Times New Roman" w:cs="Times New Roman"/>
          <w:noProof/>
          <w:sz w:val="24"/>
          <w:szCs w:val="24"/>
        </w:rPr>
        <w:t>and</w:t>
      </w:r>
      <w:r w:rsidRPr="00971277">
        <w:rPr>
          <w:rFonts w:ascii="Times New Roman" w:hAnsi="Times New Roman" w:cs="Times New Roman"/>
          <w:noProof/>
          <w:sz w:val="24"/>
          <w:szCs w:val="24"/>
        </w:rPr>
        <w:t xml:space="preserve"> (iii) the </w:t>
      </w:r>
      <w:hyperlink r:id="rId22" w:history="1">
        <w:r w:rsidRPr="00971277">
          <w:rPr>
            <w:rStyle w:val="Hyperlink"/>
            <w:rFonts w:ascii="Times New Roman" w:hAnsi="Times New Roman" w:cs="Times New Roman"/>
            <w:noProof/>
            <w:sz w:val="24"/>
            <w:szCs w:val="24"/>
          </w:rPr>
          <w:t>Horizon dashboard</w:t>
        </w:r>
      </w:hyperlink>
      <w:r w:rsidRPr="003C16B9">
        <w:rPr>
          <w:rFonts w:ascii="Times New Roman" w:eastAsia="Calibri" w:hAnsi="Times New Roman" w:cs="Times New Roman"/>
          <w:noProof/>
          <w:color w:val="1F4E79" w:themeColor="accent1" w:themeShade="80"/>
          <w:sz w:val="24"/>
          <w:szCs w:val="24"/>
        </w:rPr>
        <w:t>.</w:t>
      </w:r>
      <w:r w:rsidRPr="00971277">
        <w:rPr>
          <w:rFonts w:ascii="Times New Roman" w:eastAsia="Calibri" w:hAnsi="Times New Roman" w:cs="Times New Roman"/>
          <w:noProof/>
          <w:color w:val="1F4E79" w:themeColor="accent1" w:themeShade="80"/>
          <w:sz w:val="24"/>
          <w:szCs w:val="24"/>
        </w:rPr>
        <w:t xml:space="preserve"> </w:t>
      </w:r>
    </w:p>
    <w:p w14:paraId="0E7DD14B" w14:textId="77777777" w:rsidR="00F204F0" w:rsidRPr="003C16B9" w:rsidRDefault="00F204F0" w:rsidP="00F204F0">
      <w:pPr>
        <w:pStyle w:val="ListParagraph"/>
        <w:numPr>
          <w:ilvl w:val="0"/>
          <w:numId w:val="20"/>
        </w:numPr>
        <w:spacing w:before="120" w:after="120"/>
        <w:ind w:left="357" w:hanging="357"/>
        <w:contextualSpacing w:val="0"/>
        <w:jc w:val="both"/>
        <w:rPr>
          <w:rFonts w:ascii="Times New Roman" w:hAnsi="Times New Roman" w:cs="Times New Roman"/>
          <w:b/>
          <w:bCs/>
          <w:noProof/>
          <w:sz w:val="24"/>
          <w:szCs w:val="24"/>
        </w:rPr>
      </w:pPr>
      <w:r w:rsidRPr="003C16B9">
        <w:rPr>
          <w:rFonts w:ascii="Times New Roman" w:hAnsi="Times New Roman" w:cs="Times New Roman"/>
          <w:b/>
          <w:bCs/>
          <w:noProof/>
          <w:sz w:val="24"/>
          <w:szCs w:val="24"/>
        </w:rPr>
        <w:t>Looking ahead</w:t>
      </w:r>
    </w:p>
    <w:p w14:paraId="0BD2D7BB" w14:textId="01201371" w:rsidR="00F204F0" w:rsidRPr="003C16B9" w:rsidRDefault="00F204F0" w:rsidP="00F204F0">
      <w:pPr>
        <w:spacing w:before="120" w:after="120"/>
        <w:jc w:val="both"/>
        <w:rPr>
          <w:rFonts w:ascii="Times New Roman" w:hAnsi="Times New Roman" w:cs="Times New Roman"/>
          <w:noProof/>
          <w:sz w:val="24"/>
          <w:szCs w:val="24"/>
        </w:rPr>
      </w:pPr>
      <w:r w:rsidRPr="003C16B9">
        <w:rPr>
          <w:rFonts w:ascii="Times New Roman" w:hAnsi="Times New Roman" w:cs="Times New Roman"/>
          <w:noProof/>
          <w:sz w:val="24"/>
          <w:szCs w:val="24"/>
        </w:rPr>
        <w:t xml:space="preserve">Lessons learnt from past discharge procedures </w:t>
      </w:r>
      <w:r w:rsidR="0061030E">
        <w:rPr>
          <w:rFonts w:ascii="Times New Roman" w:hAnsi="Times New Roman" w:cs="Times New Roman"/>
          <w:noProof/>
          <w:sz w:val="24"/>
          <w:szCs w:val="24"/>
        </w:rPr>
        <w:t xml:space="preserve">can inform reflections </w:t>
      </w:r>
      <w:r w:rsidR="008011AA">
        <w:rPr>
          <w:rFonts w:ascii="Times New Roman" w:hAnsi="Times New Roman" w:cs="Times New Roman"/>
          <w:noProof/>
          <w:sz w:val="24"/>
          <w:szCs w:val="24"/>
        </w:rPr>
        <w:t xml:space="preserve">on </w:t>
      </w:r>
      <w:r w:rsidRPr="003C16B9">
        <w:rPr>
          <w:rFonts w:ascii="Times New Roman" w:hAnsi="Times New Roman" w:cs="Times New Roman"/>
          <w:noProof/>
          <w:sz w:val="24"/>
          <w:szCs w:val="24"/>
        </w:rPr>
        <w:t xml:space="preserve">the next long-term EU budget. One of the key takeaways from previous discharges is that the way funds are disbursed has a direct impact on the risk of error. Complex rules and too-rigid delivery models are responsible for both: (i) a large share of spending errors; and (ii) putting pressure on the administrative capacity of those implementing the budget and those benefiting from it. </w:t>
      </w:r>
    </w:p>
    <w:p w14:paraId="32AADE3A" w14:textId="22D36BCA" w:rsidR="00F204F0" w:rsidRPr="003C16B9" w:rsidRDefault="00F204F0" w:rsidP="00F204F0">
      <w:pPr>
        <w:spacing w:before="120" w:after="120"/>
        <w:jc w:val="both"/>
        <w:rPr>
          <w:rFonts w:ascii="Times New Roman" w:hAnsi="Times New Roman" w:cs="Times New Roman"/>
          <w:noProof/>
          <w:sz w:val="24"/>
          <w:szCs w:val="24"/>
        </w:rPr>
      </w:pPr>
      <w:r w:rsidRPr="003C16B9">
        <w:rPr>
          <w:rFonts w:ascii="Times New Roman" w:hAnsi="Times New Roman" w:cs="Times New Roman"/>
          <w:noProof/>
          <w:sz w:val="24"/>
          <w:szCs w:val="24"/>
        </w:rPr>
        <w:t xml:space="preserve">The preparation of the next </w:t>
      </w:r>
      <w:r w:rsidR="00D44A45">
        <w:rPr>
          <w:rFonts w:ascii="Times New Roman" w:hAnsi="Times New Roman" w:cs="Times New Roman"/>
          <w:noProof/>
          <w:sz w:val="24"/>
          <w:szCs w:val="24"/>
        </w:rPr>
        <w:t>MFF</w:t>
      </w:r>
      <w:r w:rsidR="009D5C7E" w:rsidRPr="003C16B9">
        <w:rPr>
          <w:rFonts w:ascii="Times New Roman" w:hAnsi="Times New Roman" w:cs="Times New Roman"/>
          <w:noProof/>
          <w:sz w:val="24"/>
          <w:szCs w:val="24"/>
        </w:rPr>
        <w:t xml:space="preserve"> </w:t>
      </w:r>
      <w:r w:rsidRPr="003C16B9">
        <w:rPr>
          <w:rFonts w:ascii="Times New Roman" w:hAnsi="Times New Roman" w:cs="Times New Roman"/>
          <w:noProof/>
          <w:sz w:val="24"/>
          <w:szCs w:val="24"/>
        </w:rPr>
        <w:t xml:space="preserve">will represent an opportunity to explore ways to further simplify delivery mechanisms, reduce the administrative burden on EU and national authorities in charge of implementing the budget, as well as the </w:t>
      </w:r>
      <w:r w:rsidR="003209BE">
        <w:rPr>
          <w:rFonts w:ascii="Times New Roman" w:hAnsi="Times New Roman" w:cs="Times New Roman"/>
          <w:noProof/>
          <w:sz w:val="24"/>
          <w:szCs w:val="24"/>
        </w:rPr>
        <w:t xml:space="preserve">administrative </w:t>
      </w:r>
      <w:r w:rsidRPr="003C16B9">
        <w:rPr>
          <w:rFonts w:ascii="Times New Roman" w:hAnsi="Times New Roman" w:cs="Times New Roman"/>
          <w:noProof/>
          <w:sz w:val="24"/>
          <w:szCs w:val="24"/>
        </w:rPr>
        <w:t xml:space="preserve">burden on beneficiaries, while keeping a strong focus on sound </w:t>
      </w:r>
      <w:r w:rsidR="00AF4775">
        <w:rPr>
          <w:rFonts w:ascii="Times New Roman" w:hAnsi="Times New Roman" w:cs="Times New Roman"/>
          <w:noProof/>
          <w:sz w:val="24"/>
          <w:szCs w:val="24"/>
        </w:rPr>
        <w:t xml:space="preserve">financial </w:t>
      </w:r>
      <w:r w:rsidRPr="003C16B9">
        <w:rPr>
          <w:rFonts w:ascii="Times New Roman" w:hAnsi="Times New Roman" w:cs="Times New Roman"/>
          <w:noProof/>
          <w:sz w:val="24"/>
          <w:szCs w:val="24"/>
        </w:rPr>
        <w:t xml:space="preserve">management and </w:t>
      </w:r>
      <w:r w:rsidR="008011AA">
        <w:rPr>
          <w:rFonts w:ascii="Times New Roman" w:hAnsi="Times New Roman" w:cs="Times New Roman"/>
          <w:noProof/>
          <w:sz w:val="24"/>
          <w:szCs w:val="24"/>
        </w:rPr>
        <w:t xml:space="preserve">on the </w:t>
      </w:r>
      <w:r w:rsidRPr="003C16B9">
        <w:rPr>
          <w:rFonts w:ascii="Times New Roman" w:hAnsi="Times New Roman" w:cs="Times New Roman"/>
          <w:noProof/>
          <w:sz w:val="24"/>
          <w:szCs w:val="24"/>
        </w:rPr>
        <w:t>performance of the EU budget.</w:t>
      </w:r>
    </w:p>
    <w:p w14:paraId="05004A1E" w14:textId="77777777" w:rsidR="002434E7" w:rsidRPr="005D3D4B" w:rsidRDefault="002434E7" w:rsidP="00CB12C0">
      <w:pPr>
        <w:jc w:val="both"/>
        <w:rPr>
          <w:rFonts w:ascii="Times New Roman" w:hAnsi="Times New Roman" w:cs="Times New Roman"/>
          <w:noProof/>
          <w:sz w:val="24"/>
          <w:szCs w:val="24"/>
          <w:shd w:val="clear" w:color="auto" w:fill="FEFFFF"/>
        </w:rPr>
      </w:pPr>
    </w:p>
    <w:p w14:paraId="772826A7" w14:textId="77777777" w:rsidR="002434E7" w:rsidRPr="005D3D4B" w:rsidRDefault="002434E7" w:rsidP="00CB12C0">
      <w:pPr>
        <w:pStyle w:val="ListParagraph"/>
        <w:jc w:val="center"/>
        <w:rPr>
          <w:rFonts w:ascii="Times New Roman" w:hAnsi="Times New Roman" w:cs="Times New Roman"/>
          <w:noProof/>
          <w:sz w:val="24"/>
          <w:szCs w:val="24"/>
          <w:lang w:val="en-IE"/>
        </w:rPr>
      </w:pPr>
      <w:r w:rsidRPr="005D3D4B">
        <w:rPr>
          <w:rFonts w:ascii="Times New Roman" w:hAnsi="Times New Roman" w:cs="Times New Roman"/>
          <w:noProof/>
          <w:sz w:val="24"/>
          <w:szCs w:val="24"/>
          <w:lang w:val="en-IE"/>
        </w:rPr>
        <w:t>* * *</w:t>
      </w:r>
    </w:p>
    <w:sectPr w:rsidR="002434E7" w:rsidRPr="005D3D4B" w:rsidSect="00F17AAE">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B38EC" w14:textId="77777777" w:rsidR="008D4884" w:rsidRDefault="008D4884" w:rsidP="00F17AAE">
      <w:pPr>
        <w:spacing w:after="0" w:line="240" w:lineRule="auto"/>
      </w:pPr>
      <w:r>
        <w:separator/>
      </w:r>
    </w:p>
  </w:endnote>
  <w:endnote w:type="continuationSeparator" w:id="0">
    <w:p w14:paraId="410210A9" w14:textId="77777777" w:rsidR="008D4884" w:rsidRDefault="008D4884" w:rsidP="00F17AAE">
      <w:pPr>
        <w:spacing w:after="0" w:line="240" w:lineRule="auto"/>
      </w:pPr>
      <w:r>
        <w:continuationSeparator/>
      </w:r>
    </w:p>
  </w:endnote>
  <w:endnote w:type="continuationNotice" w:id="1">
    <w:p w14:paraId="21A968A3" w14:textId="77777777" w:rsidR="008D4884" w:rsidRDefault="008D48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2C589" w14:textId="19E2ADEE" w:rsidR="004378AC" w:rsidRPr="004378AC" w:rsidRDefault="004378AC" w:rsidP="004378AC">
    <w:pPr>
      <w:pStyle w:val="FooterCoverPage"/>
      <w:rPr>
        <w:rFonts w:ascii="Arial" w:hAnsi="Arial" w:cs="Arial"/>
        <w:b/>
        <w:sz w:val="48"/>
      </w:rPr>
    </w:pPr>
    <w:r w:rsidRPr="004378AC">
      <w:rPr>
        <w:rFonts w:ascii="Arial" w:hAnsi="Arial" w:cs="Arial"/>
        <w:b/>
        <w:sz w:val="48"/>
      </w:rPr>
      <w:t>EN</w:t>
    </w:r>
    <w:r w:rsidRPr="004378AC">
      <w:rPr>
        <w:rFonts w:ascii="Arial" w:hAnsi="Arial" w:cs="Arial"/>
        <w:b/>
        <w:sz w:val="48"/>
      </w:rPr>
      <w:tab/>
    </w:r>
    <w:r w:rsidRPr="004378AC">
      <w:rPr>
        <w:rFonts w:ascii="Arial" w:hAnsi="Arial" w:cs="Arial"/>
        <w:b/>
        <w:sz w:val="48"/>
      </w:rPr>
      <w:tab/>
    </w:r>
    <w:r w:rsidRPr="004378AC">
      <w:tab/>
    </w:r>
    <w:r w:rsidRPr="004378AC">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99362" w14:textId="5BB49D04" w:rsidR="004378AC" w:rsidRPr="004378AC" w:rsidRDefault="004378AC" w:rsidP="004378AC">
    <w:pPr>
      <w:pStyle w:val="FooterCoverPage"/>
      <w:rPr>
        <w:rFonts w:ascii="Arial" w:hAnsi="Arial" w:cs="Arial"/>
        <w:b/>
        <w:sz w:val="48"/>
      </w:rPr>
    </w:pPr>
    <w:r w:rsidRPr="004378AC">
      <w:rPr>
        <w:rFonts w:ascii="Arial" w:hAnsi="Arial" w:cs="Arial"/>
        <w:b/>
        <w:sz w:val="48"/>
      </w:rPr>
      <w:t>EN</w:t>
    </w:r>
    <w:r w:rsidRPr="004378AC">
      <w:rPr>
        <w:rFonts w:ascii="Arial" w:hAnsi="Arial" w:cs="Arial"/>
        <w:b/>
        <w:sz w:val="48"/>
      </w:rPr>
      <w:tab/>
    </w:r>
    <w:r w:rsidRPr="004378AC">
      <w:rPr>
        <w:rFonts w:ascii="Arial" w:hAnsi="Arial" w:cs="Arial"/>
        <w:b/>
        <w:sz w:val="48"/>
      </w:rPr>
      <w:tab/>
    </w:r>
    <w:r w:rsidRPr="004378AC">
      <w:tab/>
    </w:r>
    <w:r w:rsidRPr="004378AC">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D69A3" w14:textId="77777777" w:rsidR="004378AC" w:rsidRPr="004378AC" w:rsidRDefault="004378AC" w:rsidP="004378A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C57F1" w14:textId="77777777" w:rsidR="00F17AAE" w:rsidRDefault="00F17AA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217984"/>
      <w:docPartObj>
        <w:docPartGallery w:val="Page Numbers (Bottom of Page)"/>
        <w:docPartUnique/>
      </w:docPartObj>
    </w:sdtPr>
    <w:sdtEndPr>
      <w:rPr>
        <w:noProof/>
      </w:rPr>
    </w:sdtEndPr>
    <w:sdtContent>
      <w:p w14:paraId="7F079B08" w14:textId="7F5EDB4E" w:rsidR="00CA6ECF" w:rsidRDefault="00CA6ECF">
        <w:pPr>
          <w:pStyle w:val="Footer"/>
          <w:jc w:val="center"/>
        </w:pPr>
        <w:r>
          <w:fldChar w:fldCharType="begin"/>
        </w:r>
        <w:r>
          <w:instrText xml:space="preserve"> PAGE   \* MERGEFORMAT </w:instrText>
        </w:r>
        <w:r>
          <w:fldChar w:fldCharType="separate"/>
        </w:r>
        <w:r w:rsidR="004378AC">
          <w:rPr>
            <w:noProof/>
          </w:rPr>
          <w:t>1</w:t>
        </w:r>
        <w:r>
          <w:rPr>
            <w:noProof/>
          </w:rPr>
          <w:fldChar w:fldCharType="end"/>
        </w:r>
      </w:p>
    </w:sdtContent>
  </w:sdt>
  <w:p w14:paraId="61D36DA7" w14:textId="77777777" w:rsidR="00F17AAE" w:rsidRDefault="00F17AA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DC039" w14:textId="77777777" w:rsidR="00F17AAE" w:rsidRDefault="00F17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A1425" w14:textId="77777777" w:rsidR="008D4884" w:rsidRDefault="008D4884" w:rsidP="00F17AAE">
      <w:pPr>
        <w:spacing w:after="0" w:line="240" w:lineRule="auto"/>
      </w:pPr>
      <w:r>
        <w:separator/>
      </w:r>
    </w:p>
  </w:footnote>
  <w:footnote w:type="continuationSeparator" w:id="0">
    <w:p w14:paraId="5B708BB1" w14:textId="77777777" w:rsidR="008D4884" w:rsidRDefault="008D4884" w:rsidP="00F17AAE">
      <w:pPr>
        <w:spacing w:after="0" w:line="240" w:lineRule="auto"/>
      </w:pPr>
      <w:r>
        <w:continuationSeparator/>
      </w:r>
    </w:p>
  </w:footnote>
  <w:footnote w:type="continuationNotice" w:id="1">
    <w:p w14:paraId="67B338B7" w14:textId="77777777" w:rsidR="008D4884" w:rsidRDefault="008D4884">
      <w:pPr>
        <w:spacing w:after="0" w:line="240" w:lineRule="auto"/>
      </w:pPr>
    </w:p>
  </w:footnote>
  <w:footnote w:id="2">
    <w:p w14:paraId="1BB65125" w14:textId="2CE916BD" w:rsidR="000F406B" w:rsidRPr="00F526CE" w:rsidRDefault="000F406B" w:rsidP="007A062D">
      <w:pPr>
        <w:pStyle w:val="FootnoteText"/>
        <w:jc w:val="both"/>
        <w:rPr>
          <w:rFonts w:ascii="Times New Roman" w:hAnsi="Times New Roman" w:cs="Times New Roman"/>
        </w:rPr>
      </w:pPr>
      <w:r w:rsidRPr="00F526CE">
        <w:rPr>
          <w:rStyle w:val="FootnoteReference"/>
          <w:rFonts w:ascii="Times New Roman" w:hAnsi="Times New Roman" w:cs="Times New Roman"/>
        </w:rPr>
        <w:footnoteRef/>
      </w:r>
      <w:r w:rsidR="00141749" w:rsidRPr="00F526CE">
        <w:rPr>
          <w:rFonts w:ascii="Times New Roman" w:hAnsi="Times New Roman" w:cs="Times New Roman"/>
        </w:rPr>
        <w:t xml:space="preserve"> </w:t>
      </w:r>
      <w:r w:rsidR="00857D81" w:rsidRPr="00F526CE">
        <w:rPr>
          <w:rFonts w:ascii="Times New Roman" w:hAnsi="Times New Roman" w:cs="Times New Roman"/>
        </w:rPr>
        <w:t>COM/2023/234 final</w:t>
      </w:r>
      <w:r w:rsidR="007A062D">
        <w:rPr>
          <w:rFonts w:ascii="Times New Roman" w:hAnsi="Times New Roman" w:cs="Times New Roman"/>
        </w:rPr>
        <w:t>.</w:t>
      </w:r>
    </w:p>
  </w:footnote>
  <w:footnote w:id="3">
    <w:p w14:paraId="17C894DD" w14:textId="6DEF7CDE" w:rsidR="005B3A81" w:rsidRPr="00F526CE" w:rsidRDefault="005B3A81" w:rsidP="00F526CE">
      <w:pPr>
        <w:pStyle w:val="FootnoteText"/>
        <w:jc w:val="both"/>
        <w:rPr>
          <w:rFonts w:ascii="Times New Roman" w:hAnsi="Times New Roman" w:cs="Times New Roman"/>
        </w:rPr>
      </w:pPr>
      <w:r w:rsidRPr="00F526CE">
        <w:rPr>
          <w:rStyle w:val="FootnoteReference"/>
          <w:rFonts w:ascii="Times New Roman" w:hAnsi="Times New Roman" w:cs="Times New Roman"/>
        </w:rPr>
        <w:footnoteRef/>
      </w:r>
      <w:r w:rsidRPr="00F526CE">
        <w:rPr>
          <w:rFonts w:ascii="Times New Roman" w:hAnsi="Times New Roman" w:cs="Times New Roman"/>
        </w:rPr>
        <w:t xml:space="preserve"> JOIN(2023)12</w:t>
      </w:r>
      <w:r w:rsidR="00402D8B">
        <w:rPr>
          <w:rFonts w:ascii="Times New Roman" w:hAnsi="Times New Roman" w:cs="Times New Roman"/>
        </w:rPr>
        <w:t xml:space="preserve"> final</w:t>
      </w:r>
      <w:r w:rsidR="007A062D">
        <w:rPr>
          <w:rFonts w:ascii="Times New Roman" w:hAnsi="Times New Roman" w:cs="Times New Roman"/>
        </w:rPr>
        <w:t>.</w:t>
      </w:r>
    </w:p>
  </w:footnote>
  <w:footnote w:id="4">
    <w:p w14:paraId="41B7B581" w14:textId="60787C44" w:rsidR="00D44A45" w:rsidRPr="00F526CE" w:rsidRDefault="00D44A45" w:rsidP="00AD5F7E">
      <w:pPr>
        <w:pStyle w:val="FootnoteText"/>
        <w:jc w:val="both"/>
        <w:rPr>
          <w:lang w:val="en-GB"/>
        </w:rPr>
      </w:pPr>
      <w:r>
        <w:rPr>
          <w:rStyle w:val="FootnoteReference"/>
        </w:rPr>
        <w:footnoteRef/>
      </w:r>
      <w:r>
        <w:t xml:space="preserve"> </w:t>
      </w:r>
      <w:r w:rsidRPr="00D44A45">
        <w:t>Regulation (EU, Euratom) 2020/2092</w:t>
      </w:r>
      <w:r w:rsidR="00F526CE">
        <w:t>.</w:t>
      </w:r>
    </w:p>
  </w:footnote>
  <w:footnote w:id="5">
    <w:p w14:paraId="601C20E0" w14:textId="7E2F77F8" w:rsidR="00F204F0" w:rsidRPr="00130F7A" w:rsidRDefault="00F204F0" w:rsidP="00AD5F7E">
      <w:pPr>
        <w:pStyle w:val="FootnoteText"/>
        <w:jc w:val="both"/>
      </w:pPr>
      <w:r w:rsidRPr="00F526CE">
        <w:rPr>
          <w:rStyle w:val="FootnoteReference"/>
          <w:rFonts w:ascii="Times New Roman" w:hAnsi="Times New Roman"/>
        </w:rPr>
        <w:footnoteRef/>
      </w:r>
      <w:r w:rsidRPr="00F526CE">
        <w:rPr>
          <w:rFonts w:ascii="Times New Roman" w:hAnsi="Times New Roman"/>
        </w:rPr>
        <w:t xml:space="preserve"> </w:t>
      </w:r>
      <w:hyperlink r:id="rId1" w:history="1">
        <w:r w:rsidRPr="00130F7A">
          <w:rPr>
            <w:rStyle w:val="Hyperlink"/>
          </w:rPr>
          <w:t>European Parliament decision of 11 April 2024 on discharge in respect of the implementation of the general budget of the European Union for the financial year 2022, Section III – Commission and executive agencies</w:t>
        </w:r>
      </w:hyperlink>
      <w:r w:rsidRPr="00130F7A">
        <w:t xml:space="preserve"> </w:t>
      </w:r>
      <w:r w:rsidR="00F526CE" w:rsidRPr="003C16B9">
        <w:rPr>
          <w:rFonts w:ascii="Times New Roman" w:hAnsi="Times New Roman" w:cs="Times New Roman"/>
          <w:sz w:val="24"/>
          <w:szCs w:val="24"/>
        </w:rPr>
        <w:t xml:space="preserve">– </w:t>
      </w:r>
      <w:r w:rsidRPr="00130F7A">
        <w:t>2023/2129(DEC)</w:t>
      </w:r>
      <w:r w:rsidRPr="00F526CE">
        <w:rPr>
          <w:rFonts w:ascii="Times New Roman" w:hAnsi="Times New Roman"/>
        </w:rPr>
        <w:t>.</w:t>
      </w:r>
    </w:p>
  </w:footnote>
  <w:footnote w:id="6">
    <w:p w14:paraId="322607FE" w14:textId="77777777" w:rsidR="00F204F0" w:rsidRPr="00130F7A" w:rsidRDefault="00F204F0" w:rsidP="00AD5F7E">
      <w:pPr>
        <w:pStyle w:val="FootnoteText"/>
        <w:jc w:val="both"/>
        <w:rPr>
          <w:lang w:val="en-GB"/>
        </w:rPr>
      </w:pPr>
      <w:r w:rsidRPr="00F526CE">
        <w:rPr>
          <w:rStyle w:val="FootnoteReference"/>
          <w:rFonts w:ascii="Times New Roman" w:hAnsi="Times New Roman"/>
        </w:rPr>
        <w:footnoteRef/>
      </w:r>
      <w:r w:rsidRPr="00F526CE">
        <w:rPr>
          <w:rFonts w:ascii="Times New Roman" w:hAnsi="Times New Roman"/>
        </w:rPr>
        <w:t xml:space="preserve"> </w:t>
      </w:r>
      <w:hyperlink r:id="rId2" w:history="1">
        <w:r w:rsidRPr="00130F7A">
          <w:rPr>
            <w:rStyle w:val="Hyperlink"/>
            <w:lang w:val="en-GB"/>
          </w:rPr>
          <w:t>Council recommendation on the discharge to be given to the Commission in respect of the implementation of the general budget of the European Union for financial year 2022</w:t>
        </w:r>
      </w:hyperlink>
      <w:r w:rsidRPr="00F526CE">
        <w:rPr>
          <w:rFonts w:ascii="Times New Roman" w:hAnsi="Times New Roman"/>
          <w:lang w:val="en-GB"/>
        </w:rPr>
        <w:t xml:space="preserve"> (</w:t>
      </w:r>
      <w:r w:rsidRPr="00130F7A">
        <w:rPr>
          <w:lang w:val="en-GB"/>
        </w:rPr>
        <w:t>6179/24</w:t>
      </w:r>
      <w:r w:rsidRPr="00F526CE">
        <w:rPr>
          <w:rFonts w:ascii="Times New Roman" w:hAnsi="Times New Roman"/>
          <w:lang w:val="en-GB"/>
        </w:rPr>
        <w:t>).</w:t>
      </w:r>
    </w:p>
  </w:footnote>
  <w:footnote w:id="7">
    <w:p w14:paraId="780D7436" w14:textId="2BF469EE" w:rsidR="00F204F0" w:rsidRPr="00130F7A" w:rsidRDefault="00F204F0" w:rsidP="00AD5F7E">
      <w:pPr>
        <w:pStyle w:val="FootnoteText"/>
        <w:jc w:val="both"/>
      </w:pPr>
      <w:r w:rsidRPr="00F526CE">
        <w:rPr>
          <w:rStyle w:val="FootnoteReference"/>
          <w:rFonts w:ascii="Times New Roman" w:hAnsi="Times New Roman"/>
        </w:rPr>
        <w:footnoteRef/>
      </w:r>
      <w:r w:rsidRPr="00F526CE">
        <w:rPr>
          <w:rFonts w:ascii="Times New Roman" w:hAnsi="Times New Roman"/>
        </w:rPr>
        <w:t xml:space="preserve"> </w:t>
      </w:r>
      <w:r w:rsidRPr="00BE6F14">
        <w:t>See paragraph 11</w:t>
      </w:r>
      <w:r w:rsidR="00F526CE">
        <w:t xml:space="preserve"> </w:t>
      </w:r>
      <w:r w:rsidR="00F526CE" w:rsidRPr="003C16B9">
        <w:rPr>
          <w:rFonts w:ascii="Times New Roman" w:hAnsi="Times New Roman" w:cs="Times New Roman"/>
          <w:sz w:val="24"/>
          <w:szCs w:val="24"/>
        </w:rPr>
        <w:t xml:space="preserve">– </w:t>
      </w:r>
      <w:r w:rsidRPr="00130F7A">
        <w:t>2023/2129(DEC)</w:t>
      </w:r>
      <w:r w:rsidRPr="00BE6F14">
        <w:t>.</w:t>
      </w:r>
      <w:r w:rsidR="00F526CE">
        <w:t xml:space="preserve"> </w:t>
      </w:r>
    </w:p>
  </w:footnote>
  <w:footnote w:id="8">
    <w:p w14:paraId="37302CC3" w14:textId="01E4C654" w:rsidR="00F204F0" w:rsidRPr="00130F7A" w:rsidRDefault="00F204F0" w:rsidP="00AD5F7E">
      <w:pPr>
        <w:pStyle w:val="FootnoteText"/>
        <w:jc w:val="both"/>
      </w:pPr>
      <w:r w:rsidRPr="00130F7A">
        <w:rPr>
          <w:rStyle w:val="FootnoteReference"/>
        </w:rPr>
        <w:footnoteRef/>
      </w:r>
      <w:r w:rsidRPr="00130F7A">
        <w:t xml:space="preserve"> Communication from the Commission to the European Parliament and the Council on the application of Regulation (EU, Euratom) 2020/2092 of the European Parliament and of the Council of 16 December 2020 on a general regime of conditionality for the protection of the Union budget</w:t>
      </w:r>
      <w:r w:rsidR="00F526CE">
        <w:t xml:space="preserve"> </w:t>
      </w:r>
      <w:r w:rsidR="00F526CE" w:rsidRPr="003C16B9">
        <w:rPr>
          <w:rFonts w:ascii="Times New Roman" w:hAnsi="Times New Roman" w:cs="Times New Roman"/>
          <w:sz w:val="24"/>
          <w:szCs w:val="24"/>
        </w:rPr>
        <w:t xml:space="preserve">– </w:t>
      </w:r>
      <w:r w:rsidRPr="00130F7A">
        <w:t>COM(2024) 17</w:t>
      </w:r>
      <w:r w:rsidR="00BC6779" w:rsidRPr="00BC6779">
        <w:t>. A corrigendum was published on 23 February 2024, with reference COM(2024) 17 final/2.</w:t>
      </w:r>
    </w:p>
  </w:footnote>
  <w:footnote w:id="9">
    <w:p w14:paraId="58CE0D4B" w14:textId="22515ADE" w:rsidR="00AD5F7E" w:rsidRPr="00AD5F7E" w:rsidRDefault="00AD5F7E">
      <w:pPr>
        <w:pStyle w:val="FootnoteText"/>
      </w:pPr>
      <w:r>
        <w:rPr>
          <w:rStyle w:val="FootnoteReference"/>
        </w:rPr>
        <w:footnoteRef/>
      </w:r>
      <w:r>
        <w:t xml:space="preserve"> </w:t>
      </w:r>
      <w:r w:rsidRPr="00AD5F7E">
        <w:t>See paragraph 1</w:t>
      </w:r>
      <w:r>
        <w:t>1</w:t>
      </w:r>
      <w:r w:rsidRPr="00AD5F7E">
        <w:t xml:space="preserve"> – 2023/2129(DEC).</w:t>
      </w:r>
    </w:p>
  </w:footnote>
  <w:footnote w:id="10">
    <w:p w14:paraId="4E31F31B" w14:textId="0C7B79B3" w:rsidR="00F204F0" w:rsidRPr="00130F7A" w:rsidRDefault="00F204F0" w:rsidP="00130F7A">
      <w:pPr>
        <w:pStyle w:val="FootnoteText"/>
        <w:rPr>
          <w:lang w:val="en-GB"/>
        </w:rPr>
      </w:pPr>
      <w:r w:rsidRPr="00F526CE">
        <w:rPr>
          <w:rStyle w:val="FootnoteReference"/>
          <w:rFonts w:ascii="Times New Roman" w:hAnsi="Times New Roman"/>
        </w:rPr>
        <w:footnoteRef/>
      </w:r>
      <w:r w:rsidRPr="00F526CE">
        <w:rPr>
          <w:rFonts w:ascii="Times New Roman" w:hAnsi="Times New Roman"/>
        </w:rPr>
        <w:t xml:space="preserve"> </w:t>
      </w:r>
      <w:r w:rsidRPr="00130F7A">
        <w:t>Regulation (EU) 2021/1060</w:t>
      </w:r>
      <w:r w:rsidRPr="00F526CE">
        <w:rPr>
          <w:rFonts w:ascii="Times New Roman" w:hAnsi="Times New Roman"/>
        </w:rPr>
        <w:t>.</w:t>
      </w:r>
    </w:p>
  </w:footnote>
  <w:footnote w:id="11">
    <w:p w14:paraId="6D482A79" w14:textId="77777777" w:rsidR="00F204F0" w:rsidRPr="00130F7A" w:rsidRDefault="00F204F0" w:rsidP="00130F7A">
      <w:pPr>
        <w:pStyle w:val="FootnoteText"/>
      </w:pPr>
      <w:r w:rsidRPr="00F526CE">
        <w:rPr>
          <w:rStyle w:val="FootnoteReference"/>
          <w:rFonts w:ascii="Times New Roman" w:hAnsi="Times New Roman"/>
        </w:rPr>
        <w:footnoteRef/>
      </w:r>
      <w:r w:rsidRPr="00F526CE">
        <w:rPr>
          <w:rFonts w:ascii="Times New Roman" w:hAnsi="Times New Roman"/>
        </w:rPr>
        <w:t xml:space="preserve"> </w:t>
      </w:r>
      <w:r w:rsidRPr="00BE6F14">
        <w:t>The horizontal</w:t>
      </w:r>
      <w:r w:rsidRPr="00130F7A">
        <w:t xml:space="preserve"> enabling condition </w:t>
      </w:r>
      <w:r w:rsidRPr="00BE6F14">
        <w:t>i</w:t>
      </w:r>
      <w:r w:rsidRPr="00130F7A">
        <w:t>n the Charter</w:t>
      </w:r>
      <w:r w:rsidRPr="00BE6F14">
        <w:t xml:space="preserve"> </w:t>
      </w:r>
      <w:r w:rsidRPr="00130F7A">
        <w:t xml:space="preserve">requires Member States </w:t>
      </w:r>
      <w:r w:rsidRPr="00BE6F14">
        <w:t>to implement</w:t>
      </w:r>
      <w:r w:rsidRPr="00130F7A">
        <w:t xml:space="preserve"> </w:t>
      </w:r>
      <w:r w:rsidRPr="00BE6F14">
        <w:t>their spending programmes</w:t>
      </w:r>
      <w:r w:rsidRPr="00130F7A">
        <w:t xml:space="preserve"> </w:t>
      </w:r>
      <w:r w:rsidRPr="00BE6F14">
        <w:t>in a way that</w:t>
      </w:r>
      <w:r w:rsidRPr="00130F7A">
        <w:t xml:space="preserve"> complies with the </w:t>
      </w:r>
      <w:r w:rsidRPr="00BE6F14">
        <w:t xml:space="preserve">EU Charter of Fundamental Rights. See Annex III of </w:t>
      </w:r>
      <w:r w:rsidRPr="00130F7A">
        <w:t>Regulation (EU) 2021/1060</w:t>
      </w:r>
      <w:r w:rsidRPr="00BE6F14">
        <w:t>.</w:t>
      </w:r>
      <w:r w:rsidRPr="00F526CE">
        <w:rPr>
          <w:rFonts w:ascii="Times New Roman" w:hAnsi="Times New Roman"/>
        </w:rPr>
        <w:t xml:space="preserve"> </w:t>
      </w:r>
    </w:p>
  </w:footnote>
  <w:footnote w:id="12">
    <w:p w14:paraId="049251BB" w14:textId="064DB8DA" w:rsidR="00F204F0" w:rsidRPr="00130F7A" w:rsidRDefault="00F204F0" w:rsidP="00130F7A">
      <w:pPr>
        <w:pStyle w:val="FootnoteText"/>
      </w:pPr>
      <w:r w:rsidRPr="00F526CE">
        <w:rPr>
          <w:rStyle w:val="FootnoteReference"/>
          <w:rFonts w:ascii="Times New Roman" w:hAnsi="Times New Roman"/>
        </w:rPr>
        <w:footnoteRef/>
      </w:r>
      <w:r w:rsidRPr="00F526CE">
        <w:rPr>
          <w:rFonts w:ascii="Times New Roman" w:hAnsi="Times New Roman"/>
        </w:rPr>
        <w:t xml:space="preserve"> See paragraph 12 </w:t>
      </w:r>
      <w:r w:rsidR="00F526CE" w:rsidRPr="00F526CE">
        <w:rPr>
          <w:rFonts w:ascii="Times New Roman" w:hAnsi="Times New Roman"/>
        </w:rPr>
        <w:t xml:space="preserve">– </w:t>
      </w:r>
      <w:r w:rsidRPr="00F526CE">
        <w:rPr>
          <w:rFonts w:ascii="Times New Roman" w:hAnsi="Times New Roman"/>
        </w:rPr>
        <w:t>2023/2129(DEC).</w:t>
      </w:r>
    </w:p>
  </w:footnote>
  <w:footnote w:id="13">
    <w:p w14:paraId="7C562A74" w14:textId="5F0FF9ED" w:rsidR="00F204F0" w:rsidRPr="00130F7A" w:rsidRDefault="00F204F0" w:rsidP="00130F7A">
      <w:pPr>
        <w:pStyle w:val="FootnoteText"/>
        <w:rPr>
          <w:lang w:val="en-GB"/>
        </w:rPr>
      </w:pPr>
      <w:r w:rsidRPr="00F526CE">
        <w:rPr>
          <w:rStyle w:val="FootnoteReference"/>
          <w:rFonts w:ascii="Times New Roman" w:hAnsi="Times New Roman"/>
        </w:rPr>
        <w:footnoteRef/>
      </w:r>
      <w:r w:rsidRPr="00F526CE">
        <w:rPr>
          <w:rFonts w:ascii="Times New Roman" w:hAnsi="Times New Roman"/>
        </w:rPr>
        <w:t xml:space="preserve"> Europol, Eurojust, anti-fraud co-ordination services in the Member States, the Commission and the </w:t>
      </w:r>
      <w:r w:rsidR="586918AE" w:rsidRPr="00F526CE">
        <w:rPr>
          <w:rFonts w:ascii="Times New Roman" w:hAnsi="Times New Roman"/>
        </w:rPr>
        <w:t>ECA</w:t>
      </w:r>
      <w:r w:rsidRPr="00BE6F14">
        <w:rPr>
          <w:rFonts w:ascii="Times New Roman" w:hAnsi="Times New Roman"/>
        </w:rPr>
        <w:t>.</w:t>
      </w:r>
    </w:p>
  </w:footnote>
  <w:footnote w:id="14">
    <w:p w14:paraId="10A794D6" w14:textId="6873529E" w:rsidR="00F204F0" w:rsidRPr="00417B51" w:rsidRDefault="00F204F0" w:rsidP="00130F7A">
      <w:pPr>
        <w:pStyle w:val="FootnoteText"/>
        <w:rPr>
          <w:rFonts w:ascii="Times New Roman" w:hAnsi="Times New Roman" w:cs="Times New Roman"/>
          <w:lang w:val="en-GB"/>
        </w:rPr>
      </w:pPr>
      <w:r w:rsidRPr="00417B51">
        <w:rPr>
          <w:rStyle w:val="FootnoteReference"/>
          <w:rFonts w:ascii="Times New Roman" w:hAnsi="Times New Roman" w:cs="Times New Roman"/>
        </w:rPr>
        <w:footnoteRef/>
      </w:r>
      <w:r w:rsidRPr="00417B51">
        <w:rPr>
          <w:rFonts w:ascii="Times New Roman" w:hAnsi="Times New Roman" w:cs="Times New Roman"/>
        </w:rPr>
        <w:t xml:space="preserve"> Regulation (EU, Euratom) No 883/2013</w:t>
      </w:r>
      <w:r w:rsidR="007A062D" w:rsidRPr="00417B51">
        <w:rPr>
          <w:rFonts w:ascii="Times New Roman" w:hAnsi="Times New Roman" w:cs="Times New Roman"/>
        </w:rPr>
        <w:t>.</w:t>
      </w:r>
    </w:p>
  </w:footnote>
  <w:footnote w:id="15">
    <w:p w14:paraId="0805906A" w14:textId="394EEDC1" w:rsidR="00F204F0" w:rsidRPr="00417B51" w:rsidRDefault="00F204F0" w:rsidP="00130F7A">
      <w:pPr>
        <w:pStyle w:val="FootnoteText"/>
        <w:rPr>
          <w:rFonts w:ascii="Times New Roman" w:hAnsi="Times New Roman" w:cs="Times New Roman"/>
          <w:lang w:val="en-GB"/>
        </w:rPr>
      </w:pPr>
      <w:r w:rsidRPr="00417B51">
        <w:rPr>
          <w:rStyle w:val="FootnoteReference"/>
          <w:rFonts w:ascii="Times New Roman" w:hAnsi="Times New Roman" w:cs="Times New Roman"/>
        </w:rPr>
        <w:footnoteRef/>
      </w:r>
      <w:r w:rsidRPr="00417B51">
        <w:rPr>
          <w:rFonts w:ascii="Times New Roman" w:hAnsi="Times New Roman" w:cs="Times New Roman"/>
        </w:rPr>
        <w:t xml:space="preserve"> Council Regulation (EU) 2017/1939</w:t>
      </w:r>
      <w:r w:rsidR="007A062D" w:rsidRPr="00417B51">
        <w:rPr>
          <w:rFonts w:ascii="Times New Roman" w:hAnsi="Times New Roman" w:cs="Times New Roman"/>
        </w:rPr>
        <w:t>.</w:t>
      </w:r>
    </w:p>
  </w:footnote>
  <w:footnote w:id="16">
    <w:p w14:paraId="5881EE99" w14:textId="59B8543F" w:rsidR="00F204F0" w:rsidRPr="00130F7A" w:rsidRDefault="00F204F0" w:rsidP="00130F7A">
      <w:pPr>
        <w:pStyle w:val="FootnoteText"/>
      </w:pPr>
      <w:r w:rsidRPr="00417B51">
        <w:rPr>
          <w:rStyle w:val="FootnoteReference"/>
          <w:rFonts w:ascii="Times New Roman" w:hAnsi="Times New Roman" w:cs="Times New Roman"/>
        </w:rPr>
        <w:footnoteRef/>
      </w:r>
      <w:r w:rsidRPr="00417B51">
        <w:rPr>
          <w:rFonts w:ascii="Times New Roman" w:hAnsi="Times New Roman" w:cs="Times New Roman"/>
        </w:rPr>
        <w:t xml:space="preserve"> See paragraph 17 </w:t>
      </w:r>
      <w:r w:rsidR="00F526CE" w:rsidRPr="00417B51">
        <w:rPr>
          <w:rFonts w:ascii="Times New Roman" w:hAnsi="Times New Roman" w:cs="Times New Roman"/>
        </w:rPr>
        <w:t xml:space="preserve">– </w:t>
      </w:r>
      <w:r w:rsidRPr="00417B51">
        <w:rPr>
          <w:rFonts w:ascii="Times New Roman" w:hAnsi="Times New Roman" w:cs="Times New Roman"/>
        </w:rPr>
        <w:t>2023/2129(DEC).</w:t>
      </w:r>
    </w:p>
  </w:footnote>
  <w:footnote w:id="17">
    <w:p w14:paraId="05BAFD8C" w14:textId="773A6D60" w:rsidR="00F204F0" w:rsidRPr="00417B51" w:rsidRDefault="00F204F0" w:rsidP="00130F7A">
      <w:pPr>
        <w:pStyle w:val="FootnoteText"/>
        <w:rPr>
          <w:rFonts w:ascii="Times New Roman" w:hAnsi="Times New Roman" w:cs="Times New Roman"/>
          <w:lang w:val="en-GB"/>
        </w:rPr>
      </w:pPr>
      <w:r w:rsidRPr="00417B51">
        <w:rPr>
          <w:rStyle w:val="FootnoteReference"/>
          <w:rFonts w:ascii="Times New Roman" w:hAnsi="Times New Roman" w:cs="Times New Roman"/>
        </w:rPr>
        <w:footnoteRef/>
      </w:r>
      <w:r w:rsidRPr="00417B51">
        <w:rPr>
          <w:rFonts w:ascii="Times New Roman" w:hAnsi="Times New Roman" w:cs="Times New Roman"/>
        </w:rPr>
        <w:t xml:space="preserve"> See paragraph 4 </w:t>
      </w:r>
      <w:r w:rsidR="00F526CE" w:rsidRPr="00417B51">
        <w:rPr>
          <w:rFonts w:ascii="Times New Roman" w:hAnsi="Times New Roman" w:cs="Times New Roman"/>
        </w:rPr>
        <w:t xml:space="preserve">– </w:t>
      </w:r>
      <w:r w:rsidRPr="00417B51">
        <w:rPr>
          <w:rFonts w:ascii="Times New Roman" w:hAnsi="Times New Roman" w:cs="Times New Roman"/>
        </w:rPr>
        <w:t>2023/2129(DEC).</w:t>
      </w:r>
    </w:p>
  </w:footnote>
  <w:footnote w:id="18">
    <w:p w14:paraId="3B8555D0" w14:textId="6BFD6C0E" w:rsidR="001761F6" w:rsidRPr="00417B51" w:rsidRDefault="001761F6" w:rsidP="001761F6">
      <w:pPr>
        <w:spacing w:after="0" w:line="257" w:lineRule="auto"/>
        <w:jc w:val="both"/>
        <w:rPr>
          <w:rFonts w:ascii="Times New Roman" w:eastAsia="Calibri" w:hAnsi="Times New Roman" w:cs="Times New Roman"/>
          <w:sz w:val="20"/>
          <w:szCs w:val="20"/>
        </w:rPr>
      </w:pPr>
      <w:r w:rsidRPr="008011AA">
        <w:rPr>
          <w:rStyle w:val="FootnoteReference"/>
          <w:rFonts w:ascii="Times New Roman" w:hAnsi="Times New Roman" w:cs="Times New Roman"/>
          <w:sz w:val="20"/>
          <w:szCs w:val="20"/>
        </w:rPr>
        <w:footnoteRef/>
      </w:r>
      <w:r w:rsidRPr="008011AA">
        <w:rPr>
          <w:rFonts w:ascii="Times New Roman" w:hAnsi="Times New Roman" w:cs="Times New Roman"/>
          <w:sz w:val="20"/>
          <w:szCs w:val="20"/>
        </w:rPr>
        <w:t xml:space="preserve"> </w:t>
      </w:r>
      <w:r w:rsidR="008011AA" w:rsidRPr="008011AA">
        <w:rPr>
          <w:rFonts w:ascii="Times New Roman" w:eastAsia="Calibri" w:hAnsi="Times New Roman" w:cs="Times New Roman"/>
          <w:sz w:val="20"/>
          <w:szCs w:val="20"/>
        </w:rPr>
        <w:t>Guidance on recovery and resilience plans</w:t>
      </w:r>
      <w:r w:rsidR="008011AA">
        <w:rPr>
          <w:rFonts w:ascii="Times New Roman" w:eastAsia="Calibri" w:hAnsi="Times New Roman" w:cs="Times New Roman"/>
          <w:sz w:val="20"/>
          <w:szCs w:val="20"/>
        </w:rPr>
        <w:t xml:space="preserve"> of 31 May 2024</w:t>
      </w:r>
    </w:p>
  </w:footnote>
  <w:footnote w:id="19">
    <w:p w14:paraId="719D8FB1" w14:textId="14333DDD" w:rsidR="00F204F0" w:rsidRPr="00417B51" w:rsidRDefault="00F204F0" w:rsidP="00130F7A">
      <w:pPr>
        <w:pStyle w:val="FootnoteText"/>
        <w:rPr>
          <w:rFonts w:ascii="Times New Roman" w:hAnsi="Times New Roman" w:cs="Times New Roman"/>
          <w:lang w:val="en-GB"/>
        </w:rPr>
      </w:pPr>
      <w:r w:rsidRPr="00417B51">
        <w:rPr>
          <w:rStyle w:val="FootnoteReference"/>
          <w:rFonts w:ascii="Times New Roman" w:hAnsi="Times New Roman" w:cs="Times New Roman"/>
        </w:rPr>
        <w:footnoteRef/>
      </w:r>
      <w:r w:rsidRPr="00417B51">
        <w:rPr>
          <w:rFonts w:ascii="Times New Roman" w:hAnsi="Times New Roman" w:cs="Times New Roman"/>
        </w:rPr>
        <w:t xml:space="preserve"> </w:t>
      </w:r>
      <w:r w:rsidRPr="00417B51">
        <w:rPr>
          <w:rFonts w:ascii="Times New Roman" w:hAnsi="Times New Roman" w:cs="Times New Roman"/>
          <w:lang w:val="en-GB"/>
        </w:rPr>
        <w:t xml:space="preserve">See paragraph 8 </w:t>
      </w:r>
      <w:r w:rsidR="00F526CE" w:rsidRPr="00417B51">
        <w:rPr>
          <w:rFonts w:ascii="Times New Roman" w:hAnsi="Times New Roman" w:cs="Times New Roman"/>
        </w:rPr>
        <w:t xml:space="preserve">– </w:t>
      </w:r>
      <w:r w:rsidRPr="00417B51">
        <w:rPr>
          <w:rFonts w:ascii="Times New Roman" w:hAnsi="Times New Roman" w:cs="Times New Roman"/>
        </w:rPr>
        <w:t>2023/2129(DEC).</w:t>
      </w:r>
    </w:p>
  </w:footnote>
  <w:footnote w:id="20">
    <w:p w14:paraId="3D0D0DAB" w14:textId="4AC8A92D" w:rsidR="008011AA" w:rsidRPr="008011AA" w:rsidRDefault="008011AA">
      <w:pPr>
        <w:pStyle w:val="FootnoteText"/>
        <w:rPr>
          <w:lang w:val="en-GB"/>
        </w:rPr>
      </w:pPr>
      <w:r>
        <w:rPr>
          <w:rStyle w:val="FootnoteReference"/>
        </w:rPr>
        <w:footnoteRef/>
      </w:r>
      <w:r>
        <w:t xml:space="preserve"> </w:t>
      </w:r>
      <w:r w:rsidRPr="00417B51">
        <w:rPr>
          <w:rFonts w:ascii="Times New Roman" w:hAnsi="Times New Roman" w:cs="Times New Roman"/>
          <w:lang w:val="en-GB"/>
        </w:rPr>
        <w:t xml:space="preserve">See paragraph </w:t>
      </w:r>
      <w:r>
        <w:rPr>
          <w:rFonts w:ascii="Times New Roman" w:hAnsi="Times New Roman" w:cs="Times New Roman"/>
          <w:lang w:val="en-GB"/>
        </w:rPr>
        <w:t>7</w:t>
      </w:r>
      <w:r w:rsidRPr="00417B51">
        <w:rPr>
          <w:rFonts w:ascii="Times New Roman" w:hAnsi="Times New Roman" w:cs="Times New Roman"/>
          <w:lang w:val="en-GB"/>
        </w:rPr>
        <w:t xml:space="preserve"> </w:t>
      </w:r>
      <w:r w:rsidRPr="00417B51">
        <w:rPr>
          <w:rFonts w:ascii="Times New Roman" w:hAnsi="Times New Roman" w:cs="Times New Roman"/>
        </w:rPr>
        <w:t>– 2023/2129(DEC).</w:t>
      </w:r>
    </w:p>
  </w:footnote>
  <w:footnote w:id="21">
    <w:p w14:paraId="449E5D1B" w14:textId="7DB69E60" w:rsidR="00F204F0" w:rsidRPr="00130F7A" w:rsidRDefault="00F204F0" w:rsidP="00F204F0">
      <w:pPr>
        <w:pStyle w:val="FootnoteText"/>
        <w:rPr>
          <w:lang w:val="en-GB"/>
        </w:rPr>
      </w:pPr>
      <w:r w:rsidRPr="00417B51">
        <w:rPr>
          <w:rStyle w:val="FootnoteReference"/>
          <w:rFonts w:ascii="Times New Roman" w:hAnsi="Times New Roman" w:cs="Times New Roman"/>
        </w:rPr>
        <w:footnoteRef/>
      </w:r>
      <w:r w:rsidRPr="00417B51">
        <w:rPr>
          <w:rFonts w:ascii="Times New Roman" w:hAnsi="Times New Roman" w:cs="Times New Roman"/>
        </w:rPr>
        <w:t xml:space="preserve"> </w:t>
      </w:r>
      <w:hyperlink r:id="rId3" w:history="1">
        <w:r w:rsidRPr="00417B51">
          <w:rPr>
            <w:rStyle w:val="Hyperlink"/>
            <w:rFonts w:ascii="Times New Roman" w:hAnsi="Times New Roman" w:cs="Times New Roman"/>
          </w:rPr>
          <w:t>Preliminary evaluation of the support provided by ESF and FEAD under the Coronavirus Response Investment Initiatives (CRII and CRII+)</w:t>
        </w:r>
      </w:hyperlink>
      <w:r w:rsidRPr="00417B51">
        <w:rPr>
          <w:rFonts w:ascii="Times New Roman" w:hAnsi="Times New Roman" w:cs="Times New Roman"/>
        </w:rPr>
        <w:t xml:space="preserve"> </w:t>
      </w:r>
      <w:r w:rsidR="00F526CE" w:rsidRPr="00417B51">
        <w:rPr>
          <w:rFonts w:ascii="Times New Roman" w:hAnsi="Times New Roman" w:cs="Times New Roman"/>
        </w:rPr>
        <w:t xml:space="preserve">– </w:t>
      </w:r>
      <w:r w:rsidRPr="00417B51">
        <w:rPr>
          <w:rFonts w:ascii="Times New Roman" w:hAnsi="Times New Roman" w:cs="Times New Roman"/>
        </w:rPr>
        <w:t>SWD(2023) 249.</w:t>
      </w:r>
    </w:p>
  </w:footnote>
  <w:footnote w:id="22">
    <w:p w14:paraId="0A66AC8E" w14:textId="77777777" w:rsidR="00F204F0" w:rsidRPr="00F526CE" w:rsidRDefault="00F204F0" w:rsidP="008011AA">
      <w:pPr>
        <w:pStyle w:val="FootnoteText"/>
        <w:jc w:val="both"/>
        <w:rPr>
          <w:rFonts w:ascii="Times New Roman" w:hAnsi="Times New Roman" w:cs="Times New Roman"/>
        </w:rPr>
      </w:pPr>
      <w:r w:rsidRPr="00F526CE">
        <w:rPr>
          <w:rStyle w:val="FootnoteReference"/>
          <w:rFonts w:ascii="Times New Roman" w:hAnsi="Times New Roman" w:cs="Times New Roman"/>
        </w:rPr>
        <w:footnoteRef/>
      </w:r>
      <w:r w:rsidRPr="00F526CE">
        <w:rPr>
          <w:rFonts w:ascii="Times New Roman" w:hAnsi="Times New Roman" w:cs="Times New Roman"/>
        </w:rPr>
        <w:t xml:space="preserve"> The Cohesion’s Action for Refugees in Europe (CARE), the CARE+, the Flexible Assistance to Territories (FAST-CARE) and the Supporting Affordable Energy (SAFE) measures.</w:t>
      </w:r>
    </w:p>
  </w:footnote>
  <w:footnote w:id="23">
    <w:p w14:paraId="1FF66B9A" w14:textId="77777777" w:rsidR="00F204F0" w:rsidRPr="00F526CE" w:rsidRDefault="00F204F0" w:rsidP="008011AA">
      <w:pPr>
        <w:pStyle w:val="FootnoteText"/>
        <w:jc w:val="both"/>
        <w:rPr>
          <w:rFonts w:ascii="Times New Roman" w:hAnsi="Times New Roman" w:cs="Times New Roman"/>
          <w:lang w:val="en-GB"/>
        </w:rPr>
      </w:pPr>
      <w:r w:rsidRPr="00F526CE">
        <w:rPr>
          <w:rStyle w:val="FootnoteReference"/>
          <w:rFonts w:ascii="Times New Roman" w:hAnsi="Times New Roman" w:cs="Times New Roman"/>
        </w:rPr>
        <w:footnoteRef/>
      </w:r>
      <w:r w:rsidRPr="00F526CE">
        <w:rPr>
          <w:rFonts w:ascii="Times New Roman" w:hAnsi="Times New Roman" w:cs="Times New Roman"/>
        </w:rPr>
        <w:t xml:space="preserve"> See paragraph 3 of the Council discharge’s recommendation (6179/24).</w:t>
      </w:r>
    </w:p>
  </w:footnote>
  <w:footnote w:id="24">
    <w:p w14:paraId="4B8AA645" w14:textId="77777777" w:rsidR="00F204F0" w:rsidRPr="00F526CE" w:rsidRDefault="00F204F0" w:rsidP="008011AA">
      <w:pPr>
        <w:pStyle w:val="FootnoteText"/>
        <w:jc w:val="both"/>
        <w:rPr>
          <w:rFonts w:ascii="Times New Roman" w:hAnsi="Times New Roman" w:cs="Times New Roman"/>
          <w:lang w:val="en-GB"/>
        </w:rPr>
      </w:pPr>
      <w:r w:rsidRPr="00F526CE">
        <w:rPr>
          <w:rStyle w:val="FootnoteReference"/>
          <w:rFonts w:ascii="Times New Roman" w:hAnsi="Times New Roman" w:cs="Times New Roman"/>
        </w:rPr>
        <w:footnoteRef/>
      </w:r>
      <w:r w:rsidRPr="00F526CE">
        <w:rPr>
          <w:rFonts w:ascii="Times New Roman" w:hAnsi="Times New Roman" w:cs="Times New Roman"/>
        </w:rPr>
        <w:t xml:space="preserve"> Core performance indicators are listed in the annex of the regulations underpinning each spending programme. </w:t>
      </w:r>
    </w:p>
  </w:footnote>
  <w:footnote w:id="25">
    <w:p w14:paraId="21198F2B" w14:textId="7A24FE3F" w:rsidR="00F204F0" w:rsidRPr="00F526CE" w:rsidRDefault="00F204F0" w:rsidP="008011AA">
      <w:pPr>
        <w:pStyle w:val="FootnoteText"/>
        <w:jc w:val="both"/>
        <w:rPr>
          <w:rFonts w:ascii="Times New Roman" w:hAnsi="Times New Roman" w:cs="Times New Roman"/>
          <w:lang w:val="en-GB"/>
        </w:rPr>
      </w:pPr>
      <w:r w:rsidRPr="00F526CE">
        <w:rPr>
          <w:rStyle w:val="FootnoteReference"/>
          <w:rFonts w:ascii="Times New Roman" w:hAnsi="Times New Roman" w:cs="Times New Roman"/>
        </w:rPr>
        <w:footnoteRef/>
      </w:r>
      <w:r w:rsidRPr="00F526CE">
        <w:rPr>
          <w:rFonts w:ascii="Times New Roman" w:hAnsi="Times New Roman" w:cs="Times New Roman"/>
        </w:rPr>
        <w:t xml:space="preserve"> European Commission, Directorate-General for Budget, Green bonds – Impact and allocation report – NGEU report 2023, Publications Office of the European Union, 2023.</w:t>
      </w:r>
    </w:p>
  </w:footnote>
  <w:footnote w:id="26">
    <w:p w14:paraId="6C961FE3" w14:textId="2E702F5B" w:rsidR="00F204F0" w:rsidRPr="00F526CE" w:rsidRDefault="00F204F0" w:rsidP="008011AA">
      <w:pPr>
        <w:pStyle w:val="FootnoteText"/>
        <w:jc w:val="both"/>
        <w:rPr>
          <w:rFonts w:ascii="Times New Roman" w:hAnsi="Times New Roman" w:cs="Times New Roman"/>
          <w:lang w:val="en-GB"/>
        </w:rPr>
      </w:pPr>
      <w:r w:rsidRPr="00F526CE">
        <w:rPr>
          <w:rStyle w:val="FootnoteReference"/>
          <w:rFonts w:ascii="Times New Roman" w:hAnsi="Times New Roman" w:cs="Times New Roman"/>
        </w:rPr>
        <w:footnoteRef/>
      </w:r>
      <w:r w:rsidRPr="00F526CE">
        <w:rPr>
          <w:rFonts w:ascii="Times New Roman" w:hAnsi="Times New Roman" w:cs="Times New Roman"/>
        </w:rPr>
        <w:t xml:space="preserve"> See paragraph 16 - 2023/2129(DEC).</w:t>
      </w:r>
    </w:p>
  </w:footnote>
  <w:footnote w:id="27">
    <w:p w14:paraId="56523B4E" w14:textId="20D57839" w:rsidR="00F204F0" w:rsidRPr="00F526CE" w:rsidRDefault="00F204F0" w:rsidP="008011AA">
      <w:pPr>
        <w:pStyle w:val="FootnoteText"/>
        <w:jc w:val="both"/>
        <w:rPr>
          <w:rFonts w:ascii="Times New Roman" w:hAnsi="Times New Roman" w:cs="Times New Roman"/>
          <w:lang w:val="en-GB"/>
        </w:rPr>
      </w:pPr>
      <w:r w:rsidRPr="00F526CE">
        <w:rPr>
          <w:rStyle w:val="FootnoteReference"/>
          <w:rFonts w:ascii="Times New Roman" w:hAnsi="Times New Roman" w:cs="Times New Roman"/>
        </w:rPr>
        <w:footnoteRef/>
      </w:r>
      <w:r w:rsidRPr="00F526CE">
        <w:rPr>
          <w:rFonts w:ascii="Times New Roman" w:hAnsi="Times New Roman" w:cs="Times New Roman"/>
        </w:rPr>
        <w:t xml:space="preserve"> See paragraph 18 - 2023/2129(DEC).</w:t>
      </w:r>
    </w:p>
  </w:footnote>
  <w:footnote w:id="28">
    <w:p w14:paraId="2BB9F248" w14:textId="77777777" w:rsidR="00F204F0" w:rsidRPr="00130F7A" w:rsidRDefault="00F204F0" w:rsidP="008011AA">
      <w:pPr>
        <w:pStyle w:val="FootnoteText"/>
        <w:jc w:val="both"/>
        <w:rPr>
          <w:lang w:val="en-GB"/>
        </w:rPr>
      </w:pPr>
      <w:r w:rsidRPr="00F526CE">
        <w:rPr>
          <w:rStyle w:val="FootnoteReference"/>
          <w:rFonts w:ascii="Times New Roman" w:hAnsi="Times New Roman" w:cs="Times New Roman"/>
        </w:rPr>
        <w:footnoteRef/>
      </w:r>
      <w:r w:rsidRPr="00F526CE">
        <w:rPr>
          <w:rFonts w:ascii="Times New Roman" w:hAnsi="Times New Roman" w:cs="Times New Roman"/>
        </w:rPr>
        <w:t xml:space="preserve"> Further information on the level of the RAL is included in: (i) the EU’s 2023 annual accounts; (ii) Working Document V attached to the 2025 Draft Budget; and (iii) the annual report on the long-term forecast on the future inflows and</w:t>
      </w:r>
      <w:r w:rsidRPr="00BE6F14">
        <w:rPr>
          <w:rFonts w:ascii="Times New Roman" w:hAnsi="Times New Roman"/>
        </w:rPr>
        <w:t xml:space="preserve"> outflows of the 2025-2029 EU budget. The Commission also provides relevant information to the Parliament and the Council during dedicated meetings three times a year.</w:t>
      </w:r>
    </w:p>
  </w:footnote>
  <w:footnote w:id="29">
    <w:p w14:paraId="179090EC" w14:textId="77777777" w:rsidR="00F204F0" w:rsidRPr="00F526CE" w:rsidRDefault="00F204F0" w:rsidP="00F526CE">
      <w:pPr>
        <w:pStyle w:val="FootnoteText"/>
        <w:jc w:val="both"/>
        <w:rPr>
          <w:rFonts w:ascii="Times New Roman" w:hAnsi="Times New Roman" w:cs="Times New Roman"/>
        </w:rPr>
      </w:pPr>
      <w:r w:rsidRPr="00F526CE">
        <w:rPr>
          <w:rStyle w:val="FootnoteReference"/>
          <w:rFonts w:ascii="Times New Roman" w:hAnsi="Times New Roman" w:cs="Times New Roman"/>
        </w:rPr>
        <w:footnoteRef/>
      </w:r>
      <w:r w:rsidRPr="00F526CE">
        <w:rPr>
          <w:rFonts w:ascii="Times New Roman" w:hAnsi="Times New Roman" w:cs="Times New Roman"/>
        </w:rPr>
        <w:t xml:space="preserve"> The Strategic Technologies for Europe Platform (STEP) was set up in March 2024 to support European Industry and boost investment in critical technologies in Europe. STEP will raise and steer funding across 11 EU programmes to 3 target investment areas: (i) Digital technologies and deep-tech innovation; (ii) Clean and resource efficient technologies; and (iii) Biotechnologies. </w:t>
      </w:r>
    </w:p>
  </w:footnote>
  <w:footnote w:id="30">
    <w:p w14:paraId="20145C44" w14:textId="11144DA6" w:rsidR="00F204F0" w:rsidRPr="00F526CE" w:rsidRDefault="00F204F0" w:rsidP="00F526CE">
      <w:pPr>
        <w:pStyle w:val="FootnoteText"/>
        <w:jc w:val="both"/>
        <w:rPr>
          <w:rFonts w:ascii="Times New Roman" w:hAnsi="Times New Roman" w:cs="Times New Roman"/>
          <w:lang w:val="en-GB"/>
        </w:rPr>
      </w:pPr>
      <w:r w:rsidRPr="00F526CE">
        <w:rPr>
          <w:rStyle w:val="FootnoteReference"/>
          <w:rFonts w:ascii="Times New Roman" w:hAnsi="Times New Roman" w:cs="Times New Roman"/>
        </w:rPr>
        <w:footnoteRef/>
      </w:r>
      <w:r w:rsidRPr="00F526CE">
        <w:rPr>
          <w:rFonts w:ascii="Times New Roman" w:hAnsi="Times New Roman" w:cs="Times New Roman"/>
        </w:rPr>
        <w:t xml:space="preserve"> Regulation (EU) 2024/795.</w:t>
      </w:r>
    </w:p>
  </w:footnote>
  <w:footnote w:id="31">
    <w:p w14:paraId="48246ED3" w14:textId="701BF7B6" w:rsidR="00F204F0" w:rsidRPr="00F526CE" w:rsidRDefault="00F204F0" w:rsidP="00F526CE">
      <w:pPr>
        <w:pStyle w:val="FootnoteText"/>
        <w:jc w:val="both"/>
        <w:rPr>
          <w:rFonts w:ascii="Times New Roman" w:hAnsi="Times New Roman" w:cs="Times New Roman"/>
        </w:rPr>
      </w:pPr>
      <w:r w:rsidRPr="00F526CE">
        <w:rPr>
          <w:rStyle w:val="FootnoteReference"/>
          <w:rFonts w:ascii="Times New Roman" w:hAnsi="Times New Roman" w:cs="Times New Roman"/>
        </w:rPr>
        <w:footnoteRef/>
      </w:r>
      <w:r w:rsidRPr="00F526CE">
        <w:rPr>
          <w:rFonts w:ascii="Times New Roman" w:hAnsi="Times New Roman" w:cs="Times New Roman"/>
        </w:rPr>
        <w:t xml:space="preserve"> </w:t>
      </w:r>
      <w:r w:rsidRPr="00402D8B">
        <w:rPr>
          <w:rStyle w:val="Hyperlink"/>
          <w:rFonts w:ascii="Times New Roman" w:hAnsi="Times New Roman" w:cs="Times New Roman"/>
          <w:u w:val="none"/>
        </w:rPr>
        <w:t>C/2024/3148</w:t>
      </w:r>
      <w:r w:rsidRPr="00402D8B">
        <w:rPr>
          <w:rStyle w:val="Hyperlink"/>
          <w:u w:val="none"/>
        </w:rPr>
        <w:t>.</w:t>
      </w:r>
    </w:p>
  </w:footnote>
  <w:footnote w:id="32">
    <w:p w14:paraId="38BC717D" w14:textId="26E8B479" w:rsidR="00F204F0" w:rsidRPr="00F526CE" w:rsidRDefault="00F204F0" w:rsidP="00F526CE">
      <w:pPr>
        <w:pStyle w:val="FootnoteText"/>
        <w:jc w:val="both"/>
        <w:rPr>
          <w:rFonts w:ascii="Times New Roman" w:hAnsi="Times New Roman" w:cs="Times New Roman"/>
          <w:lang w:val="en-GB"/>
        </w:rPr>
      </w:pPr>
      <w:r w:rsidRPr="00F526CE">
        <w:rPr>
          <w:rStyle w:val="FootnoteReference"/>
          <w:rFonts w:ascii="Times New Roman" w:hAnsi="Times New Roman" w:cs="Times New Roman"/>
        </w:rPr>
        <w:footnoteRef/>
      </w:r>
      <w:r w:rsidRPr="00F526CE">
        <w:rPr>
          <w:rFonts w:ascii="Times New Roman" w:hAnsi="Times New Roman" w:cs="Times New Roman"/>
        </w:rPr>
        <w:t xml:space="preserve"> </w:t>
      </w:r>
      <w:r w:rsidRPr="00F526CE">
        <w:rPr>
          <w:rFonts w:ascii="Times New Roman" w:hAnsi="Times New Roman" w:cs="Times New Roman"/>
          <w:lang w:val="en-GB"/>
        </w:rPr>
        <w:t xml:space="preserve">See </w:t>
      </w:r>
      <w:r w:rsidRPr="00F526CE">
        <w:rPr>
          <w:rFonts w:ascii="Times New Roman" w:hAnsi="Times New Roman" w:cs="Times New Roman"/>
        </w:rPr>
        <w:t xml:space="preserve">paragraph </w:t>
      </w:r>
      <w:r w:rsidRPr="00F526CE">
        <w:rPr>
          <w:rFonts w:ascii="Times New Roman" w:hAnsi="Times New Roman" w:cs="Times New Roman"/>
          <w:lang w:val="en-GB"/>
        </w:rPr>
        <w:t xml:space="preserve">19 </w:t>
      </w:r>
      <w:r w:rsidR="00F526CE" w:rsidRPr="003C16B9">
        <w:rPr>
          <w:rFonts w:ascii="Times New Roman" w:hAnsi="Times New Roman" w:cs="Times New Roman"/>
          <w:sz w:val="24"/>
          <w:szCs w:val="24"/>
        </w:rPr>
        <w:t xml:space="preserve">– </w:t>
      </w:r>
      <w:r w:rsidRPr="00F526CE">
        <w:rPr>
          <w:rFonts w:ascii="Times New Roman" w:hAnsi="Times New Roman" w:cs="Times New Roman"/>
          <w:lang w:val="en-GB"/>
        </w:rPr>
        <w:t>2023/2129(DEC).</w:t>
      </w:r>
    </w:p>
  </w:footnote>
  <w:footnote w:id="33">
    <w:p w14:paraId="0D5C99F9" w14:textId="7E882FDB" w:rsidR="00173426" w:rsidRPr="00BE6F14" w:rsidRDefault="00173426" w:rsidP="00F526CE">
      <w:pPr>
        <w:pStyle w:val="FootnoteText"/>
        <w:jc w:val="both"/>
        <w:rPr>
          <w:lang w:val="en-IE"/>
        </w:rPr>
      </w:pPr>
      <w:r w:rsidRPr="00F526CE">
        <w:rPr>
          <w:rStyle w:val="FootnoteReference"/>
          <w:rFonts w:ascii="Times New Roman" w:hAnsi="Times New Roman" w:cs="Times New Roman"/>
        </w:rPr>
        <w:footnoteRef/>
      </w:r>
      <w:r w:rsidRPr="00F526CE">
        <w:rPr>
          <w:rFonts w:ascii="Times New Roman" w:hAnsi="Times New Roman" w:cs="Times New Roman"/>
        </w:rPr>
        <w:t xml:space="preserve"> </w:t>
      </w:r>
      <w:r w:rsidR="009A179F" w:rsidRPr="00F526CE">
        <w:rPr>
          <w:rFonts w:ascii="Times New Roman" w:hAnsi="Times New Roman" w:cs="Times New Roman"/>
          <w:lang w:val="en-IE"/>
        </w:rPr>
        <w:t>As set up by Regulation (EU) 2017/825.</w:t>
      </w:r>
      <w:r w:rsidR="009A179F">
        <w:rPr>
          <w:lang w:val="en-IE"/>
        </w:rPr>
        <w:t xml:space="preserve"> </w:t>
      </w:r>
    </w:p>
  </w:footnote>
  <w:footnote w:id="34">
    <w:p w14:paraId="49EED3B7" w14:textId="7C9CDDF7" w:rsidR="006B503D" w:rsidRPr="00F526CE" w:rsidRDefault="006B503D">
      <w:pPr>
        <w:pStyle w:val="FootnoteText"/>
        <w:rPr>
          <w:rFonts w:ascii="Times New Roman" w:hAnsi="Times New Roman" w:cs="Times New Roman"/>
          <w:lang w:val="en-GB"/>
        </w:rPr>
      </w:pPr>
      <w:r w:rsidRPr="00F526CE">
        <w:rPr>
          <w:rStyle w:val="FootnoteReference"/>
          <w:rFonts w:ascii="Times New Roman" w:hAnsi="Times New Roman" w:cs="Times New Roman"/>
        </w:rPr>
        <w:footnoteRef/>
      </w:r>
      <w:r w:rsidRPr="00F526CE">
        <w:rPr>
          <w:rFonts w:ascii="Times New Roman" w:hAnsi="Times New Roman" w:cs="Times New Roman"/>
        </w:rPr>
        <w:t xml:space="preserve"> Covering cohesion-policy funding, the 2014-2022 and 2023-2027 European Agricultural Fund for Rural Development and the 2023-2027 European Agricultural Guarantee Fund</w:t>
      </w:r>
      <w:r w:rsidR="00F526CE">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7F028" w14:textId="77777777" w:rsidR="004378AC" w:rsidRPr="004378AC" w:rsidRDefault="004378AC" w:rsidP="004378AC">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E56A3" w14:textId="77777777" w:rsidR="004378AC" w:rsidRPr="004378AC" w:rsidRDefault="004378AC" w:rsidP="004378A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3787C" w14:textId="77777777" w:rsidR="004378AC" w:rsidRPr="004378AC" w:rsidRDefault="004378AC" w:rsidP="004378A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D248E" w14:textId="77777777" w:rsidR="00F17AAE" w:rsidRDefault="00F17A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01F9F" w14:textId="77777777" w:rsidR="00F17AAE" w:rsidRDefault="00F17AA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73473" w14:textId="77777777" w:rsidR="00F17AAE" w:rsidRDefault="00F17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A19"/>
    <w:multiLevelType w:val="hybridMultilevel"/>
    <w:tmpl w:val="6B669602"/>
    <w:lvl w:ilvl="0" w:tplc="EC088AF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6641E"/>
    <w:multiLevelType w:val="hybridMultilevel"/>
    <w:tmpl w:val="E728944A"/>
    <w:lvl w:ilvl="0" w:tplc="1809000B">
      <w:start w:val="1"/>
      <w:numFmt w:val="bullet"/>
      <w:lvlText w:val=""/>
      <w:lvlJc w:val="left"/>
      <w:pPr>
        <w:ind w:left="2166" w:hanging="360"/>
      </w:pPr>
      <w:rPr>
        <w:rFonts w:ascii="Wingdings" w:hAnsi="Wingdings" w:hint="default"/>
      </w:rPr>
    </w:lvl>
    <w:lvl w:ilvl="1" w:tplc="1FA6889C">
      <w:start w:val="1"/>
      <w:numFmt w:val="bullet"/>
      <w:lvlText w:val="o"/>
      <w:lvlJc w:val="left"/>
      <w:pPr>
        <w:ind w:left="2886" w:hanging="360"/>
      </w:pPr>
      <w:rPr>
        <w:rFonts w:ascii="Courier New" w:hAnsi="Courier New" w:hint="default"/>
      </w:rPr>
    </w:lvl>
    <w:lvl w:ilvl="2" w:tplc="5DF8767E">
      <w:start w:val="1"/>
      <w:numFmt w:val="bullet"/>
      <w:lvlText w:val=""/>
      <w:lvlJc w:val="left"/>
      <w:pPr>
        <w:ind w:left="3606" w:hanging="360"/>
      </w:pPr>
      <w:rPr>
        <w:rFonts w:ascii="Wingdings" w:hAnsi="Wingdings" w:hint="default"/>
      </w:rPr>
    </w:lvl>
    <w:lvl w:ilvl="3" w:tplc="5576232C">
      <w:start w:val="1"/>
      <w:numFmt w:val="bullet"/>
      <w:lvlText w:val=""/>
      <w:lvlJc w:val="left"/>
      <w:pPr>
        <w:ind w:left="4326" w:hanging="360"/>
      </w:pPr>
      <w:rPr>
        <w:rFonts w:ascii="Symbol" w:hAnsi="Symbol" w:hint="default"/>
      </w:rPr>
    </w:lvl>
    <w:lvl w:ilvl="4" w:tplc="9F0C3138">
      <w:start w:val="1"/>
      <w:numFmt w:val="bullet"/>
      <w:lvlText w:val="o"/>
      <w:lvlJc w:val="left"/>
      <w:pPr>
        <w:ind w:left="5046" w:hanging="360"/>
      </w:pPr>
      <w:rPr>
        <w:rFonts w:ascii="Courier New" w:hAnsi="Courier New" w:hint="default"/>
      </w:rPr>
    </w:lvl>
    <w:lvl w:ilvl="5" w:tplc="A73880E2">
      <w:start w:val="1"/>
      <w:numFmt w:val="bullet"/>
      <w:lvlText w:val=""/>
      <w:lvlJc w:val="left"/>
      <w:pPr>
        <w:ind w:left="5766" w:hanging="360"/>
      </w:pPr>
      <w:rPr>
        <w:rFonts w:ascii="Wingdings" w:hAnsi="Wingdings" w:hint="default"/>
      </w:rPr>
    </w:lvl>
    <w:lvl w:ilvl="6" w:tplc="D57A675E">
      <w:start w:val="1"/>
      <w:numFmt w:val="bullet"/>
      <w:lvlText w:val=""/>
      <w:lvlJc w:val="left"/>
      <w:pPr>
        <w:ind w:left="6486" w:hanging="360"/>
      </w:pPr>
      <w:rPr>
        <w:rFonts w:ascii="Symbol" w:hAnsi="Symbol" w:hint="default"/>
      </w:rPr>
    </w:lvl>
    <w:lvl w:ilvl="7" w:tplc="DCBE0C46">
      <w:start w:val="1"/>
      <w:numFmt w:val="bullet"/>
      <w:lvlText w:val="o"/>
      <w:lvlJc w:val="left"/>
      <w:pPr>
        <w:ind w:left="7206" w:hanging="360"/>
      </w:pPr>
      <w:rPr>
        <w:rFonts w:ascii="Courier New" w:hAnsi="Courier New" w:hint="default"/>
      </w:rPr>
    </w:lvl>
    <w:lvl w:ilvl="8" w:tplc="2D86E4DA">
      <w:start w:val="1"/>
      <w:numFmt w:val="bullet"/>
      <w:lvlText w:val=""/>
      <w:lvlJc w:val="left"/>
      <w:pPr>
        <w:ind w:left="7926" w:hanging="360"/>
      </w:pPr>
      <w:rPr>
        <w:rFonts w:ascii="Wingdings" w:hAnsi="Wingdings" w:hint="default"/>
      </w:rPr>
    </w:lvl>
  </w:abstractNum>
  <w:abstractNum w:abstractNumId="2" w15:restartNumberingAfterBreak="0">
    <w:nsid w:val="04053838"/>
    <w:multiLevelType w:val="hybridMultilevel"/>
    <w:tmpl w:val="0C9AF0FE"/>
    <w:lvl w:ilvl="0" w:tplc="FD3A5E92">
      <w:start w:val="1"/>
      <w:numFmt w:val="bullet"/>
      <w:lvlText w:val="-"/>
      <w:lvlJc w:val="left"/>
      <w:pPr>
        <w:ind w:left="720" w:hanging="360"/>
      </w:pPr>
      <w:rPr>
        <w:rFonts w:ascii="Calibri" w:hAnsi="Calibri" w:hint="default"/>
      </w:rPr>
    </w:lvl>
    <w:lvl w:ilvl="1" w:tplc="5A3E6B88">
      <w:start w:val="1"/>
      <w:numFmt w:val="bullet"/>
      <w:lvlText w:val="o"/>
      <w:lvlJc w:val="left"/>
      <w:pPr>
        <w:ind w:left="1440" w:hanging="360"/>
      </w:pPr>
      <w:rPr>
        <w:rFonts w:ascii="Courier New" w:hAnsi="Courier New" w:hint="default"/>
      </w:rPr>
    </w:lvl>
    <w:lvl w:ilvl="2" w:tplc="C33A26AA">
      <w:start w:val="1"/>
      <w:numFmt w:val="bullet"/>
      <w:lvlText w:val=""/>
      <w:lvlJc w:val="left"/>
      <w:pPr>
        <w:ind w:left="2160" w:hanging="360"/>
      </w:pPr>
      <w:rPr>
        <w:rFonts w:ascii="Wingdings" w:hAnsi="Wingdings" w:hint="default"/>
      </w:rPr>
    </w:lvl>
    <w:lvl w:ilvl="3" w:tplc="B67C5E44">
      <w:start w:val="1"/>
      <w:numFmt w:val="bullet"/>
      <w:lvlText w:val=""/>
      <w:lvlJc w:val="left"/>
      <w:pPr>
        <w:ind w:left="2880" w:hanging="360"/>
      </w:pPr>
      <w:rPr>
        <w:rFonts w:ascii="Symbol" w:hAnsi="Symbol" w:hint="default"/>
      </w:rPr>
    </w:lvl>
    <w:lvl w:ilvl="4" w:tplc="B068321C">
      <w:start w:val="1"/>
      <w:numFmt w:val="bullet"/>
      <w:lvlText w:val="o"/>
      <w:lvlJc w:val="left"/>
      <w:pPr>
        <w:ind w:left="3600" w:hanging="360"/>
      </w:pPr>
      <w:rPr>
        <w:rFonts w:ascii="Courier New" w:hAnsi="Courier New" w:hint="default"/>
      </w:rPr>
    </w:lvl>
    <w:lvl w:ilvl="5" w:tplc="D2E8BB0A">
      <w:start w:val="1"/>
      <w:numFmt w:val="bullet"/>
      <w:lvlText w:val=""/>
      <w:lvlJc w:val="left"/>
      <w:pPr>
        <w:ind w:left="4320" w:hanging="360"/>
      </w:pPr>
      <w:rPr>
        <w:rFonts w:ascii="Wingdings" w:hAnsi="Wingdings" w:hint="default"/>
      </w:rPr>
    </w:lvl>
    <w:lvl w:ilvl="6" w:tplc="E0E67E3C">
      <w:start w:val="1"/>
      <w:numFmt w:val="bullet"/>
      <w:lvlText w:val=""/>
      <w:lvlJc w:val="left"/>
      <w:pPr>
        <w:ind w:left="5040" w:hanging="360"/>
      </w:pPr>
      <w:rPr>
        <w:rFonts w:ascii="Symbol" w:hAnsi="Symbol" w:hint="default"/>
      </w:rPr>
    </w:lvl>
    <w:lvl w:ilvl="7" w:tplc="420AEAFE">
      <w:start w:val="1"/>
      <w:numFmt w:val="bullet"/>
      <w:lvlText w:val="o"/>
      <w:lvlJc w:val="left"/>
      <w:pPr>
        <w:ind w:left="5760" w:hanging="360"/>
      </w:pPr>
      <w:rPr>
        <w:rFonts w:ascii="Courier New" w:hAnsi="Courier New" w:hint="default"/>
      </w:rPr>
    </w:lvl>
    <w:lvl w:ilvl="8" w:tplc="90688A94">
      <w:start w:val="1"/>
      <w:numFmt w:val="bullet"/>
      <w:lvlText w:val=""/>
      <w:lvlJc w:val="left"/>
      <w:pPr>
        <w:ind w:left="6480" w:hanging="360"/>
      </w:pPr>
      <w:rPr>
        <w:rFonts w:ascii="Wingdings" w:hAnsi="Wingdings" w:hint="default"/>
      </w:rPr>
    </w:lvl>
  </w:abstractNum>
  <w:abstractNum w:abstractNumId="3" w15:restartNumberingAfterBreak="0">
    <w:nsid w:val="0B2B3116"/>
    <w:multiLevelType w:val="hybridMultilevel"/>
    <w:tmpl w:val="8FAE9D46"/>
    <w:lvl w:ilvl="0" w:tplc="1AB61EB2">
      <w:start w:val="20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966ED"/>
    <w:multiLevelType w:val="hybridMultilevel"/>
    <w:tmpl w:val="C7F2372A"/>
    <w:lvl w:ilvl="0" w:tplc="9FA4E7CA">
      <w:numFmt w:val="bullet"/>
      <w:lvlText w:val="-"/>
      <w:lvlJc w:val="left"/>
      <w:pPr>
        <w:ind w:left="495" w:hanging="360"/>
      </w:pPr>
      <w:rPr>
        <w:rFonts w:ascii="Calibri" w:eastAsiaTheme="minorHAnsi" w:hAnsi="Calibri" w:cs="Calibri"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5" w15:restartNumberingAfterBreak="0">
    <w:nsid w:val="0D197A36"/>
    <w:multiLevelType w:val="hybridMultilevel"/>
    <w:tmpl w:val="BCA48A0E"/>
    <w:lvl w:ilvl="0" w:tplc="CC1AABE0">
      <w:start w:val="1"/>
      <w:numFmt w:val="bullet"/>
      <w:lvlText w:val="-"/>
      <w:lvlJc w:val="left"/>
      <w:pPr>
        <w:ind w:left="720" w:hanging="360"/>
      </w:pPr>
      <w:rPr>
        <w:rFonts w:ascii="Calibri" w:hAnsi="Calibri" w:hint="default"/>
      </w:rPr>
    </w:lvl>
    <w:lvl w:ilvl="1" w:tplc="39FA9E76">
      <w:start w:val="1"/>
      <w:numFmt w:val="bullet"/>
      <w:lvlText w:val="o"/>
      <w:lvlJc w:val="left"/>
      <w:pPr>
        <w:ind w:left="1440" w:hanging="360"/>
      </w:pPr>
      <w:rPr>
        <w:rFonts w:ascii="Courier New" w:hAnsi="Courier New" w:hint="default"/>
      </w:rPr>
    </w:lvl>
    <w:lvl w:ilvl="2" w:tplc="9C84F04C">
      <w:start w:val="1"/>
      <w:numFmt w:val="bullet"/>
      <w:lvlText w:val=""/>
      <w:lvlJc w:val="left"/>
      <w:pPr>
        <w:ind w:left="2160" w:hanging="360"/>
      </w:pPr>
      <w:rPr>
        <w:rFonts w:ascii="Wingdings" w:hAnsi="Wingdings" w:hint="default"/>
      </w:rPr>
    </w:lvl>
    <w:lvl w:ilvl="3" w:tplc="1D9A1A24">
      <w:start w:val="1"/>
      <w:numFmt w:val="bullet"/>
      <w:lvlText w:val=""/>
      <w:lvlJc w:val="left"/>
      <w:pPr>
        <w:ind w:left="2880" w:hanging="360"/>
      </w:pPr>
      <w:rPr>
        <w:rFonts w:ascii="Symbol" w:hAnsi="Symbol" w:hint="default"/>
      </w:rPr>
    </w:lvl>
    <w:lvl w:ilvl="4" w:tplc="5BE6E5AA">
      <w:start w:val="1"/>
      <w:numFmt w:val="bullet"/>
      <w:lvlText w:val="o"/>
      <w:lvlJc w:val="left"/>
      <w:pPr>
        <w:ind w:left="3600" w:hanging="360"/>
      </w:pPr>
      <w:rPr>
        <w:rFonts w:ascii="Courier New" w:hAnsi="Courier New" w:hint="default"/>
      </w:rPr>
    </w:lvl>
    <w:lvl w:ilvl="5" w:tplc="4F106C66">
      <w:start w:val="1"/>
      <w:numFmt w:val="bullet"/>
      <w:lvlText w:val=""/>
      <w:lvlJc w:val="left"/>
      <w:pPr>
        <w:ind w:left="4320" w:hanging="360"/>
      </w:pPr>
      <w:rPr>
        <w:rFonts w:ascii="Wingdings" w:hAnsi="Wingdings" w:hint="default"/>
      </w:rPr>
    </w:lvl>
    <w:lvl w:ilvl="6" w:tplc="EFB8EA80">
      <w:start w:val="1"/>
      <w:numFmt w:val="bullet"/>
      <w:lvlText w:val=""/>
      <w:lvlJc w:val="left"/>
      <w:pPr>
        <w:ind w:left="5040" w:hanging="360"/>
      </w:pPr>
      <w:rPr>
        <w:rFonts w:ascii="Symbol" w:hAnsi="Symbol" w:hint="default"/>
      </w:rPr>
    </w:lvl>
    <w:lvl w:ilvl="7" w:tplc="D7B01F38">
      <w:start w:val="1"/>
      <w:numFmt w:val="bullet"/>
      <w:lvlText w:val="o"/>
      <w:lvlJc w:val="left"/>
      <w:pPr>
        <w:ind w:left="5760" w:hanging="360"/>
      </w:pPr>
      <w:rPr>
        <w:rFonts w:ascii="Courier New" w:hAnsi="Courier New" w:hint="default"/>
      </w:rPr>
    </w:lvl>
    <w:lvl w:ilvl="8" w:tplc="32040CA2">
      <w:start w:val="1"/>
      <w:numFmt w:val="bullet"/>
      <w:lvlText w:val=""/>
      <w:lvlJc w:val="left"/>
      <w:pPr>
        <w:ind w:left="6480" w:hanging="360"/>
      </w:pPr>
      <w:rPr>
        <w:rFonts w:ascii="Wingdings" w:hAnsi="Wingdings" w:hint="default"/>
      </w:rPr>
    </w:lvl>
  </w:abstractNum>
  <w:abstractNum w:abstractNumId="6" w15:restartNumberingAfterBreak="0">
    <w:nsid w:val="0F475AF2"/>
    <w:multiLevelType w:val="hybridMultilevel"/>
    <w:tmpl w:val="A080C890"/>
    <w:lvl w:ilvl="0" w:tplc="1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7" w15:restartNumberingAfterBreak="0">
    <w:nsid w:val="187DFE51"/>
    <w:multiLevelType w:val="hybridMultilevel"/>
    <w:tmpl w:val="969EBADC"/>
    <w:lvl w:ilvl="0" w:tplc="0FBE2C7E">
      <w:start w:val="1"/>
      <w:numFmt w:val="bullet"/>
      <w:lvlText w:val="-"/>
      <w:lvlJc w:val="left"/>
      <w:pPr>
        <w:ind w:left="720" w:hanging="360"/>
      </w:pPr>
      <w:rPr>
        <w:rFonts w:ascii="Calibri" w:hAnsi="Calibri" w:hint="default"/>
      </w:rPr>
    </w:lvl>
    <w:lvl w:ilvl="1" w:tplc="2318C8EA">
      <w:start w:val="1"/>
      <w:numFmt w:val="bullet"/>
      <w:lvlText w:val="o"/>
      <w:lvlJc w:val="left"/>
      <w:pPr>
        <w:ind w:left="1440" w:hanging="360"/>
      </w:pPr>
      <w:rPr>
        <w:rFonts w:ascii="Courier New" w:hAnsi="Courier New" w:hint="default"/>
      </w:rPr>
    </w:lvl>
    <w:lvl w:ilvl="2" w:tplc="61626B26">
      <w:start w:val="1"/>
      <w:numFmt w:val="bullet"/>
      <w:lvlText w:val=""/>
      <w:lvlJc w:val="left"/>
      <w:pPr>
        <w:ind w:left="2160" w:hanging="360"/>
      </w:pPr>
      <w:rPr>
        <w:rFonts w:ascii="Wingdings" w:hAnsi="Wingdings" w:hint="default"/>
      </w:rPr>
    </w:lvl>
    <w:lvl w:ilvl="3" w:tplc="24DA361C">
      <w:start w:val="1"/>
      <w:numFmt w:val="bullet"/>
      <w:lvlText w:val=""/>
      <w:lvlJc w:val="left"/>
      <w:pPr>
        <w:ind w:left="2880" w:hanging="360"/>
      </w:pPr>
      <w:rPr>
        <w:rFonts w:ascii="Symbol" w:hAnsi="Symbol" w:hint="default"/>
      </w:rPr>
    </w:lvl>
    <w:lvl w:ilvl="4" w:tplc="6144ED5A">
      <w:start w:val="1"/>
      <w:numFmt w:val="bullet"/>
      <w:lvlText w:val="o"/>
      <w:lvlJc w:val="left"/>
      <w:pPr>
        <w:ind w:left="3600" w:hanging="360"/>
      </w:pPr>
      <w:rPr>
        <w:rFonts w:ascii="Courier New" w:hAnsi="Courier New" w:hint="default"/>
      </w:rPr>
    </w:lvl>
    <w:lvl w:ilvl="5" w:tplc="253CF7D2">
      <w:start w:val="1"/>
      <w:numFmt w:val="bullet"/>
      <w:lvlText w:val=""/>
      <w:lvlJc w:val="left"/>
      <w:pPr>
        <w:ind w:left="4320" w:hanging="360"/>
      </w:pPr>
      <w:rPr>
        <w:rFonts w:ascii="Wingdings" w:hAnsi="Wingdings" w:hint="default"/>
      </w:rPr>
    </w:lvl>
    <w:lvl w:ilvl="6" w:tplc="C3CE54A0">
      <w:start w:val="1"/>
      <w:numFmt w:val="bullet"/>
      <w:lvlText w:val=""/>
      <w:lvlJc w:val="left"/>
      <w:pPr>
        <w:ind w:left="5040" w:hanging="360"/>
      </w:pPr>
      <w:rPr>
        <w:rFonts w:ascii="Symbol" w:hAnsi="Symbol" w:hint="default"/>
      </w:rPr>
    </w:lvl>
    <w:lvl w:ilvl="7" w:tplc="D5F24F64">
      <w:start w:val="1"/>
      <w:numFmt w:val="bullet"/>
      <w:lvlText w:val="o"/>
      <w:lvlJc w:val="left"/>
      <w:pPr>
        <w:ind w:left="5760" w:hanging="360"/>
      </w:pPr>
      <w:rPr>
        <w:rFonts w:ascii="Courier New" w:hAnsi="Courier New" w:hint="default"/>
      </w:rPr>
    </w:lvl>
    <w:lvl w:ilvl="8" w:tplc="4356AF96">
      <w:start w:val="1"/>
      <w:numFmt w:val="bullet"/>
      <w:lvlText w:val=""/>
      <w:lvlJc w:val="left"/>
      <w:pPr>
        <w:ind w:left="6480" w:hanging="360"/>
      </w:pPr>
      <w:rPr>
        <w:rFonts w:ascii="Wingdings" w:hAnsi="Wingdings" w:hint="default"/>
      </w:rPr>
    </w:lvl>
  </w:abstractNum>
  <w:abstractNum w:abstractNumId="8" w15:restartNumberingAfterBreak="0">
    <w:nsid w:val="1BD01F2F"/>
    <w:multiLevelType w:val="hybridMultilevel"/>
    <w:tmpl w:val="B0067816"/>
    <w:lvl w:ilvl="0" w:tplc="53402902">
      <w:start w:val="2021"/>
      <w:numFmt w:val="bullet"/>
      <w:lvlText w:val="-"/>
      <w:lvlJc w:val="left"/>
      <w:pPr>
        <w:ind w:left="842" w:hanging="360"/>
      </w:pPr>
      <w:rPr>
        <w:rFonts w:ascii="Times New Roman" w:eastAsia="Times New Roman" w:hAnsi="Times New Roman" w:cs="Times New Roman"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9" w15:restartNumberingAfterBreak="0">
    <w:nsid w:val="1F0D61CD"/>
    <w:multiLevelType w:val="hybridMultilevel"/>
    <w:tmpl w:val="E0DC12E8"/>
    <w:lvl w:ilvl="0" w:tplc="E02CA12E">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5294BB9"/>
    <w:multiLevelType w:val="hybridMultilevel"/>
    <w:tmpl w:val="61706FEE"/>
    <w:lvl w:ilvl="0" w:tplc="04F2EFA6">
      <w:start w:val="24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4E5D40"/>
    <w:multiLevelType w:val="hybridMultilevel"/>
    <w:tmpl w:val="3BDA8A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8A215B7"/>
    <w:multiLevelType w:val="hybridMultilevel"/>
    <w:tmpl w:val="A7B07FC4"/>
    <w:lvl w:ilvl="0" w:tplc="D94E48D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11533A"/>
    <w:multiLevelType w:val="hybridMultilevel"/>
    <w:tmpl w:val="B16AE6CA"/>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CF90F3E"/>
    <w:multiLevelType w:val="hybridMultilevel"/>
    <w:tmpl w:val="D3A60B3C"/>
    <w:lvl w:ilvl="0" w:tplc="08090001">
      <w:start w:val="1"/>
      <w:numFmt w:val="bullet"/>
      <w:lvlText w:val=""/>
      <w:lvlJc w:val="left"/>
      <w:pPr>
        <w:ind w:left="720" w:hanging="360"/>
      </w:pPr>
      <w:rPr>
        <w:rFonts w:ascii="Symbol" w:hAnsi="Symbol" w:hint="default"/>
      </w:rPr>
    </w:lvl>
    <w:lvl w:ilvl="1" w:tplc="63FC2200">
      <w:start w:val="4"/>
      <w:numFmt w:val="bullet"/>
      <w:lvlText w:val="•"/>
      <w:lvlJc w:val="left"/>
      <w:pPr>
        <w:ind w:left="1800" w:hanging="720"/>
      </w:pPr>
      <w:rPr>
        <w:rFonts w:ascii="Verdana" w:eastAsia="Times New Roman"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062141"/>
    <w:multiLevelType w:val="hybridMultilevel"/>
    <w:tmpl w:val="311A03B8"/>
    <w:lvl w:ilvl="0" w:tplc="EC088AFA">
      <w:start w:val="1"/>
      <w:numFmt w:val="bullet"/>
      <w:lvlText w:val="-"/>
      <w:lvlJc w:val="left"/>
      <w:pPr>
        <w:ind w:left="720" w:hanging="360"/>
      </w:pPr>
      <w:rPr>
        <w:rFonts w:ascii="Calibri" w:hAnsi="Calibri" w:hint="default"/>
      </w:rPr>
    </w:lvl>
    <w:lvl w:ilvl="1" w:tplc="0E8A139C">
      <w:start w:val="1"/>
      <w:numFmt w:val="bullet"/>
      <w:lvlText w:val="o"/>
      <w:lvlJc w:val="left"/>
      <w:pPr>
        <w:ind w:left="1440" w:hanging="360"/>
      </w:pPr>
      <w:rPr>
        <w:rFonts w:ascii="Courier New" w:hAnsi="Courier New" w:hint="default"/>
      </w:rPr>
    </w:lvl>
    <w:lvl w:ilvl="2" w:tplc="91E2FAF0">
      <w:start w:val="1"/>
      <w:numFmt w:val="bullet"/>
      <w:lvlText w:val=""/>
      <w:lvlJc w:val="left"/>
      <w:pPr>
        <w:ind w:left="2160" w:hanging="360"/>
      </w:pPr>
      <w:rPr>
        <w:rFonts w:ascii="Wingdings" w:hAnsi="Wingdings" w:hint="default"/>
      </w:rPr>
    </w:lvl>
    <w:lvl w:ilvl="3" w:tplc="670464AC">
      <w:start w:val="1"/>
      <w:numFmt w:val="bullet"/>
      <w:lvlText w:val=""/>
      <w:lvlJc w:val="left"/>
      <w:pPr>
        <w:ind w:left="2880" w:hanging="360"/>
      </w:pPr>
      <w:rPr>
        <w:rFonts w:ascii="Symbol" w:hAnsi="Symbol" w:hint="default"/>
      </w:rPr>
    </w:lvl>
    <w:lvl w:ilvl="4" w:tplc="A6F4545A">
      <w:start w:val="1"/>
      <w:numFmt w:val="bullet"/>
      <w:lvlText w:val="o"/>
      <w:lvlJc w:val="left"/>
      <w:pPr>
        <w:ind w:left="3600" w:hanging="360"/>
      </w:pPr>
      <w:rPr>
        <w:rFonts w:ascii="Courier New" w:hAnsi="Courier New" w:hint="default"/>
      </w:rPr>
    </w:lvl>
    <w:lvl w:ilvl="5" w:tplc="7E0AB1EA">
      <w:start w:val="1"/>
      <w:numFmt w:val="bullet"/>
      <w:lvlText w:val=""/>
      <w:lvlJc w:val="left"/>
      <w:pPr>
        <w:ind w:left="4320" w:hanging="360"/>
      </w:pPr>
      <w:rPr>
        <w:rFonts w:ascii="Wingdings" w:hAnsi="Wingdings" w:hint="default"/>
      </w:rPr>
    </w:lvl>
    <w:lvl w:ilvl="6" w:tplc="00DEBEEC">
      <w:start w:val="1"/>
      <w:numFmt w:val="bullet"/>
      <w:lvlText w:val=""/>
      <w:lvlJc w:val="left"/>
      <w:pPr>
        <w:ind w:left="5040" w:hanging="360"/>
      </w:pPr>
      <w:rPr>
        <w:rFonts w:ascii="Symbol" w:hAnsi="Symbol" w:hint="default"/>
      </w:rPr>
    </w:lvl>
    <w:lvl w:ilvl="7" w:tplc="1660E5B0">
      <w:start w:val="1"/>
      <w:numFmt w:val="bullet"/>
      <w:lvlText w:val="o"/>
      <w:lvlJc w:val="left"/>
      <w:pPr>
        <w:ind w:left="5760" w:hanging="360"/>
      </w:pPr>
      <w:rPr>
        <w:rFonts w:ascii="Courier New" w:hAnsi="Courier New" w:hint="default"/>
      </w:rPr>
    </w:lvl>
    <w:lvl w:ilvl="8" w:tplc="4732DB7A">
      <w:start w:val="1"/>
      <w:numFmt w:val="bullet"/>
      <w:lvlText w:val=""/>
      <w:lvlJc w:val="left"/>
      <w:pPr>
        <w:ind w:left="6480" w:hanging="360"/>
      </w:pPr>
      <w:rPr>
        <w:rFonts w:ascii="Wingdings" w:hAnsi="Wingdings" w:hint="default"/>
      </w:rPr>
    </w:lvl>
  </w:abstractNum>
  <w:abstractNum w:abstractNumId="16" w15:restartNumberingAfterBreak="0">
    <w:nsid w:val="2EAD5296"/>
    <w:multiLevelType w:val="hybridMultilevel"/>
    <w:tmpl w:val="F9D63630"/>
    <w:lvl w:ilvl="0" w:tplc="1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DE3AAE"/>
    <w:multiLevelType w:val="hybridMultilevel"/>
    <w:tmpl w:val="137A8588"/>
    <w:lvl w:ilvl="0" w:tplc="6684580A">
      <w:start w:val="202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3A465BF"/>
    <w:multiLevelType w:val="hybridMultilevel"/>
    <w:tmpl w:val="FBA8E212"/>
    <w:lvl w:ilvl="0" w:tplc="1AB61EB2">
      <w:start w:val="202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FB40CD"/>
    <w:multiLevelType w:val="hybridMultilevel"/>
    <w:tmpl w:val="CBC267A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D27B03"/>
    <w:multiLevelType w:val="hybridMultilevel"/>
    <w:tmpl w:val="F8FEDD0A"/>
    <w:lvl w:ilvl="0" w:tplc="9FA4E7CA">
      <w:numFmt w:val="bullet"/>
      <w:lvlText w:val="-"/>
      <w:lvlJc w:val="left"/>
      <w:pPr>
        <w:ind w:left="49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18581F"/>
    <w:multiLevelType w:val="hybridMultilevel"/>
    <w:tmpl w:val="84FC59CC"/>
    <w:lvl w:ilvl="0" w:tplc="4878A9B8">
      <w:numFmt w:val="bullet"/>
      <w:lvlText w:val="-"/>
      <w:lvlJc w:val="left"/>
      <w:pPr>
        <w:ind w:left="720" w:hanging="360"/>
      </w:pPr>
      <w:rPr>
        <w:rFonts w:ascii="Times New Roman" w:eastAsia="Times New Roman" w:hAnsi="Times New Roman" w:cs="Times New Roman" w:hint="default"/>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78F049B"/>
    <w:multiLevelType w:val="hybridMultilevel"/>
    <w:tmpl w:val="D50E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F2158D"/>
    <w:multiLevelType w:val="hybridMultilevel"/>
    <w:tmpl w:val="EEBA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8ACF9B"/>
    <w:multiLevelType w:val="hybridMultilevel"/>
    <w:tmpl w:val="FFFFFFFF"/>
    <w:lvl w:ilvl="0" w:tplc="AD88B838">
      <w:start w:val="1"/>
      <w:numFmt w:val="bullet"/>
      <w:lvlText w:val="·"/>
      <w:lvlJc w:val="left"/>
      <w:pPr>
        <w:ind w:left="720" w:hanging="360"/>
      </w:pPr>
      <w:rPr>
        <w:rFonts w:ascii="Symbol" w:hAnsi="Symbol" w:hint="default"/>
      </w:rPr>
    </w:lvl>
    <w:lvl w:ilvl="1" w:tplc="F37EF274">
      <w:start w:val="1"/>
      <w:numFmt w:val="bullet"/>
      <w:lvlText w:val="o"/>
      <w:lvlJc w:val="left"/>
      <w:pPr>
        <w:ind w:left="1440" w:hanging="360"/>
      </w:pPr>
      <w:rPr>
        <w:rFonts w:ascii="Courier New" w:hAnsi="Courier New" w:hint="default"/>
      </w:rPr>
    </w:lvl>
    <w:lvl w:ilvl="2" w:tplc="F9527BB8">
      <w:start w:val="1"/>
      <w:numFmt w:val="bullet"/>
      <w:lvlText w:val=""/>
      <w:lvlJc w:val="left"/>
      <w:pPr>
        <w:ind w:left="2160" w:hanging="360"/>
      </w:pPr>
      <w:rPr>
        <w:rFonts w:ascii="Wingdings" w:hAnsi="Wingdings" w:hint="default"/>
      </w:rPr>
    </w:lvl>
    <w:lvl w:ilvl="3" w:tplc="C18CAC56">
      <w:start w:val="1"/>
      <w:numFmt w:val="bullet"/>
      <w:lvlText w:val=""/>
      <w:lvlJc w:val="left"/>
      <w:pPr>
        <w:ind w:left="2880" w:hanging="360"/>
      </w:pPr>
      <w:rPr>
        <w:rFonts w:ascii="Symbol" w:hAnsi="Symbol" w:hint="default"/>
      </w:rPr>
    </w:lvl>
    <w:lvl w:ilvl="4" w:tplc="D974EE4A">
      <w:start w:val="1"/>
      <w:numFmt w:val="bullet"/>
      <w:lvlText w:val="o"/>
      <w:lvlJc w:val="left"/>
      <w:pPr>
        <w:ind w:left="3600" w:hanging="360"/>
      </w:pPr>
      <w:rPr>
        <w:rFonts w:ascii="Courier New" w:hAnsi="Courier New" w:hint="default"/>
      </w:rPr>
    </w:lvl>
    <w:lvl w:ilvl="5" w:tplc="218C70B2">
      <w:start w:val="1"/>
      <w:numFmt w:val="bullet"/>
      <w:lvlText w:val=""/>
      <w:lvlJc w:val="left"/>
      <w:pPr>
        <w:ind w:left="4320" w:hanging="360"/>
      </w:pPr>
      <w:rPr>
        <w:rFonts w:ascii="Wingdings" w:hAnsi="Wingdings" w:hint="default"/>
      </w:rPr>
    </w:lvl>
    <w:lvl w:ilvl="6" w:tplc="EC1A2FDC">
      <w:start w:val="1"/>
      <w:numFmt w:val="bullet"/>
      <w:lvlText w:val=""/>
      <w:lvlJc w:val="left"/>
      <w:pPr>
        <w:ind w:left="5040" w:hanging="360"/>
      </w:pPr>
      <w:rPr>
        <w:rFonts w:ascii="Symbol" w:hAnsi="Symbol" w:hint="default"/>
      </w:rPr>
    </w:lvl>
    <w:lvl w:ilvl="7" w:tplc="66FAFCC2">
      <w:start w:val="1"/>
      <w:numFmt w:val="bullet"/>
      <w:lvlText w:val="o"/>
      <w:lvlJc w:val="left"/>
      <w:pPr>
        <w:ind w:left="5760" w:hanging="360"/>
      </w:pPr>
      <w:rPr>
        <w:rFonts w:ascii="Courier New" w:hAnsi="Courier New" w:hint="default"/>
      </w:rPr>
    </w:lvl>
    <w:lvl w:ilvl="8" w:tplc="4762F904">
      <w:start w:val="1"/>
      <w:numFmt w:val="bullet"/>
      <w:lvlText w:val=""/>
      <w:lvlJc w:val="left"/>
      <w:pPr>
        <w:ind w:left="6480" w:hanging="360"/>
      </w:pPr>
      <w:rPr>
        <w:rFonts w:ascii="Wingdings" w:hAnsi="Wingdings" w:hint="default"/>
      </w:rPr>
    </w:lvl>
  </w:abstractNum>
  <w:abstractNum w:abstractNumId="25" w15:restartNumberingAfterBreak="0">
    <w:nsid w:val="5B215B56"/>
    <w:multiLevelType w:val="hybridMultilevel"/>
    <w:tmpl w:val="790087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743D65"/>
    <w:multiLevelType w:val="hybridMultilevel"/>
    <w:tmpl w:val="5C1279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801841B"/>
    <w:multiLevelType w:val="hybridMultilevel"/>
    <w:tmpl w:val="38BC0266"/>
    <w:lvl w:ilvl="0" w:tplc="1809000B">
      <w:start w:val="1"/>
      <w:numFmt w:val="bullet"/>
      <w:lvlText w:val=""/>
      <w:lvlJc w:val="left"/>
      <w:pPr>
        <w:ind w:left="720" w:hanging="360"/>
      </w:pPr>
      <w:rPr>
        <w:rFonts w:ascii="Wingdings" w:hAnsi="Wingdings" w:hint="default"/>
      </w:rPr>
    </w:lvl>
    <w:lvl w:ilvl="1" w:tplc="4B8E0CE0">
      <w:start w:val="1"/>
      <w:numFmt w:val="bullet"/>
      <w:lvlText w:val="o"/>
      <w:lvlJc w:val="left"/>
      <w:pPr>
        <w:ind w:left="1440" w:hanging="360"/>
      </w:pPr>
      <w:rPr>
        <w:rFonts w:ascii="Courier New" w:hAnsi="Courier New" w:hint="default"/>
      </w:rPr>
    </w:lvl>
    <w:lvl w:ilvl="2" w:tplc="5610F572">
      <w:start w:val="1"/>
      <w:numFmt w:val="bullet"/>
      <w:lvlText w:val=""/>
      <w:lvlJc w:val="left"/>
      <w:pPr>
        <w:ind w:left="2160" w:hanging="360"/>
      </w:pPr>
      <w:rPr>
        <w:rFonts w:ascii="Wingdings" w:hAnsi="Wingdings" w:hint="default"/>
      </w:rPr>
    </w:lvl>
    <w:lvl w:ilvl="3" w:tplc="B026350A">
      <w:start w:val="1"/>
      <w:numFmt w:val="bullet"/>
      <w:lvlText w:val=""/>
      <w:lvlJc w:val="left"/>
      <w:pPr>
        <w:ind w:left="2880" w:hanging="360"/>
      </w:pPr>
      <w:rPr>
        <w:rFonts w:ascii="Symbol" w:hAnsi="Symbol" w:hint="default"/>
      </w:rPr>
    </w:lvl>
    <w:lvl w:ilvl="4" w:tplc="3226468A">
      <w:start w:val="1"/>
      <w:numFmt w:val="bullet"/>
      <w:lvlText w:val="o"/>
      <w:lvlJc w:val="left"/>
      <w:pPr>
        <w:ind w:left="3600" w:hanging="360"/>
      </w:pPr>
      <w:rPr>
        <w:rFonts w:ascii="Courier New" w:hAnsi="Courier New" w:hint="default"/>
      </w:rPr>
    </w:lvl>
    <w:lvl w:ilvl="5" w:tplc="942A8682">
      <w:start w:val="1"/>
      <w:numFmt w:val="bullet"/>
      <w:lvlText w:val=""/>
      <w:lvlJc w:val="left"/>
      <w:pPr>
        <w:ind w:left="4320" w:hanging="360"/>
      </w:pPr>
      <w:rPr>
        <w:rFonts w:ascii="Wingdings" w:hAnsi="Wingdings" w:hint="default"/>
      </w:rPr>
    </w:lvl>
    <w:lvl w:ilvl="6" w:tplc="A05C9858">
      <w:start w:val="1"/>
      <w:numFmt w:val="bullet"/>
      <w:lvlText w:val=""/>
      <w:lvlJc w:val="left"/>
      <w:pPr>
        <w:ind w:left="5040" w:hanging="360"/>
      </w:pPr>
      <w:rPr>
        <w:rFonts w:ascii="Symbol" w:hAnsi="Symbol" w:hint="default"/>
      </w:rPr>
    </w:lvl>
    <w:lvl w:ilvl="7" w:tplc="DE1EA062">
      <w:start w:val="1"/>
      <w:numFmt w:val="bullet"/>
      <w:lvlText w:val="o"/>
      <w:lvlJc w:val="left"/>
      <w:pPr>
        <w:ind w:left="5760" w:hanging="360"/>
      </w:pPr>
      <w:rPr>
        <w:rFonts w:ascii="Courier New" w:hAnsi="Courier New" w:hint="default"/>
      </w:rPr>
    </w:lvl>
    <w:lvl w:ilvl="8" w:tplc="63180E88">
      <w:start w:val="1"/>
      <w:numFmt w:val="bullet"/>
      <w:lvlText w:val=""/>
      <w:lvlJc w:val="left"/>
      <w:pPr>
        <w:ind w:left="6480" w:hanging="360"/>
      </w:pPr>
      <w:rPr>
        <w:rFonts w:ascii="Wingdings" w:hAnsi="Wingdings" w:hint="default"/>
      </w:rPr>
    </w:lvl>
  </w:abstractNum>
  <w:abstractNum w:abstractNumId="28" w15:restartNumberingAfterBreak="0">
    <w:nsid w:val="7C6807A3"/>
    <w:multiLevelType w:val="hybridMultilevel"/>
    <w:tmpl w:val="73889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26"/>
  </w:num>
  <w:num w:numId="4">
    <w:abstractNumId w:val="21"/>
  </w:num>
  <w:num w:numId="5">
    <w:abstractNumId w:val="17"/>
  </w:num>
  <w:num w:numId="6">
    <w:abstractNumId w:val="9"/>
  </w:num>
  <w:num w:numId="7">
    <w:abstractNumId w:val="10"/>
  </w:num>
  <w:num w:numId="8">
    <w:abstractNumId w:val="25"/>
  </w:num>
  <w:num w:numId="9">
    <w:abstractNumId w:val="15"/>
  </w:num>
  <w:num w:numId="10">
    <w:abstractNumId w:val="2"/>
  </w:num>
  <w:num w:numId="11">
    <w:abstractNumId w:val="7"/>
  </w:num>
  <w:num w:numId="12">
    <w:abstractNumId w:val="5"/>
  </w:num>
  <w:num w:numId="13">
    <w:abstractNumId w:val="0"/>
  </w:num>
  <w:num w:numId="14">
    <w:abstractNumId w:val="12"/>
  </w:num>
  <w:num w:numId="15">
    <w:abstractNumId w:val="8"/>
  </w:num>
  <w:num w:numId="16">
    <w:abstractNumId w:val="23"/>
  </w:num>
  <w:num w:numId="17">
    <w:abstractNumId w:val="28"/>
  </w:num>
  <w:num w:numId="18">
    <w:abstractNumId w:val="18"/>
  </w:num>
  <w:num w:numId="19">
    <w:abstractNumId w:val="3"/>
  </w:num>
  <w:num w:numId="20">
    <w:abstractNumId w:val="19"/>
  </w:num>
  <w:num w:numId="21">
    <w:abstractNumId w:val="16"/>
  </w:num>
  <w:num w:numId="22">
    <w:abstractNumId w:val="6"/>
  </w:num>
  <w:num w:numId="23">
    <w:abstractNumId w:val="27"/>
  </w:num>
  <w:num w:numId="24">
    <w:abstractNumId w:val="1"/>
  </w:num>
  <w:num w:numId="25">
    <w:abstractNumId w:val="14"/>
  </w:num>
  <w:num w:numId="26">
    <w:abstractNumId w:val="24"/>
  </w:num>
  <w:num w:numId="27">
    <w:abstractNumId w:val="22"/>
  </w:num>
  <w:num w:numId="28">
    <w:abstractNumId w:val="4"/>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71F4F857-3A3E-4D03-99F6-008FB5578647"/>
    <w:docVar w:name="LW_COVERPAGE_TYPE" w:val="1"/>
    <w:docVar w:name="LW_CROSSREFERENCE" w:val="&lt;UNUSED&gt;"/>
    <w:docVar w:name="LW_DocType" w:val="NORMAL"/>
    <w:docVar w:name="LW_EMISSION" w:val="25.6.2024"/>
    <w:docVar w:name="LW_EMISSION_ISODATE" w:val="2024-06-25"/>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4) 267"/>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follow-up to the discharge for the 2022 financial year"/>
    <w:docVar w:name="LW_TYPE.DOC.CP" w:val="REPORT FROM THE COMMISSION TO THE EUROPEAN PARLIAMENT AND THE COUNCIL"/>
    <w:docVar w:name="LwApiVersions" w:val="LW4CoDe 1.24.5.0; LW 9.0, Build 20240221"/>
  </w:docVars>
  <w:rsids>
    <w:rsidRoot w:val="002434E7"/>
    <w:rsid w:val="00003B5B"/>
    <w:rsid w:val="000060BC"/>
    <w:rsid w:val="00011370"/>
    <w:rsid w:val="00011A17"/>
    <w:rsid w:val="000126B0"/>
    <w:rsid w:val="00013B82"/>
    <w:rsid w:val="00017477"/>
    <w:rsid w:val="000245B0"/>
    <w:rsid w:val="00025E4B"/>
    <w:rsid w:val="00033FA8"/>
    <w:rsid w:val="00036A3E"/>
    <w:rsid w:val="00043CFB"/>
    <w:rsid w:val="0004411C"/>
    <w:rsid w:val="0004619D"/>
    <w:rsid w:val="000467AE"/>
    <w:rsid w:val="000471FC"/>
    <w:rsid w:val="00047872"/>
    <w:rsid w:val="00051FF3"/>
    <w:rsid w:val="00052257"/>
    <w:rsid w:val="00060B3F"/>
    <w:rsid w:val="000621A2"/>
    <w:rsid w:val="00064E06"/>
    <w:rsid w:val="0007283B"/>
    <w:rsid w:val="00073636"/>
    <w:rsid w:val="00074196"/>
    <w:rsid w:val="00077A03"/>
    <w:rsid w:val="00077AD2"/>
    <w:rsid w:val="00090A55"/>
    <w:rsid w:val="00095237"/>
    <w:rsid w:val="0009554E"/>
    <w:rsid w:val="00095C6D"/>
    <w:rsid w:val="000A49A2"/>
    <w:rsid w:val="000A6111"/>
    <w:rsid w:val="000A75A3"/>
    <w:rsid w:val="000C1A88"/>
    <w:rsid w:val="000C5E1B"/>
    <w:rsid w:val="000D5E32"/>
    <w:rsid w:val="000E0ABA"/>
    <w:rsid w:val="000E1CA4"/>
    <w:rsid w:val="000E56BA"/>
    <w:rsid w:val="000F1BEA"/>
    <w:rsid w:val="000F406B"/>
    <w:rsid w:val="00104F16"/>
    <w:rsid w:val="001067F5"/>
    <w:rsid w:val="00114CFF"/>
    <w:rsid w:val="00117584"/>
    <w:rsid w:val="00122BC4"/>
    <w:rsid w:val="0012639B"/>
    <w:rsid w:val="00130F7A"/>
    <w:rsid w:val="0013190A"/>
    <w:rsid w:val="00141749"/>
    <w:rsid w:val="0014414D"/>
    <w:rsid w:val="00144EE0"/>
    <w:rsid w:val="00167712"/>
    <w:rsid w:val="00173426"/>
    <w:rsid w:val="001761F6"/>
    <w:rsid w:val="00184ABA"/>
    <w:rsid w:val="001900DF"/>
    <w:rsid w:val="00195BE9"/>
    <w:rsid w:val="001A0847"/>
    <w:rsid w:val="001A59D1"/>
    <w:rsid w:val="001B3D5B"/>
    <w:rsid w:val="001C008E"/>
    <w:rsid w:val="001C37D0"/>
    <w:rsid w:val="001C437C"/>
    <w:rsid w:val="001C5E2A"/>
    <w:rsid w:val="001D3EB0"/>
    <w:rsid w:val="001D40C1"/>
    <w:rsid w:val="001D41E8"/>
    <w:rsid w:val="001E0710"/>
    <w:rsid w:val="001E4C1D"/>
    <w:rsid w:val="001F6EB4"/>
    <w:rsid w:val="00213623"/>
    <w:rsid w:val="002156E0"/>
    <w:rsid w:val="00231669"/>
    <w:rsid w:val="0023696B"/>
    <w:rsid w:val="0023720E"/>
    <w:rsid w:val="002415B7"/>
    <w:rsid w:val="002434E7"/>
    <w:rsid w:val="002539DC"/>
    <w:rsid w:val="002547CE"/>
    <w:rsid w:val="0025624A"/>
    <w:rsid w:val="0025699A"/>
    <w:rsid w:val="00273D03"/>
    <w:rsid w:val="00274F27"/>
    <w:rsid w:val="00275E8F"/>
    <w:rsid w:val="00283146"/>
    <w:rsid w:val="00286EBB"/>
    <w:rsid w:val="002907D2"/>
    <w:rsid w:val="002A22AA"/>
    <w:rsid w:val="002A5943"/>
    <w:rsid w:val="002A5B6B"/>
    <w:rsid w:val="002A5D87"/>
    <w:rsid w:val="002B3822"/>
    <w:rsid w:val="002B6741"/>
    <w:rsid w:val="002B6E8F"/>
    <w:rsid w:val="002C1D43"/>
    <w:rsid w:val="002C1FDB"/>
    <w:rsid w:val="002C5A2D"/>
    <w:rsid w:val="002C704D"/>
    <w:rsid w:val="002D2947"/>
    <w:rsid w:val="002E075C"/>
    <w:rsid w:val="002E6AA0"/>
    <w:rsid w:val="002F3DAC"/>
    <w:rsid w:val="002F76F3"/>
    <w:rsid w:val="002F7F2A"/>
    <w:rsid w:val="00306CCD"/>
    <w:rsid w:val="00320810"/>
    <w:rsid w:val="003209BE"/>
    <w:rsid w:val="00322A6A"/>
    <w:rsid w:val="00335A7A"/>
    <w:rsid w:val="00336722"/>
    <w:rsid w:val="00336F0D"/>
    <w:rsid w:val="00347309"/>
    <w:rsid w:val="003563F9"/>
    <w:rsid w:val="00357F2F"/>
    <w:rsid w:val="00362CF6"/>
    <w:rsid w:val="00365075"/>
    <w:rsid w:val="0036793D"/>
    <w:rsid w:val="00372BBD"/>
    <w:rsid w:val="00382FD0"/>
    <w:rsid w:val="00392AE8"/>
    <w:rsid w:val="0039382C"/>
    <w:rsid w:val="00394A42"/>
    <w:rsid w:val="003A2F92"/>
    <w:rsid w:val="003B3976"/>
    <w:rsid w:val="003B397E"/>
    <w:rsid w:val="003B5297"/>
    <w:rsid w:val="003C1999"/>
    <w:rsid w:val="003C5915"/>
    <w:rsid w:val="003E0F28"/>
    <w:rsid w:val="003E253D"/>
    <w:rsid w:val="003F3AE9"/>
    <w:rsid w:val="004014CC"/>
    <w:rsid w:val="00402D8B"/>
    <w:rsid w:val="004121FD"/>
    <w:rsid w:val="00415A10"/>
    <w:rsid w:val="00417B51"/>
    <w:rsid w:val="00420B4D"/>
    <w:rsid w:val="00430192"/>
    <w:rsid w:val="00433FF8"/>
    <w:rsid w:val="004341BF"/>
    <w:rsid w:val="004378AC"/>
    <w:rsid w:val="00442AF2"/>
    <w:rsid w:val="00444970"/>
    <w:rsid w:val="004507FC"/>
    <w:rsid w:val="00451645"/>
    <w:rsid w:val="0046347B"/>
    <w:rsid w:val="00486624"/>
    <w:rsid w:val="00490905"/>
    <w:rsid w:val="00491A54"/>
    <w:rsid w:val="004977D3"/>
    <w:rsid w:val="004A31DD"/>
    <w:rsid w:val="004B0336"/>
    <w:rsid w:val="004B0A72"/>
    <w:rsid w:val="004B2F28"/>
    <w:rsid w:val="004B3004"/>
    <w:rsid w:val="004B314E"/>
    <w:rsid w:val="004B7B73"/>
    <w:rsid w:val="004B7B91"/>
    <w:rsid w:val="004C5874"/>
    <w:rsid w:val="004D4A41"/>
    <w:rsid w:val="004F56E7"/>
    <w:rsid w:val="0050312F"/>
    <w:rsid w:val="00504602"/>
    <w:rsid w:val="00507E25"/>
    <w:rsid w:val="00523002"/>
    <w:rsid w:val="005236E0"/>
    <w:rsid w:val="00523B8F"/>
    <w:rsid w:val="00524207"/>
    <w:rsid w:val="005242FF"/>
    <w:rsid w:val="00527E1E"/>
    <w:rsid w:val="0053344B"/>
    <w:rsid w:val="00543C81"/>
    <w:rsid w:val="00546D67"/>
    <w:rsid w:val="00555D72"/>
    <w:rsid w:val="00561417"/>
    <w:rsid w:val="00564A02"/>
    <w:rsid w:val="005652BC"/>
    <w:rsid w:val="0057025A"/>
    <w:rsid w:val="00571CE1"/>
    <w:rsid w:val="005746C1"/>
    <w:rsid w:val="005809B9"/>
    <w:rsid w:val="00584144"/>
    <w:rsid w:val="0058666B"/>
    <w:rsid w:val="00587683"/>
    <w:rsid w:val="00590B5A"/>
    <w:rsid w:val="005923C1"/>
    <w:rsid w:val="005B226E"/>
    <w:rsid w:val="005B3A81"/>
    <w:rsid w:val="005B4E8C"/>
    <w:rsid w:val="005D040B"/>
    <w:rsid w:val="005D1B25"/>
    <w:rsid w:val="005D3D4B"/>
    <w:rsid w:val="005D713E"/>
    <w:rsid w:val="005E1B39"/>
    <w:rsid w:val="005E6BEA"/>
    <w:rsid w:val="005E7C1A"/>
    <w:rsid w:val="005F0A56"/>
    <w:rsid w:val="005F1A03"/>
    <w:rsid w:val="006040B0"/>
    <w:rsid w:val="0061030E"/>
    <w:rsid w:val="00620099"/>
    <w:rsid w:val="00624AAB"/>
    <w:rsid w:val="0062578F"/>
    <w:rsid w:val="00626B9B"/>
    <w:rsid w:val="00632AF0"/>
    <w:rsid w:val="0064093F"/>
    <w:rsid w:val="00641BB8"/>
    <w:rsid w:val="006426D9"/>
    <w:rsid w:val="00642C28"/>
    <w:rsid w:val="00643BDE"/>
    <w:rsid w:val="00647A24"/>
    <w:rsid w:val="00663301"/>
    <w:rsid w:val="0066715D"/>
    <w:rsid w:val="00680BC3"/>
    <w:rsid w:val="00682D33"/>
    <w:rsid w:val="006A05A7"/>
    <w:rsid w:val="006A3368"/>
    <w:rsid w:val="006A4D50"/>
    <w:rsid w:val="006B4EBE"/>
    <w:rsid w:val="006B503D"/>
    <w:rsid w:val="006E20D4"/>
    <w:rsid w:val="006F2980"/>
    <w:rsid w:val="00702A28"/>
    <w:rsid w:val="007062D7"/>
    <w:rsid w:val="007077BA"/>
    <w:rsid w:val="00707840"/>
    <w:rsid w:val="007138B9"/>
    <w:rsid w:val="00716B54"/>
    <w:rsid w:val="00722365"/>
    <w:rsid w:val="00736330"/>
    <w:rsid w:val="00746343"/>
    <w:rsid w:val="007508AB"/>
    <w:rsid w:val="00752008"/>
    <w:rsid w:val="0075246F"/>
    <w:rsid w:val="00755840"/>
    <w:rsid w:val="0075799C"/>
    <w:rsid w:val="007622AC"/>
    <w:rsid w:val="00771730"/>
    <w:rsid w:val="00773363"/>
    <w:rsid w:val="00774A46"/>
    <w:rsid w:val="00783840"/>
    <w:rsid w:val="007909C3"/>
    <w:rsid w:val="007A062D"/>
    <w:rsid w:val="007A3A71"/>
    <w:rsid w:val="007A5FEE"/>
    <w:rsid w:val="007B719A"/>
    <w:rsid w:val="007C08CD"/>
    <w:rsid w:val="007E28D1"/>
    <w:rsid w:val="007E77C7"/>
    <w:rsid w:val="008011AA"/>
    <w:rsid w:val="00802A61"/>
    <w:rsid w:val="008034DC"/>
    <w:rsid w:val="00804946"/>
    <w:rsid w:val="00807603"/>
    <w:rsid w:val="008115FB"/>
    <w:rsid w:val="00811894"/>
    <w:rsid w:val="00812997"/>
    <w:rsid w:val="00825215"/>
    <w:rsid w:val="008301D8"/>
    <w:rsid w:val="00836193"/>
    <w:rsid w:val="00846E9E"/>
    <w:rsid w:val="00847CFB"/>
    <w:rsid w:val="00851D45"/>
    <w:rsid w:val="00855D13"/>
    <w:rsid w:val="00857D81"/>
    <w:rsid w:val="00865304"/>
    <w:rsid w:val="00867C5D"/>
    <w:rsid w:val="00887FEB"/>
    <w:rsid w:val="0089117D"/>
    <w:rsid w:val="008A0265"/>
    <w:rsid w:val="008A2E60"/>
    <w:rsid w:val="008A4808"/>
    <w:rsid w:val="008A57EB"/>
    <w:rsid w:val="008C5EB1"/>
    <w:rsid w:val="008D4884"/>
    <w:rsid w:val="008E2DF5"/>
    <w:rsid w:val="008F78B8"/>
    <w:rsid w:val="00927CF7"/>
    <w:rsid w:val="00940193"/>
    <w:rsid w:val="009459B7"/>
    <w:rsid w:val="00946032"/>
    <w:rsid w:val="0095123D"/>
    <w:rsid w:val="00956C1C"/>
    <w:rsid w:val="00960027"/>
    <w:rsid w:val="00962CC0"/>
    <w:rsid w:val="00964413"/>
    <w:rsid w:val="00971277"/>
    <w:rsid w:val="00971854"/>
    <w:rsid w:val="00976FBE"/>
    <w:rsid w:val="00996B7A"/>
    <w:rsid w:val="009A179F"/>
    <w:rsid w:val="009A30B8"/>
    <w:rsid w:val="009A45B3"/>
    <w:rsid w:val="009A70D7"/>
    <w:rsid w:val="009A76F7"/>
    <w:rsid w:val="009C04C8"/>
    <w:rsid w:val="009C11CD"/>
    <w:rsid w:val="009D1CB8"/>
    <w:rsid w:val="009D55A6"/>
    <w:rsid w:val="009D5C7E"/>
    <w:rsid w:val="009F11F9"/>
    <w:rsid w:val="009F2FB6"/>
    <w:rsid w:val="009F48EB"/>
    <w:rsid w:val="009F5373"/>
    <w:rsid w:val="00A00D57"/>
    <w:rsid w:val="00A00F67"/>
    <w:rsid w:val="00A11833"/>
    <w:rsid w:val="00A16366"/>
    <w:rsid w:val="00A41B95"/>
    <w:rsid w:val="00A47EF4"/>
    <w:rsid w:val="00A605E3"/>
    <w:rsid w:val="00A629E7"/>
    <w:rsid w:val="00A632FD"/>
    <w:rsid w:val="00A828C5"/>
    <w:rsid w:val="00A86B73"/>
    <w:rsid w:val="00A93A10"/>
    <w:rsid w:val="00A9407C"/>
    <w:rsid w:val="00A94D74"/>
    <w:rsid w:val="00AA2ABC"/>
    <w:rsid w:val="00AA49E0"/>
    <w:rsid w:val="00AA4F9C"/>
    <w:rsid w:val="00AA56D4"/>
    <w:rsid w:val="00AB5983"/>
    <w:rsid w:val="00AC0409"/>
    <w:rsid w:val="00AC44DB"/>
    <w:rsid w:val="00AC7F55"/>
    <w:rsid w:val="00AD4D9B"/>
    <w:rsid w:val="00AD5F2F"/>
    <w:rsid w:val="00AD5F7E"/>
    <w:rsid w:val="00AE0B5C"/>
    <w:rsid w:val="00AE71D2"/>
    <w:rsid w:val="00AF4775"/>
    <w:rsid w:val="00AF4F14"/>
    <w:rsid w:val="00B12099"/>
    <w:rsid w:val="00B14A70"/>
    <w:rsid w:val="00B15443"/>
    <w:rsid w:val="00B1717D"/>
    <w:rsid w:val="00B20ED6"/>
    <w:rsid w:val="00B259AA"/>
    <w:rsid w:val="00B34668"/>
    <w:rsid w:val="00B36A9B"/>
    <w:rsid w:val="00B45AC4"/>
    <w:rsid w:val="00B63D01"/>
    <w:rsid w:val="00B64F9C"/>
    <w:rsid w:val="00B72363"/>
    <w:rsid w:val="00B80811"/>
    <w:rsid w:val="00B80C7E"/>
    <w:rsid w:val="00B94DEF"/>
    <w:rsid w:val="00BA385A"/>
    <w:rsid w:val="00BB01FB"/>
    <w:rsid w:val="00BC3A10"/>
    <w:rsid w:val="00BC5BC2"/>
    <w:rsid w:val="00BC6779"/>
    <w:rsid w:val="00BD456C"/>
    <w:rsid w:val="00BD5A6D"/>
    <w:rsid w:val="00BE2B53"/>
    <w:rsid w:val="00BE302C"/>
    <w:rsid w:val="00BE6F14"/>
    <w:rsid w:val="00BF0343"/>
    <w:rsid w:val="00BF45C2"/>
    <w:rsid w:val="00BF6422"/>
    <w:rsid w:val="00BF699B"/>
    <w:rsid w:val="00BF7DA6"/>
    <w:rsid w:val="00C03475"/>
    <w:rsid w:val="00C03FFD"/>
    <w:rsid w:val="00C12571"/>
    <w:rsid w:val="00C22CA5"/>
    <w:rsid w:val="00C354A4"/>
    <w:rsid w:val="00C374D3"/>
    <w:rsid w:val="00C4282E"/>
    <w:rsid w:val="00C46C82"/>
    <w:rsid w:val="00C50682"/>
    <w:rsid w:val="00C53015"/>
    <w:rsid w:val="00C60CE5"/>
    <w:rsid w:val="00C62C33"/>
    <w:rsid w:val="00C700B6"/>
    <w:rsid w:val="00C708A4"/>
    <w:rsid w:val="00C76497"/>
    <w:rsid w:val="00C806CA"/>
    <w:rsid w:val="00C82E5F"/>
    <w:rsid w:val="00C858E1"/>
    <w:rsid w:val="00C9066F"/>
    <w:rsid w:val="00C90D44"/>
    <w:rsid w:val="00C95303"/>
    <w:rsid w:val="00CA358B"/>
    <w:rsid w:val="00CA6A25"/>
    <w:rsid w:val="00CA6ECF"/>
    <w:rsid w:val="00CA7F8C"/>
    <w:rsid w:val="00CB12C0"/>
    <w:rsid w:val="00CD2F66"/>
    <w:rsid w:val="00CD3201"/>
    <w:rsid w:val="00CF7969"/>
    <w:rsid w:val="00D05476"/>
    <w:rsid w:val="00D10E8F"/>
    <w:rsid w:val="00D11975"/>
    <w:rsid w:val="00D12563"/>
    <w:rsid w:val="00D17B63"/>
    <w:rsid w:val="00D24313"/>
    <w:rsid w:val="00D26433"/>
    <w:rsid w:val="00D344B2"/>
    <w:rsid w:val="00D44A45"/>
    <w:rsid w:val="00D4584E"/>
    <w:rsid w:val="00D46705"/>
    <w:rsid w:val="00D47EB4"/>
    <w:rsid w:val="00D50075"/>
    <w:rsid w:val="00D5607D"/>
    <w:rsid w:val="00D602E2"/>
    <w:rsid w:val="00D608C6"/>
    <w:rsid w:val="00D70F09"/>
    <w:rsid w:val="00D73886"/>
    <w:rsid w:val="00D81E94"/>
    <w:rsid w:val="00D85CC2"/>
    <w:rsid w:val="00D87C94"/>
    <w:rsid w:val="00D91440"/>
    <w:rsid w:val="00D93630"/>
    <w:rsid w:val="00D95AD8"/>
    <w:rsid w:val="00D9658D"/>
    <w:rsid w:val="00DB7C93"/>
    <w:rsid w:val="00DC0842"/>
    <w:rsid w:val="00DC51AA"/>
    <w:rsid w:val="00DD4673"/>
    <w:rsid w:val="00DD577A"/>
    <w:rsid w:val="00DD6ED3"/>
    <w:rsid w:val="00DE3C43"/>
    <w:rsid w:val="00E02B01"/>
    <w:rsid w:val="00E03F5A"/>
    <w:rsid w:val="00E139AF"/>
    <w:rsid w:val="00E14AB0"/>
    <w:rsid w:val="00E202A5"/>
    <w:rsid w:val="00E278BF"/>
    <w:rsid w:val="00E3166E"/>
    <w:rsid w:val="00E31A32"/>
    <w:rsid w:val="00E33811"/>
    <w:rsid w:val="00E44973"/>
    <w:rsid w:val="00E577ED"/>
    <w:rsid w:val="00E76F88"/>
    <w:rsid w:val="00E8354E"/>
    <w:rsid w:val="00E83D87"/>
    <w:rsid w:val="00EA515D"/>
    <w:rsid w:val="00EA7338"/>
    <w:rsid w:val="00EB12D5"/>
    <w:rsid w:val="00EB5890"/>
    <w:rsid w:val="00EB7ADA"/>
    <w:rsid w:val="00EC1307"/>
    <w:rsid w:val="00EC3E9C"/>
    <w:rsid w:val="00EC5C98"/>
    <w:rsid w:val="00EC7B78"/>
    <w:rsid w:val="00ED5D5D"/>
    <w:rsid w:val="00EE5E7A"/>
    <w:rsid w:val="00EE6340"/>
    <w:rsid w:val="00EF010B"/>
    <w:rsid w:val="00EF0547"/>
    <w:rsid w:val="00EF4FBD"/>
    <w:rsid w:val="00EF54B6"/>
    <w:rsid w:val="00F00A9B"/>
    <w:rsid w:val="00F012A0"/>
    <w:rsid w:val="00F05EB3"/>
    <w:rsid w:val="00F10BAD"/>
    <w:rsid w:val="00F1588C"/>
    <w:rsid w:val="00F17AAE"/>
    <w:rsid w:val="00F204F0"/>
    <w:rsid w:val="00F26A27"/>
    <w:rsid w:val="00F301B0"/>
    <w:rsid w:val="00F33E6F"/>
    <w:rsid w:val="00F36092"/>
    <w:rsid w:val="00F4015B"/>
    <w:rsid w:val="00F44CCE"/>
    <w:rsid w:val="00F45A98"/>
    <w:rsid w:val="00F47830"/>
    <w:rsid w:val="00F5069B"/>
    <w:rsid w:val="00F526CE"/>
    <w:rsid w:val="00F61826"/>
    <w:rsid w:val="00F72A5C"/>
    <w:rsid w:val="00F741FD"/>
    <w:rsid w:val="00F77870"/>
    <w:rsid w:val="00FA1891"/>
    <w:rsid w:val="00FB1C68"/>
    <w:rsid w:val="00FB30CD"/>
    <w:rsid w:val="00FB3D3B"/>
    <w:rsid w:val="00FB58F3"/>
    <w:rsid w:val="00FB62F1"/>
    <w:rsid w:val="00FE2BE4"/>
    <w:rsid w:val="00FF696C"/>
    <w:rsid w:val="107D342A"/>
    <w:rsid w:val="215555C7"/>
    <w:rsid w:val="2498D7E5"/>
    <w:rsid w:val="24F2FE05"/>
    <w:rsid w:val="2BA1F81E"/>
    <w:rsid w:val="2CE0B006"/>
    <w:rsid w:val="2D718E50"/>
    <w:rsid w:val="2E80B7EE"/>
    <w:rsid w:val="2ECE26C3"/>
    <w:rsid w:val="2FB6F5FA"/>
    <w:rsid w:val="310865BB"/>
    <w:rsid w:val="34B08B05"/>
    <w:rsid w:val="38772914"/>
    <w:rsid w:val="3FBCF0EA"/>
    <w:rsid w:val="40FAA07A"/>
    <w:rsid w:val="455A8995"/>
    <w:rsid w:val="4C414C6B"/>
    <w:rsid w:val="4CDBBBD5"/>
    <w:rsid w:val="586918AE"/>
    <w:rsid w:val="5B924120"/>
    <w:rsid w:val="5C8B2103"/>
    <w:rsid w:val="62C423CD"/>
    <w:rsid w:val="62E9D340"/>
    <w:rsid w:val="7173DFF4"/>
    <w:rsid w:val="72323A29"/>
    <w:rsid w:val="73CE0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2E7ECF7"/>
  <w15:chartTrackingRefBased/>
  <w15:docId w15:val="{64DFBBB2-819E-4586-84A0-FFFB6A624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4E7"/>
    <w:rPr>
      <w:lang w:val="en-US"/>
    </w:rPr>
  </w:style>
  <w:style w:type="paragraph" w:styleId="Heading1">
    <w:name w:val="heading 1"/>
    <w:basedOn w:val="Normal"/>
    <w:next w:val="Normal"/>
    <w:link w:val="Heading1Char"/>
    <w:uiPriority w:val="9"/>
    <w:qFormat/>
    <w:rsid w:val="00F204F0"/>
    <w:pPr>
      <w:keepNext/>
      <w:keepLines/>
      <w:spacing w:before="240" w:after="0"/>
      <w:outlineLvl w:val="0"/>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2">
    <w:name w:val="heading 2"/>
    <w:basedOn w:val="Normal"/>
    <w:next w:val="Normal"/>
    <w:link w:val="Heading2Char"/>
    <w:uiPriority w:val="9"/>
    <w:unhideWhenUsed/>
    <w:qFormat/>
    <w:rsid w:val="002434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434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34E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2434E7"/>
    <w:rPr>
      <w:rFonts w:asciiTheme="majorHAnsi" w:eastAsiaTheme="majorEastAsia" w:hAnsiTheme="majorHAnsi" w:cstheme="majorBidi"/>
      <w:color w:val="1F4D78" w:themeColor="accent1" w:themeShade="7F"/>
      <w:sz w:val="24"/>
      <w:szCs w:val="24"/>
      <w:lang w:val="en-US"/>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rsid w:val="002434E7"/>
    <w:pPr>
      <w:ind w:left="720"/>
      <w:contextualSpacing/>
    </w:pPr>
  </w:style>
  <w:style w:type="paragraph" w:customStyle="1" w:styleId="Text1">
    <w:name w:val="Text 1"/>
    <w:basedOn w:val="Normal"/>
    <w:link w:val="Text1Char"/>
    <w:uiPriority w:val="1"/>
    <w:rsid w:val="002434E7"/>
    <w:pPr>
      <w:spacing w:after="240" w:line="240" w:lineRule="auto"/>
      <w:ind w:left="482"/>
      <w:jc w:val="both"/>
    </w:pPr>
    <w:rPr>
      <w:rFonts w:ascii="Times New Roman" w:eastAsia="Times New Roman" w:hAnsi="Times New Roman" w:cs="Times New Roman"/>
      <w:sz w:val="24"/>
      <w:szCs w:val="20"/>
      <w:lang w:val="en-GB"/>
    </w:rPr>
  </w:style>
  <w:style w:type="character" w:customStyle="1" w:styleId="Text1Char">
    <w:name w:val="Text 1 Char"/>
    <w:link w:val="Text1"/>
    <w:uiPriority w:val="1"/>
    <w:locked/>
    <w:rsid w:val="002434E7"/>
    <w:rPr>
      <w:rFonts w:ascii="Times New Roman" w:eastAsia="Times New Roman" w:hAnsi="Times New Roman" w:cs="Times New Roman"/>
      <w:sz w:val="24"/>
      <w:szCs w:val="20"/>
    </w:rPr>
  </w:style>
  <w:style w:type="character" w:styleId="Hyperlink">
    <w:name w:val="Hyperlink"/>
    <w:uiPriority w:val="99"/>
    <w:rsid w:val="002434E7"/>
    <w:rPr>
      <w:u w:val="single"/>
    </w:rPr>
  </w:style>
  <w:style w:type="paragraph" w:customStyle="1" w:styleId="Body">
    <w:name w:val="Body"/>
    <w:uiPriority w:val="99"/>
    <w:rsid w:val="002434E7"/>
    <w:pPr>
      <w:widowControl w:val="0"/>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fr-BE" w:eastAsia="fr-BE"/>
      <w14:textOutline w14:w="0" w14:cap="flat" w14:cmpd="sng" w14:algn="ctr">
        <w14:noFill/>
        <w14:prstDash w14:val="solid"/>
        <w14:bevel/>
      </w14:textOutline>
    </w:rPr>
  </w:style>
  <w:style w:type="paragraph" w:customStyle="1" w:styleId="CorpoAA">
    <w:name w:val="Corpo A A"/>
    <w:rsid w:val="002434E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14:textOutline w14:w="12700" w14:cap="flat" w14:cmpd="sng" w14:algn="ctr">
        <w14:noFill/>
        <w14:prstDash w14:val="solid"/>
        <w14:miter w14:lim="400000"/>
      </w14:textOutline>
    </w:rPr>
  </w:style>
  <w:style w:type="character" w:customStyle="1" w:styleId="Marker">
    <w:name w:val="Marker"/>
    <w:basedOn w:val="DefaultParagraphFont"/>
    <w:rsid w:val="00F17AAE"/>
    <w:rPr>
      <w:color w:val="0000FF"/>
      <w:shd w:val="clear" w:color="auto" w:fill="auto"/>
    </w:rPr>
  </w:style>
  <w:style w:type="paragraph" w:styleId="Header">
    <w:name w:val="header"/>
    <w:basedOn w:val="Normal"/>
    <w:link w:val="HeaderChar"/>
    <w:uiPriority w:val="99"/>
    <w:unhideWhenUsed/>
    <w:rsid w:val="00F17A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7AAE"/>
    <w:rPr>
      <w:lang w:val="en-US"/>
    </w:rPr>
  </w:style>
  <w:style w:type="paragraph" w:styleId="Footer">
    <w:name w:val="footer"/>
    <w:basedOn w:val="Normal"/>
    <w:link w:val="FooterChar"/>
    <w:uiPriority w:val="99"/>
    <w:unhideWhenUsed/>
    <w:rsid w:val="00F17A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AAE"/>
    <w:rPr>
      <w:lang w:val="en-US"/>
    </w:rPr>
  </w:style>
  <w:style w:type="paragraph" w:customStyle="1" w:styleId="Pagedecouverture">
    <w:name w:val="Page de couverture"/>
    <w:basedOn w:val="Normal"/>
    <w:next w:val="Normal"/>
    <w:rsid w:val="00F17AAE"/>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F17AAE"/>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F17AAE"/>
    <w:rPr>
      <w:rFonts w:ascii="Times New Roman" w:hAnsi="Times New Roman" w:cs="Times New Roman"/>
      <w:sz w:val="24"/>
      <w:lang w:val="en-US"/>
    </w:rPr>
  </w:style>
  <w:style w:type="paragraph" w:customStyle="1" w:styleId="FooterSensitivity">
    <w:name w:val="Footer Sensitivity"/>
    <w:basedOn w:val="Normal"/>
    <w:link w:val="FooterSensitivityChar"/>
    <w:rsid w:val="00F17AAE"/>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F17AAE"/>
    <w:rPr>
      <w:rFonts w:ascii="Times New Roman" w:hAnsi="Times New Roman" w:cs="Times New Roman"/>
      <w:b/>
      <w:sz w:val="32"/>
      <w:lang w:val="en-US"/>
    </w:rPr>
  </w:style>
  <w:style w:type="paragraph" w:customStyle="1" w:styleId="HeaderCoverPage">
    <w:name w:val="Header Cover Page"/>
    <w:basedOn w:val="Normal"/>
    <w:link w:val="HeaderCoverPageChar"/>
    <w:rsid w:val="00F17AAE"/>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F17AAE"/>
    <w:rPr>
      <w:rFonts w:ascii="Times New Roman" w:hAnsi="Times New Roman" w:cs="Times New Roman"/>
      <w:sz w:val="24"/>
      <w:lang w:val="en-US"/>
    </w:rPr>
  </w:style>
  <w:style w:type="paragraph" w:customStyle="1" w:styleId="HeaderSensitivity">
    <w:name w:val="Header Sensitivity"/>
    <w:basedOn w:val="Normal"/>
    <w:link w:val="HeaderSensitivityChar"/>
    <w:rsid w:val="00F17AAE"/>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F17AAE"/>
    <w:rPr>
      <w:rFonts w:ascii="Times New Roman" w:hAnsi="Times New Roman" w:cs="Times New Roman"/>
      <w:b/>
      <w:sz w:val="32"/>
      <w:lang w:val="en-US"/>
    </w:rPr>
  </w:style>
  <w:style w:type="paragraph" w:customStyle="1" w:styleId="HeaderSensitivityRight">
    <w:name w:val="Header Sensitivity Right"/>
    <w:basedOn w:val="Normal"/>
    <w:link w:val="HeaderSensitivityRightChar"/>
    <w:rsid w:val="00F17AAE"/>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F17AAE"/>
    <w:rPr>
      <w:rFonts w:ascii="Times New Roman" w:hAnsi="Times New Roman" w:cs="Times New Roman"/>
      <w:sz w:val="28"/>
      <w:lang w:val="en-US"/>
    </w:rPr>
  </w:style>
  <w:style w:type="character" w:styleId="CommentReference">
    <w:name w:val="annotation reference"/>
    <w:basedOn w:val="DefaultParagraphFont"/>
    <w:uiPriority w:val="99"/>
    <w:semiHidden/>
    <w:unhideWhenUsed/>
    <w:rsid w:val="00587683"/>
    <w:rPr>
      <w:sz w:val="16"/>
      <w:szCs w:val="16"/>
    </w:rPr>
  </w:style>
  <w:style w:type="paragraph" w:styleId="CommentText">
    <w:name w:val="annotation text"/>
    <w:basedOn w:val="Normal"/>
    <w:link w:val="CommentTextChar"/>
    <w:uiPriority w:val="99"/>
    <w:unhideWhenUsed/>
    <w:rsid w:val="00587683"/>
    <w:pPr>
      <w:spacing w:line="240" w:lineRule="auto"/>
    </w:pPr>
    <w:rPr>
      <w:sz w:val="20"/>
      <w:szCs w:val="20"/>
    </w:rPr>
  </w:style>
  <w:style w:type="character" w:customStyle="1" w:styleId="CommentTextChar">
    <w:name w:val="Comment Text Char"/>
    <w:basedOn w:val="DefaultParagraphFont"/>
    <w:link w:val="CommentText"/>
    <w:uiPriority w:val="99"/>
    <w:rsid w:val="00587683"/>
    <w:rPr>
      <w:sz w:val="20"/>
      <w:szCs w:val="20"/>
      <w:lang w:val="en-US"/>
    </w:rPr>
  </w:style>
  <w:style w:type="paragraph" w:styleId="CommentSubject">
    <w:name w:val="annotation subject"/>
    <w:basedOn w:val="CommentText"/>
    <w:next w:val="CommentText"/>
    <w:link w:val="CommentSubjectChar"/>
    <w:uiPriority w:val="99"/>
    <w:semiHidden/>
    <w:unhideWhenUsed/>
    <w:rsid w:val="00587683"/>
    <w:rPr>
      <w:b/>
      <w:bCs/>
    </w:rPr>
  </w:style>
  <w:style w:type="character" w:customStyle="1" w:styleId="CommentSubjectChar">
    <w:name w:val="Comment Subject Char"/>
    <w:basedOn w:val="CommentTextChar"/>
    <w:link w:val="CommentSubject"/>
    <w:uiPriority w:val="99"/>
    <w:semiHidden/>
    <w:rsid w:val="00587683"/>
    <w:rPr>
      <w:b/>
      <w:bCs/>
      <w:sz w:val="20"/>
      <w:szCs w:val="20"/>
      <w:lang w:val="en-US"/>
    </w:rPr>
  </w:style>
  <w:style w:type="paragraph" w:styleId="Revision">
    <w:name w:val="Revision"/>
    <w:hidden/>
    <w:uiPriority w:val="99"/>
    <w:semiHidden/>
    <w:rsid w:val="00587683"/>
    <w:pPr>
      <w:spacing w:after="0" w:line="240" w:lineRule="auto"/>
    </w:pPr>
    <w:rPr>
      <w:lang w:val="en-US"/>
    </w:rPr>
  </w:style>
  <w:style w:type="paragraph" w:styleId="BalloonText">
    <w:name w:val="Balloon Text"/>
    <w:basedOn w:val="Normal"/>
    <w:link w:val="BalloonTextChar"/>
    <w:uiPriority w:val="99"/>
    <w:semiHidden/>
    <w:unhideWhenUsed/>
    <w:rsid w:val="00587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683"/>
    <w:rPr>
      <w:rFonts w:ascii="Segoe UI" w:hAnsi="Segoe UI" w:cs="Segoe UI"/>
      <w:sz w:val="18"/>
      <w:szCs w:val="18"/>
      <w:lang w:val="en-US"/>
    </w:rPr>
  </w:style>
  <w:style w:type="character" w:customStyle="1" w:styleId="UnresolvedMention1">
    <w:name w:val="Unresolved Mention1"/>
    <w:basedOn w:val="DefaultParagraphFont"/>
    <w:uiPriority w:val="99"/>
    <w:unhideWhenUsed/>
    <w:rsid w:val="00587683"/>
    <w:rPr>
      <w:color w:val="605E5C"/>
      <w:shd w:val="clear" w:color="auto" w:fill="E1DFDD"/>
    </w:rPr>
  </w:style>
  <w:style w:type="paragraph" w:styleId="FootnoteText">
    <w:name w:val="footnote text"/>
    <w:basedOn w:val="Normal"/>
    <w:link w:val="FootnoteTextChar"/>
    <w:uiPriority w:val="99"/>
    <w:unhideWhenUsed/>
    <w:qFormat/>
    <w:rsid w:val="00587683"/>
    <w:pPr>
      <w:spacing w:after="0" w:line="240" w:lineRule="auto"/>
    </w:pPr>
    <w:rPr>
      <w:sz w:val="20"/>
      <w:szCs w:val="20"/>
    </w:rPr>
  </w:style>
  <w:style w:type="character" w:customStyle="1" w:styleId="FootnoteTextChar">
    <w:name w:val="Footnote Text Char"/>
    <w:basedOn w:val="DefaultParagraphFont"/>
    <w:link w:val="FootnoteText"/>
    <w:uiPriority w:val="99"/>
    <w:rsid w:val="00587683"/>
    <w:rPr>
      <w:sz w:val="20"/>
      <w:szCs w:val="20"/>
      <w:lang w:val="en-US"/>
    </w:rPr>
  </w:style>
  <w:style w:type="character" w:styleId="FootnoteReference">
    <w:name w:val="footnote reference"/>
    <w:aliases w:val="Footnote Reference Superscript,Footnote symbol,Footnote reference number,Footnote,Times 10 Point,Exposant 3 Point,Ref,de nota al pie,note TESI,SUPERS,EN Footnote text,EN Footnote Reference,Footnote Reference Number,E FNZ,Footnote#,E"/>
    <w:basedOn w:val="DefaultParagraphFont"/>
    <w:link w:val="FootnoteReferenceCharCarCharCharCarCharCarCharCarCharCarCharCharCarCarCharCharCharCharCharCarCharCarCharCharCarCharCar"/>
    <w:uiPriority w:val="99"/>
    <w:unhideWhenUsed/>
    <w:qFormat/>
    <w:rsid w:val="00587683"/>
    <w:rPr>
      <w:vertAlign w:val="superscript"/>
    </w:rPr>
  </w:style>
  <w:style w:type="character" w:styleId="FollowedHyperlink">
    <w:name w:val="FollowedHyperlink"/>
    <w:basedOn w:val="DefaultParagraphFont"/>
    <w:uiPriority w:val="99"/>
    <w:semiHidden/>
    <w:unhideWhenUsed/>
    <w:rsid w:val="00587683"/>
    <w:rPr>
      <w:color w:val="954F72" w:themeColor="followedHyperlink"/>
      <w:u w:val="single"/>
    </w:rPr>
  </w:style>
  <w:style w:type="character" w:customStyle="1" w:styleId="markedcontent">
    <w:name w:val="markedcontent"/>
    <w:basedOn w:val="DefaultParagraphFont"/>
    <w:rsid w:val="00587683"/>
  </w:style>
  <w:style w:type="character" w:customStyle="1" w:styleId="UnresolvedMention2">
    <w:name w:val="Unresolved Mention2"/>
    <w:basedOn w:val="DefaultParagraphFont"/>
    <w:uiPriority w:val="99"/>
    <w:semiHidden/>
    <w:unhideWhenUsed/>
    <w:rsid w:val="004F56E7"/>
    <w:rPr>
      <w:color w:val="605E5C"/>
      <w:shd w:val="clear" w:color="auto" w:fill="E1DFDD"/>
    </w:rPr>
  </w:style>
  <w:style w:type="character" w:customStyle="1" w:styleId="normaltextrun">
    <w:name w:val="normaltextrun"/>
    <w:basedOn w:val="DefaultParagraphFont"/>
    <w:rsid w:val="005D3D4B"/>
  </w:style>
  <w:style w:type="paragraph" w:customStyle="1" w:styleId="doceo-line-height-base">
    <w:name w:val="doceo-line-height-base"/>
    <w:basedOn w:val="Normal"/>
    <w:rsid w:val="005D3D4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oceo-font-family-base">
    <w:name w:val="doceo-font-family-base"/>
    <w:basedOn w:val="DefaultParagraphFont"/>
    <w:rsid w:val="005D3D4B"/>
  </w:style>
  <w:style w:type="character" w:customStyle="1" w:styleId="Mention1">
    <w:name w:val="Mention1"/>
    <w:basedOn w:val="DefaultParagraphFont"/>
    <w:uiPriority w:val="99"/>
    <w:unhideWhenUsed/>
    <w:rsid w:val="005D3D4B"/>
    <w:rPr>
      <w:color w:val="2B579A"/>
      <w:shd w:val="clear" w:color="auto" w:fill="E1DFDD"/>
    </w:rPr>
  </w:style>
  <w:style w:type="paragraph" w:styleId="NormalWeb">
    <w:name w:val="Normal (Web)"/>
    <w:basedOn w:val="Normal"/>
    <w:uiPriority w:val="99"/>
    <w:semiHidden/>
    <w:unhideWhenUsed/>
    <w:rsid w:val="005D3D4B"/>
    <w:pPr>
      <w:spacing w:before="100" w:beforeAutospacing="1" w:after="100" w:afterAutospacing="1" w:line="240" w:lineRule="auto"/>
    </w:pPr>
    <w:rPr>
      <w:rFonts w:ascii="Calibri" w:hAnsi="Calibri" w:cs="Calibri"/>
      <w:lang w:val="en-IE" w:eastAsia="en-IE"/>
    </w:rPr>
  </w:style>
  <w:style w:type="paragraph" w:customStyle="1" w:styleId="paragraph">
    <w:name w:val="paragraph"/>
    <w:basedOn w:val="Normal"/>
    <w:rsid w:val="005D3D4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5D3D4B"/>
  </w:style>
  <w:style w:type="character" w:customStyle="1" w:styleId="Heading1Char">
    <w:name w:val="Heading 1 Char"/>
    <w:basedOn w:val="DefaultParagraphFont"/>
    <w:link w:val="Heading1"/>
    <w:uiPriority w:val="9"/>
    <w:rsid w:val="00F204F0"/>
    <w:rPr>
      <w:rFonts w:asciiTheme="majorHAnsi" w:eastAsiaTheme="majorEastAsia" w:hAnsiTheme="majorHAnsi" w:cstheme="majorBidi"/>
      <w:color w:val="2E74B5" w:themeColor="accent1" w:themeShade="BF"/>
      <w:kern w:val="2"/>
      <w:sz w:val="32"/>
      <w:szCs w:val="32"/>
      <w:lang w:val="en-US"/>
      <w14:ligatures w14:val="standardContextual"/>
    </w:rPr>
  </w:style>
  <w:style w:type="character" w:customStyle="1" w:styleId="UnresolvedMention">
    <w:name w:val="Unresolved Mention"/>
    <w:basedOn w:val="DefaultParagraphFont"/>
    <w:uiPriority w:val="99"/>
    <w:semiHidden/>
    <w:unhideWhenUsed/>
    <w:rsid w:val="00F204F0"/>
    <w:rPr>
      <w:color w:val="605E5C"/>
      <w:shd w:val="clear" w:color="auto" w:fill="E1DFDD"/>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rsid w:val="00F204F0"/>
    <w:pPr>
      <w:spacing w:line="240" w:lineRule="exact"/>
      <w:jc w:val="both"/>
    </w:pPr>
    <w:rPr>
      <w:vertAlign w:val="superscript"/>
      <w:lang w:val="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sid w:val="00F204F0"/>
    <w:rPr>
      <w:lang w:val="en-US"/>
    </w:rPr>
  </w:style>
  <w:style w:type="character" w:customStyle="1" w:styleId="Mention">
    <w:name w:val="Mention"/>
    <w:basedOn w:val="DefaultParagraphFont"/>
    <w:uiPriority w:val="99"/>
    <w:unhideWhenUsed/>
    <w:rsid w:val="00F204F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55507">
      <w:bodyDiv w:val="1"/>
      <w:marLeft w:val="0"/>
      <w:marRight w:val="0"/>
      <w:marTop w:val="0"/>
      <w:marBottom w:val="0"/>
      <w:divBdr>
        <w:top w:val="none" w:sz="0" w:space="0" w:color="auto"/>
        <w:left w:val="none" w:sz="0" w:space="0" w:color="auto"/>
        <w:bottom w:val="none" w:sz="0" w:space="0" w:color="auto"/>
        <w:right w:val="none" w:sz="0" w:space="0" w:color="auto"/>
      </w:divBdr>
    </w:div>
    <w:div w:id="860361317">
      <w:bodyDiv w:val="1"/>
      <w:marLeft w:val="0"/>
      <w:marRight w:val="0"/>
      <w:marTop w:val="0"/>
      <w:marBottom w:val="0"/>
      <w:divBdr>
        <w:top w:val="none" w:sz="0" w:space="0" w:color="auto"/>
        <w:left w:val="none" w:sz="0" w:space="0" w:color="auto"/>
        <w:bottom w:val="none" w:sz="0" w:space="0" w:color="auto"/>
        <w:right w:val="none" w:sz="0" w:space="0" w:color="auto"/>
      </w:divBdr>
      <w:divsChild>
        <w:div w:id="2098742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commission.europa.eu/strategy-and-policy/eu-budget/how-it-works/annual-lifecycle/implementation/anti-fraud-measures/edes_en"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cohesiondata.ec.europa.e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c.europa.eu/economy_finance/recovery-and-resilience-scoreboard/index.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commission.europa.eu/strategy-and-policy/eu-budget/performance-and-reporting/programme-performance-statements_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ec.europa.eu/info/funding-tenders/opportunities/portal/screen/opportunities/horizon-dashboard" TargetMode="External"/><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social/main.jsp?catId=738&amp;langId=en&amp;pubId=8558&amp;furtherPubs=yes" TargetMode="External"/><Relationship Id="rId2" Type="http://schemas.openxmlformats.org/officeDocument/2006/relationships/hyperlink" Target="https://data.consilium.europa.eu/doc/document/ST-6179-2024-ADD-1/en/pdf" TargetMode="External"/><Relationship Id="rId1" Type="http://schemas.openxmlformats.org/officeDocument/2006/relationships/hyperlink" Target="https://www.europarl.europa.eu/doceo/document/TA-9-2024-0228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7384198965F04CAC95112A80E087FD" ma:contentTypeVersion="6" ma:contentTypeDescription="Create a new document." ma:contentTypeScope="" ma:versionID="29645aa7544d47f0998cee539cfbef0d">
  <xsd:schema xmlns:xsd="http://www.w3.org/2001/XMLSchema" xmlns:xs="http://www.w3.org/2001/XMLSchema" xmlns:p="http://schemas.microsoft.com/office/2006/metadata/properties" xmlns:ns2="ebf6e92b-7f0b-4aa0-8110-2ac1b0aa9f9b" xmlns:ns3="1e58b153-092f-44e0-b7f3-6f68ee4e5819" targetNamespace="http://schemas.microsoft.com/office/2006/metadata/properties" ma:root="true" ma:fieldsID="2aabc6a5bdbfcc47ad5ffee31be05016" ns2:_="" ns3:_="">
    <xsd:import namespace="ebf6e92b-7f0b-4aa0-8110-2ac1b0aa9f9b"/>
    <xsd:import namespace="1e58b153-092f-44e0-b7f3-6f68ee4e58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f6e92b-7f0b-4aa0-8110-2ac1b0aa9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58b153-092f-44e0-b7f3-6f68ee4e581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27F6D66-080B-48D8-A57B-F1353028D881}">
  <ds:schemaRefs>
    <ds:schemaRef ds:uri="http://schemas.microsoft.com/sharepoint/v3/contenttype/forms"/>
  </ds:schemaRefs>
</ds:datastoreItem>
</file>

<file path=customXml/itemProps2.xml><?xml version="1.0" encoding="utf-8"?>
<ds:datastoreItem xmlns:ds="http://schemas.openxmlformats.org/officeDocument/2006/customXml" ds:itemID="{7CEF3D96-A94C-483E-B8CB-07C98941E0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17421D-05C5-4315-BDB5-35C5AE821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6e92b-7f0b-4aa0-8110-2ac1b0aa9f9b"/>
    <ds:schemaRef ds:uri="1e58b153-092f-44e0-b7f3-6f68ee4e58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14A2FD-2E1E-4310-B524-F87A480CC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3854</Words>
  <Characters>21972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6</cp:revision>
  <dcterms:created xsi:type="dcterms:W3CDTF">2024-06-24T12:31:00Z</dcterms:created>
  <dcterms:modified xsi:type="dcterms:W3CDTF">2024-06-25T14:58:00Z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9.0, Build 20230317</vt:lpwstr>
  </property>
  <property fmtid="{D5CDD505-2E9C-101B-9397-08002B2CF9AE}" pid="8" name="Created using">
    <vt:lpwstr>LW 8.0, Build 20220128</vt:lpwstr>
  </property>
  <property fmtid="{D5CDD505-2E9C-101B-9397-08002B2CF9AE}" pid="9" name="MSIP_Label_6bd9ddd1-4d20-43f6-abfa-fc3c07406f94_Enabled">
    <vt:lpwstr>true</vt:lpwstr>
  </property>
  <property fmtid="{D5CDD505-2E9C-101B-9397-08002B2CF9AE}" pid="10" name="MSIP_Label_6bd9ddd1-4d20-43f6-abfa-fc3c07406f94_SetDate">
    <vt:lpwstr>2022-05-20T14:28:11Z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775800c8-9458-47d8-acde-d1949a8e8b6d</vt:lpwstr>
  </property>
  <property fmtid="{D5CDD505-2E9C-101B-9397-08002B2CF9AE}" pid="15" name="MSIP_Label_6bd9ddd1-4d20-43f6-abfa-fc3c07406f94_ContentBits">
    <vt:lpwstr>0</vt:lpwstr>
  </property>
  <property fmtid="{D5CDD505-2E9C-101B-9397-08002B2CF9AE}" pid="16" name="ContentTypeId">
    <vt:lpwstr>0x0101001A7384198965F04CAC95112A80E087FD</vt:lpwstr>
  </property>
</Properties>
</file>