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C4A33" w14:textId="69664266" w:rsidR="00861C1C" w:rsidRPr="00390EB1" w:rsidRDefault="0041092A" w:rsidP="0041092A">
      <w:pPr>
        <w:pStyle w:val="Pagedecouverture"/>
        <w:rPr>
          <w:noProof/>
        </w:rPr>
      </w:pPr>
      <w:bookmarkStart w:id="0" w:name="_Toc456026166"/>
      <w:bookmarkStart w:id="1" w:name="LW_BM_COVERPAGE"/>
      <w:r>
        <w:rPr>
          <w:noProof/>
        </w:rPr>
        <w:pict w14:anchorId="1B43C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60C41F4-9C56-425A-9505-F7F75FCEC25F" style="width:455.25pt;height:324pt">
            <v:imagedata r:id="rId12" o:title=""/>
          </v:shape>
        </w:pict>
      </w:r>
    </w:p>
    <w:bookmarkEnd w:id="1"/>
    <w:p w14:paraId="56277C63" w14:textId="77777777" w:rsidR="00861C1C" w:rsidRPr="00390EB1" w:rsidRDefault="00861C1C">
      <w:pPr>
        <w:pStyle w:val="Pagedecouverture"/>
        <w:rPr>
          <w:noProof/>
        </w:rPr>
        <w:sectPr w:rsidR="00861C1C" w:rsidRPr="00390EB1" w:rsidSect="0041092A">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fmt="numberInDash" w:start="1"/>
          <w:cols w:space="720"/>
          <w:docGrid w:linePitch="326"/>
        </w:sectPr>
      </w:pPr>
    </w:p>
    <w:p w14:paraId="43DBD787" w14:textId="19728816" w:rsidR="00861C1C" w:rsidRPr="00DE0036" w:rsidRDefault="003B6DC2" w:rsidP="00DE0036">
      <w:pPr>
        <w:pStyle w:val="TOCHeading"/>
        <w:rPr>
          <w:noProof/>
        </w:rPr>
      </w:pPr>
      <w:bookmarkStart w:id="2" w:name="_Toc167194507"/>
      <w:bookmarkStart w:id="3" w:name="_Toc494974436"/>
      <w:bookmarkStart w:id="4" w:name="_Toc524523057"/>
      <w:bookmarkStart w:id="5" w:name="_GoBack"/>
      <w:bookmarkEnd w:id="0"/>
      <w:bookmarkEnd w:id="5"/>
      <w:r w:rsidRPr="00DE0036">
        <w:rPr>
          <w:noProof/>
        </w:rPr>
        <w:lastRenderedPageBreak/>
        <w:t>Table of Contents</w:t>
      </w:r>
      <w:bookmarkEnd w:id="2"/>
    </w:p>
    <w:p w14:paraId="3DC29536" w14:textId="1813BB15" w:rsidR="00DD4CE8" w:rsidRDefault="003B6DC2" w:rsidP="000F0FD4">
      <w:pPr>
        <w:pStyle w:val="TOC1"/>
        <w:spacing w:after="240"/>
        <w:rPr>
          <w:rFonts w:asciiTheme="minorHAnsi" w:eastAsiaTheme="minorEastAsia" w:hAnsiTheme="minorHAnsi"/>
          <w:noProof/>
          <w:kern w:val="2"/>
          <w:sz w:val="22"/>
          <w:szCs w:val="22"/>
          <w:lang w:eastAsia="en-GB"/>
          <w14:ligatures w14:val="standardContextual"/>
        </w:rPr>
      </w:pPr>
      <w:r w:rsidRPr="00390EB1">
        <w:rPr>
          <w:noProof/>
        </w:rPr>
        <w:fldChar w:fldCharType="begin"/>
      </w:r>
      <w:r w:rsidRPr="00390EB1">
        <w:rPr>
          <w:noProof/>
        </w:rPr>
        <w:instrText>TOC \o "1-3" \h \z \u</w:instrText>
      </w:r>
      <w:r w:rsidRPr="00390EB1">
        <w:rPr>
          <w:noProof/>
        </w:rPr>
        <w:fldChar w:fldCharType="separate"/>
      </w:r>
      <w:hyperlink w:anchor="_Toc167194508" w:history="1">
        <w:r w:rsidR="00DD4CE8" w:rsidRPr="00EC7086">
          <w:rPr>
            <w:rStyle w:val="Hyperlink"/>
            <w:noProof/>
          </w:rPr>
          <w:t>1.</w:t>
        </w:r>
        <w:r w:rsidR="005C259B">
          <w:rPr>
            <w:rFonts w:asciiTheme="minorHAnsi" w:eastAsiaTheme="minorEastAsia" w:hAnsiTheme="minorHAnsi"/>
            <w:noProof/>
            <w:kern w:val="2"/>
            <w:sz w:val="22"/>
            <w:szCs w:val="22"/>
            <w:lang w:eastAsia="en-GB"/>
            <w14:ligatures w14:val="standardContextual"/>
          </w:rPr>
          <w:t xml:space="preserve"> </w:t>
        </w:r>
        <w:r w:rsidR="00DD4CE8" w:rsidRPr="00EC7086">
          <w:rPr>
            <w:rStyle w:val="Hyperlink"/>
            <w:noProof/>
          </w:rPr>
          <w:t>Introduction</w:t>
        </w:r>
        <w:r w:rsidR="00DD4CE8">
          <w:rPr>
            <w:noProof/>
            <w:webHidden/>
          </w:rPr>
          <w:tab/>
        </w:r>
        <w:r w:rsidR="00DD4CE8">
          <w:rPr>
            <w:noProof/>
            <w:webHidden/>
          </w:rPr>
          <w:fldChar w:fldCharType="begin"/>
        </w:r>
        <w:r w:rsidR="00DD4CE8">
          <w:rPr>
            <w:noProof/>
            <w:webHidden/>
          </w:rPr>
          <w:instrText xml:space="preserve"> PAGEREF _Toc167194508 \h </w:instrText>
        </w:r>
        <w:r w:rsidR="00DD4CE8">
          <w:rPr>
            <w:noProof/>
            <w:webHidden/>
          </w:rPr>
        </w:r>
        <w:r w:rsidR="00DD4CE8">
          <w:rPr>
            <w:noProof/>
            <w:webHidden/>
          </w:rPr>
          <w:fldChar w:fldCharType="separate"/>
        </w:r>
        <w:r w:rsidR="00460F1A">
          <w:rPr>
            <w:noProof/>
            <w:webHidden/>
          </w:rPr>
          <w:t>1</w:t>
        </w:r>
        <w:r w:rsidR="00DD4CE8">
          <w:rPr>
            <w:noProof/>
            <w:webHidden/>
          </w:rPr>
          <w:fldChar w:fldCharType="end"/>
        </w:r>
      </w:hyperlink>
    </w:p>
    <w:p w14:paraId="6CE2FEF9" w14:textId="7C90953B" w:rsidR="00DD4CE8" w:rsidRDefault="0041092A" w:rsidP="000F0FD4">
      <w:pPr>
        <w:pStyle w:val="TOC1"/>
        <w:spacing w:after="240"/>
        <w:rPr>
          <w:rFonts w:asciiTheme="minorHAnsi" w:eastAsiaTheme="minorEastAsia" w:hAnsiTheme="minorHAnsi"/>
          <w:noProof/>
          <w:kern w:val="2"/>
          <w:sz w:val="22"/>
          <w:szCs w:val="22"/>
          <w:lang w:eastAsia="en-GB"/>
          <w14:ligatures w14:val="standardContextual"/>
        </w:rPr>
      </w:pPr>
      <w:hyperlink w:anchor="_Toc167194509" w:history="1">
        <w:r w:rsidR="00DD4CE8" w:rsidRPr="00EC7086">
          <w:rPr>
            <w:rStyle w:val="Hyperlink"/>
            <w:noProof/>
          </w:rPr>
          <w:t>2.</w:t>
        </w:r>
        <w:r w:rsidR="005C259B">
          <w:rPr>
            <w:rStyle w:val="Hyperlink"/>
            <w:noProof/>
          </w:rPr>
          <w:t xml:space="preserve"> </w:t>
        </w:r>
        <w:r w:rsidR="00DD4CE8" w:rsidRPr="00EC7086">
          <w:rPr>
            <w:rStyle w:val="Hyperlink"/>
            <w:noProof/>
          </w:rPr>
          <w:t>Forecast of outflows of the EU budget 2025-2029</w:t>
        </w:r>
        <w:r w:rsidR="00DD4CE8">
          <w:rPr>
            <w:noProof/>
            <w:webHidden/>
          </w:rPr>
          <w:tab/>
        </w:r>
        <w:r w:rsidR="00DD4CE8">
          <w:rPr>
            <w:noProof/>
            <w:webHidden/>
          </w:rPr>
          <w:fldChar w:fldCharType="begin"/>
        </w:r>
        <w:r w:rsidR="00DD4CE8">
          <w:rPr>
            <w:noProof/>
            <w:webHidden/>
          </w:rPr>
          <w:instrText xml:space="preserve"> PAGEREF _Toc167194509 \h </w:instrText>
        </w:r>
        <w:r w:rsidR="00DD4CE8">
          <w:rPr>
            <w:noProof/>
            <w:webHidden/>
          </w:rPr>
        </w:r>
        <w:r w:rsidR="00DD4CE8">
          <w:rPr>
            <w:noProof/>
            <w:webHidden/>
          </w:rPr>
          <w:fldChar w:fldCharType="separate"/>
        </w:r>
        <w:r w:rsidR="00460F1A">
          <w:rPr>
            <w:noProof/>
            <w:webHidden/>
          </w:rPr>
          <w:t>2</w:t>
        </w:r>
        <w:r w:rsidR="00DD4CE8">
          <w:rPr>
            <w:noProof/>
            <w:webHidden/>
          </w:rPr>
          <w:fldChar w:fldCharType="end"/>
        </w:r>
      </w:hyperlink>
    </w:p>
    <w:p w14:paraId="5B5C85CD" w14:textId="1A1E5F21" w:rsidR="00DD4CE8" w:rsidRDefault="0041092A" w:rsidP="000E4F78">
      <w:pPr>
        <w:pStyle w:val="TOC3"/>
        <w:rPr>
          <w:rFonts w:asciiTheme="minorHAnsi" w:eastAsiaTheme="minorEastAsia" w:hAnsiTheme="minorHAnsi"/>
          <w:noProof/>
          <w:kern w:val="2"/>
          <w:sz w:val="22"/>
          <w:szCs w:val="22"/>
          <w:lang w:eastAsia="en-GB"/>
          <w14:ligatures w14:val="standardContextual"/>
        </w:rPr>
      </w:pPr>
      <w:hyperlink w:anchor="_Toc167194510" w:history="1">
        <w:r w:rsidR="00DD4CE8" w:rsidRPr="00EC7086">
          <w:rPr>
            <w:rStyle w:val="Hyperlink"/>
            <w:noProof/>
          </w:rPr>
          <w:t>2.1.Payments in relation to the commitments of the 2021-2027 MFF</w:t>
        </w:r>
        <w:r w:rsidR="00DD4CE8">
          <w:rPr>
            <w:noProof/>
            <w:webHidden/>
          </w:rPr>
          <w:tab/>
        </w:r>
        <w:r w:rsidR="00DD4CE8">
          <w:rPr>
            <w:noProof/>
            <w:webHidden/>
          </w:rPr>
          <w:fldChar w:fldCharType="begin"/>
        </w:r>
        <w:r w:rsidR="00DD4CE8">
          <w:rPr>
            <w:noProof/>
            <w:webHidden/>
          </w:rPr>
          <w:instrText xml:space="preserve"> PAGEREF _Toc167194510 \h </w:instrText>
        </w:r>
        <w:r w:rsidR="00DD4CE8">
          <w:rPr>
            <w:noProof/>
            <w:webHidden/>
          </w:rPr>
        </w:r>
        <w:r w:rsidR="00DD4CE8">
          <w:rPr>
            <w:noProof/>
            <w:webHidden/>
          </w:rPr>
          <w:fldChar w:fldCharType="separate"/>
        </w:r>
        <w:r w:rsidR="00460F1A">
          <w:rPr>
            <w:noProof/>
            <w:webHidden/>
          </w:rPr>
          <w:t>3</w:t>
        </w:r>
        <w:r w:rsidR="00DD4CE8">
          <w:rPr>
            <w:noProof/>
            <w:webHidden/>
          </w:rPr>
          <w:fldChar w:fldCharType="end"/>
        </w:r>
      </w:hyperlink>
    </w:p>
    <w:p w14:paraId="0785E051" w14:textId="67C9839E" w:rsidR="00DD4CE8" w:rsidRDefault="0041092A" w:rsidP="000E4F78">
      <w:pPr>
        <w:pStyle w:val="TOC3"/>
        <w:rPr>
          <w:rFonts w:asciiTheme="minorHAnsi" w:eastAsiaTheme="minorEastAsia" w:hAnsiTheme="minorHAnsi"/>
          <w:noProof/>
          <w:kern w:val="2"/>
          <w:sz w:val="22"/>
          <w:szCs w:val="22"/>
          <w:lang w:eastAsia="en-GB"/>
          <w14:ligatures w14:val="standardContextual"/>
        </w:rPr>
      </w:pPr>
      <w:hyperlink w:anchor="_Toc167194511" w:history="1">
        <w:r w:rsidR="00DD4CE8" w:rsidRPr="00EC7086">
          <w:rPr>
            <w:rStyle w:val="Hyperlink"/>
            <w:noProof/>
          </w:rPr>
          <w:t>2.2.</w:t>
        </w:r>
        <w:r w:rsidR="005C259B">
          <w:rPr>
            <w:rFonts w:asciiTheme="minorHAnsi" w:eastAsiaTheme="minorEastAsia" w:hAnsiTheme="minorHAnsi"/>
            <w:noProof/>
            <w:kern w:val="2"/>
            <w:sz w:val="22"/>
            <w:szCs w:val="22"/>
            <w:lang w:eastAsia="en-GB"/>
            <w14:ligatures w14:val="standardContextual"/>
          </w:rPr>
          <w:t xml:space="preserve"> </w:t>
        </w:r>
        <w:r w:rsidR="00DD4CE8" w:rsidRPr="00EC7086">
          <w:rPr>
            <w:rStyle w:val="Hyperlink"/>
            <w:noProof/>
          </w:rPr>
          <w:t>Payments for the completion of outstanding commitments</w:t>
        </w:r>
        <w:r w:rsidR="00DD4CE8">
          <w:rPr>
            <w:noProof/>
            <w:webHidden/>
          </w:rPr>
          <w:tab/>
        </w:r>
        <w:r w:rsidR="00DD4CE8">
          <w:rPr>
            <w:noProof/>
            <w:webHidden/>
          </w:rPr>
          <w:fldChar w:fldCharType="begin"/>
        </w:r>
        <w:r w:rsidR="00DD4CE8">
          <w:rPr>
            <w:noProof/>
            <w:webHidden/>
          </w:rPr>
          <w:instrText xml:space="preserve"> PAGEREF _Toc167194511 \h </w:instrText>
        </w:r>
        <w:r w:rsidR="00DD4CE8">
          <w:rPr>
            <w:noProof/>
            <w:webHidden/>
          </w:rPr>
        </w:r>
        <w:r w:rsidR="00DD4CE8">
          <w:rPr>
            <w:noProof/>
            <w:webHidden/>
          </w:rPr>
          <w:fldChar w:fldCharType="separate"/>
        </w:r>
        <w:r w:rsidR="00460F1A">
          <w:rPr>
            <w:noProof/>
            <w:webHidden/>
          </w:rPr>
          <w:t>5</w:t>
        </w:r>
        <w:r w:rsidR="00DD4CE8">
          <w:rPr>
            <w:noProof/>
            <w:webHidden/>
          </w:rPr>
          <w:fldChar w:fldCharType="end"/>
        </w:r>
      </w:hyperlink>
    </w:p>
    <w:p w14:paraId="35FB4AE9" w14:textId="42C17EF1" w:rsidR="00DD4CE8" w:rsidRDefault="0041092A" w:rsidP="000E4F78">
      <w:pPr>
        <w:pStyle w:val="TOC3"/>
        <w:rPr>
          <w:rFonts w:asciiTheme="minorHAnsi" w:eastAsiaTheme="minorEastAsia" w:hAnsiTheme="minorHAnsi"/>
          <w:noProof/>
          <w:kern w:val="2"/>
          <w:sz w:val="22"/>
          <w:szCs w:val="22"/>
          <w:lang w:eastAsia="en-GB"/>
          <w14:ligatures w14:val="standardContextual"/>
        </w:rPr>
      </w:pPr>
      <w:hyperlink w:anchor="_Toc167194512" w:history="1">
        <w:r w:rsidR="00DD4CE8" w:rsidRPr="00EC7086">
          <w:rPr>
            <w:rStyle w:val="Hyperlink"/>
            <w:noProof/>
          </w:rPr>
          <w:t>2.3.</w:t>
        </w:r>
        <w:r w:rsidR="005C259B">
          <w:rPr>
            <w:rFonts w:asciiTheme="minorHAnsi" w:eastAsiaTheme="minorEastAsia" w:hAnsiTheme="minorHAnsi"/>
            <w:noProof/>
            <w:kern w:val="2"/>
            <w:sz w:val="22"/>
            <w:szCs w:val="22"/>
            <w:lang w:eastAsia="en-GB"/>
            <w14:ligatures w14:val="standardContextual"/>
          </w:rPr>
          <w:t xml:space="preserve"> </w:t>
        </w:r>
        <w:r w:rsidR="00DD4CE8" w:rsidRPr="00EC7086">
          <w:rPr>
            <w:rStyle w:val="Hyperlink"/>
            <w:noProof/>
          </w:rPr>
          <w:t>Decommitments</w:t>
        </w:r>
        <w:r w:rsidR="00DD4CE8">
          <w:rPr>
            <w:noProof/>
            <w:webHidden/>
          </w:rPr>
          <w:tab/>
        </w:r>
        <w:r w:rsidR="00DD4CE8">
          <w:rPr>
            <w:noProof/>
            <w:webHidden/>
          </w:rPr>
          <w:fldChar w:fldCharType="begin"/>
        </w:r>
        <w:r w:rsidR="00DD4CE8">
          <w:rPr>
            <w:noProof/>
            <w:webHidden/>
          </w:rPr>
          <w:instrText xml:space="preserve"> PAGEREF _Toc167194512 \h </w:instrText>
        </w:r>
        <w:r w:rsidR="00DD4CE8">
          <w:rPr>
            <w:noProof/>
            <w:webHidden/>
          </w:rPr>
        </w:r>
        <w:r w:rsidR="00DD4CE8">
          <w:rPr>
            <w:noProof/>
            <w:webHidden/>
          </w:rPr>
          <w:fldChar w:fldCharType="separate"/>
        </w:r>
        <w:r w:rsidR="00460F1A">
          <w:rPr>
            <w:noProof/>
            <w:webHidden/>
          </w:rPr>
          <w:t>6</w:t>
        </w:r>
        <w:r w:rsidR="00DD4CE8">
          <w:rPr>
            <w:noProof/>
            <w:webHidden/>
          </w:rPr>
          <w:fldChar w:fldCharType="end"/>
        </w:r>
      </w:hyperlink>
    </w:p>
    <w:p w14:paraId="04758B10" w14:textId="42D7CE7F" w:rsidR="00DD4CE8" w:rsidRDefault="0041092A" w:rsidP="000E4F78">
      <w:pPr>
        <w:pStyle w:val="TOC3"/>
        <w:rPr>
          <w:rFonts w:asciiTheme="minorHAnsi" w:eastAsiaTheme="minorEastAsia" w:hAnsiTheme="minorHAnsi"/>
          <w:noProof/>
          <w:kern w:val="2"/>
          <w:sz w:val="22"/>
          <w:szCs w:val="22"/>
          <w:lang w:eastAsia="en-GB"/>
          <w14:ligatures w14:val="standardContextual"/>
        </w:rPr>
      </w:pPr>
      <w:hyperlink w:anchor="_Toc167194513" w:history="1">
        <w:r w:rsidR="00DD4CE8" w:rsidRPr="00EC7086">
          <w:rPr>
            <w:rStyle w:val="Hyperlink"/>
            <w:noProof/>
          </w:rPr>
          <w:t>2.4.</w:t>
        </w:r>
        <w:r w:rsidR="005C259B">
          <w:rPr>
            <w:rFonts w:asciiTheme="minorHAnsi" w:eastAsiaTheme="minorEastAsia" w:hAnsiTheme="minorHAnsi"/>
            <w:noProof/>
            <w:kern w:val="2"/>
            <w:sz w:val="22"/>
            <w:szCs w:val="22"/>
            <w:lang w:eastAsia="en-GB"/>
            <w14:ligatures w14:val="standardContextual"/>
          </w:rPr>
          <w:t xml:space="preserve"> </w:t>
        </w:r>
        <w:r w:rsidR="00DD4CE8" w:rsidRPr="00EC7086">
          <w:rPr>
            <w:rStyle w:val="Hyperlink"/>
            <w:noProof/>
          </w:rPr>
          <w:t>NextGenerationEU</w:t>
        </w:r>
        <w:r w:rsidR="00DD4CE8">
          <w:rPr>
            <w:noProof/>
            <w:webHidden/>
          </w:rPr>
          <w:tab/>
        </w:r>
        <w:r w:rsidR="00DD4CE8">
          <w:rPr>
            <w:noProof/>
            <w:webHidden/>
          </w:rPr>
          <w:fldChar w:fldCharType="begin"/>
        </w:r>
        <w:r w:rsidR="00DD4CE8">
          <w:rPr>
            <w:noProof/>
            <w:webHidden/>
          </w:rPr>
          <w:instrText xml:space="preserve"> PAGEREF _Toc167194513 \h </w:instrText>
        </w:r>
        <w:r w:rsidR="00DD4CE8">
          <w:rPr>
            <w:noProof/>
            <w:webHidden/>
          </w:rPr>
        </w:r>
        <w:r w:rsidR="00DD4CE8">
          <w:rPr>
            <w:noProof/>
            <w:webHidden/>
          </w:rPr>
          <w:fldChar w:fldCharType="separate"/>
        </w:r>
        <w:r w:rsidR="00460F1A">
          <w:rPr>
            <w:noProof/>
            <w:webHidden/>
          </w:rPr>
          <w:t>7</w:t>
        </w:r>
        <w:r w:rsidR="00DD4CE8">
          <w:rPr>
            <w:noProof/>
            <w:webHidden/>
          </w:rPr>
          <w:fldChar w:fldCharType="end"/>
        </w:r>
      </w:hyperlink>
    </w:p>
    <w:p w14:paraId="2C64A40E" w14:textId="75CC5BB4" w:rsidR="00DD4CE8" w:rsidRDefault="0041092A" w:rsidP="000E4F78">
      <w:pPr>
        <w:pStyle w:val="TOC3"/>
        <w:rPr>
          <w:rFonts w:asciiTheme="minorHAnsi" w:eastAsiaTheme="minorEastAsia" w:hAnsiTheme="minorHAnsi"/>
          <w:noProof/>
          <w:kern w:val="2"/>
          <w:sz w:val="22"/>
          <w:szCs w:val="22"/>
          <w:lang w:eastAsia="en-GB"/>
          <w14:ligatures w14:val="standardContextual"/>
        </w:rPr>
      </w:pPr>
      <w:hyperlink w:anchor="_Toc167194514" w:history="1">
        <w:r w:rsidR="00DD4CE8" w:rsidRPr="00EC7086">
          <w:rPr>
            <w:rStyle w:val="Hyperlink"/>
            <w:noProof/>
          </w:rPr>
          <w:t>2.5.</w:t>
        </w:r>
        <w:r w:rsidR="005C259B">
          <w:rPr>
            <w:rFonts w:asciiTheme="minorHAnsi" w:eastAsiaTheme="minorEastAsia" w:hAnsiTheme="minorHAnsi"/>
            <w:noProof/>
            <w:kern w:val="2"/>
            <w:sz w:val="22"/>
            <w:szCs w:val="22"/>
            <w:lang w:eastAsia="en-GB"/>
            <w14:ligatures w14:val="standardContextual"/>
          </w:rPr>
          <w:t xml:space="preserve"> </w:t>
        </w:r>
        <w:r w:rsidR="00DD4CE8" w:rsidRPr="00EC7086">
          <w:rPr>
            <w:rStyle w:val="Hyperlink"/>
            <w:noProof/>
          </w:rPr>
          <w:t>Evolution of the level of outstanding commitments</w:t>
        </w:r>
        <w:r w:rsidR="00DD4CE8">
          <w:rPr>
            <w:noProof/>
            <w:webHidden/>
          </w:rPr>
          <w:tab/>
        </w:r>
        <w:r w:rsidR="00DD4CE8">
          <w:rPr>
            <w:noProof/>
            <w:webHidden/>
          </w:rPr>
          <w:fldChar w:fldCharType="begin"/>
        </w:r>
        <w:r w:rsidR="00DD4CE8">
          <w:rPr>
            <w:noProof/>
            <w:webHidden/>
          </w:rPr>
          <w:instrText xml:space="preserve"> PAGEREF _Toc167194514 \h </w:instrText>
        </w:r>
        <w:r w:rsidR="00DD4CE8">
          <w:rPr>
            <w:noProof/>
            <w:webHidden/>
          </w:rPr>
        </w:r>
        <w:r w:rsidR="00DD4CE8">
          <w:rPr>
            <w:noProof/>
            <w:webHidden/>
          </w:rPr>
          <w:fldChar w:fldCharType="separate"/>
        </w:r>
        <w:r w:rsidR="00460F1A">
          <w:rPr>
            <w:noProof/>
            <w:webHidden/>
          </w:rPr>
          <w:t>8</w:t>
        </w:r>
        <w:r w:rsidR="00DD4CE8">
          <w:rPr>
            <w:noProof/>
            <w:webHidden/>
          </w:rPr>
          <w:fldChar w:fldCharType="end"/>
        </w:r>
      </w:hyperlink>
    </w:p>
    <w:p w14:paraId="2BF66C41" w14:textId="3EAE8369" w:rsidR="00DD4CE8" w:rsidRDefault="0041092A" w:rsidP="000F0FD4">
      <w:pPr>
        <w:pStyle w:val="TOC1"/>
        <w:spacing w:after="240"/>
        <w:rPr>
          <w:rFonts w:asciiTheme="minorHAnsi" w:eastAsiaTheme="minorEastAsia" w:hAnsiTheme="minorHAnsi"/>
          <w:noProof/>
          <w:kern w:val="2"/>
          <w:sz w:val="22"/>
          <w:szCs w:val="22"/>
          <w:lang w:eastAsia="en-GB"/>
          <w14:ligatures w14:val="standardContextual"/>
        </w:rPr>
      </w:pPr>
      <w:hyperlink w:anchor="_Toc167194515" w:history="1">
        <w:r w:rsidR="00DD4CE8" w:rsidRPr="00EC7086">
          <w:rPr>
            <w:rStyle w:val="Hyperlink"/>
            <w:noProof/>
          </w:rPr>
          <w:t>3.</w:t>
        </w:r>
        <w:r w:rsidR="005C259B">
          <w:rPr>
            <w:rFonts w:asciiTheme="minorHAnsi" w:eastAsiaTheme="minorEastAsia" w:hAnsiTheme="minorHAnsi"/>
            <w:noProof/>
            <w:kern w:val="2"/>
            <w:sz w:val="22"/>
            <w:szCs w:val="22"/>
            <w:lang w:eastAsia="en-GB"/>
            <w14:ligatures w14:val="standardContextual"/>
          </w:rPr>
          <w:t xml:space="preserve"> </w:t>
        </w:r>
        <w:r w:rsidR="00DD4CE8" w:rsidRPr="00EC7086">
          <w:rPr>
            <w:rStyle w:val="Hyperlink"/>
            <w:noProof/>
          </w:rPr>
          <w:t>Forecast of inflows of the EU budget 2025-2029</w:t>
        </w:r>
        <w:r w:rsidR="00DD4CE8">
          <w:rPr>
            <w:noProof/>
            <w:webHidden/>
          </w:rPr>
          <w:tab/>
        </w:r>
        <w:r w:rsidR="00DD4CE8">
          <w:rPr>
            <w:noProof/>
            <w:webHidden/>
          </w:rPr>
          <w:fldChar w:fldCharType="begin"/>
        </w:r>
        <w:r w:rsidR="00DD4CE8">
          <w:rPr>
            <w:noProof/>
            <w:webHidden/>
          </w:rPr>
          <w:instrText xml:space="preserve"> PAGEREF _Toc167194515 \h </w:instrText>
        </w:r>
        <w:r w:rsidR="00DD4CE8">
          <w:rPr>
            <w:noProof/>
            <w:webHidden/>
          </w:rPr>
        </w:r>
        <w:r w:rsidR="00DD4CE8">
          <w:rPr>
            <w:noProof/>
            <w:webHidden/>
          </w:rPr>
          <w:fldChar w:fldCharType="separate"/>
        </w:r>
        <w:r w:rsidR="00460F1A">
          <w:rPr>
            <w:noProof/>
            <w:webHidden/>
          </w:rPr>
          <w:t>9</w:t>
        </w:r>
        <w:r w:rsidR="00DD4CE8">
          <w:rPr>
            <w:noProof/>
            <w:webHidden/>
          </w:rPr>
          <w:fldChar w:fldCharType="end"/>
        </w:r>
      </w:hyperlink>
    </w:p>
    <w:p w14:paraId="27A3B1D0" w14:textId="435ADB66" w:rsidR="00DD4CE8" w:rsidRDefault="0041092A" w:rsidP="000F0FD4">
      <w:pPr>
        <w:pStyle w:val="TOC1"/>
        <w:spacing w:after="240"/>
        <w:rPr>
          <w:rFonts w:asciiTheme="minorHAnsi" w:eastAsiaTheme="minorEastAsia" w:hAnsiTheme="minorHAnsi"/>
          <w:noProof/>
          <w:kern w:val="2"/>
          <w:sz w:val="22"/>
          <w:szCs w:val="22"/>
          <w:lang w:eastAsia="en-GB"/>
          <w14:ligatures w14:val="standardContextual"/>
        </w:rPr>
      </w:pPr>
      <w:hyperlink w:anchor="_Toc167194516" w:history="1">
        <w:r w:rsidR="00DD4CE8" w:rsidRPr="00EC7086">
          <w:rPr>
            <w:rStyle w:val="Hyperlink"/>
            <w:noProof/>
          </w:rPr>
          <w:t>4.</w:t>
        </w:r>
        <w:r w:rsidR="005C259B">
          <w:rPr>
            <w:rFonts w:asciiTheme="minorHAnsi" w:eastAsiaTheme="minorEastAsia" w:hAnsiTheme="minorHAnsi"/>
            <w:noProof/>
            <w:kern w:val="2"/>
            <w:sz w:val="22"/>
            <w:szCs w:val="22"/>
            <w:lang w:eastAsia="en-GB"/>
            <w14:ligatures w14:val="standardContextual"/>
          </w:rPr>
          <w:t xml:space="preserve"> </w:t>
        </w:r>
        <w:r w:rsidR="00DD4CE8" w:rsidRPr="00EC7086">
          <w:rPr>
            <w:rStyle w:val="Hyperlink"/>
            <w:noProof/>
          </w:rPr>
          <w:t>Conclusions</w:t>
        </w:r>
        <w:r w:rsidR="00DD4CE8">
          <w:rPr>
            <w:noProof/>
            <w:webHidden/>
          </w:rPr>
          <w:tab/>
        </w:r>
        <w:r w:rsidR="00DD4CE8">
          <w:rPr>
            <w:noProof/>
            <w:webHidden/>
          </w:rPr>
          <w:fldChar w:fldCharType="begin"/>
        </w:r>
        <w:r w:rsidR="00DD4CE8">
          <w:rPr>
            <w:noProof/>
            <w:webHidden/>
          </w:rPr>
          <w:instrText xml:space="preserve"> PAGEREF _Toc167194516 \h </w:instrText>
        </w:r>
        <w:r w:rsidR="00DD4CE8">
          <w:rPr>
            <w:noProof/>
            <w:webHidden/>
          </w:rPr>
        </w:r>
        <w:r w:rsidR="00DD4CE8">
          <w:rPr>
            <w:noProof/>
            <w:webHidden/>
          </w:rPr>
          <w:fldChar w:fldCharType="separate"/>
        </w:r>
        <w:r w:rsidR="00460F1A">
          <w:rPr>
            <w:noProof/>
            <w:webHidden/>
          </w:rPr>
          <w:t>11</w:t>
        </w:r>
        <w:r w:rsidR="00DD4CE8">
          <w:rPr>
            <w:noProof/>
            <w:webHidden/>
          </w:rPr>
          <w:fldChar w:fldCharType="end"/>
        </w:r>
      </w:hyperlink>
    </w:p>
    <w:p w14:paraId="4DE934E1" w14:textId="423A2C80" w:rsidR="00DD4CE8" w:rsidRPr="000F0FD4" w:rsidRDefault="0041092A" w:rsidP="000F0FD4">
      <w:pPr>
        <w:pStyle w:val="TOC1"/>
        <w:spacing w:after="240"/>
        <w:rPr>
          <w:noProof/>
        </w:rPr>
      </w:pPr>
      <w:hyperlink w:anchor="_Toc167194517" w:history="1">
        <w:r w:rsidR="00DD4CE8" w:rsidRPr="000F0FD4">
          <w:rPr>
            <w:rStyle w:val="Hyperlink"/>
            <w:noProof/>
            <w:color w:val="auto"/>
            <w:u w:val="none"/>
          </w:rPr>
          <w:t>Annex II – Results of the forecast</w:t>
        </w:r>
        <w:r w:rsidR="00DD4CE8" w:rsidRPr="000F0FD4">
          <w:rPr>
            <w:noProof/>
            <w:webHidden/>
          </w:rPr>
          <w:tab/>
        </w:r>
        <w:r w:rsidR="00DD4CE8" w:rsidRPr="000F0FD4">
          <w:rPr>
            <w:noProof/>
            <w:webHidden/>
          </w:rPr>
          <w:fldChar w:fldCharType="begin"/>
        </w:r>
        <w:r w:rsidR="00DD4CE8" w:rsidRPr="000F0FD4">
          <w:rPr>
            <w:noProof/>
            <w:webHidden/>
          </w:rPr>
          <w:instrText xml:space="preserve"> PAGEREF _Toc167194517 \h </w:instrText>
        </w:r>
        <w:r w:rsidR="00DD4CE8" w:rsidRPr="000F0FD4">
          <w:rPr>
            <w:noProof/>
            <w:webHidden/>
          </w:rPr>
        </w:r>
        <w:r w:rsidR="00DD4CE8" w:rsidRPr="000F0FD4">
          <w:rPr>
            <w:noProof/>
            <w:webHidden/>
          </w:rPr>
          <w:fldChar w:fldCharType="separate"/>
        </w:r>
        <w:r w:rsidR="00460F1A">
          <w:rPr>
            <w:noProof/>
            <w:webHidden/>
          </w:rPr>
          <w:t>13</w:t>
        </w:r>
        <w:r w:rsidR="00DD4CE8" w:rsidRPr="000F0FD4">
          <w:rPr>
            <w:noProof/>
            <w:webHidden/>
          </w:rPr>
          <w:fldChar w:fldCharType="end"/>
        </w:r>
      </w:hyperlink>
    </w:p>
    <w:p w14:paraId="069E7E0C" w14:textId="7F39738C" w:rsidR="00DD4CE8" w:rsidRDefault="0041092A" w:rsidP="000F0FD4">
      <w:pPr>
        <w:pStyle w:val="TOC2"/>
        <w:spacing w:after="240"/>
        <w:rPr>
          <w:rFonts w:asciiTheme="minorHAnsi" w:eastAsiaTheme="minorEastAsia" w:hAnsiTheme="minorHAnsi"/>
          <w:kern w:val="2"/>
          <w:sz w:val="22"/>
          <w:szCs w:val="22"/>
          <w:lang w:eastAsia="en-GB"/>
          <w14:ligatures w14:val="standardContextual"/>
        </w:rPr>
      </w:pPr>
      <w:hyperlink w:anchor="_Toc167194518" w:history="1">
        <w:r w:rsidR="00DD4CE8" w:rsidRPr="00EC7086">
          <w:rPr>
            <w:rStyle w:val="Hyperlink"/>
          </w:rPr>
          <w:t>Table 1.1 – Long-term forecast of future outflows over 2025-2029 for the MFF</w:t>
        </w:r>
        <w:r w:rsidR="00DD4CE8">
          <w:rPr>
            <w:webHidden/>
          </w:rPr>
          <w:tab/>
        </w:r>
        <w:r w:rsidR="00DD4CE8">
          <w:rPr>
            <w:webHidden/>
          </w:rPr>
          <w:fldChar w:fldCharType="begin"/>
        </w:r>
        <w:r w:rsidR="00DD4CE8">
          <w:rPr>
            <w:webHidden/>
          </w:rPr>
          <w:instrText xml:space="preserve"> PAGEREF _Toc167194518 \h </w:instrText>
        </w:r>
        <w:r w:rsidR="00DD4CE8">
          <w:rPr>
            <w:webHidden/>
          </w:rPr>
        </w:r>
        <w:r w:rsidR="00DD4CE8">
          <w:rPr>
            <w:webHidden/>
          </w:rPr>
          <w:fldChar w:fldCharType="separate"/>
        </w:r>
        <w:r w:rsidR="00460F1A">
          <w:rPr>
            <w:webHidden/>
          </w:rPr>
          <w:t>13</w:t>
        </w:r>
        <w:r w:rsidR="00DD4CE8">
          <w:rPr>
            <w:webHidden/>
          </w:rPr>
          <w:fldChar w:fldCharType="end"/>
        </w:r>
      </w:hyperlink>
    </w:p>
    <w:p w14:paraId="095651D4" w14:textId="1BB6B8EB" w:rsidR="00DD4CE8" w:rsidRDefault="0041092A" w:rsidP="000F0FD4">
      <w:pPr>
        <w:pStyle w:val="TOC2"/>
        <w:spacing w:after="240"/>
        <w:rPr>
          <w:rFonts w:asciiTheme="minorHAnsi" w:eastAsiaTheme="minorEastAsia" w:hAnsiTheme="minorHAnsi"/>
          <w:kern w:val="2"/>
          <w:sz w:val="22"/>
          <w:szCs w:val="22"/>
          <w:lang w:eastAsia="en-GB"/>
          <w14:ligatures w14:val="standardContextual"/>
        </w:rPr>
      </w:pPr>
      <w:hyperlink w:anchor="_Toc167194519" w:history="1">
        <w:r w:rsidR="00DD4CE8" w:rsidRPr="00EC7086">
          <w:rPr>
            <w:rStyle w:val="Hyperlink"/>
          </w:rPr>
          <w:t>Table 1.2 – Payments in relation to the commitments of the 2021-2027 MFF</w:t>
        </w:r>
        <w:r w:rsidR="00DD4CE8">
          <w:rPr>
            <w:webHidden/>
          </w:rPr>
          <w:tab/>
        </w:r>
        <w:r w:rsidR="00DD4CE8">
          <w:rPr>
            <w:webHidden/>
          </w:rPr>
          <w:fldChar w:fldCharType="begin"/>
        </w:r>
        <w:r w:rsidR="00DD4CE8">
          <w:rPr>
            <w:webHidden/>
          </w:rPr>
          <w:instrText xml:space="preserve"> PAGEREF _Toc167194519 \h </w:instrText>
        </w:r>
        <w:r w:rsidR="00DD4CE8">
          <w:rPr>
            <w:webHidden/>
          </w:rPr>
        </w:r>
        <w:r w:rsidR="00DD4CE8">
          <w:rPr>
            <w:webHidden/>
          </w:rPr>
          <w:fldChar w:fldCharType="separate"/>
        </w:r>
        <w:r w:rsidR="00460F1A">
          <w:rPr>
            <w:webHidden/>
          </w:rPr>
          <w:t>14</w:t>
        </w:r>
        <w:r w:rsidR="00DD4CE8">
          <w:rPr>
            <w:webHidden/>
          </w:rPr>
          <w:fldChar w:fldCharType="end"/>
        </w:r>
      </w:hyperlink>
    </w:p>
    <w:p w14:paraId="4F8DDFB9" w14:textId="319B70B7" w:rsidR="00DD4CE8" w:rsidRDefault="0041092A" w:rsidP="000F0FD4">
      <w:pPr>
        <w:pStyle w:val="TOC2"/>
        <w:spacing w:after="240"/>
        <w:rPr>
          <w:rFonts w:asciiTheme="minorHAnsi" w:eastAsiaTheme="minorEastAsia" w:hAnsiTheme="minorHAnsi"/>
          <w:kern w:val="2"/>
          <w:sz w:val="22"/>
          <w:szCs w:val="22"/>
          <w:lang w:eastAsia="en-GB"/>
          <w14:ligatures w14:val="standardContextual"/>
        </w:rPr>
      </w:pPr>
      <w:hyperlink w:anchor="_Toc167194520" w:history="1">
        <w:r w:rsidR="00DD4CE8" w:rsidRPr="00EC7086">
          <w:rPr>
            <w:rStyle w:val="Hyperlink"/>
          </w:rPr>
          <w:t>Table 1.3 – Payments for the completion of pre-2021 commitments</w:t>
        </w:r>
        <w:r w:rsidR="00DD4CE8">
          <w:rPr>
            <w:webHidden/>
          </w:rPr>
          <w:tab/>
        </w:r>
        <w:r w:rsidR="00DD4CE8">
          <w:rPr>
            <w:webHidden/>
          </w:rPr>
          <w:fldChar w:fldCharType="begin"/>
        </w:r>
        <w:r w:rsidR="00DD4CE8">
          <w:rPr>
            <w:webHidden/>
          </w:rPr>
          <w:instrText xml:space="preserve"> PAGEREF _Toc167194520 \h </w:instrText>
        </w:r>
        <w:r w:rsidR="00DD4CE8">
          <w:rPr>
            <w:webHidden/>
          </w:rPr>
        </w:r>
        <w:r w:rsidR="00DD4CE8">
          <w:rPr>
            <w:webHidden/>
          </w:rPr>
          <w:fldChar w:fldCharType="separate"/>
        </w:r>
        <w:r w:rsidR="00460F1A">
          <w:rPr>
            <w:webHidden/>
          </w:rPr>
          <w:t>15</w:t>
        </w:r>
        <w:r w:rsidR="00DD4CE8">
          <w:rPr>
            <w:webHidden/>
          </w:rPr>
          <w:fldChar w:fldCharType="end"/>
        </w:r>
      </w:hyperlink>
    </w:p>
    <w:p w14:paraId="10CC8E68" w14:textId="2BD2E34C" w:rsidR="00DD4CE8" w:rsidRDefault="0041092A" w:rsidP="000F0FD4">
      <w:pPr>
        <w:pStyle w:val="TOC2"/>
        <w:spacing w:after="240"/>
        <w:rPr>
          <w:rFonts w:asciiTheme="minorHAnsi" w:eastAsiaTheme="minorEastAsia" w:hAnsiTheme="minorHAnsi"/>
          <w:kern w:val="2"/>
          <w:sz w:val="22"/>
          <w:szCs w:val="22"/>
          <w:lang w:eastAsia="en-GB"/>
          <w14:ligatures w14:val="standardContextual"/>
        </w:rPr>
      </w:pPr>
      <w:hyperlink w:anchor="_Toc167194521" w:history="1">
        <w:r w:rsidR="00DD4CE8" w:rsidRPr="00EC7086">
          <w:rPr>
            <w:rStyle w:val="Hyperlink"/>
          </w:rPr>
          <w:t>Table 2 – Forecast decommitments 2025-2027</w:t>
        </w:r>
        <w:r w:rsidR="00DD4CE8">
          <w:rPr>
            <w:webHidden/>
          </w:rPr>
          <w:tab/>
        </w:r>
        <w:r w:rsidR="00DD4CE8">
          <w:rPr>
            <w:webHidden/>
          </w:rPr>
          <w:fldChar w:fldCharType="begin"/>
        </w:r>
        <w:r w:rsidR="00DD4CE8">
          <w:rPr>
            <w:webHidden/>
          </w:rPr>
          <w:instrText xml:space="preserve"> PAGEREF _Toc167194521 \h </w:instrText>
        </w:r>
        <w:r w:rsidR="00DD4CE8">
          <w:rPr>
            <w:webHidden/>
          </w:rPr>
        </w:r>
        <w:r w:rsidR="00DD4CE8">
          <w:rPr>
            <w:webHidden/>
          </w:rPr>
          <w:fldChar w:fldCharType="separate"/>
        </w:r>
        <w:r w:rsidR="00460F1A">
          <w:rPr>
            <w:webHidden/>
          </w:rPr>
          <w:t>16</w:t>
        </w:r>
        <w:r w:rsidR="00DD4CE8">
          <w:rPr>
            <w:webHidden/>
          </w:rPr>
          <w:fldChar w:fldCharType="end"/>
        </w:r>
      </w:hyperlink>
    </w:p>
    <w:p w14:paraId="127FE93A" w14:textId="26CF5848" w:rsidR="00DD4CE8" w:rsidRDefault="0041092A" w:rsidP="000F0FD4">
      <w:pPr>
        <w:pStyle w:val="TOC2"/>
        <w:spacing w:after="240"/>
        <w:rPr>
          <w:rFonts w:asciiTheme="minorHAnsi" w:eastAsiaTheme="minorEastAsia" w:hAnsiTheme="minorHAnsi"/>
          <w:kern w:val="2"/>
          <w:sz w:val="22"/>
          <w:szCs w:val="22"/>
          <w:lang w:eastAsia="en-GB"/>
          <w14:ligatures w14:val="standardContextual"/>
        </w:rPr>
      </w:pPr>
      <w:hyperlink w:anchor="_Toc167194522" w:history="1">
        <w:r w:rsidR="00DD4CE8" w:rsidRPr="00EC7086">
          <w:rPr>
            <w:rStyle w:val="Hyperlink"/>
          </w:rPr>
          <w:t>Table 3 – Long-term forecast of outflows for NextGenerationEU</w:t>
        </w:r>
        <w:r w:rsidR="00DD4CE8">
          <w:rPr>
            <w:webHidden/>
          </w:rPr>
          <w:tab/>
        </w:r>
        <w:r w:rsidR="00DD4CE8">
          <w:rPr>
            <w:webHidden/>
          </w:rPr>
          <w:fldChar w:fldCharType="begin"/>
        </w:r>
        <w:r w:rsidR="00DD4CE8">
          <w:rPr>
            <w:webHidden/>
          </w:rPr>
          <w:instrText xml:space="preserve"> PAGEREF _Toc167194522 \h </w:instrText>
        </w:r>
        <w:r w:rsidR="00DD4CE8">
          <w:rPr>
            <w:webHidden/>
          </w:rPr>
        </w:r>
        <w:r w:rsidR="00DD4CE8">
          <w:rPr>
            <w:webHidden/>
          </w:rPr>
          <w:fldChar w:fldCharType="separate"/>
        </w:r>
        <w:r w:rsidR="00460F1A">
          <w:rPr>
            <w:webHidden/>
          </w:rPr>
          <w:t>16</w:t>
        </w:r>
        <w:r w:rsidR="00DD4CE8">
          <w:rPr>
            <w:webHidden/>
          </w:rPr>
          <w:fldChar w:fldCharType="end"/>
        </w:r>
      </w:hyperlink>
    </w:p>
    <w:p w14:paraId="50230773" w14:textId="0023CE71" w:rsidR="00DD4CE8" w:rsidRDefault="0041092A" w:rsidP="000F0FD4">
      <w:pPr>
        <w:pStyle w:val="TOC2"/>
        <w:spacing w:after="240"/>
        <w:rPr>
          <w:rFonts w:asciiTheme="minorHAnsi" w:eastAsiaTheme="minorEastAsia" w:hAnsiTheme="minorHAnsi"/>
          <w:kern w:val="2"/>
          <w:sz w:val="22"/>
          <w:szCs w:val="22"/>
          <w:lang w:eastAsia="en-GB"/>
          <w14:ligatures w14:val="standardContextual"/>
        </w:rPr>
      </w:pPr>
      <w:hyperlink w:anchor="_Toc167194523" w:history="1">
        <w:r w:rsidR="00DD4CE8" w:rsidRPr="00EC7086">
          <w:rPr>
            <w:rStyle w:val="Hyperlink"/>
          </w:rPr>
          <w:t>Table 4 – Change in the total outstanding commitments from 2025 to 2027</w:t>
        </w:r>
        <w:r w:rsidR="00DD4CE8">
          <w:rPr>
            <w:webHidden/>
          </w:rPr>
          <w:tab/>
        </w:r>
        <w:r w:rsidR="00DD4CE8">
          <w:rPr>
            <w:webHidden/>
          </w:rPr>
          <w:fldChar w:fldCharType="begin"/>
        </w:r>
        <w:r w:rsidR="00DD4CE8">
          <w:rPr>
            <w:webHidden/>
          </w:rPr>
          <w:instrText xml:space="preserve"> PAGEREF _Toc167194523 \h </w:instrText>
        </w:r>
        <w:r w:rsidR="00DD4CE8">
          <w:rPr>
            <w:webHidden/>
          </w:rPr>
        </w:r>
        <w:r w:rsidR="00DD4CE8">
          <w:rPr>
            <w:webHidden/>
          </w:rPr>
          <w:fldChar w:fldCharType="separate"/>
        </w:r>
        <w:r w:rsidR="00460F1A">
          <w:rPr>
            <w:webHidden/>
          </w:rPr>
          <w:t>17</w:t>
        </w:r>
        <w:r w:rsidR="00DD4CE8">
          <w:rPr>
            <w:webHidden/>
          </w:rPr>
          <w:fldChar w:fldCharType="end"/>
        </w:r>
      </w:hyperlink>
    </w:p>
    <w:p w14:paraId="6AE19526" w14:textId="7AE273C8" w:rsidR="00DD4CE8" w:rsidRDefault="0041092A" w:rsidP="000F0FD4">
      <w:pPr>
        <w:pStyle w:val="TOC2"/>
        <w:spacing w:after="240"/>
        <w:rPr>
          <w:rFonts w:asciiTheme="minorHAnsi" w:eastAsiaTheme="minorEastAsia" w:hAnsiTheme="minorHAnsi"/>
          <w:kern w:val="2"/>
          <w:sz w:val="22"/>
          <w:szCs w:val="22"/>
          <w:lang w:eastAsia="en-GB"/>
          <w14:ligatures w14:val="standardContextual"/>
        </w:rPr>
      </w:pPr>
      <w:hyperlink w:anchor="_Toc167194524" w:history="1">
        <w:r w:rsidR="00DD4CE8" w:rsidRPr="00EC7086">
          <w:rPr>
            <w:rStyle w:val="Hyperlink"/>
          </w:rPr>
          <w:t>Table 5 – Long-term forecast of future inflows of the EU budget over 2025-2029</w:t>
        </w:r>
        <w:r w:rsidR="00DD4CE8">
          <w:rPr>
            <w:webHidden/>
          </w:rPr>
          <w:tab/>
        </w:r>
        <w:r w:rsidR="00DD4CE8">
          <w:rPr>
            <w:webHidden/>
          </w:rPr>
          <w:fldChar w:fldCharType="begin"/>
        </w:r>
        <w:r w:rsidR="00DD4CE8">
          <w:rPr>
            <w:webHidden/>
          </w:rPr>
          <w:instrText xml:space="preserve"> PAGEREF _Toc167194524 \h </w:instrText>
        </w:r>
        <w:r w:rsidR="00DD4CE8">
          <w:rPr>
            <w:webHidden/>
          </w:rPr>
        </w:r>
        <w:r w:rsidR="00DD4CE8">
          <w:rPr>
            <w:webHidden/>
          </w:rPr>
          <w:fldChar w:fldCharType="separate"/>
        </w:r>
        <w:r w:rsidR="00460F1A">
          <w:rPr>
            <w:webHidden/>
          </w:rPr>
          <w:t>18</w:t>
        </w:r>
        <w:r w:rsidR="00DD4CE8">
          <w:rPr>
            <w:webHidden/>
          </w:rPr>
          <w:fldChar w:fldCharType="end"/>
        </w:r>
      </w:hyperlink>
    </w:p>
    <w:p w14:paraId="3620F4B9" w14:textId="6B23D2DB" w:rsidR="00861C1C" w:rsidRPr="00390EB1" w:rsidRDefault="003B6DC2" w:rsidP="000F0FD4">
      <w:pPr>
        <w:pStyle w:val="TOC2"/>
        <w:spacing w:after="240"/>
      </w:pPr>
      <w:r w:rsidRPr="00390EB1">
        <w:fldChar w:fldCharType="end"/>
      </w:r>
    </w:p>
    <w:p w14:paraId="3FE3C258" w14:textId="77777777" w:rsidR="00413BE5" w:rsidRDefault="00413BE5">
      <w:pPr>
        <w:rPr>
          <w:noProof/>
        </w:rPr>
        <w:sectPr w:rsidR="00413BE5">
          <w:headerReference w:type="even" r:id="rId19"/>
          <w:headerReference w:type="default" r:id="rId20"/>
          <w:footerReference w:type="even" r:id="rId21"/>
          <w:footerReference w:type="default" r:id="rId22"/>
          <w:headerReference w:type="first" r:id="rId23"/>
          <w:footerReference w:type="first" r:id="rId24"/>
          <w:pgSz w:w="11906" w:h="16838"/>
          <w:pgMar w:top="1321" w:right="1151" w:bottom="1440" w:left="1151" w:header="720" w:footer="720" w:gutter="0"/>
          <w:pgNumType w:start="1"/>
          <w:cols w:space="720"/>
          <w:docGrid w:linePitch="326"/>
        </w:sectPr>
      </w:pPr>
    </w:p>
    <w:p w14:paraId="65357E71" w14:textId="3D309FFD" w:rsidR="00861C1C" w:rsidRPr="00390EB1" w:rsidRDefault="003B6DC2">
      <w:pPr>
        <w:pStyle w:val="amprH2TITLE1-Numbered-1"/>
        <w:rPr>
          <w:noProof/>
        </w:rPr>
      </w:pPr>
      <w:bookmarkStart w:id="6" w:name="_Toc167194508"/>
      <w:r w:rsidRPr="00390EB1">
        <w:rPr>
          <w:noProof/>
        </w:rPr>
        <w:t>Introduction</w:t>
      </w:r>
      <w:bookmarkEnd w:id="3"/>
      <w:bookmarkEnd w:id="4"/>
      <w:bookmarkEnd w:id="6"/>
    </w:p>
    <w:p w14:paraId="5040A033" w14:textId="4BDDE843" w:rsidR="00861C1C" w:rsidRPr="00390EB1" w:rsidRDefault="55E43B5C" w:rsidP="0050317D">
      <w:pPr>
        <w:spacing w:before="180" w:after="120" w:line="276" w:lineRule="auto"/>
        <w:jc w:val="both"/>
        <w:rPr>
          <w:noProof/>
        </w:rPr>
      </w:pPr>
      <w:r w:rsidRPr="00390EB1">
        <w:rPr>
          <w:noProof/>
        </w:rPr>
        <w:t>This report projects the inflows and outflows of the EU budget for the next five years in accordance with Article 247(1)(c) of the Financial Regulation</w:t>
      </w:r>
      <w:r w:rsidR="003B6DC2" w:rsidRPr="00390EB1">
        <w:rPr>
          <w:noProof/>
          <w:vertAlign w:val="superscript"/>
        </w:rPr>
        <w:endnoteReference w:id="2"/>
      </w:r>
      <w:r w:rsidRPr="00390EB1">
        <w:rPr>
          <w:noProof/>
        </w:rPr>
        <w:t xml:space="preserve">. This </w:t>
      </w:r>
      <w:r w:rsidR="00A9154A">
        <w:rPr>
          <w:noProof/>
        </w:rPr>
        <w:t>fourth</w:t>
      </w:r>
      <w:r w:rsidR="00C3162D" w:rsidRPr="00390EB1">
        <w:rPr>
          <w:rStyle w:val="EndnoteReference"/>
          <w:noProof/>
        </w:rPr>
        <w:endnoteReference w:id="3"/>
      </w:r>
      <w:r w:rsidRPr="00390EB1">
        <w:rPr>
          <w:noProof/>
        </w:rPr>
        <w:t xml:space="preserve"> edition forecast</w:t>
      </w:r>
      <w:r w:rsidR="00A9154A">
        <w:rPr>
          <w:noProof/>
        </w:rPr>
        <w:t>s</w:t>
      </w:r>
      <w:r w:rsidRPr="00390EB1">
        <w:rPr>
          <w:noProof/>
        </w:rPr>
        <w:t xml:space="preserve"> the revenue and expenditure stemming </w:t>
      </w:r>
      <w:r w:rsidR="53561654" w:rsidRPr="00390EB1">
        <w:rPr>
          <w:noProof/>
        </w:rPr>
        <w:t>from</w:t>
      </w:r>
      <w:r w:rsidRPr="00390EB1">
        <w:rPr>
          <w:noProof/>
        </w:rPr>
        <w:t xml:space="preserve"> the Multiannual Financial Framework (MFF) 2021-2027</w:t>
      </w:r>
      <w:r w:rsidR="00894044" w:rsidRPr="00390EB1">
        <w:rPr>
          <w:noProof/>
          <w:vertAlign w:val="superscript"/>
        </w:rPr>
        <w:endnoteReference w:id="4"/>
      </w:r>
      <w:r w:rsidRPr="00390EB1">
        <w:rPr>
          <w:noProof/>
        </w:rPr>
        <w:t xml:space="preserve"> and NextGenerationEU</w:t>
      </w:r>
      <w:r w:rsidR="003B6DC2" w:rsidRPr="00390EB1">
        <w:rPr>
          <w:noProof/>
          <w:vertAlign w:val="superscript"/>
        </w:rPr>
        <w:endnoteReference w:id="5"/>
      </w:r>
      <w:r w:rsidRPr="00390EB1">
        <w:rPr>
          <w:noProof/>
        </w:rPr>
        <w:t xml:space="preserve"> over the period 202</w:t>
      </w:r>
      <w:r w:rsidR="00A9154A">
        <w:rPr>
          <w:noProof/>
        </w:rPr>
        <w:t>5</w:t>
      </w:r>
      <w:r w:rsidRPr="00390EB1">
        <w:rPr>
          <w:noProof/>
        </w:rPr>
        <w:t>-202</w:t>
      </w:r>
      <w:r w:rsidR="00A9154A">
        <w:rPr>
          <w:noProof/>
        </w:rPr>
        <w:t>9</w:t>
      </w:r>
      <w:r w:rsidR="003B6DC2" w:rsidRPr="00390EB1">
        <w:rPr>
          <w:noProof/>
          <w:vertAlign w:val="superscript"/>
        </w:rPr>
        <w:endnoteReference w:id="6"/>
      </w:r>
      <w:r w:rsidRPr="00390EB1">
        <w:rPr>
          <w:noProof/>
        </w:rPr>
        <w:t xml:space="preserve">. </w:t>
      </w:r>
      <w:r w:rsidR="00AE3484">
        <w:rPr>
          <w:noProof/>
        </w:rPr>
        <w:t>For 2028-</w:t>
      </w:r>
      <w:r w:rsidR="0004515C">
        <w:rPr>
          <w:noProof/>
        </w:rPr>
        <w:t>20</w:t>
      </w:r>
      <w:r w:rsidR="00AE3484">
        <w:rPr>
          <w:noProof/>
        </w:rPr>
        <w:t>29</w:t>
      </w:r>
      <w:r w:rsidR="00BB4355">
        <w:rPr>
          <w:noProof/>
        </w:rPr>
        <w:t xml:space="preserve">, the forecast </w:t>
      </w:r>
      <w:r w:rsidR="008D0097">
        <w:rPr>
          <w:noProof/>
        </w:rPr>
        <w:t xml:space="preserve">only includes expenditures related to the MFF 2021-2027 as the next </w:t>
      </w:r>
      <w:r w:rsidR="00BB4355">
        <w:rPr>
          <w:noProof/>
        </w:rPr>
        <w:t>MFF has not</w:t>
      </w:r>
      <w:r w:rsidR="008D0097">
        <w:rPr>
          <w:noProof/>
        </w:rPr>
        <w:t xml:space="preserve"> yet</w:t>
      </w:r>
      <w:r w:rsidR="00BB4355">
        <w:rPr>
          <w:noProof/>
        </w:rPr>
        <w:t xml:space="preserve"> been established.</w:t>
      </w:r>
    </w:p>
    <w:p w14:paraId="43B1767A" w14:textId="2D360FEC" w:rsidR="00E46775" w:rsidRDefault="003B6DC2" w:rsidP="0050317D">
      <w:pPr>
        <w:spacing w:before="180" w:after="120" w:line="276" w:lineRule="auto"/>
        <w:jc w:val="both"/>
        <w:rPr>
          <w:noProof/>
        </w:rPr>
      </w:pPr>
      <w:bookmarkStart w:id="7" w:name="_Hlk133853331"/>
      <w:r w:rsidRPr="00390EB1">
        <w:rPr>
          <w:noProof/>
        </w:rPr>
        <w:t xml:space="preserve">Payments from the EU budget follow commitments. The estimates for payments presented </w:t>
      </w:r>
      <w:r w:rsidR="00AB5357">
        <w:rPr>
          <w:noProof/>
        </w:rPr>
        <w:t xml:space="preserve">in </w:t>
      </w:r>
      <w:r w:rsidRPr="00390EB1">
        <w:rPr>
          <w:noProof/>
        </w:rPr>
        <w:t xml:space="preserve">this report are based on the </w:t>
      </w:r>
      <w:r w:rsidR="006B6F1E">
        <w:rPr>
          <w:noProof/>
        </w:rPr>
        <w:t>revised expenditure ceilings</w:t>
      </w:r>
      <w:r w:rsidR="00BC3F5D">
        <w:rPr>
          <w:noProof/>
        </w:rPr>
        <w:t xml:space="preserve"> (</w:t>
      </w:r>
      <w:r w:rsidR="00DA6C6E">
        <w:rPr>
          <w:noProof/>
        </w:rPr>
        <w:t>technical adjustment</w:t>
      </w:r>
      <w:r w:rsidR="00D20532">
        <w:rPr>
          <w:noProof/>
        </w:rPr>
        <w:t xml:space="preserve"> of the MFF for</w:t>
      </w:r>
      <w:r w:rsidR="00BC3F5D">
        <w:rPr>
          <w:noProof/>
        </w:rPr>
        <w:t xml:space="preserve"> 2025)</w:t>
      </w:r>
      <w:r w:rsidR="00C62FD6">
        <w:rPr>
          <w:rStyle w:val="EndnoteReference"/>
          <w:noProof/>
        </w:rPr>
        <w:endnoteReference w:id="7"/>
      </w:r>
      <w:r w:rsidR="006B6F1E">
        <w:rPr>
          <w:noProof/>
        </w:rPr>
        <w:t xml:space="preserve"> and the </w:t>
      </w:r>
      <w:r w:rsidRPr="00390EB1">
        <w:rPr>
          <w:noProof/>
        </w:rPr>
        <w:t xml:space="preserve">commitment appropriations included in the financial programming accompanying the </w:t>
      </w:r>
      <w:r w:rsidR="00306022">
        <w:rPr>
          <w:noProof/>
        </w:rPr>
        <w:t>d</w:t>
      </w:r>
      <w:r w:rsidRPr="00390EB1">
        <w:rPr>
          <w:noProof/>
        </w:rPr>
        <w:t xml:space="preserve">raft </w:t>
      </w:r>
      <w:r w:rsidR="00306022">
        <w:rPr>
          <w:noProof/>
        </w:rPr>
        <w:t>b</w:t>
      </w:r>
      <w:r w:rsidRPr="00390EB1">
        <w:rPr>
          <w:noProof/>
        </w:rPr>
        <w:t>udget</w:t>
      </w:r>
      <w:r w:rsidR="006E36A5">
        <w:rPr>
          <w:noProof/>
        </w:rPr>
        <w:t xml:space="preserve"> for</w:t>
      </w:r>
      <w:r w:rsidRPr="00390EB1">
        <w:rPr>
          <w:noProof/>
        </w:rPr>
        <w:t xml:space="preserve"> 202</w:t>
      </w:r>
      <w:r w:rsidR="00A9154A">
        <w:rPr>
          <w:noProof/>
        </w:rPr>
        <w:t>5</w:t>
      </w:r>
      <w:r w:rsidRPr="00390EB1">
        <w:rPr>
          <w:rStyle w:val="EndnoteReference"/>
          <w:noProof/>
        </w:rPr>
        <w:endnoteReference w:id="8"/>
      </w:r>
      <w:r w:rsidRPr="00390EB1">
        <w:rPr>
          <w:noProof/>
        </w:rPr>
        <w:t>, which incorporates the programme-specific adjustments under Article 5 of the MFF Regulation</w:t>
      </w:r>
      <w:r w:rsidR="00894044">
        <w:rPr>
          <w:rStyle w:val="EndnoteReference"/>
          <w:noProof/>
        </w:rPr>
        <w:endnoteReference w:id="9"/>
      </w:r>
      <w:r w:rsidR="00894044">
        <w:rPr>
          <w:noProof/>
        </w:rPr>
        <w:t xml:space="preserve"> (MFFR)</w:t>
      </w:r>
      <w:r w:rsidRPr="00390EB1">
        <w:rPr>
          <w:noProof/>
          <w:vertAlign w:val="superscript"/>
        </w:rPr>
        <w:endnoteReference w:id="10"/>
      </w:r>
      <w:r w:rsidRPr="00390EB1">
        <w:rPr>
          <w:noProof/>
        </w:rPr>
        <w:t xml:space="preserve"> as well as re-use of decommitments under Article 15(3)</w:t>
      </w:r>
      <w:r w:rsidRPr="00390EB1">
        <w:rPr>
          <w:noProof/>
          <w:vertAlign w:val="superscript"/>
        </w:rPr>
        <w:endnoteReference w:id="11"/>
      </w:r>
      <w:r w:rsidRPr="00390EB1">
        <w:rPr>
          <w:noProof/>
        </w:rPr>
        <w:t xml:space="preserve"> of the Financial Regulation.</w:t>
      </w:r>
    </w:p>
    <w:p w14:paraId="239358E5" w14:textId="56DADB9A" w:rsidR="00A35243" w:rsidRDefault="00A9154A" w:rsidP="0050317D">
      <w:pPr>
        <w:spacing w:before="180" w:after="120" w:line="276" w:lineRule="auto"/>
        <w:jc w:val="both"/>
        <w:rPr>
          <w:noProof/>
        </w:rPr>
      </w:pPr>
      <w:r>
        <w:rPr>
          <w:noProof/>
        </w:rPr>
        <w:t xml:space="preserve">The impact of the </w:t>
      </w:r>
      <w:r w:rsidR="00894044">
        <w:rPr>
          <w:noProof/>
        </w:rPr>
        <w:t xml:space="preserve">MFF </w:t>
      </w:r>
      <w:r>
        <w:rPr>
          <w:noProof/>
        </w:rPr>
        <w:t>mid-term revision is included.</w:t>
      </w:r>
      <w:r w:rsidR="003B6DC2" w:rsidRPr="00390EB1">
        <w:rPr>
          <w:noProof/>
        </w:rPr>
        <w:t xml:space="preserve"> </w:t>
      </w:r>
      <w:r w:rsidR="00547F31">
        <w:rPr>
          <w:noProof/>
        </w:rPr>
        <w:t>The agreement recognised the importance of the priorities set out by the Commission in its proposal</w:t>
      </w:r>
      <w:r w:rsidR="00C50CF2">
        <w:rPr>
          <w:noProof/>
        </w:rPr>
        <w:t xml:space="preserve">, which </w:t>
      </w:r>
      <w:r w:rsidR="00BF4FDE">
        <w:rPr>
          <w:noProof/>
        </w:rPr>
        <w:t>led to</w:t>
      </w:r>
      <w:r w:rsidR="00C333FB">
        <w:rPr>
          <w:noProof/>
        </w:rPr>
        <w:t xml:space="preserve"> </w:t>
      </w:r>
      <w:r w:rsidR="00BF4FDE">
        <w:rPr>
          <w:noProof/>
        </w:rPr>
        <w:t>a net reinforcement of the expenditure ceiling</w:t>
      </w:r>
      <w:r w:rsidR="003B6F07">
        <w:rPr>
          <w:noProof/>
        </w:rPr>
        <w:t xml:space="preserve"> for commitments</w:t>
      </w:r>
      <w:r w:rsidR="00BF4FDE">
        <w:rPr>
          <w:noProof/>
        </w:rPr>
        <w:t xml:space="preserve"> of EUR</w:t>
      </w:r>
      <w:r w:rsidR="008D5210">
        <w:rPr>
          <w:rFonts w:ascii="Calibri" w:hAnsi="Calibri" w:cs="Calibri"/>
          <w:noProof/>
        </w:rPr>
        <w:t> </w:t>
      </w:r>
      <w:r w:rsidR="003B6F07">
        <w:rPr>
          <w:noProof/>
        </w:rPr>
        <w:t>3.4</w:t>
      </w:r>
      <w:r w:rsidR="008D5210">
        <w:rPr>
          <w:rFonts w:ascii="Calibri" w:hAnsi="Calibri" w:cs="Calibri"/>
          <w:noProof/>
        </w:rPr>
        <w:t> </w:t>
      </w:r>
      <w:r w:rsidR="003B6F07">
        <w:rPr>
          <w:noProof/>
        </w:rPr>
        <w:t>billion (in current prices)</w:t>
      </w:r>
      <w:r w:rsidR="00A725FF">
        <w:rPr>
          <w:rStyle w:val="EndnoteReference"/>
          <w:noProof/>
        </w:rPr>
        <w:endnoteReference w:id="12"/>
      </w:r>
      <w:r w:rsidR="00062ECB">
        <w:rPr>
          <w:noProof/>
        </w:rPr>
        <w:t xml:space="preserve">, </w:t>
      </w:r>
      <w:r w:rsidR="002D33BC">
        <w:rPr>
          <w:noProof/>
        </w:rPr>
        <w:t xml:space="preserve">together with </w:t>
      </w:r>
      <w:r w:rsidR="007D3613">
        <w:rPr>
          <w:noProof/>
        </w:rPr>
        <w:t xml:space="preserve">changes to the </w:t>
      </w:r>
      <w:r w:rsidR="00496632">
        <w:rPr>
          <w:noProof/>
        </w:rPr>
        <w:t>overall allocations under Article 5 MFFR and Article 15(3) of the Financial Regulation</w:t>
      </w:r>
      <w:r w:rsidR="00496632">
        <w:rPr>
          <w:rStyle w:val="EndnoteReference"/>
          <w:noProof/>
        </w:rPr>
        <w:endnoteReference w:id="13"/>
      </w:r>
      <w:r w:rsidR="00FE0E44">
        <w:rPr>
          <w:noProof/>
        </w:rPr>
        <w:t xml:space="preserve"> as well as reinforcements to special instruments over and above the expenditure ceilings</w:t>
      </w:r>
      <w:r w:rsidR="00EA386E">
        <w:rPr>
          <w:noProof/>
        </w:rPr>
        <w:t>.</w:t>
      </w:r>
    </w:p>
    <w:p w14:paraId="48A201EE" w14:textId="13608882" w:rsidR="002C16C3" w:rsidRDefault="00EA386E" w:rsidP="0050317D">
      <w:pPr>
        <w:spacing w:before="180" w:after="120" w:line="276" w:lineRule="auto"/>
        <w:jc w:val="both"/>
        <w:rPr>
          <w:noProof/>
        </w:rPr>
      </w:pPr>
      <w:r>
        <w:rPr>
          <w:noProof/>
        </w:rPr>
        <w:t xml:space="preserve">Furthermore, </w:t>
      </w:r>
      <w:r w:rsidR="00F70CA4">
        <w:rPr>
          <w:noProof/>
        </w:rPr>
        <w:t>two additional special instruments</w:t>
      </w:r>
      <w:r w:rsidR="00403FE4">
        <w:rPr>
          <w:rStyle w:val="EndnoteReference"/>
          <w:noProof/>
        </w:rPr>
        <w:endnoteReference w:id="14"/>
      </w:r>
      <w:r w:rsidR="00F70CA4">
        <w:rPr>
          <w:noProof/>
        </w:rPr>
        <w:t xml:space="preserve"> have been established: </w:t>
      </w:r>
      <w:r w:rsidR="004E5EF3">
        <w:rPr>
          <w:noProof/>
        </w:rPr>
        <w:t xml:space="preserve">the Ukraine Reserve, </w:t>
      </w:r>
      <w:r w:rsidR="003D32AA">
        <w:rPr>
          <w:noProof/>
        </w:rPr>
        <w:t>outside the expenditure ceilings</w:t>
      </w:r>
      <w:r w:rsidR="00F70CA4">
        <w:rPr>
          <w:noProof/>
        </w:rPr>
        <w:t>,</w:t>
      </w:r>
      <w:r w:rsidR="00B642CF">
        <w:rPr>
          <w:noProof/>
        </w:rPr>
        <w:t xml:space="preserve"> </w:t>
      </w:r>
      <w:r w:rsidR="00BE4948">
        <w:rPr>
          <w:noProof/>
        </w:rPr>
        <w:t xml:space="preserve">with </w:t>
      </w:r>
      <w:r w:rsidR="00894044">
        <w:rPr>
          <w:noProof/>
        </w:rPr>
        <w:t>non-repayable support</w:t>
      </w:r>
      <w:r w:rsidR="00BE4948">
        <w:rPr>
          <w:noProof/>
        </w:rPr>
        <w:t xml:space="preserve"> up to </w:t>
      </w:r>
      <w:r w:rsidR="004F55D0">
        <w:rPr>
          <w:noProof/>
        </w:rPr>
        <w:t>EUR</w:t>
      </w:r>
      <w:r w:rsidR="00BE4948" w:rsidRPr="00A35243">
        <w:rPr>
          <w:rFonts w:ascii="Calibri" w:hAnsi="Calibri" w:cs="Calibri"/>
          <w:noProof/>
        </w:rPr>
        <w:t> </w:t>
      </w:r>
      <w:r w:rsidR="004F55D0">
        <w:rPr>
          <w:noProof/>
        </w:rPr>
        <w:t>17</w:t>
      </w:r>
      <w:r w:rsidR="00BE4948" w:rsidRPr="00A35243">
        <w:rPr>
          <w:rFonts w:ascii="Calibri" w:hAnsi="Calibri" w:cs="Calibri"/>
          <w:noProof/>
        </w:rPr>
        <w:t> </w:t>
      </w:r>
      <w:r w:rsidR="004F55D0">
        <w:rPr>
          <w:noProof/>
        </w:rPr>
        <w:t>billion</w:t>
      </w:r>
      <w:r w:rsidR="005E6F5A">
        <w:rPr>
          <w:noProof/>
        </w:rPr>
        <w:t xml:space="preserve">, complemented by a budgetary cover for loans for up to </w:t>
      </w:r>
      <w:r w:rsidR="009D02DF">
        <w:rPr>
          <w:noProof/>
        </w:rPr>
        <w:t>EUR</w:t>
      </w:r>
      <w:r w:rsidR="005E6F5A" w:rsidRPr="00A35243">
        <w:rPr>
          <w:rFonts w:ascii="Calibri" w:hAnsi="Calibri" w:cs="Calibri"/>
          <w:noProof/>
        </w:rPr>
        <w:t> </w:t>
      </w:r>
      <w:r w:rsidR="009D02DF">
        <w:rPr>
          <w:noProof/>
        </w:rPr>
        <w:t>33</w:t>
      </w:r>
      <w:r w:rsidR="005E6F5A" w:rsidRPr="00A35243">
        <w:rPr>
          <w:rFonts w:ascii="Calibri" w:hAnsi="Calibri" w:cs="Calibri"/>
          <w:noProof/>
        </w:rPr>
        <w:t> </w:t>
      </w:r>
      <w:r w:rsidR="009D02DF">
        <w:rPr>
          <w:noProof/>
        </w:rPr>
        <w:t>billion</w:t>
      </w:r>
      <w:r w:rsidR="00127E20">
        <w:rPr>
          <w:noProof/>
        </w:rPr>
        <w:t>;</w:t>
      </w:r>
      <w:r w:rsidR="00062ECB">
        <w:rPr>
          <w:noProof/>
        </w:rPr>
        <w:t xml:space="preserve"> </w:t>
      </w:r>
      <w:r w:rsidR="00E449E8">
        <w:rPr>
          <w:noProof/>
        </w:rPr>
        <w:t xml:space="preserve">and the </w:t>
      </w:r>
      <w:r w:rsidR="00A34230">
        <w:rPr>
          <w:noProof/>
        </w:rPr>
        <w:t>EURI Instrument</w:t>
      </w:r>
      <w:r w:rsidR="00463F86">
        <w:rPr>
          <w:noProof/>
        </w:rPr>
        <w:t xml:space="preserve">, </w:t>
      </w:r>
      <w:r w:rsidR="008666B0">
        <w:rPr>
          <w:noProof/>
        </w:rPr>
        <w:t xml:space="preserve">over and above the ceilings of the MFF, </w:t>
      </w:r>
      <w:r w:rsidR="00463F86">
        <w:rPr>
          <w:noProof/>
        </w:rPr>
        <w:t xml:space="preserve">which will </w:t>
      </w:r>
      <w:r w:rsidR="00062ECB">
        <w:rPr>
          <w:noProof/>
        </w:rPr>
        <w:t>provide a sustainable solution for the financing of the NextGenerationEU financing costs.</w:t>
      </w:r>
      <w:r w:rsidR="009E4158">
        <w:rPr>
          <w:noProof/>
        </w:rPr>
        <w:t xml:space="preserve"> </w:t>
      </w:r>
      <w:r w:rsidR="00673DD7">
        <w:rPr>
          <w:noProof/>
        </w:rPr>
        <w:t xml:space="preserve">Under the third step of the EURI Instrument, </w:t>
      </w:r>
      <w:r w:rsidR="00B33984" w:rsidRPr="00B33984">
        <w:rPr>
          <w:noProof/>
        </w:rPr>
        <w:t>an amount equivalent to decommitments of appropriations, other than external assigned revenue, made since the beginning of the current MFF should be drawn on first</w:t>
      </w:r>
      <w:r w:rsidR="00BE04CB">
        <w:rPr>
          <w:noProof/>
        </w:rPr>
        <w:t xml:space="preserve">. </w:t>
      </w:r>
      <w:r w:rsidR="00BE04CB" w:rsidRPr="00BE04CB">
        <w:rPr>
          <w:noProof/>
        </w:rPr>
        <w:t>Amounts of decommitments made available again in accordance with existing relevant provisions should not be taken into account.</w:t>
      </w:r>
    </w:p>
    <w:p w14:paraId="674B0A48" w14:textId="78358DD1" w:rsidR="000745D3" w:rsidRDefault="000745D3" w:rsidP="0050317D">
      <w:pPr>
        <w:spacing w:before="180" w:after="120" w:line="276" w:lineRule="auto"/>
        <w:jc w:val="both"/>
        <w:rPr>
          <w:noProof/>
        </w:rPr>
      </w:pPr>
      <w:r>
        <w:rPr>
          <w:noProof/>
        </w:rPr>
        <w:t>In addition, t</w:t>
      </w:r>
      <w:r w:rsidRPr="00000A29">
        <w:rPr>
          <w:noProof/>
        </w:rPr>
        <w:t xml:space="preserve">he </w:t>
      </w:r>
      <w:r w:rsidRPr="00F54016">
        <w:rPr>
          <w:noProof/>
        </w:rPr>
        <w:t>Strategic Technologies for Europe Platform</w:t>
      </w:r>
      <w:r>
        <w:rPr>
          <w:noProof/>
        </w:rPr>
        <w:t xml:space="preserve"> (STEP)</w:t>
      </w:r>
      <w:r w:rsidRPr="00F54016">
        <w:rPr>
          <w:noProof/>
        </w:rPr>
        <w:t xml:space="preserve"> </w:t>
      </w:r>
      <w:r w:rsidRPr="00000A29">
        <w:rPr>
          <w:noProof/>
        </w:rPr>
        <w:t>Regulation</w:t>
      </w:r>
      <w:r>
        <w:rPr>
          <w:rStyle w:val="EndnoteReference"/>
          <w:noProof/>
        </w:rPr>
        <w:endnoteReference w:id="15"/>
      </w:r>
      <w:r w:rsidRPr="00000A29">
        <w:rPr>
          <w:noProof/>
        </w:rPr>
        <w:t xml:space="preserve"> provides several flexibilities for priorities dedicated to STEP in the cohesion programmes. The STEP priorities can benefit from 100% EU co-financing and additional pre-financing, which will help speed up project implementation in the current programming period</w:t>
      </w:r>
      <w:r>
        <w:rPr>
          <w:noProof/>
        </w:rPr>
        <w:t xml:space="preserve">. </w:t>
      </w:r>
      <w:r w:rsidRPr="008431DE">
        <w:rPr>
          <w:noProof/>
        </w:rPr>
        <w:t>Following the adoption of the STEP Regulation, an exceptional one-off pre-financing amounting to 30% of the overall JTF allocation (EUR</w:t>
      </w:r>
      <w:r w:rsidR="008D5210">
        <w:rPr>
          <w:rFonts w:ascii="Calibri" w:hAnsi="Calibri" w:cs="Calibri"/>
          <w:noProof/>
        </w:rPr>
        <w:t> </w:t>
      </w:r>
      <w:r w:rsidRPr="008431DE">
        <w:rPr>
          <w:noProof/>
        </w:rPr>
        <w:t>5</w:t>
      </w:r>
      <w:r w:rsidR="00066549">
        <w:rPr>
          <w:noProof/>
        </w:rPr>
        <w:t>.</w:t>
      </w:r>
      <w:r w:rsidRPr="008431DE">
        <w:rPr>
          <w:noProof/>
        </w:rPr>
        <w:t>9</w:t>
      </w:r>
      <w:r w:rsidR="008D5210">
        <w:rPr>
          <w:rFonts w:ascii="Calibri" w:hAnsi="Calibri" w:cs="Calibri"/>
          <w:noProof/>
        </w:rPr>
        <w:t> </w:t>
      </w:r>
      <w:r w:rsidRPr="008431DE">
        <w:rPr>
          <w:noProof/>
        </w:rPr>
        <w:t>billion) was paid to the Member States in March 2024</w:t>
      </w:r>
      <w:r>
        <w:rPr>
          <w:noProof/>
        </w:rPr>
        <w:t xml:space="preserve">. Furthermore, the deadline for the submission of the final application for an interim payment for the final accounting year of the 2014-2020 period has been extended until 31 July 2025. </w:t>
      </w:r>
      <w:r w:rsidRPr="0070097E">
        <w:rPr>
          <w:noProof/>
        </w:rPr>
        <w:t xml:space="preserve">Amounts from resources other than REACT-EU reimbursed by the Commission as interim payments in 2025 </w:t>
      </w:r>
      <w:r>
        <w:rPr>
          <w:noProof/>
        </w:rPr>
        <w:t xml:space="preserve">to the 2014-2020 programmes </w:t>
      </w:r>
      <w:r w:rsidRPr="0070097E">
        <w:rPr>
          <w:noProof/>
        </w:rPr>
        <w:t>shall not exceed 1 % of the total financial appropriations to the programme concerned by Fund, REACT-EU resources excluded.</w:t>
      </w:r>
    </w:p>
    <w:p w14:paraId="2C9FBEC7" w14:textId="1C92A51A" w:rsidR="001444AB" w:rsidRDefault="00007BC5" w:rsidP="0050317D">
      <w:pPr>
        <w:spacing w:before="180" w:after="120" w:line="276" w:lineRule="auto"/>
        <w:jc w:val="both"/>
        <w:rPr>
          <w:noProof/>
        </w:rPr>
      </w:pPr>
      <w:r>
        <w:rPr>
          <w:noProof/>
        </w:rPr>
        <w:t xml:space="preserve">Furthermore, the mid-term revision included </w:t>
      </w:r>
      <w:r w:rsidR="005E048C">
        <w:rPr>
          <w:noProof/>
        </w:rPr>
        <w:t xml:space="preserve">an increase in the maximum amount for the annual adjustment </w:t>
      </w:r>
      <w:r w:rsidR="00894044">
        <w:rPr>
          <w:noProof/>
        </w:rPr>
        <w:t xml:space="preserve">carried out in the framework of the Single Margin Instrument and referred to in </w:t>
      </w:r>
      <w:r w:rsidR="005E048C">
        <w:rPr>
          <w:noProof/>
        </w:rPr>
        <w:t>Article 11</w:t>
      </w:r>
      <w:r w:rsidR="00894044">
        <w:rPr>
          <w:noProof/>
        </w:rPr>
        <w:t>(3)</w:t>
      </w:r>
      <w:r w:rsidR="005E048C">
        <w:rPr>
          <w:noProof/>
        </w:rPr>
        <w:t xml:space="preserve"> MFFR</w:t>
      </w:r>
      <w:r w:rsidR="00D90442">
        <w:rPr>
          <w:noProof/>
        </w:rPr>
        <w:t xml:space="preserve"> </w:t>
      </w:r>
      <w:r w:rsidR="007C6932">
        <w:rPr>
          <w:noProof/>
        </w:rPr>
        <w:t xml:space="preserve">for the year 2026 by </w:t>
      </w:r>
      <w:r w:rsidR="00355DD6">
        <w:rPr>
          <w:noProof/>
        </w:rPr>
        <w:t>the amount equivalent to the unused portion of the maximum amount for year 2025.</w:t>
      </w:r>
    </w:p>
    <w:p w14:paraId="13A89EA3" w14:textId="031D02CD" w:rsidR="00861C1C" w:rsidRPr="00390EB1" w:rsidRDefault="003B6DC2" w:rsidP="0050317D">
      <w:pPr>
        <w:spacing w:before="180" w:after="120" w:line="276" w:lineRule="auto"/>
        <w:jc w:val="both"/>
        <w:rPr>
          <w:noProof/>
        </w:rPr>
      </w:pPr>
      <w:r w:rsidRPr="00390EB1">
        <w:rPr>
          <w:noProof/>
        </w:rPr>
        <w:t>As regards revenue, the forecast is based on the revenue system of the Own Resources Decision</w:t>
      </w:r>
      <w:r w:rsidRPr="00390EB1">
        <w:rPr>
          <w:noProof/>
          <w:vertAlign w:val="superscript"/>
        </w:rPr>
        <w:endnoteReference w:id="16"/>
      </w:r>
      <w:r w:rsidRPr="00390EB1">
        <w:rPr>
          <w:noProof/>
        </w:rPr>
        <w:t>. The revenue projections also consider the Agreement on the withdrawal of the United Kingdom of Great Britain and Northern Ireland from the European Union and the European Atomic Energy Community</w:t>
      </w:r>
      <w:r w:rsidRPr="00390EB1">
        <w:rPr>
          <w:noProof/>
          <w:vertAlign w:val="superscript"/>
        </w:rPr>
        <w:endnoteReference w:id="17"/>
      </w:r>
      <w:r w:rsidRPr="00390EB1">
        <w:rPr>
          <w:noProof/>
          <w:vertAlign w:val="superscript"/>
        </w:rPr>
        <w:t xml:space="preserve"> </w:t>
      </w:r>
      <w:r w:rsidRPr="00390EB1">
        <w:rPr>
          <w:noProof/>
        </w:rPr>
        <w:t>(‘Withdrawal Agreement’).</w:t>
      </w:r>
    </w:p>
    <w:bookmarkEnd w:id="7"/>
    <w:p w14:paraId="46DA84E4" w14:textId="51E3E59C" w:rsidR="00861C1C" w:rsidRDefault="55E43B5C" w:rsidP="0050317D">
      <w:pPr>
        <w:spacing w:before="180" w:after="120" w:line="276" w:lineRule="auto"/>
        <w:jc w:val="both"/>
        <w:rPr>
          <w:noProof/>
        </w:rPr>
      </w:pPr>
      <w:r w:rsidRPr="00390EB1">
        <w:rPr>
          <w:noProof/>
        </w:rPr>
        <w:t>Together with the MFF estimates, this forecast projects payments on all programmes under NextGenerationEU. This expenditure, additional to the spending under the MFF, is financed by revenue proceeds from borrowing operations on the capital markets.</w:t>
      </w:r>
    </w:p>
    <w:p w14:paraId="1E56E25C" w14:textId="6E1DCF81" w:rsidR="00A74031" w:rsidRPr="00390EB1" w:rsidRDefault="45EE126F" w:rsidP="0050317D">
      <w:pPr>
        <w:spacing w:before="180" w:after="120" w:line="276" w:lineRule="auto"/>
        <w:jc w:val="both"/>
        <w:rPr>
          <w:noProof/>
        </w:rPr>
      </w:pPr>
      <w:r w:rsidRPr="00390EB1">
        <w:rPr>
          <w:noProof/>
        </w:rPr>
        <w:t>This forecast estimates</w:t>
      </w:r>
      <w:r w:rsidR="0B80743D" w:rsidRPr="00390EB1">
        <w:rPr>
          <w:noProof/>
        </w:rPr>
        <w:t xml:space="preserve"> </w:t>
      </w:r>
      <w:r w:rsidRPr="00390EB1">
        <w:rPr>
          <w:noProof/>
        </w:rPr>
        <w:t>the outstanding payments resul</w:t>
      </w:r>
      <w:r w:rsidR="56621F79" w:rsidRPr="00390EB1">
        <w:rPr>
          <w:noProof/>
        </w:rPr>
        <w:t>ting</w:t>
      </w:r>
      <w:r w:rsidRPr="00390EB1">
        <w:rPr>
          <w:noProof/>
        </w:rPr>
        <w:t xml:space="preserve"> from commitments made in programmes from the MFF 2021-2027 and earlier, while payments related to post-2027 MFF programmes are outside of the scope of this forecas</w:t>
      </w:r>
      <w:r w:rsidR="1BEDA32D" w:rsidRPr="00390EB1">
        <w:rPr>
          <w:noProof/>
        </w:rPr>
        <w:t>t.</w:t>
      </w:r>
    </w:p>
    <w:p w14:paraId="0C794B59" w14:textId="7D275A19" w:rsidR="00861C1C" w:rsidRPr="00390EB1" w:rsidRDefault="003B6DC2">
      <w:pPr>
        <w:pStyle w:val="amprH2TITLE1-Numbered-1"/>
        <w:rPr>
          <w:noProof/>
        </w:rPr>
      </w:pPr>
      <w:bookmarkStart w:id="8" w:name="_Toc494974438"/>
      <w:bookmarkStart w:id="9" w:name="_Toc524523058"/>
      <w:bookmarkStart w:id="10" w:name="_Toc167194509"/>
      <w:r w:rsidRPr="00390EB1">
        <w:rPr>
          <w:noProof/>
        </w:rPr>
        <w:t>F</w:t>
      </w:r>
      <w:bookmarkEnd w:id="8"/>
      <w:bookmarkEnd w:id="9"/>
      <w:r w:rsidRPr="00390EB1">
        <w:rPr>
          <w:noProof/>
        </w:rPr>
        <w:t>orecast of outflows of the EU budget 202</w:t>
      </w:r>
      <w:r w:rsidR="00A9154A">
        <w:rPr>
          <w:noProof/>
        </w:rPr>
        <w:t>5</w:t>
      </w:r>
      <w:r w:rsidRPr="00390EB1">
        <w:rPr>
          <w:noProof/>
        </w:rPr>
        <w:t>-202</w:t>
      </w:r>
      <w:r w:rsidR="00A9154A">
        <w:rPr>
          <w:noProof/>
        </w:rPr>
        <w:t>9</w:t>
      </w:r>
      <w:bookmarkEnd w:id="10"/>
    </w:p>
    <w:p w14:paraId="244C5D31" w14:textId="2A420E11" w:rsidR="00861C1C" w:rsidRPr="00390EB1" w:rsidRDefault="31B9AE73">
      <w:pPr>
        <w:spacing w:after="120" w:line="276" w:lineRule="auto"/>
        <w:jc w:val="both"/>
        <w:rPr>
          <w:noProof/>
        </w:rPr>
      </w:pPr>
      <w:r w:rsidRPr="00390EB1">
        <w:rPr>
          <w:noProof/>
        </w:rPr>
        <w:t>Over the period 202</w:t>
      </w:r>
      <w:r w:rsidR="00A9154A">
        <w:rPr>
          <w:noProof/>
        </w:rPr>
        <w:t>5</w:t>
      </w:r>
      <w:r w:rsidRPr="00390EB1">
        <w:rPr>
          <w:noProof/>
        </w:rPr>
        <w:t>-202</w:t>
      </w:r>
      <w:r w:rsidR="00A9154A">
        <w:rPr>
          <w:noProof/>
        </w:rPr>
        <w:t>9</w:t>
      </w:r>
      <w:r w:rsidRPr="00390EB1">
        <w:rPr>
          <w:noProof/>
        </w:rPr>
        <w:t xml:space="preserve">, </w:t>
      </w:r>
      <w:r w:rsidR="55E43B5C" w:rsidRPr="00390EB1">
        <w:rPr>
          <w:noProof/>
        </w:rPr>
        <w:t xml:space="preserve">payments </w:t>
      </w:r>
      <w:r w:rsidRPr="00390EB1">
        <w:rPr>
          <w:noProof/>
        </w:rPr>
        <w:t>are estimated at</w:t>
      </w:r>
      <w:r w:rsidR="55E43B5C" w:rsidRPr="00390EB1">
        <w:rPr>
          <w:noProof/>
        </w:rPr>
        <w:t xml:space="preserve"> EUR</w:t>
      </w:r>
      <w:r w:rsidR="004D370D">
        <w:rPr>
          <w:rFonts w:ascii="Calibri" w:hAnsi="Calibri" w:cs="Calibri"/>
          <w:noProof/>
        </w:rPr>
        <w:t> </w:t>
      </w:r>
      <w:r w:rsidR="007A529B">
        <w:rPr>
          <w:noProof/>
        </w:rPr>
        <w:t>94</w:t>
      </w:r>
      <w:r w:rsidR="00470665">
        <w:rPr>
          <w:noProof/>
        </w:rPr>
        <w:t>7</w:t>
      </w:r>
      <w:r w:rsidR="004D370D">
        <w:rPr>
          <w:rFonts w:ascii="Calibri" w:hAnsi="Calibri" w:cs="Calibri"/>
          <w:noProof/>
        </w:rPr>
        <w:t> </w:t>
      </w:r>
      <w:r w:rsidR="55E43B5C" w:rsidRPr="00390EB1">
        <w:rPr>
          <w:noProof/>
        </w:rPr>
        <w:t>billion, including EUR</w:t>
      </w:r>
      <w:r w:rsidR="004D370D">
        <w:rPr>
          <w:rFonts w:ascii="Calibri" w:hAnsi="Calibri" w:cs="Calibri"/>
          <w:noProof/>
        </w:rPr>
        <w:t> </w:t>
      </w:r>
      <w:r w:rsidR="00D85AA3">
        <w:rPr>
          <w:noProof/>
        </w:rPr>
        <w:t>7</w:t>
      </w:r>
      <w:r w:rsidR="00134393">
        <w:rPr>
          <w:noProof/>
        </w:rPr>
        <w:t>9</w:t>
      </w:r>
      <w:r w:rsidR="00470665">
        <w:rPr>
          <w:noProof/>
        </w:rPr>
        <w:t>9</w:t>
      </w:r>
      <w:r w:rsidR="004D370D">
        <w:rPr>
          <w:rFonts w:ascii="Calibri" w:hAnsi="Calibri" w:cs="Calibri"/>
          <w:noProof/>
        </w:rPr>
        <w:t> </w:t>
      </w:r>
      <w:r w:rsidR="55E43B5C" w:rsidRPr="00390EB1">
        <w:rPr>
          <w:noProof/>
        </w:rPr>
        <w:t xml:space="preserve">billion under the MFF payment ceiling and </w:t>
      </w:r>
      <w:r w:rsidR="55E43B5C" w:rsidRPr="0034488E">
        <w:rPr>
          <w:noProof/>
        </w:rPr>
        <w:t>EUR</w:t>
      </w:r>
      <w:r w:rsidR="004D370D" w:rsidRPr="0034488E">
        <w:rPr>
          <w:rFonts w:ascii="Calibri" w:hAnsi="Calibri" w:cs="Calibri"/>
          <w:noProof/>
        </w:rPr>
        <w:t> </w:t>
      </w:r>
      <w:r w:rsidR="0034488E" w:rsidRPr="0034488E">
        <w:rPr>
          <w:noProof/>
        </w:rPr>
        <w:t>148</w:t>
      </w:r>
      <w:r w:rsidR="004D370D" w:rsidRPr="0034488E">
        <w:rPr>
          <w:rFonts w:ascii="Calibri" w:hAnsi="Calibri" w:cs="Calibri"/>
          <w:noProof/>
        </w:rPr>
        <w:t> </w:t>
      </w:r>
      <w:r w:rsidR="55E43B5C" w:rsidRPr="0034488E">
        <w:rPr>
          <w:noProof/>
        </w:rPr>
        <w:t xml:space="preserve">billion </w:t>
      </w:r>
      <w:r w:rsidR="55E43B5C" w:rsidRPr="00390EB1">
        <w:rPr>
          <w:noProof/>
        </w:rPr>
        <w:t>from NextGenerationEU non-repayable support</w:t>
      </w:r>
      <w:r w:rsidR="00C647B5">
        <w:rPr>
          <w:rStyle w:val="EndnoteReference"/>
          <w:noProof/>
        </w:rPr>
        <w:endnoteReference w:id="18"/>
      </w:r>
      <w:r w:rsidR="002E20C8">
        <w:rPr>
          <w:noProof/>
        </w:rPr>
        <w:t>.</w:t>
      </w:r>
    </w:p>
    <w:p w14:paraId="2FBC0CAA" w14:textId="10429481" w:rsidR="00861C1C" w:rsidRPr="006F4008" w:rsidRDefault="2A67BF04" w:rsidP="006F4008">
      <w:pPr>
        <w:spacing w:after="120" w:line="276" w:lineRule="auto"/>
        <w:jc w:val="both"/>
        <w:rPr>
          <w:noProof/>
        </w:rPr>
      </w:pPr>
      <w:bookmarkStart w:id="11" w:name="_Hlk133853042"/>
      <w:r w:rsidRPr="00390EB1">
        <w:rPr>
          <w:noProof/>
        </w:rPr>
        <w:t xml:space="preserve">The forecast </w:t>
      </w:r>
      <w:r w:rsidR="2E8DF4AC" w:rsidRPr="00390EB1">
        <w:rPr>
          <w:noProof/>
        </w:rPr>
        <w:t xml:space="preserve">includes </w:t>
      </w:r>
      <w:r w:rsidRPr="00390EB1">
        <w:rPr>
          <w:noProof/>
        </w:rPr>
        <w:t xml:space="preserve">the future programme-specific adjustments </w:t>
      </w:r>
      <w:r w:rsidR="00E67430">
        <w:rPr>
          <w:noProof/>
        </w:rPr>
        <w:t xml:space="preserve">based on </w:t>
      </w:r>
      <w:r w:rsidRPr="00390EB1">
        <w:rPr>
          <w:noProof/>
        </w:rPr>
        <w:t xml:space="preserve">Article 5 of the MFF Regulation and the re-use of decommitments under Article 15(3) of the Financial Regulation </w:t>
      </w:r>
      <w:r w:rsidR="2E8DF4AC" w:rsidRPr="00390EB1">
        <w:rPr>
          <w:noProof/>
        </w:rPr>
        <w:t>for</w:t>
      </w:r>
      <w:r w:rsidRPr="00390EB1">
        <w:rPr>
          <w:noProof/>
        </w:rPr>
        <w:t xml:space="preserve"> the years 202</w:t>
      </w:r>
      <w:r w:rsidR="00A9154A">
        <w:rPr>
          <w:noProof/>
        </w:rPr>
        <w:t>6</w:t>
      </w:r>
      <w:r w:rsidRPr="00390EB1">
        <w:rPr>
          <w:noProof/>
        </w:rPr>
        <w:t>-202</w:t>
      </w:r>
      <w:r w:rsidR="00E67430">
        <w:rPr>
          <w:noProof/>
        </w:rPr>
        <w:t>7</w:t>
      </w:r>
      <w:r w:rsidRPr="00390EB1">
        <w:rPr>
          <w:noProof/>
        </w:rPr>
        <w:t>. The programme-specific adjustments are expected to result in an automatic upward adjustment of the MFF ceilings for commitments and payments of EUR</w:t>
      </w:r>
      <w:r w:rsidR="0029352F">
        <w:rPr>
          <w:rFonts w:ascii="Calibri" w:hAnsi="Calibri" w:cs="Calibri"/>
          <w:noProof/>
        </w:rPr>
        <w:t> </w:t>
      </w:r>
      <w:r w:rsidR="0D860328" w:rsidRPr="00390EB1">
        <w:rPr>
          <w:noProof/>
        </w:rPr>
        <w:t>1</w:t>
      </w:r>
      <w:r w:rsidR="00F507B1">
        <w:rPr>
          <w:noProof/>
        </w:rPr>
        <w:t>1</w:t>
      </w:r>
      <w:r w:rsidR="0D860328" w:rsidRPr="00390EB1">
        <w:rPr>
          <w:noProof/>
        </w:rPr>
        <w:t>.</w:t>
      </w:r>
      <w:r w:rsidR="0608D511" w:rsidRPr="00390EB1">
        <w:rPr>
          <w:noProof/>
        </w:rPr>
        <w:t>6</w:t>
      </w:r>
      <w:r w:rsidR="0029352F">
        <w:rPr>
          <w:rFonts w:ascii="Calibri" w:hAnsi="Calibri" w:cs="Calibri"/>
          <w:noProof/>
        </w:rPr>
        <w:t> </w:t>
      </w:r>
      <w:r w:rsidRPr="00390EB1">
        <w:rPr>
          <w:noProof/>
        </w:rPr>
        <w:t>billion</w:t>
      </w:r>
      <w:r w:rsidR="00D62803">
        <w:rPr>
          <w:rStyle w:val="EndnoteReference"/>
          <w:noProof/>
        </w:rPr>
        <w:endnoteReference w:id="19"/>
      </w:r>
      <w:r w:rsidRPr="00390EB1">
        <w:rPr>
          <w:noProof/>
        </w:rPr>
        <w:t xml:space="preserve"> </w:t>
      </w:r>
      <w:r w:rsidR="0D860328" w:rsidRPr="00390EB1">
        <w:rPr>
          <w:noProof/>
        </w:rPr>
        <w:t>in the period 2022-2027</w:t>
      </w:r>
      <w:r w:rsidRPr="00390EB1">
        <w:rPr>
          <w:noProof/>
        </w:rPr>
        <w:t>. The exact annual adjustment will depend on the revenue from competition fines in the previous year for an overall amount of EUR</w:t>
      </w:r>
      <w:r w:rsidR="00E50B1B">
        <w:rPr>
          <w:rFonts w:ascii="Calibri" w:hAnsi="Calibri" w:cs="Calibri"/>
          <w:noProof/>
        </w:rPr>
        <w:t> </w:t>
      </w:r>
      <w:r w:rsidRPr="00390EB1">
        <w:rPr>
          <w:noProof/>
        </w:rPr>
        <w:t>1</w:t>
      </w:r>
      <w:r w:rsidR="00F507B1">
        <w:rPr>
          <w:noProof/>
        </w:rPr>
        <w:t>0</w:t>
      </w:r>
      <w:r w:rsidR="00E50B1B">
        <w:rPr>
          <w:rFonts w:ascii="Calibri" w:hAnsi="Calibri" w:cs="Calibri"/>
          <w:noProof/>
        </w:rPr>
        <w:t> </w:t>
      </w:r>
      <w:r w:rsidR="00F507B1">
        <w:rPr>
          <w:noProof/>
        </w:rPr>
        <w:t>155</w:t>
      </w:r>
      <w:r w:rsidR="00E50B1B">
        <w:rPr>
          <w:rFonts w:ascii="Calibri" w:hAnsi="Calibri" w:cs="Calibri"/>
          <w:noProof/>
        </w:rPr>
        <w:t> </w:t>
      </w:r>
      <w:r w:rsidR="7519BCB7" w:rsidRPr="00390EB1">
        <w:rPr>
          <w:noProof/>
        </w:rPr>
        <w:t>m</w:t>
      </w:r>
      <w:r w:rsidRPr="00390EB1">
        <w:rPr>
          <w:noProof/>
        </w:rPr>
        <w:t>illion (in 2018 prices) by 2027.</w:t>
      </w:r>
      <w:r w:rsidR="00F84D1D">
        <w:rPr>
          <w:noProof/>
        </w:rPr>
        <w:t xml:space="preserve"> It also includes estimated payments under the Ukraine Reserve in 2025.</w:t>
      </w:r>
      <w:bookmarkEnd w:id="11"/>
    </w:p>
    <w:p w14:paraId="5C3E96CB" w14:textId="779BBA1B" w:rsidR="00861C1C" w:rsidRPr="006F4008" w:rsidRDefault="003B6DC2" w:rsidP="006F4008">
      <w:pPr>
        <w:spacing w:after="120" w:line="276" w:lineRule="auto"/>
        <w:jc w:val="both"/>
        <w:rPr>
          <w:rStyle w:val="amprcharCharttitle"/>
          <w:noProof/>
        </w:rPr>
      </w:pPr>
      <w:r w:rsidRPr="006F4008">
        <w:rPr>
          <w:rStyle w:val="amprcharCharttitle"/>
          <w:noProof/>
        </w:rPr>
        <w:t xml:space="preserve">Chart </w:t>
      </w:r>
      <w:r w:rsidRPr="006F4008">
        <w:rPr>
          <w:rStyle w:val="amprcharCharttitle"/>
          <w:noProof/>
        </w:rPr>
        <w:fldChar w:fldCharType="begin"/>
      </w:r>
      <w:r w:rsidRPr="006F4008">
        <w:rPr>
          <w:rStyle w:val="amprcharCharttitle"/>
          <w:noProof/>
        </w:rPr>
        <w:instrText xml:space="preserve"> SEQ Chart \* ARABIC </w:instrText>
      </w:r>
      <w:r w:rsidRPr="006F4008">
        <w:rPr>
          <w:rStyle w:val="amprcharCharttitle"/>
          <w:noProof/>
        </w:rPr>
        <w:fldChar w:fldCharType="separate"/>
      </w:r>
      <w:r w:rsidR="00927C3F" w:rsidRPr="006F4008">
        <w:rPr>
          <w:rStyle w:val="amprcharCharttitle"/>
          <w:noProof/>
        </w:rPr>
        <w:t>1</w:t>
      </w:r>
      <w:r w:rsidRPr="006F4008">
        <w:rPr>
          <w:rStyle w:val="amprcharCharttitle"/>
          <w:noProof/>
        </w:rPr>
        <w:fldChar w:fldCharType="end"/>
      </w:r>
      <w:r w:rsidRPr="006F4008">
        <w:rPr>
          <w:rStyle w:val="amprcharCharttitle"/>
          <w:noProof/>
        </w:rPr>
        <w:t xml:space="preserve"> - Payments forecast by category</w:t>
      </w:r>
    </w:p>
    <w:p w14:paraId="6CAD3611" w14:textId="612B2007" w:rsidR="00A848EF" w:rsidRPr="00390EB1" w:rsidRDefault="00A454B5" w:rsidP="00D30582">
      <w:pPr>
        <w:pStyle w:val="amprBodyText"/>
        <w:jc w:val="center"/>
        <w:rPr>
          <w:noProof/>
        </w:rPr>
      </w:pPr>
      <w:r>
        <w:rPr>
          <w:noProof/>
          <w:lang w:eastAsia="en-GB"/>
        </w:rPr>
        <w:drawing>
          <wp:inline distT="0" distB="0" distL="0" distR="0" wp14:anchorId="4E7890F2" wp14:editId="025D7D0B">
            <wp:extent cx="4410075" cy="2543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10075" cy="2543175"/>
                    </a:xfrm>
                    <a:prstGeom prst="rect">
                      <a:avLst/>
                    </a:prstGeom>
                  </pic:spPr>
                </pic:pic>
              </a:graphicData>
            </a:graphic>
          </wp:inline>
        </w:drawing>
      </w:r>
      <w:r w:rsidR="00A848EF">
        <w:rPr>
          <w:noProof/>
        </w:rPr>
        <w:tab/>
      </w:r>
    </w:p>
    <w:p w14:paraId="6F5503EF" w14:textId="398E7D1E" w:rsidR="00861C1C" w:rsidRPr="00390EB1" w:rsidRDefault="55E43B5C" w:rsidP="7A10ECDB">
      <w:pPr>
        <w:jc w:val="both"/>
        <w:rPr>
          <w:noProof/>
        </w:rPr>
      </w:pPr>
      <w:r w:rsidRPr="00390EB1">
        <w:rPr>
          <w:noProof/>
        </w:rPr>
        <w:t>Payments from the EU budget are not uniformly distributed across the period 202</w:t>
      </w:r>
      <w:r w:rsidR="00F507B1">
        <w:rPr>
          <w:noProof/>
        </w:rPr>
        <w:t>5</w:t>
      </w:r>
      <w:r w:rsidRPr="00390EB1">
        <w:rPr>
          <w:noProof/>
        </w:rPr>
        <w:t>-202</w:t>
      </w:r>
      <w:r w:rsidR="00F507B1">
        <w:rPr>
          <w:noProof/>
        </w:rPr>
        <w:t>9</w:t>
      </w:r>
      <w:r w:rsidRPr="00390EB1">
        <w:rPr>
          <w:noProof/>
        </w:rPr>
        <w:t>. The forecast depend</w:t>
      </w:r>
      <w:r w:rsidR="02B581FF" w:rsidRPr="00390EB1">
        <w:rPr>
          <w:noProof/>
        </w:rPr>
        <w:t>s</w:t>
      </w:r>
      <w:r w:rsidRPr="00390EB1">
        <w:rPr>
          <w:noProof/>
        </w:rPr>
        <w:t xml:space="preserve"> on the evolution of: 1) the payments from spending programmes financed by the MFF 2021-2027</w:t>
      </w:r>
      <w:r w:rsidR="0D516C16" w:rsidRPr="00390EB1">
        <w:rPr>
          <w:noProof/>
        </w:rPr>
        <w:t xml:space="preserve"> </w:t>
      </w:r>
      <w:r w:rsidRPr="00390EB1">
        <w:rPr>
          <w:noProof/>
        </w:rPr>
        <w:t>(</w:t>
      </w:r>
      <w:r w:rsidR="00F54D6D">
        <w:rPr>
          <w:noProof/>
        </w:rPr>
        <w:t>8</w:t>
      </w:r>
      <w:r w:rsidR="00EB3FD5">
        <w:rPr>
          <w:noProof/>
        </w:rPr>
        <w:t>2</w:t>
      </w:r>
      <w:r w:rsidRPr="00390EB1">
        <w:rPr>
          <w:noProof/>
        </w:rPr>
        <w:t>% of the total payments), 2) the disbursements from NextGenerationEU (</w:t>
      </w:r>
      <w:r w:rsidR="00F54D6D">
        <w:rPr>
          <w:noProof/>
        </w:rPr>
        <w:t>1</w:t>
      </w:r>
      <w:r w:rsidR="00EB3FD5">
        <w:rPr>
          <w:noProof/>
        </w:rPr>
        <w:t>6</w:t>
      </w:r>
      <w:r w:rsidRPr="00390EB1">
        <w:rPr>
          <w:noProof/>
        </w:rPr>
        <w:t>% of the payments), and 3) the payments stemming from outstanding commitments of</w:t>
      </w:r>
      <w:r w:rsidR="02B581FF" w:rsidRPr="00390EB1">
        <w:rPr>
          <w:noProof/>
        </w:rPr>
        <w:t xml:space="preserve"> the</w:t>
      </w:r>
      <w:r w:rsidRPr="00390EB1">
        <w:rPr>
          <w:noProof/>
        </w:rPr>
        <w:t xml:space="preserve"> MFF 2014-2020 and earlier (</w:t>
      </w:r>
      <w:r w:rsidR="00801A21">
        <w:rPr>
          <w:noProof/>
        </w:rPr>
        <w:t>2</w:t>
      </w:r>
      <w:r w:rsidRPr="00390EB1">
        <w:rPr>
          <w:noProof/>
        </w:rPr>
        <w:t>% of the payments). The estimated annual average of the outflows of the EU budget is EUR</w:t>
      </w:r>
      <w:r w:rsidR="008D5210">
        <w:rPr>
          <w:rFonts w:ascii="Calibri" w:hAnsi="Calibri" w:cs="Calibri"/>
          <w:noProof/>
        </w:rPr>
        <w:t> </w:t>
      </w:r>
      <w:r w:rsidR="006B2BEB">
        <w:rPr>
          <w:noProof/>
        </w:rPr>
        <w:t>1</w:t>
      </w:r>
      <w:r w:rsidR="00801A21">
        <w:rPr>
          <w:noProof/>
        </w:rPr>
        <w:t>8</w:t>
      </w:r>
      <w:r w:rsidR="00BA1F24">
        <w:rPr>
          <w:noProof/>
        </w:rPr>
        <w:t>9</w:t>
      </w:r>
      <w:r w:rsidR="451EA45E" w:rsidRPr="00390EB1">
        <w:rPr>
          <w:rFonts w:ascii="Calibri" w:hAnsi="Calibri" w:cs="Calibri"/>
          <w:noProof/>
        </w:rPr>
        <w:t> </w:t>
      </w:r>
      <w:r w:rsidRPr="00390EB1">
        <w:rPr>
          <w:noProof/>
        </w:rPr>
        <w:t>billion, with EUR</w:t>
      </w:r>
      <w:r w:rsidR="00FD457D">
        <w:rPr>
          <w:rFonts w:ascii="Calibri" w:hAnsi="Calibri" w:cs="Calibri"/>
          <w:noProof/>
        </w:rPr>
        <w:t> </w:t>
      </w:r>
      <w:r w:rsidR="00C106DA">
        <w:rPr>
          <w:noProof/>
        </w:rPr>
        <w:t>7</w:t>
      </w:r>
      <w:r w:rsidR="00554EB0">
        <w:rPr>
          <w:noProof/>
        </w:rPr>
        <w:t>4</w:t>
      </w:r>
      <w:r w:rsidR="00FD457D">
        <w:rPr>
          <w:rFonts w:ascii="Calibri" w:hAnsi="Calibri" w:cs="Calibri"/>
          <w:noProof/>
        </w:rPr>
        <w:t> </w:t>
      </w:r>
      <w:r w:rsidRPr="00390EB1">
        <w:rPr>
          <w:noProof/>
        </w:rPr>
        <w:t>billion</w:t>
      </w:r>
      <w:r w:rsidR="00C722B0">
        <w:rPr>
          <w:noProof/>
        </w:rPr>
        <w:t xml:space="preserve"> on average for 20</w:t>
      </w:r>
      <w:r w:rsidR="00852587">
        <w:rPr>
          <w:noProof/>
        </w:rPr>
        <w:t>25-26</w:t>
      </w:r>
      <w:r w:rsidRPr="00390EB1">
        <w:rPr>
          <w:noProof/>
        </w:rPr>
        <w:t xml:space="preserve"> financed by borrowing on the capital markets for NextGenerationEU programmes.</w:t>
      </w:r>
      <w:r w:rsidR="29D08555" w:rsidRPr="00390EB1">
        <w:rPr>
          <w:noProof/>
        </w:rPr>
        <w:t xml:space="preserve"> </w:t>
      </w:r>
      <w:r w:rsidR="6B745EA5" w:rsidRPr="00390EB1">
        <w:rPr>
          <w:noProof/>
        </w:rPr>
        <w:t>The forecast for 202</w:t>
      </w:r>
      <w:r w:rsidR="00F507B1">
        <w:rPr>
          <w:noProof/>
        </w:rPr>
        <w:t>8-29</w:t>
      </w:r>
      <w:r w:rsidR="6B745EA5" w:rsidRPr="00390EB1">
        <w:rPr>
          <w:noProof/>
        </w:rPr>
        <w:t xml:space="preserve"> correspond</w:t>
      </w:r>
      <w:r w:rsidR="006469AE">
        <w:rPr>
          <w:noProof/>
        </w:rPr>
        <w:t>s</w:t>
      </w:r>
      <w:r w:rsidR="6B745EA5" w:rsidRPr="00390EB1">
        <w:rPr>
          <w:noProof/>
        </w:rPr>
        <w:t xml:space="preserve"> to the outstanding payments resulting from commitments made in programmes from the MFF 2021-2027 and earlier, </w:t>
      </w:r>
      <w:r w:rsidR="53561654" w:rsidRPr="00390EB1">
        <w:rPr>
          <w:noProof/>
        </w:rPr>
        <w:t xml:space="preserve">while </w:t>
      </w:r>
      <w:r w:rsidR="29D08555" w:rsidRPr="00390EB1">
        <w:rPr>
          <w:noProof/>
        </w:rPr>
        <w:t>payments</w:t>
      </w:r>
      <w:r w:rsidR="799D4E2F" w:rsidRPr="00390EB1">
        <w:rPr>
          <w:noProof/>
        </w:rPr>
        <w:t xml:space="preserve"> related to</w:t>
      </w:r>
      <w:r w:rsidR="29D08555" w:rsidRPr="00390EB1">
        <w:rPr>
          <w:noProof/>
        </w:rPr>
        <w:t xml:space="preserve"> </w:t>
      </w:r>
      <w:r w:rsidR="338336C6" w:rsidRPr="00390EB1">
        <w:rPr>
          <w:noProof/>
        </w:rPr>
        <w:t xml:space="preserve">post-2027 MFF </w:t>
      </w:r>
      <w:r w:rsidR="29D08555" w:rsidRPr="00390EB1">
        <w:rPr>
          <w:noProof/>
        </w:rPr>
        <w:t>programmes are</w:t>
      </w:r>
      <w:r w:rsidR="6B745EA5" w:rsidRPr="00390EB1">
        <w:rPr>
          <w:noProof/>
        </w:rPr>
        <w:t xml:space="preserve"> outside of the scope of this</w:t>
      </w:r>
      <w:r w:rsidR="53561654" w:rsidRPr="00390EB1">
        <w:rPr>
          <w:noProof/>
        </w:rPr>
        <w:t xml:space="preserve"> forecast</w:t>
      </w:r>
      <w:r w:rsidRPr="00390EB1">
        <w:rPr>
          <w:noProof/>
        </w:rPr>
        <w:t>.</w:t>
      </w:r>
    </w:p>
    <w:p w14:paraId="2B84CBEE" w14:textId="641F6241" w:rsidR="00861C1C" w:rsidRPr="00390EB1" w:rsidRDefault="53561654">
      <w:pPr>
        <w:spacing w:after="120" w:line="276" w:lineRule="auto"/>
        <w:jc w:val="both"/>
        <w:rPr>
          <w:noProof/>
        </w:rPr>
      </w:pPr>
      <w:r w:rsidRPr="00390EB1">
        <w:rPr>
          <w:noProof/>
        </w:rPr>
        <w:t>Overall p</w:t>
      </w:r>
      <w:r w:rsidR="55E43B5C" w:rsidRPr="00390EB1">
        <w:rPr>
          <w:noProof/>
        </w:rPr>
        <w:t xml:space="preserve">ayments are expected to </w:t>
      </w:r>
      <w:r w:rsidR="00F507B1">
        <w:rPr>
          <w:noProof/>
        </w:rPr>
        <w:t>increase</w:t>
      </w:r>
      <w:r w:rsidR="55E43B5C" w:rsidRPr="00390EB1">
        <w:rPr>
          <w:noProof/>
        </w:rPr>
        <w:t xml:space="preserve"> in 2025 </w:t>
      </w:r>
      <w:r w:rsidR="03CAFBF5" w:rsidRPr="00390EB1">
        <w:rPr>
          <w:noProof/>
        </w:rPr>
        <w:t>and</w:t>
      </w:r>
      <w:r w:rsidR="007715BF" w:rsidRPr="007715BF">
        <w:rPr>
          <w:noProof/>
        </w:rPr>
        <w:t xml:space="preserve"> </w:t>
      </w:r>
      <w:r w:rsidR="007715BF" w:rsidRPr="00390EB1">
        <w:rPr>
          <w:noProof/>
        </w:rPr>
        <w:t>2026</w:t>
      </w:r>
      <w:r w:rsidR="003C25A3">
        <w:rPr>
          <w:noProof/>
        </w:rPr>
        <w:t xml:space="preserve"> compared to 2024</w:t>
      </w:r>
      <w:r w:rsidR="55E43B5C" w:rsidRPr="00390EB1">
        <w:rPr>
          <w:noProof/>
        </w:rPr>
        <w:t xml:space="preserve">. The projections for the payments from MFF 2021-2027 </w:t>
      </w:r>
      <w:r w:rsidR="1DC023C6" w:rsidRPr="00390EB1">
        <w:rPr>
          <w:noProof/>
        </w:rPr>
        <w:t>show</w:t>
      </w:r>
      <w:r w:rsidR="55E43B5C" w:rsidRPr="00390EB1">
        <w:rPr>
          <w:noProof/>
        </w:rPr>
        <w:t xml:space="preserve"> </w:t>
      </w:r>
      <w:r w:rsidR="2A3B55B9" w:rsidRPr="00390EB1">
        <w:rPr>
          <w:noProof/>
        </w:rPr>
        <w:t>a</w:t>
      </w:r>
      <w:r w:rsidR="55E43B5C" w:rsidRPr="00390EB1">
        <w:rPr>
          <w:noProof/>
        </w:rPr>
        <w:t xml:space="preserve"> gradual increase in years 2025</w:t>
      </w:r>
      <w:r w:rsidR="451EA45E" w:rsidRPr="00390EB1">
        <w:rPr>
          <w:noProof/>
        </w:rPr>
        <w:t>-</w:t>
      </w:r>
      <w:r w:rsidR="6E306B53" w:rsidRPr="00390EB1">
        <w:rPr>
          <w:noProof/>
        </w:rPr>
        <w:t>202</w:t>
      </w:r>
      <w:r w:rsidR="2EC81309" w:rsidRPr="00390EB1">
        <w:rPr>
          <w:noProof/>
        </w:rPr>
        <w:t>6</w:t>
      </w:r>
      <w:r w:rsidR="00F507B1">
        <w:rPr>
          <w:noProof/>
        </w:rPr>
        <w:t xml:space="preserve"> as programmes reach cruising speed.</w:t>
      </w:r>
      <w:r w:rsidR="55E43B5C" w:rsidRPr="00390EB1">
        <w:rPr>
          <w:noProof/>
        </w:rPr>
        <w:t xml:space="preserve"> NextGenerationEU payments </w:t>
      </w:r>
      <w:r w:rsidR="16002EF3" w:rsidRPr="00390EB1">
        <w:rPr>
          <w:noProof/>
        </w:rPr>
        <w:t xml:space="preserve">are expected to </w:t>
      </w:r>
      <w:r w:rsidR="6A48CA82">
        <w:rPr>
          <w:noProof/>
        </w:rPr>
        <w:t>accelerate as well in 2025 and 2026, compared to 2024.</w:t>
      </w:r>
      <w:r w:rsidR="55E43B5C" w:rsidRPr="00390EB1">
        <w:rPr>
          <w:noProof/>
        </w:rPr>
        <w:t xml:space="preserve"> With the finalisation of NextGenerationEU implementation in 2026, </w:t>
      </w:r>
      <w:r w:rsidR="292CDFB9" w:rsidRPr="00390EB1">
        <w:rPr>
          <w:noProof/>
        </w:rPr>
        <w:t>the bulk</w:t>
      </w:r>
      <w:r w:rsidR="55E43B5C" w:rsidRPr="00390EB1">
        <w:rPr>
          <w:noProof/>
        </w:rPr>
        <w:t xml:space="preserve"> of payments </w:t>
      </w:r>
      <w:r w:rsidR="3558CF4B" w:rsidRPr="00390EB1">
        <w:rPr>
          <w:noProof/>
        </w:rPr>
        <w:t xml:space="preserve">in </w:t>
      </w:r>
      <w:r w:rsidR="00F507B1">
        <w:rPr>
          <w:noProof/>
        </w:rPr>
        <w:t>2026-27</w:t>
      </w:r>
      <w:r w:rsidR="3558CF4B" w:rsidRPr="00390EB1">
        <w:rPr>
          <w:noProof/>
        </w:rPr>
        <w:t xml:space="preserve"> </w:t>
      </w:r>
      <w:r w:rsidR="10BC4089" w:rsidRPr="00390EB1">
        <w:rPr>
          <w:noProof/>
        </w:rPr>
        <w:t xml:space="preserve">correspond to </w:t>
      </w:r>
      <w:r w:rsidR="55E43B5C" w:rsidRPr="00390EB1">
        <w:rPr>
          <w:noProof/>
        </w:rPr>
        <w:t>the 2021-2027 MFF programmes.</w:t>
      </w:r>
    </w:p>
    <w:p w14:paraId="209036B7" w14:textId="5640AA4C" w:rsidR="00861C1C" w:rsidRDefault="0903F9CF">
      <w:pPr>
        <w:spacing w:after="120" w:line="276" w:lineRule="auto"/>
        <w:jc w:val="both"/>
        <w:rPr>
          <w:noProof/>
        </w:rPr>
      </w:pPr>
      <w:r w:rsidRPr="00390EB1">
        <w:rPr>
          <w:noProof/>
        </w:rPr>
        <w:t>In relation to</w:t>
      </w:r>
      <w:r w:rsidR="6375D7F3" w:rsidRPr="00390EB1">
        <w:rPr>
          <w:noProof/>
        </w:rPr>
        <w:t xml:space="preserve"> the expenditure under the MFF 2021-2027 and </w:t>
      </w:r>
      <w:r w:rsidRPr="00390EB1">
        <w:rPr>
          <w:noProof/>
        </w:rPr>
        <w:t xml:space="preserve">its </w:t>
      </w:r>
      <w:r w:rsidR="6375D7F3" w:rsidRPr="00390EB1">
        <w:rPr>
          <w:noProof/>
        </w:rPr>
        <w:t>predecessors, the</w:t>
      </w:r>
      <w:r w:rsidR="00F507B1">
        <w:rPr>
          <w:noProof/>
        </w:rPr>
        <w:t xml:space="preserve"> average</w:t>
      </w:r>
      <w:r w:rsidR="6375D7F3" w:rsidRPr="00390EB1">
        <w:rPr>
          <w:noProof/>
        </w:rPr>
        <w:t xml:space="preserve"> annual forecast </w:t>
      </w:r>
      <w:r w:rsidR="06D17D15" w:rsidRPr="00390EB1">
        <w:rPr>
          <w:noProof/>
        </w:rPr>
        <w:t xml:space="preserve">for </w:t>
      </w:r>
      <w:r w:rsidR="6375D7F3" w:rsidRPr="00390EB1">
        <w:rPr>
          <w:noProof/>
        </w:rPr>
        <w:t xml:space="preserve">payments </w:t>
      </w:r>
      <w:r w:rsidR="00F507B1">
        <w:rPr>
          <w:noProof/>
        </w:rPr>
        <w:t xml:space="preserve">is </w:t>
      </w:r>
      <w:r w:rsidR="6375D7F3" w:rsidRPr="00390EB1">
        <w:rPr>
          <w:noProof/>
        </w:rPr>
        <w:t>EUR</w:t>
      </w:r>
      <w:r w:rsidR="008D5210">
        <w:rPr>
          <w:rFonts w:ascii="Calibri" w:hAnsi="Calibri" w:cs="Calibri"/>
          <w:noProof/>
        </w:rPr>
        <w:t> </w:t>
      </w:r>
      <w:r w:rsidR="00366008">
        <w:rPr>
          <w:noProof/>
        </w:rPr>
        <w:t>1</w:t>
      </w:r>
      <w:r w:rsidR="00364606">
        <w:rPr>
          <w:noProof/>
        </w:rPr>
        <w:t>60</w:t>
      </w:r>
      <w:r w:rsidR="008D5210">
        <w:rPr>
          <w:rFonts w:ascii="Calibri" w:hAnsi="Calibri" w:cs="Calibri"/>
          <w:noProof/>
        </w:rPr>
        <w:t> </w:t>
      </w:r>
      <w:r w:rsidR="6375D7F3" w:rsidRPr="00390EB1">
        <w:rPr>
          <w:noProof/>
        </w:rPr>
        <w:t>billion</w:t>
      </w:r>
      <w:r w:rsidR="00F507B1">
        <w:rPr>
          <w:noProof/>
        </w:rPr>
        <w:t>.</w:t>
      </w:r>
      <w:r w:rsidR="003C0792">
        <w:rPr>
          <w:noProof/>
        </w:rPr>
        <w:t xml:space="preserve"> In 2025, EUR</w:t>
      </w:r>
      <w:r w:rsidR="00D23E39">
        <w:rPr>
          <w:rFonts w:ascii="Calibri" w:hAnsi="Calibri" w:cs="Calibri"/>
          <w:noProof/>
        </w:rPr>
        <w:t> </w:t>
      </w:r>
      <w:r w:rsidR="00D23E39">
        <w:rPr>
          <w:noProof/>
        </w:rPr>
        <w:t>1</w:t>
      </w:r>
      <w:r w:rsidR="00C0135A">
        <w:rPr>
          <w:noProof/>
        </w:rPr>
        <w:t>53</w:t>
      </w:r>
      <w:r w:rsidR="00D23E39">
        <w:rPr>
          <w:rFonts w:ascii="Calibri" w:hAnsi="Calibri" w:cs="Calibri"/>
          <w:noProof/>
        </w:rPr>
        <w:t> </w:t>
      </w:r>
      <w:r w:rsidR="00D23E39">
        <w:rPr>
          <w:noProof/>
        </w:rPr>
        <w:t>billion</w:t>
      </w:r>
      <w:r w:rsidR="002A21B8">
        <w:rPr>
          <w:noProof/>
        </w:rPr>
        <w:t xml:space="preserve"> are estimated</w:t>
      </w:r>
      <w:r w:rsidR="00840A66">
        <w:rPr>
          <w:noProof/>
        </w:rPr>
        <w:t>, followed by increases in subsequent years</w:t>
      </w:r>
      <w:r w:rsidR="00BC430F">
        <w:rPr>
          <w:noProof/>
        </w:rPr>
        <w:t>, with a slight peak in 202</w:t>
      </w:r>
      <w:r w:rsidR="00B52948">
        <w:rPr>
          <w:noProof/>
        </w:rPr>
        <w:t>7</w:t>
      </w:r>
      <w:r w:rsidR="00547CF9">
        <w:rPr>
          <w:noProof/>
        </w:rPr>
        <w:t>.</w:t>
      </w:r>
      <w:r w:rsidR="00F507B1">
        <w:rPr>
          <w:noProof/>
        </w:rPr>
        <w:t xml:space="preserve"> </w:t>
      </w:r>
      <w:r w:rsidRPr="00390EB1">
        <w:rPr>
          <w:noProof/>
        </w:rPr>
        <w:t xml:space="preserve">Albeit </w:t>
      </w:r>
      <w:r w:rsidR="00894044">
        <w:rPr>
          <w:noProof/>
        </w:rPr>
        <w:t xml:space="preserve">currently </w:t>
      </w:r>
      <w:r w:rsidRPr="00390EB1">
        <w:rPr>
          <w:noProof/>
        </w:rPr>
        <w:t xml:space="preserve">more accentuated </w:t>
      </w:r>
      <w:r w:rsidR="00894044">
        <w:rPr>
          <w:noProof/>
        </w:rPr>
        <w:t xml:space="preserve">due to significant </w:t>
      </w:r>
      <w:r w:rsidRPr="00390EB1">
        <w:rPr>
          <w:noProof/>
        </w:rPr>
        <w:t>implementation delays, t</w:t>
      </w:r>
      <w:r w:rsidR="6375D7F3" w:rsidRPr="00390EB1">
        <w:rPr>
          <w:noProof/>
        </w:rPr>
        <w:t xml:space="preserve">his pattern </w:t>
      </w:r>
      <w:r w:rsidR="50ACBCDA" w:rsidRPr="00390EB1">
        <w:rPr>
          <w:noProof/>
        </w:rPr>
        <w:t>was observed</w:t>
      </w:r>
      <w:r w:rsidR="6375D7F3" w:rsidRPr="00390EB1">
        <w:rPr>
          <w:noProof/>
        </w:rPr>
        <w:t xml:space="preserve"> </w:t>
      </w:r>
      <w:r w:rsidR="00251F02">
        <w:rPr>
          <w:noProof/>
        </w:rPr>
        <w:t xml:space="preserve">in </w:t>
      </w:r>
      <w:r w:rsidR="6375D7F3" w:rsidRPr="00390EB1">
        <w:rPr>
          <w:noProof/>
        </w:rPr>
        <w:t>previous MFFs</w:t>
      </w:r>
      <w:r w:rsidR="00894044">
        <w:rPr>
          <w:noProof/>
        </w:rPr>
        <w:t xml:space="preserve"> as well</w:t>
      </w:r>
      <w:r w:rsidR="6375D7F3" w:rsidRPr="00390EB1">
        <w:rPr>
          <w:noProof/>
        </w:rPr>
        <w:t xml:space="preserve"> due to the progressive reduction of payments and closure of the previous </w:t>
      </w:r>
      <w:r w:rsidRPr="00390EB1">
        <w:rPr>
          <w:noProof/>
        </w:rPr>
        <w:t>programming period</w:t>
      </w:r>
      <w:r w:rsidR="6375D7F3" w:rsidRPr="00390EB1">
        <w:rPr>
          <w:noProof/>
        </w:rPr>
        <w:t xml:space="preserve"> and the phase</w:t>
      </w:r>
      <w:r w:rsidR="1A40C9CF" w:rsidRPr="00390EB1">
        <w:rPr>
          <w:noProof/>
        </w:rPr>
        <w:t>-</w:t>
      </w:r>
      <w:r w:rsidR="6375D7F3" w:rsidRPr="00390EB1">
        <w:rPr>
          <w:noProof/>
        </w:rPr>
        <w:t xml:space="preserve">in of new programmes reaching their cruising speed </w:t>
      </w:r>
      <w:r w:rsidR="0E0DB267" w:rsidRPr="00390EB1">
        <w:rPr>
          <w:noProof/>
        </w:rPr>
        <w:t xml:space="preserve">only </w:t>
      </w:r>
      <w:r w:rsidR="00894044">
        <w:rPr>
          <w:noProof/>
        </w:rPr>
        <w:t>from</w:t>
      </w:r>
      <w:r w:rsidR="6375D7F3" w:rsidRPr="00390EB1">
        <w:rPr>
          <w:noProof/>
        </w:rPr>
        <w:t xml:space="preserve"> the second half</w:t>
      </w:r>
      <w:r w:rsidRPr="00390EB1">
        <w:rPr>
          <w:noProof/>
        </w:rPr>
        <w:t xml:space="preserve"> of the MFF</w:t>
      </w:r>
      <w:r w:rsidR="00EB6154">
        <w:rPr>
          <w:noProof/>
        </w:rPr>
        <w:t xml:space="preserve"> or after</w:t>
      </w:r>
      <w:r w:rsidR="6375D7F3" w:rsidRPr="00390EB1">
        <w:rPr>
          <w:noProof/>
        </w:rPr>
        <w:t>.</w:t>
      </w:r>
    </w:p>
    <w:p w14:paraId="578FC85F" w14:textId="0CC2A42D" w:rsidR="00861C1C" w:rsidRPr="00390EB1" w:rsidRDefault="55E43B5C" w:rsidP="7A10ECDB">
      <w:pPr>
        <w:spacing w:after="120" w:line="276" w:lineRule="auto"/>
        <w:jc w:val="both"/>
        <w:rPr>
          <w:noProof/>
        </w:rPr>
      </w:pPr>
      <w:r w:rsidRPr="00390EB1">
        <w:rPr>
          <w:noProof/>
        </w:rPr>
        <w:t xml:space="preserve">The forecast </w:t>
      </w:r>
      <w:r w:rsidR="006F4FD8">
        <w:rPr>
          <w:noProof/>
        </w:rPr>
        <w:t xml:space="preserve">for the unallocated </w:t>
      </w:r>
      <w:r w:rsidRPr="00390EB1">
        <w:rPr>
          <w:noProof/>
        </w:rPr>
        <w:t>margin</w:t>
      </w:r>
      <w:r w:rsidR="2D6B6B8C" w:rsidRPr="00390EB1">
        <w:rPr>
          <w:noProof/>
        </w:rPr>
        <w:t xml:space="preserve"> </w:t>
      </w:r>
      <w:r w:rsidR="006F4FD8">
        <w:rPr>
          <w:noProof/>
        </w:rPr>
        <w:t xml:space="preserve">under the payment ceilings for </w:t>
      </w:r>
      <w:r w:rsidR="34458914" w:rsidRPr="00390EB1">
        <w:rPr>
          <w:noProof/>
        </w:rPr>
        <w:t>202</w:t>
      </w:r>
      <w:r w:rsidR="006F4FD8">
        <w:rPr>
          <w:noProof/>
        </w:rPr>
        <w:t>5</w:t>
      </w:r>
      <w:r w:rsidR="34458914" w:rsidRPr="00390EB1">
        <w:rPr>
          <w:noProof/>
        </w:rPr>
        <w:t>-2027</w:t>
      </w:r>
      <w:r w:rsidR="7484EECB" w:rsidRPr="00390EB1">
        <w:rPr>
          <w:noProof/>
        </w:rPr>
        <w:t xml:space="preserve"> </w:t>
      </w:r>
      <w:r w:rsidRPr="00390EB1">
        <w:rPr>
          <w:noProof/>
        </w:rPr>
        <w:t xml:space="preserve">defined as the difference between the forecast payments under the MFF ceiling and the payment ceiling set in the annual technical adjustment </w:t>
      </w:r>
      <w:r w:rsidR="1A5F2493" w:rsidRPr="00390EB1">
        <w:rPr>
          <w:noProof/>
        </w:rPr>
        <w:t>i</w:t>
      </w:r>
      <w:r w:rsidR="36979A76" w:rsidRPr="00390EB1">
        <w:rPr>
          <w:noProof/>
        </w:rPr>
        <w:t>s</w:t>
      </w:r>
      <w:r w:rsidRPr="00390EB1">
        <w:rPr>
          <w:noProof/>
        </w:rPr>
        <w:t xml:space="preserve"> estimated at EUR</w:t>
      </w:r>
      <w:r w:rsidR="008D5210">
        <w:rPr>
          <w:rFonts w:ascii="Calibri" w:hAnsi="Calibri" w:cs="Calibri"/>
          <w:noProof/>
        </w:rPr>
        <w:t> </w:t>
      </w:r>
      <w:r w:rsidR="00A42D7E">
        <w:rPr>
          <w:noProof/>
        </w:rPr>
        <w:t>1</w:t>
      </w:r>
      <w:r w:rsidR="00145DC3">
        <w:rPr>
          <w:noProof/>
        </w:rPr>
        <w:t>3</w:t>
      </w:r>
      <w:r w:rsidR="008D5210">
        <w:rPr>
          <w:rFonts w:ascii="Calibri" w:hAnsi="Calibri" w:cs="Calibri"/>
          <w:noProof/>
        </w:rPr>
        <w:t> </w:t>
      </w:r>
      <w:r w:rsidRPr="00390EB1">
        <w:rPr>
          <w:noProof/>
        </w:rPr>
        <w:t>billion</w:t>
      </w:r>
      <w:r w:rsidR="11924EA4" w:rsidRPr="00390EB1">
        <w:rPr>
          <w:noProof/>
        </w:rPr>
        <w:t>.</w:t>
      </w:r>
      <w:r w:rsidR="70A510CC" w:rsidRPr="00390EB1">
        <w:rPr>
          <w:noProof/>
        </w:rPr>
        <w:t xml:space="preserve"> </w:t>
      </w:r>
      <w:r w:rsidRPr="00390EB1">
        <w:rPr>
          <w:noProof/>
        </w:rPr>
        <w:t xml:space="preserve">The existence of positive or negative margins are the consequence of a stable payment ceiling in real terms and the variable path of the programmes under the EU budget, mainly driven by the implementation of </w:t>
      </w:r>
      <w:r w:rsidR="006F4FD8">
        <w:rPr>
          <w:noProof/>
        </w:rPr>
        <w:t>c</w:t>
      </w:r>
      <w:r w:rsidRPr="00390EB1">
        <w:rPr>
          <w:noProof/>
        </w:rPr>
        <w:t>ohesion policy. Pursuant to the automatic adjustment mechanism</w:t>
      </w:r>
      <w:r w:rsidR="00894044">
        <w:rPr>
          <w:noProof/>
        </w:rPr>
        <w:t xml:space="preserve"> carried out in the framework of the Single Margin Instrument and referred to in</w:t>
      </w:r>
      <w:r w:rsidRPr="00390EB1">
        <w:rPr>
          <w:noProof/>
        </w:rPr>
        <w:t xml:space="preserve"> Article 11(1)(b) MFFR, the unspent amounts in a year will increase the future annual ceilings. Therefore, the positive margins prior to 202</w:t>
      </w:r>
      <w:r w:rsidR="00CF1913">
        <w:rPr>
          <w:noProof/>
        </w:rPr>
        <w:t>5</w:t>
      </w:r>
      <w:r w:rsidRPr="00390EB1">
        <w:rPr>
          <w:noProof/>
        </w:rPr>
        <w:t xml:space="preserve"> increase the ceilings in 2025-2027 within the limits set by Article 11(3) MFFR.</w:t>
      </w:r>
      <w:r w:rsidR="006F4FD8">
        <w:rPr>
          <w:noProof/>
        </w:rPr>
        <w:t xml:space="preserve"> Furthermore, as </w:t>
      </w:r>
      <w:r w:rsidR="00C57909">
        <w:rPr>
          <w:noProof/>
        </w:rPr>
        <w:t xml:space="preserve">per </w:t>
      </w:r>
      <w:r w:rsidR="005F51F2">
        <w:rPr>
          <w:noProof/>
        </w:rPr>
        <w:t>Article 11(3a) of the</w:t>
      </w:r>
      <w:r w:rsidR="006F4FD8">
        <w:rPr>
          <w:noProof/>
        </w:rPr>
        <w:t xml:space="preserve"> Multiannual Financial Framework Regulation, the </w:t>
      </w:r>
      <w:r w:rsidR="00380687">
        <w:rPr>
          <w:noProof/>
        </w:rPr>
        <w:t xml:space="preserve">unused </w:t>
      </w:r>
      <w:r w:rsidR="006F4FD8">
        <w:rPr>
          <w:noProof/>
        </w:rPr>
        <w:t>margin from 2025</w:t>
      </w:r>
      <w:r w:rsidR="00380687">
        <w:rPr>
          <w:noProof/>
        </w:rPr>
        <w:t xml:space="preserve"> is to</w:t>
      </w:r>
      <w:r w:rsidR="006F4FD8">
        <w:rPr>
          <w:noProof/>
        </w:rPr>
        <w:t xml:space="preserve"> be transferred to 2026.</w:t>
      </w:r>
      <w:r w:rsidRPr="00390EB1">
        <w:rPr>
          <w:noProof/>
        </w:rPr>
        <w:t xml:space="preserve"> Considering these adjustments as well as the future programme-specific adjustment of Article 5 MFFR (which will increase the payment ceilings by an additional EUR</w:t>
      </w:r>
      <w:r w:rsidR="003766F6">
        <w:rPr>
          <w:rFonts w:ascii="Calibri" w:hAnsi="Calibri" w:cs="Calibri"/>
          <w:noProof/>
        </w:rPr>
        <w:t> </w:t>
      </w:r>
      <w:r w:rsidR="003766F6">
        <w:rPr>
          <w:noProof/>
        </w:rPr>
        <w:t>5</w:t>
      </w:r>
      <w:r w:rsidR="003766F6">
        <w:rPr>
          <w:rFonts w:ascii="Calibri" w:hAnsi="Calibri" w:cs="Calibri"/>
          <w:noProof/>
        </w:rPr>
        <w:t> </w:t>
      </w:r>
      <w:r w:rsidRPr="00390EB1">
        <w:rPr>
          <w:noProof/>
        </w:rPr>
        <w:t xml:space="preserve">billion), </w:t>
      </w:r>
      <w:r w:rsidR="542E0AA2" w:rsidRPr="00390EB1">
        <w:rPr>
          <w:noProof/>
        </w:rPr>
        <w:t>the MFF</w:t>
      </w:r>
      <w:r w:rsidRPr="00390EB1">
        <w:rPr>
          <w:noProof/>
        </w:rPr>
        <w:t xml:space="preserve"> 2021-2027 payment ceiling is expected to cater for the </w:t>
      </w:r>
      <w:r w:rsidR="5A2F1EFA" w:rsidRPr="00390EB1">
        <w:rPr>
          <w:noProof/>
        </w:rPr>
        <w:t xml:space="preserve">total </w:t>
      </w:r>
      <w:r w:rsidRPr="00390EB1">
        <w:rPr>
          <w:noProof/>
        </w:rPr>
        <w:t>expected payments</w:t>
      </w:r>
      <w:r w:rsidR="3238D0C6" w:rsidRPr="00390EB1">
        <w:rPr>
          <w:noProof/>
        </w:rPr>
        <w:t>.</w:t>
      </w:r>
      <w:r w:rsidR="7C80859C" w:rsidRPr="00390EB1">
        <w:rPr>
          <w:noProof/>
        </w:rPr>
        <w:t xml:space="preserve"> </w:t>
      </w:r>
      <w:r w:rsidR="006F4FD8">
        <w:rPr>
          <w:noProof/>
        </w:rPr>
        <w:t>Particularly as a result of the mid-term revision of the MFF, the</w:t>
      </w:r>
      <w:r w:rsidR="00D14293">
        <w:rPr>
          <w:noProof/>
        </w:rPr>
        <w:t>re appears to be no</w:t>
      </w:r>
      <w:r w:rsidR="006F4FD8">
        <w:rPr>
          <w:noProof/>
        </w:rPr>
        <w:t xml:space="preserve"> risk of an abnormal backlog during the remainder of the MFF </w:t>
      </w:r>
      <w:r w:rsidR="00B67B1F">
        <w:rPr>
          <w:noProof/>
        </w:rPr>
        <w:t>at current implementation forecast</w:t>
      </w:r>
      <w:r w:rsidR="006A3C4B">
        <w:rPr>
          <w:noProof/>
        </w:rPr>
        <w:t>.</w:t>
      </w:r>
    </w:p>
    <w:p w14:paraId="25C7786E" w14:textId="727E1AAF" w:rsidR="009F2F6E" w:rsidRPr="006F4008" w:rsidRDefault="003B6DC2" w:rsidP="624BAA84">
      <w:pPr>
        <w:spacing w:after="120" w:line="276" w:lineRule="auto"/>
        <w:jc w:val="both"/>
        <w:rPr>
          <w:rStyle w:val="amprcharCharttitle"/>
          <w:noProof/>
        </w:rPr>
      </w:pPr>
      <w:r w:rsidRPr="006F4008">
        <w:rPr>
          <w:rStyle w:val="amprcharCharttitle"/>
          <w:noProof/>
        </w:rPr>
        <w:t xml:space="preserve">Chart </w:t>
      </w:r>
      <w:r w:rsidRPr="006F4008">
        <w:rPr>
          <w:rStyle w:val="amprcharCharttitle"/>
          <w:noProof/>
        </w:rPr>
        <w:fldChar w:fldCharType="begin"/>
      </w:r>
      <w:r w:rsidRPr="006F4008">
        <w:rPr>
          <w:rStyle w:val="amprcharCharttitle"/>
          <w:noProof/>
        </w:rPr>
        <w:instrText xml:space="preserve"> SEQ Chart \* ARABIC </w:instrText>
      </w:r>
      <w:r w:rsidRPr="006F4008">
        <w:rPr>
          <w:rStyle w:val="amprcharCharttitle"/>
          <w:noProof/>
        </w:rPr>
        <w:fldChar w:fldCharType="separate"/>
      </w:r>
      <w:r w:rsidR="4542B7EC" w:rsidRPr="006F4008">
        <w:rPr>
          <w:rStyle w:val="amprcharCharttitle"/>
          <w:noProof/>
        </w:rPr>
        <w:t>2</w:t>
      </w:r>
      <w:r w:rsidRPr="006F4008">
        <w:rPr>
          <w:rStyle w:val="amprcharCharttitle"/>
          <w:noProof/>
        </w:rPr>
        <w:fldChar w:fldCharType="end"/>
      </w:r>
      <w:r w:rsidRPr="006F4008">
        <w:rPr>
          <w:rStyle w:val="amprcharCharttitle"/>
          <w:noProof/>
        </w:rPr>
        <w:t xml:space="preserve"> - Payments forecast vs</w:t>
      </w:r>
      <w:r w:rsidR="00613A2E" w:rsidRPr="006F4008">
        <w:rPr>
          <w:rStyle w:val="amprcharCharttitle"/>
          <w:noProof/>
        </w:rPr>
        <w:t>.</w:t>
      </w:r>
      <w:r w:rsidRPr="006F4008">
        <w:rPr>
          <w:rStyle w:val="amprcharCharttitle"/>
          <w:noProof/>
        </w:rPr>
        <w:t xml:space="preserve"> MFF payment ceiling</w:t>
      </w:r>
      <w:r w:rsidR="174B0E90" w:rsidRPr="006F4008">
        <w:rPr>
          <w:rStyle w:val="amprcharCharttitle"/>
          <w:noProof/>
        </w:rPr>
        <w:t xml:space="preserve"> </w:t>
      </w:r>
      <w:r w:rsidR="6870A5D6" w:rsidRPr="006F4008">
        <w:rPr>
          <w:rStyle w:val="amprcharCharttitle"/>
          <w:noProof/>
        </w:rPr>
        <w:t>for the</w:t>
      </w:r>
      <w:r w:rsidR="174B0E90" w:rsidRPr="006F4008">
        <w:rPr>
          <w:rStyle w:val="amprcharCharttitle"/>
          <w:noProof/>
        </w:rPr>
        <w:t xml:space="preserve"> period 202</w:t>
      </w:r>
      <w:r w:rsidR="00380CF9" w:rsidRPr="006F4008">
        <w:rPr>
          <w:rStyle w:val="amprcharCharttitle"/>
          <w:noProof/>
        </w:rPr>
        <w:t>5</w:t>
      </w:r>
      <w:r w:rsidR="174B0E90" w:rsidRPr="006F4008">
        <w:rPr>
          <w:rStyle w:val="amprcharCharttitle"/>
          <w:noProof/>
        </w:rPr>
        <w:t>-20</w:t>
      </w:r>
      <w:r w:rsidR="2A625404" w:rsidRPr="006F4008">
        <w:rPr>
          <w:rStyle w:val="amprcharCharttitle"/>
          <w:noProof/>
        </w:rPr>
        <w:t>2</w:t>
      </w:r>
      <w:r w:rsidR="174B0E90" w:rsidRPr="006F4008">
        <w:rPr>
          <w:rStyle w:val="amprcharCharttitle"/>
          <w:noProof/>
        </w:rPr>
        <w:t>7</w:t>
      </w:r>
    </w:p>
    <w:p w14:paraId="709C4C95" w14:textId="479C771E" w:rsidR="00DB2B03" w:rsidRDefault="0057619D" w:rsidP="00D0100B">
      <w:pPr>
        <w:spacing w:after="120" w:line="276" w:lineRule="auto"/>
        <w:jc w:val="center"/>
        <w:rPr>
          <w:b/>
          <w:bCs/>
          <w:noProof/>
          <w:color w:val="245F95" w:themeColor="text2"/>
          <w:spacing w:val="1"/>
        </w:rPr>
      </w:pPr>
      <w:r>
        <w:rPr>
          <w:noProof/>
          <w:lang w:eastAsia="en-GB"/>
        </w:rPr>
        <w:drawing>
          <wp:inline distT="0" distB="0" distL="0" distR="0" wp14:anchorId="58929430" wp14:editId="0A4BCA8F">
            <wp:extent cx="4343400" cy="2533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43400" cy="2533650"/>
                    </a:xfrm>
                    <a:prstGeom prst="rect">
                      <a:avLst/>
                    </a:prstGeom>
                  </pic:spPr>
                </pic:pic>
              </a:graphicData>
            </a:graphic>
          </wp:inline>
        </w:drawing>
      </w:r>
    </w:p>
    <w:p w14:paraId="5CD79C25" w14:textId="77777777" w:rsidR="00861C1C" w:rsidRPr="00390EB1" w:rsidRDefault="003B6DC2">
      <w:pPr>
        <w:pStyle w:val="amprH3Title2-Numbered-11"/>
        <w:rPr>
          <w:noProof/>
        </w:rPr>
      </w:pPr>
      <w:bookmarkStart w:id="12" w:name="_Toc524523059"/>
      <w:bookmarkStart w:id="13" w:name="_Toc167194510"/>
      <w:r w:rsidRPr="00390EB1">
        <w:rPr>
          <w:noProof/>
        </w:rPr>
        <w:t>Payments</w:t>
      </w:r>
      <w:bookmarkEnd w:id="12"/>
      <w:r w:rsidRPr="00390EB1">
        <w:rPr>
          <w:noProof/>
        </w:rPr>
        <w:t xml:space="preserve"> in relation to the commitments of the 2021-2027 MFF</w:t>
      </w:r>
      <w:bookmarkEnd w:id="13"/>
    </w:p>
    <w:p w14:paraId="568E0E95" w14:textId="26A3F6E6" w:rsidR="00861C1C" w:rsidRPr="00390EB1" w:rsidRDefault="003B6DC2">
      <w:pPr>
        <w:spacing w:after="120" w:line="276" w:lineRule="auto"/>
        <w:jc w:val="both"/>
        <w:rPr>
          <w:noProof/>
        </w:rPr>
      </w:pPr>
      <w:r w:rsidRPr="00390EB1">
        <w:rPr>
          <w:noProof/>
        </w:rPr>
        <w:t xml:space="preserve">Cohesion and the Common Agricultural Policy (CAP) represent more than half of the </w:t>
      </w:r>
      <w:r w:rsidR="003A203D" w:rsidRPr="00390EB1">
        <w:rPr>
          <w:noProof/>
        </w:rPr>
        <w:t>projecte</w:t>
      </w:r>
      <w:r w:rsidRPr="00390EB1">
        <w:rPr>
          <w:noProof/>
        </w:rPr>
        <w:t>d payments stemming from the 2021-2027 MFF. The implementation of these two policies largely drives the estimates of the long-term payment forecast.</w:t>
      </w:r>
    </w:p>
    <w:p w14:paraId="22D24D7C" w14:textId="77777777" w:rsidR="00861C1C" w:rsidRPr="00390EB1" w:rsidRDefault="003B6DC2">
      <w:pPr>
        <w:pStyle w:val="amprH4Subhead1"/>
        <w:rPr>
          <w:noProof/>
        </w:rPr>
      </w:pPr>
      <w:r w:rsidRPr="00390EB1">
        <w:rPr>
          <w:noProof/>
        </w:rPr>
        <w:t>Heading 2a - Cohesion policy</w:t>
      </w:r>
    </w:p>
    <w:p w14:paraId="1515D7FD" w14:textId="5BC4C92E" w:rsidR="0038083E" w:rsidRDefault="007F76EE" w:rsidP="007F76EE">
      <w:pPr>
        <w:spacing w:after="120" w:line="276" w:lineRule="auto"/>
        <w:jc w:val="both"/>
        <w:rPr>
          <w:noProof/>
        </w:rPr>
      </w:pPr>
      <w:bookmarkStart w:id="14" w:name="_Hlk136512092"/>
      <w:r>
        <w:rPr>
          <w:noProof/>
        </w:rPr>
        <w:t>After the approval of all the</w:t>
      </w:r>
      <w:r w:rsidR="00E05849">
        <w:rPr>
          <w:noProof/>
        </w:rPr>
        <w:t xml:space="preserve"> </w:t>
      </w:r>
      <w:r w:rsidR="00191B0A">
        <w:rPr>
          <w:noProof/>
        </w:rPr>
        <w:t>c</w:t>
      </w:r>
      <w:r w:rsidR="00E05849">
        <w:rPr>
          <w:noProof/>
        </w:rPr>
        <w:t>ohesion</w:t>
      </w:r>
      <w:r>
        <w:rPr>
          <w:noProof/>
        </w:rPr>
        <w:t xml:space="preserve"> programmes by the end of 2022, the implementation of the 2021-2027 programmes started </w:t>
      </w:r>
      <w:r w:rsidR="00D623B3">
        <w:rPr>
          <w:noProof/>
        </w:rPr>
        <w:t>in</w:t>
      </w:r>
      <w:r w:rsidR="003B11D5">
        <w:rPr>
          <w:noProof/>
        </w:rPr>
        <w:t xml:space="preserve"> this year</w:t>
      </w:r>
      <w:r w:rsidDel="00CD70E8">
        <w:rPr>
          <w:noProof/>
        </w:rPr>
        <w:t xml:space="preserve"> </w:t>
      </w:r>
      <w:r>
        <w:rPr>
          <w:noProof/>
        </w:rPr>
        <w:t>with the disbursement of the pre-financing for 2021 and 2022, as well as the additional pre-financing for FAST-CARE. In 2023 and 2024, further pre-financing and interim payments are be</w:t>
      </w:r>
      <w:r w:rsidR="007C3CA0">
        <w:rPr>
          <w:noProof/>
        </w:rPr>
        <w:t>ing</w:t>
      </w:r>
      <w:r>
        <w:rPr>
          <w:noProof/>
        </w:rPr>
        <w:t xml:space="preserve"> disbursed, though at slower pace than in the previous programming period. The budget demand of the draft budget for 2025</w:t>
      </w:r>
      <w:r w:rsidR="003B11D5">
        <w:rPr>
          <w:noProof/>
        </w:rPr>
        <w:t>, which is still</w:t>
      </w:r>
      <w:r w:rsidDel="00683DFF">
        <w:rPr>
          <w:noProof/>
        </w:rPr>
        <w:t xml:space="preserve"> </w:t>
      </w:r>
      <w:r>
        <w:rPr>
          <w:noProof/>
        </w:rPr>
        <w:t>below the central scenario proposed</w:t>
      </w:r>
      <w:r w:rsidR="00C00285">
        <w:rPr>
          <w:noProof/>
        </w:rPr>
        <w:t xml:space="preserve"> in the forecast of</w:t>
      </w:r>
      <w:r>
        <w:rPr>
          <w:noProof/>
        </w:rPr>
        <w:t xml:space="preserve"> last year, </w:t>
      </w:r>
      <w:r w:rsidR="003B11D5">
        <w:rPr>
          <w:noProof/>
        </w:rPr>
        <w:t xml:space="preserve">shows </w:t>
      </w:r>
      <w:r>
        <w:rPr>
          <w:noProof/>
        </w:rPr>
        <w:t xml:space="preserve">that the implementation </w:t>
      </w:r>
      <w:r w:rsidR="00C00285">
        <w:rPr>
          <w:noProof/>
        </w:rPr>
        <w:t xml:space="preserve">of </w:t>
      </w:r>
      <w:r w:rsidR="00831F61">
        <w:rPr>
          <w:noProof/>
        </w:rPr>
        <w:t>c</w:t>
      </w:r>
      <w:r w:rsidR="00C00285">
        <w:rPr>
          <w:noProof/>
        </w:rPr>
        <w:t xml:space="preserve">ohesion </w:t>
      </w:r>
      <w:r w:rsidR="00831F61">
        <w:rPr>
          <w:noProof/>
        </w:rPr>
        <w:t>p</w:t>
      </w:r>
      <w:r w:rsidR="00C00285">
        <w:rPr>
          <w:noProof/>
        </w:rPr>
        <w:t xml:space="preserve">olicy is </w:t>
      </w:r>
      <w:r w:rsidR="00502F19">
        <w:rPr>
          <w:noProof/>
        </w:rPr>
        <w:t xml:space="preserve">delayed compared to </w:t>
      </w:r>
      <w:r>
        <w:rPr>
          <w:noProof/>
        </w:rPr>
        <w:t xml:space="preserve">the historic benchmark of the period 2014-2020. </w:t>
      </w:r>
      <w:r w:rsidRPr="00A41F11">
        <w:rPr>
          <w:noProof/>
        </w:rPr>
        <w:t xml:space="preserve">The three </w:t>
      </w:r>
      <w:r w:rsidR="006E1923">
        <w:rPr>
          <w:noProof/>
        </w:rPr>
        <w:t>c</w:t>
      </w:r>
      <w:r w:rsidRPr="00A41F11">
        <w:rPr>
          <w:noProof/>
        </w:rPr>
        <w:t>ohesion fund</w:t>
      </w:r>
      <w:r w:rsidR="00A90683">
        <w:rPr>
          <w:noProof/>
        </w:rPr>
        <w:t>s</w:t>
      </w:r>
      <w:r w:rsidR="00E6478C">
        <w:rPr>
          <w:noProof/>
        </w:rPr>
        <w:t xml:space="preserve"> under heading 2a (the European R</w:t>
      </w:r>
      <w:r w:rsidR="004021E0">
        <w:rPr>
          <w:noProof/>
        </w:rPr>
        <w:t>egional Development Fund, the Cohesion Fund, and the European Social Fund Plus)</w:t>
      </w:r>
      <w:r w:rsidR="00A90683">
        <w:rPr>
          <w:noProof/>
        </w:rPr>
        <w:t xml:space="preserve"> </w:t>
      </w:r>
      <w:r w:rsidRPr="00A41F11">
        <w:rPr>
          <w:noProof/>
        </w:rPr>
        <w:t>accumulate delays compared to the historical profile and the</w:t>
      </w:r>
      <w:r w:rsidRPr="00A41F11" w:rsidDel="00657C07">
        <w:rPr>
          <w:noProof/>
        </w:rPr>
        <w:t xml:space="preserve"> </w:t>
      </w:r>
      <w:r w:rsidRPr="00A41F11">
        <w:rPr>
          <w:noProof/>
        </w:rPr>
        <w:t xml:space="preserve">forecasts </w:t>
      </w:r>
      <w:r w:rsidR="0058670D">
        <w:rPr>
          <w:noProof/>
        </w:rPr>
        <w:t xml:space="preserve">proposed </w:t>
      </w:r>
      <w:r w:rsidRPr="00A41F11">
        <w:rPr>
          <w:noProof/>
        </w:rPr>
        <w:t>last year</w:t>
      </w:r>
      <w:r w:rsidR="00A1058F">
        <w:rPr>
          <w:rStyle w:val="EndnoteReference"/>
          <w:noProof/>
        </w:rPr>
        <w:endnoteReference w:id="20"/>
      </w:r>
      <w:r w:rsidR="006E1923">
        <w:rPr>
          <w:noProof/>
        </w:rPr>
        <w:t>.</w:t>
      </w:r>
      <w:r w:rsidRPr="00A41F11">
        <w:rPr>
          <w:noProof/>
        </w:rPr>
        <w:t xml:space="preserve"> </w:t>
      </w:r>
      <w:r w:rsidR="006E1923">
        <w:rPr>
          <w:noProof/>
        </w:rPr>
        <w:t>I</w:t>
      </w:r>
      <w:r w:rsidRPr="00A41F11">
        <w:rPr>
          <w:noProof/>
        </w:rPr>
        <w:t xml:space="preserve">t is expected that by the end of 2025 the </w:t>
      </w:r>
      <w:r>
        <w:rPr>
          <w:noProof/>
        </w:rPr>
        <w:t>payments</w:t>
      </w:r>
      <w:r w:rsidR="00A90683">
        <w:rPr>
          <w:noProof/>
        </w:rPr>
        <w:t xml:space="preserve"> </w:t>
      </w:r>
      <w:r w:rsidR="009F178A">
        <w:rPr>
          <w:noProof/>
        </w:rPr>
        <w:t>stemming</w:t>
      </w:r>
      <w:r w:rsidR="00A90683">
        <w:rPr>
          <w:noProof/>
        </w:rPr>
        <w:t xml:space="preserve"> </w:t>
      </w:r>
      <w:r w:rsidR="009F178A">
        <w:rPr>
          <w:noProof/>
        </w:rPr>
        <w:t xml:space="preserve">from </w:t>
      </w:r>
      <w:r w:rsidR="00402B08">
        <w:rPr>
          <w:noProof/>
        </w:rPr>
        <w:t>c</w:t>
      </w:r>
      <w:r w:rsidR="002B30E8">
        <w:rPr>
          <w:noProof/>
        </w:rPr>
        <w:t>ohesion</w:t>
      </w:r>
      <w:r w:rsidR="00A90683">
        <w:rPr>
          <w:noProof/>
        </w:rPr>
        <w:t xml:space="preserve"> policy</w:t>
      </w:r>
      <w:r w:rsidRPr="00A41F11" w:rsidDel="001500D7">
        <w:rPr>
          <w:noProof/>
        </w:rPr>
        <w:t xml:space="preserve"> </w:t>
      </w:r>
      <w:r w:rsidR="001500D7">
        <w:rPr>
          <w:noProof/>
        </w:rPr>
        <w:t xml:space="preserve">would be below </w:t>
      </w:r>
      <w:r w:rsidR="0016421D">
        <w:rPr>
          <w:noProof/>
        </w:rPr>
        <w:t xml:space="preserve">the </w:t>
      </w:r>
      <w:r w:rsidRPr="00A41F11">
        <w:rPr>
          <w:noProof/>
        </w:rPr>
        <w:t>previous MFF</w:t>
      </w:r>
      <w:r w:rsidDel="0016421D">
        <w:rPr>
          <w:noProof/>
        </w:rPr>
        <w:t xml:space="preserve"> </w:t>
      </w:r>
      <w:r w:rsidR="006469AE">
        <w:rPr>
          <w:noProof/>
        </w:rPr>
        <w:t>(</w:t>
      </w:r>
      <w:r w:rsidRPr="00A41F11">
        <w:rPr>
          <w:noProof/>
        </w:rPr>
        <w:t>21% in the previous MFF compared to the current rate of 1</w:t>
      </w:r>
      <w:r w:rsidR="00103EBF">
        <w:rPr>
          <w:noProof/>
        </w:rPr>
        <w:t>4</w:t>
      </w:r>
      <w:r w:rsidRPr="00A41F11">
        <w:rPr>
          <w:noProof/>
        </w:rPr>
        <w:t>%</w:t>
      </w:r>
      <w:r w:rsidR="006469AE">
        <w:rPr>
          <w:noProof/>
        </w:rPr>
        <w:t>)</w:t>
      </w:r>
      <w:r w:rsidR="009A1B4B">
        <w:rPr>
          <w:noProof/>
        </w:rPr>
        <w:t>,</w:t>
      </w:r>
      <w:r w:rsidR="00590CDC">
        <w:rPr>
          <w:noProof/>
        </w:rPr>
        <w:t xml:space="preserve"> which </w:t>
      </w:r>
      <w:r w:rsidR="005433D9">
        <w:rPr>
          <w:noProof/>
        </w:rPr>
        <w:t>reflects</w:t>
      </w:r>
      <w:r w:rsidR="00157E6F">
        <w:rPr>
          <w:noProof/>
        </w:rPr>
        <w:t xml:space="preserve"> the</w:t>
      </w:r>
      <w:r w:rsidR="0016421D">
        <w:rPr>
          <w:noProof/>
        </w:rPr>
        <w:t xml:space="preserve"> delayed </w:t>
      </w:r>
      <w:r w:rsidR="00327406">
        <w:rPr>
          <w:noProof/>
        </w:rPr>
        <w:t>approval of the plans</w:t>
      </w:r>
      <w:r w:rsidR="0016421D">
        <w:rPr>
          <w:noProof/>
        </w:rPr>
        <w:t>,</w:t>
      </w:r>
      <w:r w:rsidR="00590CDC">
        <w:rPr>
          <w:noProof/>
        </w:rPr>
        <w:t xml:space="preserve"> </w:t>
      </w:r>
      <w:r>
        <w:rPr>
          <w:noProof/>
        </w:rPr>
        <w:t>national authorities’ efforts to finalise the 2014-2020 programmes</w:t>
      </w:r>
      <w:r w:rsidR="00A771EC">
        <w:rPr>
          <w:noProof/>
        </w:rPr>
        <w:t>,</w:t>
      </w:r>
      <w:r>
        <w:rPr>
          <w:noProof/>
        </w:rPr>
        <w:t xml:space="preserve"> and </w:t>
      </w:r>
      <w:r w:rsidR="00A77333">
        <w:rPr>
          <w:noProof/>
        </w:rPr>
        <w:t xml:space="preserve">the </w:t>
      </w:r>
      <w:r>
        <w:rPr>
          <w:noProof/>
        </w:rPr>
        <w:t>implementation of NextGenerationEU</w:t>
      </w:r>
      <w:r w:rsidR="0038083E">
        <w:rPr>
          <w:noProof/>
        </w:rPr>
        <w:t>.</w:t>
      </w:r>
    </w:p>
    <w:p w14:paraId="1D0F8686" w14:textId="3A7007CA" w:rsidR="007F76EE" w:rsidRDefault="009F132F" w:rsidP="007F76EE">
      <w:pPr>
        <w:spacing w:after="120" w:line="276" w:lineRule="auto"/>
        <w:jc w:val="both"/>
        <w:rPr>
          <w:noProof/>
        </w:rPr>
      </w:pPr>
      <w:r>
        <w:rPr>
          <w:noProof/>
        </w:rPr>
        <w:t>Considering</w:t>
      </w:r>
      <w:r w:rsidR="007F76EE">
        <w:rPr>
          <w:noProof/>
        </w:rPr>
        <w:t xml:space="preserve"> the latest information on implementation, it is assumed that Members States will speed up implementation in 2026 compared to 2025</w:t>
      </w:r>
      <w:r w:rsidR="007F76EE" w:rsidDel="00BA5226">
        <w:rPr>
          <w:noProof/>
        </w:rPr>
        <w:t xml:space="preserve"> </w:t>
      </w:r>
      <w:r w:rsidR="007F76EE">
        <w:rPr>
          <w:noProof/>
        </w:rPr>
        <w:t xml:space="preserve">to catch up and thus reduce the risk of decommitments. </w:t>
      </w:r>
      <w:r w:rsidR="00B9025F">
        <w:rPr>
          <w:noProof/>
        </w:rPr>
        <w:t>I</w:t>
      </w:r>
      <w:r w:rsidR="007F76EE">
        <w:rPr>
          <w:noProof/>
        </w:rPr>
        <w:t xml:space="preserve">t is assumed that </w:t>
      </w:r>
      <w:r w:rsidR="007F76EE" w:rsidRPr="00FE55D3">
        <w:rPr>
          <w:noProof/>
        </w:rPr>
        <w:t xml:space="preserve">the submission of payment claims </w:t>
      </w:r>
      <w:r w:rsidR="00746977">
        <w:rPr>
          <w:noProof/>
        </w:rPr>
        <w:t>would</w:t>
      </w:r>
      <w:r w:rsidR="007F76EE" w:rsidRPr="00FE55D3">
        <w:rPr>
          <w:noProof/>
        </w:rPr>
        <w:t xml:space="preserve"> reach the historical profile </w:t>
      </w:r>
      <w:r w:rsidR="00B9025F">
        <w:rPr>
          <w:noProof/>
        </w:rPr>
        <w:t>in 2027</w:t>
      </w:r>
      <w:r w:rsidR="007F76EE" w:rsidRPr="00FE55D3">
        <w:rPr>
          <w:noProof/>
        </w:rPr>
        <w:t xml:space="preserve"> and the cruising speed in 2028</w:t>
      </w:r>
      <w:r w:rsidR="007F76EE">
        <w:rPr>
          <w:noProof/>
        </w:rPr>
        <w:t xml:space="preserve"> and </w:t>
      </w:r>
      <w:r w:rsidR="007F76EE" w:rsidRPr="00FE55D3">
        <w:rPr>
          <w:noProof/>
        </w:rPr>
        <w:t xml:space="preserve">2029. This </w:t>
      </w:r>
      <w:r w:rsidR="007F76EE">
        <w:rPr>
          <w:noProof/>
        </w:rPr>
        <w:t xml:space="preserve">forecast </w:t>
      </w:r>
      <w:r w:rsidR="009830A1">
        <w:rPr>
          <w:noProof/>
        </w:rPr>
        <w:t xml:space="preserve">also </w:t>
      </w:r>
      <w:r w:rsidR="007F76EE" w:rsidRPr="00FE55D3">
        <w:rPr>
          <w:noProof/>
        </w:rPr>
        <w:t>considers the impact of STEP</w:t>
      </w:r>
      <w:r w:rsidR="00110887">
        <w:rPr>
          <w:noProof/>
        </w:rPr>
        <w:t xml:space="preserve"> equivalent to an uptake of 2.5%. EUR</w:t>
      </w:r>
      <w:r w:rsidR="008D5210">
        <w:rPr>
          <w:rFonts w:ascii="Calibri" w:hAnsi="Calibri" w:cs="Calibri"/>
          <w:noProof/>
        </w:rPr>
        <w:t> </w:t>
      </w:r>
      <w:r w:rsidR="00110887">
        <w:rPr>
          <w:noProof/>
        </w:rPr>
        <w:t>2.7</w:t>
      </w:r>
      <w:r w:rsidR="008D5210">
        <w:rPr>
          <w:rFonts w:ascii="Calibri" w:hAnsi="Calibri" w:cs="Calibri"/>
          <w:noProof/>
        </w:rPr>
        <w:t> </w:t>
      </w:r>
      <w:r w:rsidR="00110887">
        <w:rPr>
          <w:noProof/>
        </w:rPr>
        <w:t xml:space="preserve">billion </w:t>
      </w:r>
      <w:r w:rsidR="00110887" w:rsidRPr="00FE55D3">
        <w:rPr>
          <w:noProof/>
        </w:rPr>
        <w:t>(30% of the total STEP</w:t>
      </w:r>
      <w:r w:rsidR="00F27AA3">
        <w:rPr>
          <w:noProof/>
        </w:rPr>
        <w:t xml:space="preserve"> </w:t>
      </w:r>
      <w:r w:rsidR="0038406F">
        <w:rPr>
          <w:noProof/>
        </w:rPr>
        <w:t>programmed</w:t>
      </w:r>
      <w:r w:rsidR="00110887" w:rsidRPr="00FE55D3">
        <w:rPr>
          <w:noProof/>
        </w:rPr>
        <w:t xml:space="preserve"> </w:t>
      </w:r>
      <w:r w:rsidR="00110887" w:rsidRPr="00FE55D3" w:rsidDel="00BB2373">
        <w:rPr>
          <w:noProof/>
        </w:rPr>
        <w:t>amounts)</w:t>
      </w:r>
      <w:r w:rsidR="00110887" w:rsidDel="00BB2373">
        <w:rPr>
          <w:noProof/>
        </w:rPr>
        <w:t xml:space="preserve"> </w:t>
      </w:r>
      <w:r w:rsidR="00BB2373">
        <w:rPr>
          <w:noProof/>
        </w:rPr>
        <w:t>in</w:t>
      </w:r>
      <w:r w:rsidR="009830A1">
        <w:rPr>
          <w:noProof/>
        </w:rPr>
        <w:t xml:space="preserve"> </w:t>
      </w:r>
      <w:r w:rsidR="007F76EE" w:rsidRPr="00FE55D3">
        <w:rPr>
          <w:noProof/>
        </w:rPr>
        <w:t xml:space="preserve">pre-financing </w:t>
      </w:r>
      <w:r w:rsidR="00110887">
        <w:rPr>
          <w:noProof/>
        </w:rPr>
        <w:t xml:space="preserve">is </w:t>
      </w:r>
      <w:r w:rsidR="007F76EE" w:rsidRPr="00FE55D3">
        <w:rPr>
          <w:noProof/>
        </w:rPr>
        <w:t>estimated</w:t>
      </w:r>
      <w:r w:rsidR="00430643">
        <w:rPr>
          <w:noProof/>
        </w:rPr>
        <w:t xml:space="preserve"> to be paid in</w:t>
      </w:r>
      <w:r w:rsidR="007F76EE" w:rsidRPr="00FE55D3">
        <w:rPr>
          <w:noProof/>
        </w:rPr>
        <w:t xml:space="preserve"> </w:t>
      </w:r>
      <w:r w:rsidR="00110887">
        <w:rPr>
          <w:noProof/>
        </w:rPr>
        <w:t>2025</w:t>
      </w:r>
      <w:r w:rsidR="007F76EE" w:rsidRPr="00FE55D3">
        <w:rPr>
          <w:noProof/>
        </w:rPr>
        <w:t xml:space="preserve">. The forecast </w:t>
      </w:r>
      <w:r w:rsidR="2A77D603" w:rsidRPr="00FE55D3">
        <w:rPr>
          <w:noProof/>
        </w:rPr>
        <w:t>assumes</w:t>
      </w:r>
      <w:r w:rsidR="007F76EE" w:rsidRPr="00FE55D3">
        <w:rPr>
          <w:noProof/>
        </w:rPr>
        <w:t xml:space="preserve"> that STEP</w:t>
      </w:r>
      <w:r w:rsidR="00000084">
        <w:rPr>
          <w:noProof/>
        </w:rPr>
        <w:t xml:space="preserve"> </w:t>
      </w:r>
      <w:r w:rsidR="001C3113">
        <w:rPr>
          <w:noProof/>
        </w:rPr>
        <w:t xml:space="preserve">will </w:t>
      </w:r>
      <w:r w:rsidR="2FF25875">
        <w:rPr>
          <w:noProof/>
        </w:rPr>
        <w:t xml:space="preserve">have an impact </w:t>
      </w:r>
      <w:r w:rsidR="69551CD2">
        <w:rPr>
          <w:noProof/>
        </w:rPr>
        <w:t xml:space="preserve">on </w:t>
      </w:r>
      <w:r w:rsidR="001C3113">
        <w:rPr>
          <w:noProof/>
        </w:rPr>
        <w:t>ERDF, ESF</w:t>
      </w:r>
      <w:r w:rsidR="006D2B89">
        <w:rPr>
          <w:noProof/>
        </w:rPr>
        <w:t>+ and CF</w:t>
      </w:r>
      <w:r w:rsidR="00EA7D7A">
        <w:rPr>
          <w:noProof/>
        </w:rPr>
        <w:t xml:space="preserve">, </w:t>
      </w:r>
      <w:r w:rsidR="006D2B89">
        <w:rPr>
          <w:noProof/>
        </w:rPr>
        <w:t xml:space="preserve">and </w:t>
      </w:r>
      <w:r w:rsidR="00B5301D">
        <w:rPr>
          <w:noProof/>
        </w:rPr>
        <w:t>a</w:t>
      </w:r>
      <w:r w:rsidR="007F76EE" w:rsidRPr="00FE55D3">
        <w:rPr>
          <w:noProof/>
        </w:rPr>
        <w:t xml:space="preserve"> full implementation</w:t>
      </w:r>
      <w:r w:rsidR="008371A8">
        <w:rPr>
          <w:noProof/>
        </w:rPr>
        <w:t xml:space="preserve"> of the total funding </w:t>
      </w:r>
      <w:r w:rsidR="001B5AC4">
        <w:rPr>
          <w:noProof/>
        </w:rPr>
        <w:t xml:space="preserve">programmed </w:t>
      </w:r>
      <w:r w:rsidR="00F27AA3">
        <w:rPr>
          <w:noProof/>
        </w:rPr>
        <w:t>for STEP</w:t>
      </w:r>
      <w:r w:rsidR="007F76EE" w:rsidRPr="00FE55D3">
        <w:rPr>
          <w:noProof/>
        </w:rPr>
        <w:t xml:space="preserve"> in</w:t>
      </w:r>
      <w:r w:rsidR="00C4133C">
        <w:rPr>
          <w:noProof/>
        </w:rPr>
        <w:t xml:space="preserve"> a shorter time-span of</w:t>
      </w:r>
      <w:r w:rsidR="007F76EE" w:rsidRPr="00FE55D3">
        <w:rPr>
          <w:noProof/>
        </w:rPr>
        <w:t xml:space="preserve"> five years (from 2026 to 2030)</w:t>
      </w:r>
      <w:r w:rsidR="00EA7D7A">
        <w:rPr>
          <w:noProof/>
        </w:rPr>
        <w:t xml:space="preserve"> compared to the historical profile for these funds.</w:t>
      </w:r>
      <w:bookmarkStart w:id="15" w:name="_Hlk164443149"/>
    </w:p>
    <w:bookmarkEnd w:id="15"/>
    <w:p w14:paraId="18C6204C" w14:textId="031099A3" w:rsidR="007F76EE" w:rsidRDefault="006B5601" w:rsidP="007F76EE">
      <w:pPr>
        <w:spacing w:after="120" w:line="276" w:lineRule="auto"/>
        <w:jc w:val="both"/>
        <w:rPr>
          <w:noProof/>
        </w:rPr>
      </w:pPr>
      <w:r w:rsidRPr="0050317D">
        <w:rPr>
          <w:noProof/>
        </w:rPr>
        <w:t>T</w:t>
      </w:r>
      <w:r w:rsidR="007F76EE" w:rsidRPr="0050317D">
        <w:rPr>
          <w:noProof/>
        </w:rPr>
        <w:t>his forecast</w:t>
      </w:r>
      <w:r w:rsidR="00276B24" w:rsidRPr="0050317D">
        <w:rPr>
          <w:noProof/>
        </w:rPr>
        <w:t xml:space="preserve"> </w:t>
      </w:r>
      <w:r w:rsidR="007F76EE" w:rsidRPr="0050317D">
        <w:rPr>
          <w:noProof/>
        </w:rPr>
        <w:t>assume</w:t>
      </w:r>
      <w:r w:rsidR="00276B24" w:rsidRPr="0050317D">
        <w:rPr>
          <w:noProof/>
        </w:rPr>
        <w:t>s</w:t>
      </w:r>
      <w:r w:rsidR="007F76EE" w:rsidRPr="0050317D">
        <w:rPr>
          <w:noProof/>
        </w:rPr>
        <w:t xml:space="preserve"> that </w:t>
      </w:r>
      <w:r w:rsidR="007F76EE">
        <w:rPr>
          <w:noProof/>
        </w:rPr>
        <w:t>Member States will use all the available possibilities to avoid decommitments</w:t>
      </w:r>
      <w:r w:rsidR="00C03B43">
        <w:rPr>
          <w:noProof/>
        </w:rPr>
        <w:t>,</w:t>
      </w:r>
      <w:r w:rsidR="007F76EE">
        <w:rPr>
          <w:noProof/>
        </w:rPr>
        <w:t xml:space="preserve"> given </w:t>
      </w:r>
      <w:r w:rsidR="00C03B43">
        <w:rPr>
          <w:noProof/>
        </w:rPr>
        <w:t xml:space="preserve">protracted </w:t>
      </w:r>
      <w:r w:rsidR="00A434B1">
        <w:rPr>
          <w:noProof/>
        </w:rPr>
        <w:t xml:space="preserve">delays </w:t>
      </w:r>
      <w:r w:rsidR="00C03B43">
        <w:rPr>
          <w:noProof/>
        </w:rPr>
        <w:t xml:space="preserve">when </w:t>
      </w:r>
      <w:r w:rsidR="00A434B1">
        <w:rPr>
          <w:noProof/>
        </w:rPr>
        <w:t>compared</w:t>
      </w:r>
      <w:r w:rsidR="000504A1">
        <w:rPr>
          <w:noProof/>
        </w:rPr>
        <w:t xml:space="preserve"> to </w:t>
      </w:r>
      <w:r w:rsidR="007F76EE">
        <w:rPr>
          <w:noProof/>
        </w:rPr>
        <w:t xml:space="preserve">last year’s report. The forecast projects that Member States will submit substantial payment claims by the end of the year to be processed in the following one. This submission of payment claims would reduce the </w:t>
      </w:r>
      <w:r w:rsidR="30F196AC">
        <w:rPr>
          <w:noProof/>
        </w:rPr>
        <w:t>risk of decommitments.</w:t>
      </w:r>
      <w:r w:rsidR="00525300">
        <w:rPr>
          <w:noProof/>
        </w:rPr>
        <w:t xml:space="preserve"> </w:t>
      </w:r>
      <w:r w:rsidR="007F76EE">
        <w:rPr>
          <w:noProof/>
        </w:rPr>
        <w:t xml:space="preserve">The forecast payments for the 2021-2027 cohesion policy programmes under the </w:t>
      </w:r>
      <w:r w:rsidR="007F76EE" w:rsidRPr="0050317D">
        <w:rPr>
          <w:noProof/>
          <w:sz w:val="22"/>
        </w:rPr>
        <w:t>scenario</w:t>
      </w:r>
      <w:r w:rsidR="006C5E4C" w:rsidRPr="0050317D">
        <w:rPr>
          <w:noProof/>
          <w:sz w:val="22"/>
        </w:rPr>
        <w:t xml:space="preserve"> proposed in this forecast</w:t>
      </w:r>
      <w:r w:rsidR="007F76EE">
        <w:rPr>
          <w:noProof/>
        </w:rPr>
        <w:t xml:space="preserve"> amount to </w:t>
      </w:r>
      <w:r w:rsidR="007F76EE" w:rsidRPr="002A70A4">
        <w:rPr>
          <w:noProof/>
        </w:rPr>
        <w:t>EUR</w:t>
      </w:r>
      <w:r w:rsidR="00F9225C" w:rsidRPr="002A70A4">
        <w:rPr>
          <w:rFonts w:ascii="Calibri" w:hAnsi="Calibri" w:cs="Calibri"/>
          <w:noProof/>
        </w:rPr>
        <w:t> </w:t>
      </w:r>
      <w:r w:rsidR="00F9225C" w:rsidRPr="002A70A4">
        <w:rPr>
          <w:noProof/>
        </w:rPr>
        <w:t>2</w:t>
      </w:r>
      <w:r w:rsidR="00AB4A8A">
        <w:rPr>
          <w:noProof/>
        </w:rPr>
        <w:t>78</w:t>
      </w:r>
      <w:r w:rsidR="00F9225C" w:rsidRPr="002A70A4">
        <w:rPr>
          <w:rFonts w:ascii="Calibri" w:hAnsi="Calibri" w:cs="Calibri"/>
          <w:noProof/>
        </w:rPr>
        <w:t> </w:t>
      </w:r>
      <w:r w:rsidR="007F76EE" w:rsidRPr="002A70A4">
        <w:rPr>
          <w:noProof/>
        </w:rPr>
        <w:t>billion</w:t>
      </w:r>
      <w:r w:rsidR="007F76EE">
        <w:rPr>
          <w:noProof/>
        </w:rPr>
        <w:t xml:space="preserve"> for the period 2025-2029, while last year’s forecast for the period 2024-2028 was</w:t>
      </w:r>
      <w:r w:rsidR="00340465">
        <w:rPr>
          <w:noProof/>
        </w:rPr>
        <w:t xml:space="preserve"> estimated at</w:t>
      </w:r>
      <w:r w:rsidR="007F76EE">
        <w:rPr>
          <w:noProof/>
        </w:rPr>
        <w:t xml:space="preserve"> EUR</w:t>
      </w:r>
      <w:r w:rsidR="00B71047">
        <w:rPr>
          <w:rFonts w:ascii="Calibri" w:hAnsi="Calibri" w:cs="Calibri"/>
          <w:noProof/>
        </w:rPr>
        <w:t> </w:t>
      </w:r>
      <w:r w:rsidR="007170DD">
        <w:rPr>
          <w:noProof/>
        </w:rPr>
        <w:t>2</w:t>
      </w:r>
      <w:r w:rsidR="00884FD0">
        <w:rPr>
          <w:noProof/>
        </w:rPr>
        <w:t>20</w:t>
      </w:r>
      <w:r w:rsidR="00B71047">
        <w:rPr>
          <w:rFonts w:ascii="Calibri" w:hAnsi="Calibri" w:cs="Calibri"/>
          <w:noProof/>
        </w:rPr>
        <w:t> </w:t>
      </w:r>
      <w:r w:rsidR="007F76EE">
        <w:rPr>
          <w:noProof/>
        </w:rPr>
        <w:t xml:space="preserve">billion. </w:t>
      </w:r>
      <w:r w:rsidR="00D03B59">
        <w:rPr>
          <w:noProof/>
        </w:rPr>
        <w:t xml:space="preserve">Comparing the same period, i.e. </w:t>
      </w:r>
      <w:r w:rsidR="007F76EE">
        <w:rPr>
          <w:noProof/>
        </w:rPr>
        <w:t>for the years 2024-2028</w:t>
      </w:r>
      <w:r w:rsidR="00D03B59">
        <w:rPr>
          <w:noProof/>
        </w:rPr>
        <w:t xml:space="preserve">, </w:t>
      </w:r>
      <w:r w:rsidR="002C4043">
        <w:rPr>
          <w:noProof/>
        </w:rPr>
        <w:t>this year</w:t>
      </w:r>
      <w:r w:rsidR="00B21F9E">
        <w:rPr>
          <w:noProof/>
        </w:rPr>
        <w:t>’s</w:t>
      </w:r>
      <w:r w:rsidR="002C4043">
        <w:rPr>
          <w:noProof/>
        </w:rPr>
        <w:t xml:space="preserve"> forecast </w:t>
      </w:r>
      <w:r w:rsidR="00981217">
        <w:rPr>
          <w:noProof/>
        </w:rPr>
        <w:t xml:space="preserve">estimates </w:t>
      </w:r>
      <w:r w:rsidR="002C4043">
        <w:rPr>
          <w:noProof/>
        </w:rPr>
        <w:t xml:space="preserve">payments amounting to </w:t>
      </w:r>
      <w:r w:rsidR="007F76EE" w:rsidRPr="002A70A4">
        <w:rPr>
          <w:noProof/>
        </w:rPr>
        <w:t>EUR</w:t>
      </w:r>
      <w:r w:rsidR="00874ED8">
        <w:rPr>
          <w:rFonts w:ascii="Calibri" w:hAnsi="Calibri" w:cs="Calibri"/>
          <w:noProof/>
        </w:rPr>
        <w:t> </w:t>
      </w:r>
      <w:r w:rsidR="007F76EE" w:rsidRPr="002A70A4">
        <w:rPr>
          <w:noProof/>
        </w:rPr>
        <w:t>2</w:t>
      </w:r>
      <w:r w:rsidR="00874ED8">
        <w:rPr>
          <w:noProof/>
        </w:rPr>
        <w:t>1</w:t>
      </w:r>
      <w:r w:rsidR="00731BA8">
        <w:rPr>
          <w:noProof/>
        </w:rPr>
        <w:t>6</w:t>
      </w:r>
      <w:r w:rsidR="00874ED8">
        <w:rPr>
          <w:rFonts w:ascii="Calibri" w:hAnsi="Calibri" w:cs="Calibri"/>
          <w:noProof/>
        </w:rPr>
        <w:t> </w:t>
      </w:r>
      <w:r w:rsidR="007F76EE" w:rsidRPr="002A70A4">
        <w:rPr>
          <w:noProof/>
        </w:rPr>
        <w:t>billion</w:t>
      </w:r>
      <w:r w:rsidR="007F76EE">
        <w:rPr>
          <w:noProof/>
        </w:rPr>
        <w:t xml:space="preserve">, confirming </w:t>
      </w:r>
      <w:r w:rsidR="00397B49">
        <w:rPr>
          <w:noProof/>
        </w:rPr>
        <w:t xml:space="preserve">the </w:t>
      </w:r>
      <w:r w:rsidR="007F76EE">
        <w:rPr>
          <w:noProof/>
        </w:rPr>
        <w:t>delay</w:t>
      </w:r>
      <w:r w:rsidR="00397B49">
        <w:rPr>
          <w:noProof/>
        </w:rPr>
        <w:t xml:space="preserve"> in </w:t>
      </w:r>
      <w:r w:rsidR="00553913">
        <w:rPr>
          <w:noProof/>
        </w:rPr>
        <w:t xml:space="preserve">implementation, </w:t>
      </w:r>
      <w:r w:rsidR="00D03B59">
        <w:rPr>
          <w:noProof/>
        </w:rPr>
        <w:t xml:space="preserve">despite the mitigating impact of </w:t>
      </w:r>
      <w:r w:rsidR="00553913">
        <w:rPr>
          <w:noProof/>
        </w:rPr>
        <w:t>STEP</w:t>
      </w:r>
      <w:r w:rsidR="007F76EE">
        <w:rPr>
          <w:noProof/>
        </w:rPr>
        <w:t xml:space="preserve">. </w:t>
      </w:r>
    </w:p>
    <w:p w14:paraId="08F011FD" w14:textId="6637754F" w:rsidR="00861C1C" w:rsidRPr="00390EB1" w:rsidRDefault="004706E7" w:rsidP="002E015A">
      <w:pPr>
        <w:spacing w:after="120" w:line="276" w:lineRule="auto"/>
        <w:jc w:val="both"/>
        <w:rPr>
          <w:noProof/>
        </w:rPr>
      </w:pPr>
      <w:r>
        <w:rPr>
          <w:noProof/>
        </w:rPr>
        <w:t>The current forecast implies</w:t>
      </w:r>
      <w:r w:rsidR="007F76EE">
        <w:rPr>
          <w:noProof/>
        </w:rPr>
        <w:t xml:space="preserve"> substantial decommitments as of 202</w:t>
      </w:r>
      <w:r w:rsidR="00140F3D">
        <w:rPr>
          <w:noProof/>
        </w:rPr>
        <w:t>7</w:t>
      </w:r>
      <w:r w:rsidR="006E6FE4">
        <w:rPr>
          <w:noProof/>
        </w:rPr>
        <w:t xml:space="preserve">, </w:t>
      </w:r>
      <w:r w:rsidR="007F76EE">
        <w:rPr>
          <w:noProof/>
        </w:rPr>
        <w:t xml:space="preserve">unless Member States undertake additional efforts to catch up with the implementation gap see section 2.3 on decommitments also considering the </w:t>
      </w:r>
      <w:r w:rsidR="009E0F22">
        <w:rPr>
          <w:noProof/>
        </w:rPr>
        <w:t xml:space="preserve">impact of </w:t>
      </w:r>
      <w:r w:rsidR="007F76EE">
        <w:rPr>
          <w:noProof/>
        </w:rPr>
        <w:t>STEP implementation. To avoid this risk, Member States need to implement in the next years at a much faster pace than in the period 2014-2020.</w:t>
      </w:r>
    </w:p>
    <w:p w14:paraId="5B5D7E13" w14:textId="3909E79F" w:rsidR="00861C1C" w:rsidRPr="00390EB1" w:rsidRDefault="2A67BF04">
      <w:pPr>
        <w:pStyle w:val="amprH4Subhead1"/>
        <w:rPr>
          <w:noProof/>
        </w:rPr>
      </w:pPr>
      <w:r w:rsidRPr="00390EB1">
        <w:rPr>
          <w:noProof/>
        </w:rPr>
        <w:t>Heading 3 - Common Agricultural Policy (CAP)</w:t>
      </w:r>
      <w:r w:rsidR="63BA40B4" w:rsidRPr="00390EB1">
        <w:rPr>
          <w:noProof/>
        </w:rPr>
        <w:t xml:space="preserve"> and Just </w:t>
      </w:r>
      <w:r w:rsidR="00681876" w:rsidRPr="00390EB1">
        <w:rPr>
          <w:noProof/>
        </w:rPr>
        <w:t>Transition</w:t>
      </w:r>
      <w:r w:rsidR="63BA40B4" w:rsidRPr="00390EB1">
        <w:rPr>
          <w:noProof/>
        </w:rPr>
        <w:t xml:space="preserve"> Fund </w:t>
      </w:r>
    </w:p>
    <w:p w14:paraId="2CBA95BD" w14:textId="78973347" w:rsidR="00861C1C" w:rsidRPr="00390EB1" w:rsidRDefault="2A67BF04">
      <w:pPr>
        <w:spacing w:after="120" w:line="276" w:lineRule="auto"/>
        <w:jc w:val="both"/>
        <w:rPr>
          <w:noProof/>
        </w:rPr>
      </w:pPr>
      <w:r w:rsidRPr="00390EB1">
        <w:rPr>
          <w:noProof/>
        </w:rPr>
        <w:t>The payments forecast for the Pillar I of the CAP, market</w:t>
      </w:r>
      <w:r w:rsidR="008D218D">
        <w:rPr>
          <w:noProof/>
        </w:rPr>
        <w:t>-</w:t>
      </w:r>
      <w:r w:rsidRPr="00390EB1">
        <w:rPr>
          <w:noProof/>
        </w:rPr>
        <w:t>related expenditure and direct payments, amounts to EUR</w:t>
      </w:r>
      <w:r w:rsidR="00A0365D">
        <w:rPr>
          <w:rFonts w:ascii="Calibri" w:hAnsi="Calibri" w:cs="Calibri"/>
          <w:noProof/>
        </w:rPr>
        <w:t> </w:t>
      </w:r>
      <w:r w:rsidRPr="00390EB1">
        <w:rPr>
          <w:noProof/>
        </w:rPr>
        <w:t>1</w:t>
      </w:r>
      <w:r w:rsidR="00420A13">
        <w:rPr>
          <w:noProof/>
        </w:rPr>
        <w:t>22</w:t>
      </w:r>
      <w:r w:rsidRPr="00390EB1">
        <w:rPr>
          <w:noProof/>
        </w:rPr>
        <w:t xml:space="preserve"> billion over 202</w:t>
      </w:r>
      <w:r w:rsidR="00855271">
        <w:rPr>
          <w:noProof/>
        </w:rPr>
        <w:t>5</w:t>
      </w:r>
      <w:r w:rsidRPr="00390EB1">
        <w:rPr>
          <w:noProof/>
        </w:rPr>
        <w:t>-2027</w:t>
      </w:r>
      <w:r w:rsidR="008D218D">
        <w:rPr>
          <w:noProof/>
        </w:rPr>
        <w:t>,</w:t>
      </w:r>
      <w:r w:rsidRPr="00390EB1">
        <w:rPr>
          <w:noProof/>
        </w:rPr>
        <w:t xml:space="preserve"> reflecting the most recent financial programming.</w:t>
      </w:r>
    </w:p>
    <w:p w14:paraId="0D0F50A6" w14:textId="1EDFBF50" w:rsidR="00861C1C" w:rsidRPr="00390EB1" w:rsidRDefault="2A67BF04">
      <w:pPr>
        <w:spacing w:after="120" w:line="276" w:lineRule="auto"/>
        <w:jc w:val="both"/>
        <w:rPr>
          <w:noProof/>
        </w:rPr>
      </w:pPr>
      <w:r w:rsidRPr="00390EB1">
        <w:rPr>
          <w:noProof/>
        </w:rPr>
        <w:t>Following the submission and approval of all the CAP Strategic Plans, the implementation of</w:t>
      </w:r>
      <w:r w:rsidR="001151CE">
        <w:rPr>
          <w:noProof/>
        </w:rPr>
        <w:t xml:space="preserve"> </w:t>
      </w:r>
      <w:r w:rsidR="007715BF">
        <w:rPr>
          <w:noProof/>
        </w:rPr>
        <w:t xml:space="preserve">Pillar II </w:t>
      </w:r>
      <w:r w:rsidR="00454E3A">
        <w:rPr>
          <w:noProof/>
        </w:rPr>
        <w:t xml:space="preserve">– </w:t>
      </w:r>
      <w:r w:rsidRPr="00390EB1">
        <w:rPr>
          <w:noProof/>
        </w:rPr>
        <w:t xml:space="preserve">the European Agricultural Fund for Rural Development (EAFRD) </w:t>
      </w:r>
      <w:r w:rsidR="00454E3A">
        <w:rPr>
          <w:noProof/>
        </w:rPr>
        <w:t>–</w:t>
      </w:r>
      <w:r w:rsidR="007715BF">
        <w:rPr>
          <w:noProof/>
        </w:rPr>
        <w:t xml:space="preserve"> under</w:t>
      </w:r>
      <w:r w:rsidR="00454E3A">
        <w:rPr>
          <w:noProof/>
        </w:rPr>
        <w:t xml:space="preserve"> </w:t>
      </w:r>
      <w:r w:rsidRPr="00390EB1">
        <w:rPr>
          <w:noProof/>
        </w:rPr>
        <w:t xml:space="preserve">the 2023-2027 </w:t>
      </w:r>
      <w:r w:rsidR="007715BF">
        <w:rPr>
          <w:noProof/>
        </w:rPr>
        <w:t>CAP</w:t>
      </w:r>
      <w:r w:rsidR="007715BF" w:rsidRPr="00390EB1">
        <w:rPr>
          <w:noProof/>
        </w:rPr>
        <w:t xml:space="preserve"> </w:t>
      </w:r>
      <w:r w:rsidRPr="00390EB1">
        <w:rPr>
          <w:noProof/>
        </w:rPr>
        <w:t xml:space="preserve">started on time. The transitional provisions extending the 2014-2020 programmes </w:t>
      </w:r>
      <w:r w:rsidR="00285268">
        <w:rPr>
          <w:noProof/>
        </w:rPr>
        <w:t xml:space="preserve">up to 2022 </w:t>
      </w:r>
      <w:r w:rsidRPr="00390EB1">
        <w:rPr>
          <w:noProof/>
        </w:rPr>
        <w:t>allowed the continuation of the</w:t>
      </w:r>
      <w:r w:rsidR="009E78E4">
        <w:rPr>
          <w:noProof/>
        </w:rPr>
        <w:t>ir</w:t>
      </w:r>
      <w:r w:rsidRPr="00390EB1">
        <w:rPr>
          <w:noProof/>
        </w:rPr>
        <w:t xml:space="preserve"> implementation </w:t>
      </w:r>
      <w:r w:rsidR="009E78E4">
        <w:rPr>
          <w:noProof/>
        </w:rPr>
        <w:t>under the n+3 rule</w:t>
      </w:r>
      <w:r w:rsidRPr="00390EB1">
        <w:rPr>
          <w:noProof/>
        </w:rPr>
        <w:t>.</w:t>
      </w:r>
    </w:p>
    <w:p w14:paraId="1F95B3BE" w14:textId="009F2C85" w:rsidR="00861C1C" w:rsidRPr="00390EB1" w:rsidRDefault="2A67BF04">
      <w:pPr>
        <w:spacing w:after="120" w:line="276" w:lineRule="auto"/>
        <w:jc w:val="both"/>
        <w:rPr>
          <w:noProof/>
        </w:rPr>
      </w:pPr>
      <w:r w:rsidRPr="00390EB1">
        <w:rPr>
          <w:noProof/>
        </w:rPr>
        <w:t>The forecast</w:t>
      </w:r>
      <w:r w:rsidR="51711A9A" w:rsidRPr="00390EB1">
        <w:rPr>
          <w:noProof/>
        </w:rPr>
        <w:t xml:space="preserve"> of payments</w:t>
      </w:r>
      <w:r w:rsidRPr="00390EB1">
        <w:rPr>
          <w:noProof/>
        </w:rPr>
        <w:t xml:space="preserve"> stemming from the MFF </w:t>
      </w:r>
      <w:r w:rsidR="51711A9A" w:rsidRPr="00390EB1">
        <w:rPr>
          <w:noProof/>
        </w:rPr>
        <w:t xml:space="preserve">2021-2027 </w:t>
      </w:r>
      <w:r w:rsidRPr="00390EB1">
        <w:rPr>
          <w:noProof/>
        </w:rPr>
        <w:t>includes the payments from the 2023-2027</w:t>
      </w:r>
      <w:r w:rsidR="001151CE">
        <w:rPr>
          <w:noProof/>
        </w:rPr>
        <w:t xml:space="preserve"> </w:t>
      </w:r>
      <w:r w:rsidR="007715BF">
        <w:rPr>
          <w:noProof/>
        </w:rPr>
        <w:t>CAP Plans</w:t>
      </w:r>
      <w:r w:rsidR="007715BF" w:rsidRPr="00390EB1">
        <w:rPr>
          <w:noProof/>
        </w:rPr>
        <w:t xml:space="preserve"> </w:t>
      </w:r>
      <w:r w:rsidRPr="00390EB1">
        <w:rPr>
          <w:noProof/>
        </w:rPr>
        <w:t xml:space="preserve">as well as </w:t>
      </w:r>
      <w:r w:rsidR="51711A9A" w:rsidRPr="00390EB1">
        <w:rPr>
          <w:noProof/>
        </w:rPr>
        <w:t>those</w:t>
      </w:r>
      <w:r w:rsidRPr="00390EB1">
        <w:rPr>
          <w:noProof/>
        </w:rPr>
        <w:t xml:space="preserve"> linked to the extension </w:t>
      </w:r>
      <w:r w:rsidR="0097439A">
        <w:rPr>
          <w:noProof/>
        </w:rPr>
        <w:t>of the r</w:t>
      </w:r>
      <w:r w:rsidR="001F48EA">
        <w:rPr>
          <w:noProof/>
        </w:rPr>
        <w:t>ural development programmes</w:t>
      </w:r>
      <w:r w:rsidRPr="00390EB1">
        <w:rPr>
          <w:noProof/>
        </w:rPr>
        <w:t xml:space="preserve"> </w:t>
      </w:r>
      <w:r w:rsidR="008D218D">
        <w:rPr>
          <w:noProof/>
        </w:rPr>
        <w:t xml:space="preserve">to </w:t>
      </w:r>
      <w:r w:rsidRPr="00390EB1">
        <w:rPr>
          <w:noProof/>
        </w:rPr>
        <w:t xml:space="preserve">2021 and 2022 (see </w:t>
      </w:r>
      <w:r w:rsidR="001F48EA">
        <w:rPr>
          <w:noProof/>
        </w:rPr>
        <w:t>p</w:t>
      </w:r>
      <w:r w:rsidRPr="00390EB1">
        <w:rPr>
          <w:noProof/>
        </w:rPr>
        <w:t>oint 2.2. Payments on pre-2021 commitments)</w:t>
      </w:r>
      <w:r w:rsidR="575ABC06" w:rsidRPr="00390EB1">
        <w:rPr>
          <w:noProof/>
        </w:rPr>
        <w:t xml:space="preserve"> that</w:t>
      </w:r>
      <w:r w:rsidRPr="00390EB1">
        <w:rPr>
          <w:noProof/>
        </w:rPr>
        <w:t xml:space="preserve"> </w:t>
      </w:r>
      <w:r w:rsidR="0AD0C881" w:rsidRPr="00390EB1">
        <w:rPr>
          <w:noProof/>
        </w:rPr>
        <w:t>will be completed</w:t>
      </w:r>
      <w:r w:rsidRPr="00390EB1">
        <w:rPr>
          <w:noProof/>
        </w:rPr>
        <w:t xml:space="preserve"> by 2026</w:t>
      </w:r>
      <w:r w:rsidR="00EB0A1E">
        <w:rPr>
          <w:noProof/>
        </w:rPr>
        <w:t xml:space="preserve"> with </w:t>
      </w:r>
      <w:r w:rsidR="00AF3674">
        <w:rPr>
          <w:noProof/>
        </w:rPr>
        <w:t>limited</w:t>
      </w:r>
      <w:r w:rsidR="00EB0A1E">
        <w:rPr>
          <w:noProof/>
        </w:rPr>
        <w:t xml:space="preserve"> payments </w:t>
      </w:r>
      <w:r w:rsidR="000F5600">
        <w:rPr>
          <w:noProof/>
        </w:rPr>
        <w:t>expected for 2027</w:t>
      </w:r>
      <w:r w:rsidRPr="00390EB1">
        <w:rPr>
          <w:noProof/>
        </w:rPr>
        <w:t>.</w:t>
      </w:r>
      <w:r w:rsidR="1A999DB4" w:rsidRPr="00390EB1">
        <w:rPr>
          <w:noProof/>
        </w:rPr>
        <w:t xml:space="preserve"> </w:t>
      </w:r>
      <w:r w:rsidR="01CB5274" w:rsidRPr="00390EB1">
        <w:rPr>
          <w:noProof/>
        </w:rPr>
        <w:t xml:space="preserve">This forecast also considers the transfers between pillars of the Common Agricultural </w:t>
      </w:r>
      <w:r w:rsidR="008D218D">
        <w:rPr>
          <w:noProof/>
        </w:rPr>
        <w:t>P</w:t>
      </w:r>
      <w:r w:rsidR="01CB5274" w:rsidRPr="00390EB1">
        <w:rPr>
          <w:noProof/>
        </w:rPr>
        <w:t xml:space="preserve">olicy communicated by </w:t>
      </w:r>
      <w:r w:rsidR="1A999DB4" w:rsidRPr="00390EB1">
        <w:rPr>
          <w:noProof/>
        </w:rPr>
        <w:t>Member States</w:t>
      </w:r>
      <w:r w:rsidR="00E47939" w:rsidRPr="00390EB1">
        <w:rPr>
          <w:rStyle w:val="EndnoteReference"/>
          <w:noProof/>
          <w:lang w:eastAsia="ko-KR"/>
        </w:rPr>
        <w:endnoteReference w:id="21"/>
      </w:r>
      <w:r w:rsidR="1A999DB4" w:rsidRPr="00390EB1">
        <w:rPr>
          <w:noProof/>
        </w:rPr>
        <w:t>, which resulted in a net transfer of EUR</w:t>
      </w:r>
      <w:r w:rsidR="1A999DB4" w:rsidRPr="00390EB1">
        <w:rPr>
          <w:rFonts w:ascii="Calibri" w:hAnsi="Calibri" w:cs="Calibri"/>
          <w:noProof/>
        </w:rPr>
        <w:t> </w:t>
      </w:r>
      <w:r w:rsidR="00877870">
        <w:rPr>
          <w:noProof/>
        </w:rPr>
        <w:t>3</w:t>
      </w:r>
      <w:r w:rsidR="39D000B7" w:rsidRPr="00390EB1">
        <w:rPr>
          <w:noProof/>
        </w:rPr>
        <w:t>.</w:t>
      </w:r>
      <w:r w:rsidR="00877870">
        <w:rPr>
          <w:noProof/>
        </w:rPr>
        <w:t>7</w:t>
      </w:r>
      <w:r w:rsidR="00877870">
        <w:rPr>
          <w:rFonts w:ascii="Calibri" w:hAnsi="Calibri" w:cs="Calibri"/>
          <w:noProof/>
        </w:rPr>
        <w:t> </w:t>
      </w:r>
      <w:r w:rsidR="7EEC150C" w:rsidRPr="00390EB1">
        <w:rPr>
          <w:noProof/>
        </w:rPr>
        <w:t>b</w:t>
      </w:r>
      <w:r w:rsidR="26E31FF2" w:rsidRPr="00390EB1">
        <w:rPr>
          <w:noProof/>
        </w:rPr>
        <w:t>illion</w:t>
      </w:r>
      <w:r w:rsidR="1A999DB4" w:rsidRPr="00390EB1">
        <w:rPr>
          <w:noProof/>
        </w:rPr>
        <w:t xml:space="preserve"> from </w:t>
      </w:r>
      <w:r w:rsidR="008D218D">
        <w:rPr>
          <w:noProof/>
        </w:rPr>
        <w:t>P</w:t>
      </w:r>
      <w:r w:rsidR="1A999DB4" w:rsidRPr="00390EB1">
        <w:rPr>
          <w:noProof/>
        </w:rPr>
        <w:t xml:space="preserve">illar I (EAGF) to </w:t>
      </w:r>
      <w:r w:rsidR="008D218D">
        <w:rPr>
          <w:noProof/>
        </w:rPr>
        <w:t>P</w:t>
      </w:r>
      <w:r w:rsidR="1A999DB4" w:rsidRPr="00390EB1">
        <w:rPr>
          <w:noProof/>
        </w:rPr>
        <w:t>illar II (EAFRD</w:t>
      </w:r>
      <w:r w:rsidR="53021CDF" w:rsidRPr="00390EB1">
        <w:rPr>
          <w:noProof/>
        </w:rPr>
        <w:t>)</w:t>
      </w:r>
      <w:r w:rsidR="609337D8" w:rsidRPr="00390EB1">
        <w:rPr>
          <w:noProof/>
        </w:rPr>
        <w:t xml:space="preserve"> for the years</w:t>
      </w:r>
      <w:r w:rsidR="1A999DB4" w:rsidRPr="00390EB1" w:rsidDel="004206EA">
        <w:rPr>
          <w:noProof/>
        </w:rPr>
        <w:t xml:space="preserve"> </w:t>
      </w:r>
      <w:r w:rsidR="1A999DB4" w:rsidRPr="00390EB1">
        <w:rPr>
          <w:noProof/>
        </w:rPr>
        <w:t>202</w:t>
      </w:r>
      <w:r w:rsidR="00877870">
        <w:rPr>
          <w:noProof/>
        </w:rPr>
        <w:t>5</w:t>
      </w:r>
      <w:r w:rsidR="1A999DB4" w:rsidRPr="00390EB1">
        <w:rPr>
          <w:noProof/>
        </w:rPr>
        <w:t>-2027.</w:t>
      </w:r>
    </w:p>
    <w:p w14:paraId="4D1D45C8" w14:textId="3D34699A" w:rsidR="00861C1C" w:rsidRPr="00390EB1" w:rsidRDefault="2A67BF04">
      <w:pPr>
        <w:spacing w:after="120" w:line="276" w:lineRule="auto"/>
        <w:jc w:val="both"/>
        <w:rPr>
          <w:noProof/>
        </w:rPr>
      </w:pPr>
      <w:r w:rsidRPr="00390EB1">
        <w:rPr>
          <w:noProof/>
        </w:rPr>
        <w:t xml:space="preserve">With the 2014-2022 </w:t>
      </w:r>
      <w:r w:rsidR="002C2ADF">
        <w:rPr>
          <w:noProof/>
        </w:rPr>
        <w:t>rural development</w:t>
      </w:r>
      <w:r w:rsidRPr="00390EB1">
        <w:rPr>
          <w:noProof/>
        </w:rPr>
        <w:t xml:space="preserve"> programmes </w:t>
      </w:r>
      <w:r w:rsidR="000F5600">
        <w:rPr>
          <w:noProof/>
        </w:rPr>
        <w:t xml:space="preserve">approaching </w:t>
      </w:r>
      <w:r w:rsidR="00267874">
        <w:rPr>
          <w:noProof/>
        </w:rPr>
        <w:t>their closure and</w:t>
      </w:r>
      <w:r w:rsidRPr="00390EB1" w:rsidDel="00267874">
        <w:rPr>
          <w:noProof/>
        </w:rPr>
        <w:t xml:space="preserve"> </w:t>
      </w:r>
      <w:r w:rsidRPr="00390EB1">
        <w:rPr>
          <w:noProof/>
        </w:rPr>
        <w:t>implementation of the new CAP plans</w:t>
      </w:r>
      <w:r w:rsidRPr="00390EB1" w:rsidDel="00267874">
        <w:rPr>
          <w:noProof/>
        </w:rPr>
        <w:t xml:space="preserve"> </w:t>
      </w:r>
      <w:r w:rsidR="00257F99">
        <w:rPr>
          <w:noProof/>
        </w:rPr>
        <w:t>running</w:t>
      </w:r>
      <w:r w:rsidRPr="00390EB1">
        <w:rPr>
          <w:noProof/>
        </w:rPr>
        <w:t xml:space="preserve">, the </w:t>
      </w:r>
      <w:r w:rsidR="51711A9A" w:rsidRPr="00390EB1">
        <w:rPr>
          <w:noProof/>
        </w:rPr>
        <w:t xml:space="preserve">payments are projected to </w:t>
      </w:r>
      <w:r w:rsidRPr="00390EB1">
        <w:rPr>
          <w:noProof/>
        </w:rPr>
        <w:t xml:space="preserve">run steadily in the coming years, </w:t>
      </w:r>
      <w:r w:rsidR="51711A9A" w:rsidRPr="00390EB1">
        <w:rPr>
          <w:noProof/>
        </w:rPr>
        <w:t>peaking in</w:t>
      </w:r>
      <w:r w:rsidRPr="00390EB1">
        <w:rPr>
          <w:noProof/>
        </w:rPr>
        <w:t xml:space="preserve"> 2026</w:t>
      </w:r>
      <w:r w:rsidR="008D218D">
        <w:rPr>
          <w:noProof/>
        </w:rPr>
        <w:t>. This is</w:t>
      </w:r>
      <w:r w:rsidRPr="00390EB1">
        <w:rPr>
          <w:noProof/>
        </w:rPr>
        <w:t xml:space="preserve"> due to the overlap </w:t>
      </w:r>
      <w:r w:rsidR="008D218D">
        <w:rPr>
          <w:noProof/>
        </w:rPr>
        <w:t xml:space="preserve">of </w:t>
      </w:r>
      <w:r w:rsidR="00F42D92">
        <w:rPr>
          <w:noProof/>
        </w:rPr>
        <w:t xml:space="preserve">payments on </w:t>
      </w:r>
      <w:r w:rsidRPr="00390EB1">
        <w:rPr>
          <w:noProof/>
        </w:rPr>
        <w:t xml:space="preserve">outstanding </w:t>
      </w:r>
      <w:r w:rsidR="00F42D92">
        <w:rPr>
          <w:noProof/>
        </w:rPr>
        <w:t>commitments</w:t>
      </w:r>
      <w:r w:rsidRPr="00390EB1">
        <w:rPr>
          <w:noProof/>
        </w:rPr>
        <w:t xml:space="preserve"> from the programmes 2014-2020 and the transitional period years 2021-2022, both working under N+3 decommitment rule, together with the phasing-in of the 2023-2027 </w:t>
      </w:r>
      <w:r w:rsidR="001151CE">
        <w:rPr>
          <w:noProof/>
        </w:rPr>
        <w:t xml:space="preserve">CAP </w:t>
      </w:r>
      <w:r w:rsidR="007715BF">
        <w:rPr>
          <w:noProof/>
        </w:rPr>
        <w:t>Plans</w:t>
      </w:r>
      <w:r w:rsidR="007715BF" w:rsidRPr="007715BF">
        <w:rPr>
          <w:strike/>
          <w:noProof/>
        </w:rPr>
        <w:t xml:space="preserve"> </w:t>
      </w:r>
      <w:r w:rsidR="51711A9A" w:rsidRPr="00390EB1">
        <w:rPr>
          <w:noProof/>
        </w:rPr>
        <w:t>which</w:t>
      </w:r>
      <w:r w:rsidRPr="00390EB1">
        <w:rPr>
          <w:noProof/>
        </w:rPr>
        <w:t xml:space="preserve"> follow </w:t>
      </w:r>
      <w:r w:rsidR="51711A9A" w:rsidRPr="00390EB1">
        <w:rPr>
          <w:noProof/>
        </w:rPr>
        <w:t>a</w:t>
      </w:r>
      <w:r w:rsidRPr="00390EB1">
        <w:rPr>
          <w:noProof/>
        </w:rPr>
        <w:t xml:space="preserve"> N+2 decommitment rule.</w:t>
      </w:r>
    </w:p>
    <w:p w14:paraId="0005D92E" w14:textId="6A89FE72" w:rsidR="348A84CE" w:rsidRPr="00390EB1" w:rsidRDefault="348A84CE" w:rsidP="23B06DA2">
      <w:pPr>
        <w:spacing w:after="120" w:line="276" w:lineRule="auto"/>
        <w:jc w:val="both"/>
        <w:rPr>
          <w:noProof/>
        </w:rPr>
      </w:pPr>
      <w:r>
        <w:rPr>
          <w:noProof/>
        </w:rPr>
        <w:t>No payments under the MFF ceilings</w:t>
      </w:r>
      <w:r w:rsidR="002F0D5C">
        <w:rPr>
          <w:noProof/>
        </w:rPr>
        <w:t>, except for limited amounts for administrative expenditure,</w:t>
      </w:r>
      <w:r>
        <w:rPr>
          <w:noProof/>
        </w:rPr>
        <w:t xml:space="preserve"> are planned for the Just Transition Fund in the budget 20</w:t>
      </w:r>
      <w:r w:rsidR="00B407C8">
        <w:rPr>
          <w:noProof/>
        </w:rPr>
        <w:t>24</w:t>
      </w:r>
      <w:r>
        <w:rPr>
          <w:noProof/>
        </w:rPr>
        <w:t xml:space="preserve"> and in the </w:t>
      </w:r>
      <w:r w:rsidR="00B407C8">
        <w:rPr>
          <w:noProof/>
        </w:rPr>
        <w:t>d</w:t>
      </w:r>
      <w:r>
        <w:rPr>
          <w:noProof/>
        </w:rPr>
        <w:t xml:space="preserve">raft </w:t>
      </w:r>
      <w:r w:rsidR="00B407C8">
        <w:rPr>
          <w:noProof/>
        </w:rPr>
        <w:t>b</w:t>
      </w:r>
      <w:r>
        <w:rPr>
          <w:noProof/>
        </w:rPr>
        <w:t>udget 202</w:t>
      </w:r>
      <w:r w:rsidR="001268F8">
        <w:rPr>
          <w:noProof/>
        </w:rPr>
        <w:t>5</w:t>
      </w:r>
      <w:r>
        <w:rPr>
          <w:noProof/>
        </w:rPr>
        <w:t xml:space="preserve"> as priority</w:t>
      </w:r>
      <w:r w:rsidR="001151CE">
        <w:rPr>
          <w:noProof/>
        </w:rPr>
        <w:t xml:space="preserve"> </w:t>
      </w:r>
      <w:r w:rsidR="007715BF">
        <w:rPr>
          <w:noProof/>
        </w:rPr>
        <w:t xml:space="preserve">is given </w:t>
      </w:r>
      <w:r>
        <w:rPr>
          <w:noProof/>
        </w:rPr>
        <w:t>to the use of NextGenerationEU fund</w:t>
      </w:r>
      <w:r w:rsidR="008D218D">
        <w:rPr>
          <w:noProof/>
        </w:rPr>
        <w:t>ing</w:t>
      </w:r>
      <w:r>
        <w:rPr>
          <w:noProof/>
        </w:rPr>
        <w:t xml:space="preserve"> </w:t>
      </w:r>
      <w:r w:rsidR="008D218D">
        <w:rPr>
          <w:noProof/>
        </w:rPr>
        <w:t xml:space="preserve">available </w:t>
      </w:r>
      <w:r>
        <w:rPr>
          <w:noProof/>
        </w:rPr>
        <w:t>until 2026.</w:t>
      </w:r>
      <w:r w:rsidR="00B6780E">
        <w:rPr>
          <w:noProof/>
        </w:rPr>
        <w:t xml:space="preserve"> The payment of the pre-financing related to STEP under NextGenerationEU has already taken place in 2024 and additional payments are expected </w:t>
      </w:r>
      <w:r w:rsidR="007D4CA3">
        <w:rPr>
          <w:noProof/>
        </w:rPr>
        <w:t>for 2025 also from NextGenerationEU funding</w:t>
      </w:r>
      <w:r w:rsidR="00BD003B">
        <w:rPr>
          <w:noProof/>
        </w:rPr>
        <w:t xml:space="preserve">. The forecast of this year proposes </w:t>
      </w:r>
      <w:r w:rsidR="0079181B">
        <w:rPr>
          <w:noProof/>
        </w:rPr>
        <w:t xml:space="preserve">Member States’ </w:t>
      </w:r>
      <w:r w:rsidR="00BD003B">
        <w:rPr>
          <w:noProof/>
        </w:rPr>
        <w:t>full use of the funding under NextGeneration EU</w:t>
      </w:r>
      <w:r w:rsidR="00D330D7">
        <w:rPr>
          <w:noProof/>
        </w:rPr>
        <w:t xml:space="preserve"> until 2026</w:t>
      </w:r>
      <w:r w:rsidR="0079181B">
        <w:rPr>
          <w:noProof/>
        </w:rPr>
        <w:t>.</w:t>
      </w:r>
      <w:r w:rsidR="00BD003B">
        <w:rPr>
          <w:noProof/>
        </w:rPr>
        <w:t xml:space="preserve"> </w:t>
      </w:r>
      <w:r w:rsidR="0079181B">
        <w:rPr>
          <w:noProof/>
        </w:rPr>
        <w:t>F</w:t>
      </w:r>
      <w:r w:rsidR="00A15E81">
        <w:rPr>
          <w:noProof/>
        </w:rPr>
        <w:t xml:space="preserve">rom 2027 </w:t>
      </w:r>
      <w:r w:rsidR="002133A8">
        <w:rPr>
          <w:noProof/>
        </w:rPr>
        <w:t xml:space="preserve">Member States will </w:t>
      </w:r>
      <w:r w:rsidR="001F62A9">
        <w:rPr>
          <w:noProof/>
        </w:rPr>
        <w:t>then focus on</w:t>
      </w:r>
      <w:r w:rsidR="002133A8">
        <w:rPr>
          <w:noProof/>
        </w:rPr>
        <w:t xml:space="preserve"> </w:t>
      </w:r>
      <w:r w:rsidR="00A15E81">
        <w:rPr>
          <w:noProof/>
        </w:rPr>
        <w:t>the use of MFF funding.</w:t>
      </w:r>
    </w:p>
    <w:bookmarkEnd w:id="14"/>
    <w:p w14:paraId="770AE79D" w14:textId="77777777" w:rsidR="00861C1C" w:rsidRPr="00390EB1" w:rsidRDefault="003B6DC2" w:rsidP="0050317D">
      <w:pPr>
        <w:pStyle w:val="amprH4Subhead1"/>
        <w:spacing w:before="400"/>
        <w:rPr>
          <w:noProof/>
        </w:rPr>
      </w:pPr>
      <w:r w:rsidRPr="00390EB1">
        <w:rPr>
          <w:noProof/>
        </w:rPr>
        <w:t>Other programmes and headings</w:t>
      </w:r>
    </w:p>
    <w:p w14:paraId="23F7B171" w14:textId="360E6A2E" w:rsidR="00861C1C" w:rsidRDefault="72518554" w:rsidP="217EDCC6">
      <w:pPr>
        <w:spacing w:before="0" w:after="120" w:line="276" w:lineRule="auto"/>
        <w:jc w:val="both"/>
        <w:rPr>
          <w:noProof/>
        </w:rPr>
      </w:pPr>
      <w:r w:rsidRPr="00390EB1">
        <w:rPr>
          <w:noProof/>
        </w:rPr>
        <w:t>The payment forecast is increased compared to last year</w:t>
      </w:r>
      <w:r w:rsidR="5CF54F5A" w:rsidRPr="00390EB1">
        <w:rPr>
          <w:noProof/>
        </w:rPr>
        <w:t>,</w:t>
      </w:r>
      <w:r w:rsidR="26238D61" w:rsidRPr="00390EB1">
        <w:rPr>
          <w:noProof/>
        </w:rPr>
        <w:t xml:space="preserve"> </w:t>
      </w:r>
      <w:r w:rsidR="2CE58915" w:rsidRPr="00390EB1">
        <w:rPr>
          <w:noProof/>
        </w:rPr>
        <w:t xml:space="preserve">notably in </w:t>
      </w:r>
      <w:r w:rsidR="00BB767A">
        <w:rPr>
          <w:noProof/>
        </w:rPr>
        <w:t>h</w:t>
      </w:r>
      <w:r w:rsidR="2CE58915" w:rsidRPr="00390EB1">
        <w:rPr>
          <w:noProof/>
        </w:rPr>
        <w:t>eading 1</w:t>
      </w:r>
      <w:r w:rsidR="243BB3C1" w:rsidRPr="00390EB1">
        <w:rPr>
          <w:noProof/>
        </w:rPr>
        <w:t xml:space="preserve"> – Single Market, Innovation and Digital</w:t>
      </w:r>
      <w:r w:rsidR="008843D4">
        <w:rPr>
          <w:noProof/>
        </w:rPr>
        <w:t xml:space="preserve"> </w:t>
      </w:r>
      <w:r w:rsidR="003F11EC">
        <w:rPr>
          <w:noProof/>
        </w:rPr>
        <w:t>and</w:t>
      </w:r>
      <w:r w:rsidR="2CE58915" w:rsidRPr="00390EB1">
        <w:rPr>
          <w:noProof/>
        </w:rPr>
        <w:t xml:space="preserve"> </w:t>
      </w:r>
      <w:r w:rsidR="00BB767A">
        <w:rPr>
          <w:noProof/>
        </w:rPr>
        <w:t>h</w:t>
      </w:r>
      <w:r w:rsidR="243BB3C1" w:rsidRPr="00390EB1">
        <w:rPr>
          <w:noProof/>
        </w:rPr>
        <w:t xml:space="preserve">eading </w:t>
      </w:r>
      <w:r w:rsidR="2CE58915" w:rsidRPr="00390EB1">
        <w:rPr>
          <w:noProof/>
        </w:rPr>
        <w:t>5</w:t>
      </w:r>
      <w:r w:rsidR="243BB3C1" w:rsidRPr="00390EB1">
        <w:rPr>
          <w:noProof/>
        </w:rPr>
        <w:t xml:space="preserve"> – Security and Defence</w:t>
      </w:r>
      <w:r w:rsidR="2CE58915" w:rsidRPr="00390EB1">
        <w:rPr>
          <w:noProof/>
        </w:rPr>
        <w:t>.</w:t>
      </w:r>
      <w:r w:rsidR="00BB767A">
        <w:rPr>
          <w:noProof/>
        </w:rPr>
        <w:t xml:space="preserve"> Under heading 1, flagship programmes</w:t>
      </w:r>
      <w:r w:rsidR="006F4DA5">
        <w:rPr>
          <w:noProof/>
        </w:rPr>
        <w:t xml:space="preserve"> are catching up and expected </w:t>
      </w:r>
      <w:r w:rsidR="004C4122">
        <w:rPr>
          <w:noProof/>
        </w:rPr>
        <w:t xml:space="preserve">to </w:t>
      </w:r>
      <w:r w:rsidR="006F4DA5">
        <w:rPr>
          <w:noProof/>
        </w:rPr>
        <w:t>reach</w:t>
      </w:r>
      <w:r w:rsidR="004C4122">
        <w:rPr>
          <w:noProof/>
        </w:rPr>
        <w:t xml:space="preserve"> cruising speed</w:t>
      </w:r>
      <w:r w:rsidR="002903C6">
        <w:rPr>
          <w:noProof/>
        </w:rPr>
        <w:t>.</w:t>
      </w:r>
      <w:r w:rsidR="006F4DA5">
        <w:rPr>
          <w:noProof/>
        </w:rPr>
        <w:t xml:space="preserve"> </w:t>
      </w:r>
      <w:r w:rsidR="003140D9">
        <w:rPr>
          <w:noProof/>
        </w:rPr>
        <w:t xml:space="preserve">Under heading 5, the reinforcements </w:t>
      </w:r>
      <w:r w:rsidR="00EF7BBE">
        <w:rPr>
          <w:noProof/>
        </w:rPr>
        <w:t>stemming from the mid-term revision are expected to</w:t>
      </w:r>
      <w:r w:rsidR="001623E1">
        <w:rPr>
          <w:noProof/>
        </w:rPr>
        <w:t xml:space="preserve"> </w:t>
      </w:r>
      <w:r w:rsidR="00766E79">
        <w:rPr>
          <w:noProof/>
        </w:rPr>
        <w:t>lead</w:t>
      </w:r>
      <w:r w:rsidR="00A96C70">
        <w:rPr>
          <w:noProof/>
        </w:rPr>
        <w:t xml:space="preserve"> to additional payments</w:t>
      </w:r>
      <w:r w:rsidR="00541142">
        <w:rPr>
          <w:noProof/>
        </w:rPr>
        <w:t>.</w:t>
      </w:r>
      <w:r w:rsidR="00BB767A">
        <w:rPr>
          <w:noProof/>
        </w:rPr>
        <w:t xml:space="preserve"> </w:t>
      </w:r>
      <w:r w:rsidR="197874F8" w:rsidRPr="00390EB1">
        <w:rPr>
          <w:noProof/>
        </w:rPr>
        <w:t>Catch-up is e</w:t>
      </w:r>
      <w:r w:rsidR="00F42042">
        <w:rPr>
          <w:noProof/>
        </w:rPr>
        <w:t>xpected</w:t>
      </w:r>
      <w:r w:rsidR="197874F8" w:rsidRPr="00390EB1">
        <w:rPr>
          <w:noProof/>
        </w:rPr>
        <w:t xml:space="preserve"> </w:t>
      </w:r>
      <w:r w:rsidR="00AB1D64">
        <w:rPr>
          <w:noProof/>
        </w:rPr>
        <w:t>as of</w:t>
      </w:r>
      <w:r w:rsidR="197874F8" w:rsidRPr="00390EB1">
        <w:rPr>
          <w:noProof/>
        </w:rPr>
        <w:t xml:space="preserve"> 2026</w:t>
      </w:r>
      <w:r w:rsidR="009903C8">
        <w:rPr>
          <w:noProof/>
        </w:rPr>
        <w:t>-27</w:t>
      </w:r>
      <w:r w:rsidR="197874F8" w:rsidRPr="00390EB1">
        <w:rPr>
          <w:noProof/>
        </w:rPr>
        <w:t>.</w:t>
      </w:r>
    </w:p>
    <w:p w14:paraId="2A32218E" w14:textId="37354649" w:rsidR="000F1B6B" w:rsidRDefault="000D0C52" w:rsidP="217EDCC6">
      <w:pPr>
        <w:spacing w:before="0" w:after="120" w:line="276" w:lineRule="auto"/>
        <w:jc w:val="both"/>
        <w:rPr>
          <w:noProof/>
        </w:rPr>
      </w:pPr>
      <w:r w:rsidRPr="000D0C52">
        <w:rPr>
          <w:noProof/>
        </w:rPr>
        <w:t>The update of the European Recovery Instrument (EURI) interest line reflects the draft budget for 2025</w:t>
      </w:r>
      <w:r w:rsidR="0079181B">
        <w:rPr>
          <w:noProof/>
        </w:rPr>
        <w:t>.</w:t>
      </w:r>
      <w:r w:rsidRPr="000D0C52">
        <w:rPr>
          <w:noProof/>
        </w:rPr>
        <w:t xml:space="preserve"> </w:t>
      </w:r>
      <w:r w:rsidR="0079181B">
        <w:rPr>
          <w:noProof/>
        </w:rPr>
        <w:t xml:space="preserve">The line </w:t>
      </w:r>
      <w:r w:rsidRPr="000D0C52">
        <w:rPr>
          <w:noProof/>
        </w:rPr>
        <w:t>cater</w:t>
      </w:r>
      <w:r w:rsidR="0079181B">
        <w:rPr>
          <w:noProof/>
        </w:rPr>
        <w:t>s</w:t>
      </w:r>
      <w:r w:rsidRPr="000D0C52">
        <w:rPr>
          <w:noProof/>
        </w:rPr>
        <w:t xml:space="preserve"> for the increased cost of funding to finance the corresponding borrowing and lending activities</w:t>
      </w:r>
      <w:r w:rsidR="0079181B">
        <w:rPr>
          <w:noProof/>
        </w:rPr>
        <w:t>. The increased cost of funding is</w:t>
      </w:r>
      <w:r w:rsidRPr="000D0C52">
        <w:rPr>
          <w:noProof/>
        </w:rPr>
        <w:t xml:space="preserve"> due to the substantially higher interest rates leading to cost overruns</w:t>
      </w:r>
      <w:r w:rsidR="0079181B">
        <w:rPr>
          <w:noProof/>
        </w:rPr>
        <w:t>,</w:t>
      </w:r>
      <w:r w:rsidRPr="000D0C52">
        <w:rPr>
          <w:noProof/>
        </w:rPr>
        <w:t xml:space="preserve"> which will mainly depend on the profile of disbursements. </w:t>
      </w:r>
      <w:r w:rsidR="0079181B">
        <w:rPr>
          <w:noProof/>
        </w:rPr>
        <w:t>Hence, t</w:t>
      </w:r>
      <w:r w:rsidR="00DD534D" w:rsidRPr="00DD534D">
        <w:rPr>
          <w:noProof/>
        </w:rPr>
        <w:t>he forecast of the cost overrun for 2026 and 2027 is not stable enough to be included directly in the financial programming</w:t>
      </w:r>
      <w:r w:rsidR="00046A82">
        <w:rPr>
          <w:noProof/>
        </w:rPr>
        <w:t>, and is not reflected in this report.</w:t>
      </w:r>
    </w:p>
    <w:p w14:paraId="4B149E6B" w14:textId="396273CB" w:rsidR="008472CD" w:rsidRDefault="008472CD" w:rsidP="217EDCC6">
      <w:pPr>
        <w:spacing w:before="0" w:after="120" w:line="276" w:lineRule="auto"/>
        <w:jc w:val="both"/>
        <w:rPr>
          <w:noProof/>
        </w:rPr>
      </w:pPr>
      <w:r w:rsidRPr="008472CD">
        <w:rPr>
          <w:noProof/>
        </w:rPr>
        <w:t xml:space="preserve">The Ukraine Reserve is a thematic </w:t>
      </w:r>
      <w:r>
        <w:rPr>
          <w:noProof/>
        </w:rPr>
        <w:t>s</w:t>
      </w:r>
      <w:r w:rsidRPr="008472CD">
        <w:rPr>
          <w:noProof/>
        </w:rPr>
        <w:t xml:space="preserve">pecial </w:t>
      </w:r>
      <w:r>
        <w:rPr>
          <w:noProof/>
        </w:rPr>
        <w:t>i</w:t>
      </w:r>
      <w:r w:rsidRPr="008472CD">
        <w:rPr>
          <w:noProof/>
        </w:rPr>
        <w:t xml:space="preserve">nstrument which serves to mobilise the support other than in the form of loans of the Ukraine Facility. </w:t>
      </w:r>
      <w:r w:rsidR="00422ECC">
        <w:rPr>
          <w:noProof/>
        </w:rPr>
        <w:t xml:space="preserve">Such non-repayable </w:t>
      </w:r>
      <w:r w:rsidRPr="008472CD">
        <w:rPr>
          <w:noProof/>
        </w:rPr>
        <w:t>support concerns all three pillars of the Ukraine Facility and the support expenditure for a total amount of up to EUR</w:t>
      </w:r>
      <w:r w:rsidR="008D5210">
        <w:rPr>
          <w:rFonts w:ascii="Calibri" w:hAnsi="Calibri" w:cs="Calibri"/>
          <w:noProof/>
        </w:rPr>
        <w:t> </w:t>
      </w:r>
      <w:r w:rsidRPr="008472CD">
        <w:rPr>
          <w:noProof/>
        </w:rPr>
        <w:t>17</w:t>
      </w:r>
      <w:r w:rsidR="008D5210">
        <w:rPr>
          <w:rFonts w:ascii="Calibri" w:hAnsi="Calibri" w:cs="Calibri"/>
          <w:noProof/>
        </w:rPr>
        <w:t> </w:t>
      </w:r>
      <w:r w:rsidRPr="008472CD">
        <w:rPr>
          <w:noProof/>
        </w:rPr>
        <w:t>billion for the period 2024-2027. The commitment appropriations and corresponding payment appropriations from the Ukraine Reserve are mobilised annually</w:t>
      </w:r>
      <w:r w:rsidR="00422ECC">
        <w:rPr>
          <w:noProof/>
        </w:rPr>
        <w:t xml:space="preserve"> by the European Parliament and the Council in the framework of the annual budgetary procedure</w:t>
      </w:r>
      <w:r w:rsidRPr="008472CD">
        <w:rPr>
          <w:noProof/>
        </w:rPr>
        <w:t>, taking into consideration that the annual maximum amount for support other than in the form of loans is of EUR</w:t>
      </w:r>
      <w:r w:rsidR="008D5210">
        <w:rPr>
          <w:rFonts w:ascii="Calibri" w:hAnsi="Calibri" w:cs="Calibri"/>
          <w:noProof/>
        </w:rPr>
        <w:t> </w:t>
      </w:r>
      <w:r w:rsidRPr="008472CD">
        <w:rPr>
          <w:noProof/>
        </w:rPr>
        <w:t>5</w:t>
      </w:r>
      <w:r w:rsidR="008D5210">
        <w:rPr>
          <w:rFonts w:ascii="Calibri" w:hAnsi="Calibri" w:cs="Calibri"/>
          <w:noProof/>
        </w:rPr>
        <w:t> </w:t>
      </w:r>
      <w:r w:rsidRPr="008472CD">
        <w:rPr>
          <w:noProof/>
        </w:rPr>
        <w:t>billion.</w:t>
      </w:r>
      <w:r w:rsidR="00D85404">
        <w:rPr>
          <w:noProof/>
        </w:rPr>
        <w:t xml:space="preserve"> As the amounts for payments are subject to annual decisions by Parliament and Council in the context of the annual budgetary procedure</w:t>
      </w:r>
      <w:r w:rsidR="004B60D4">
        <w:rPr>
          <w:noProof/>
        </w:rPr>
        <w:t>, in line with the Ukraine Facility</w:t>
      </w:r>
      <w:r w:rsidR="00306CCB">
        <w:rPr>
          <w:noProof/>
        </w:rPr>
        <w:t xml:space="preserve"> Regulation</w:t>
      </w:r>
      <w:r w:rsidR="00306CCB">
        <w:rPr>
          <w:rStyle w:val="EndnoteReference"/>
          <w:noProof/>
        </w:rPr>
        <w:endnoteReference w:id="22"/>
      </w:r>
      <w:r w:rsidR="004B60D4">
        <w:rPr>
          <w:noProof/>
        </w:rPr>
        <w:t xml:space="preserve">, and there is insufficient information about </w:t>
      </w:r>
      <w:r w:rsidR="00B30E32">
        <w:rPr>
          <w:noProof/>
        </w:rPr>
        <w:t>implementation pattern of this recently adopted instrument, no forecast is provided for payments.</w:t>
      </w:r>
    </w:p>
    <w:p w14:paraId="705EEF86" w14:textId="360B2163" w:rsidR="00861C1C" w:rsidRPr="00390EB1" w:rsidRDefault="003B6DC2">
      <w:pPr>
        <w:pStyle w:val="amprH3Title2-Numbered-11"/>
        <w:rPr>
          <w:noProof/>
        </w:rPr>
      </w:pPr>
      <w:bookmarkStart w:id="16" w:name="_Toc74213162"/>
      <w:bookmarkStart w:id="17" w:name="_Toc167194511"/>
      <w:bookmarkStart w:id="18" w:name="_Hlk136514407"/>
      <w:bookmarkEnd w:id="16"/>
      <w:r w:rsidRPr="00390EB1">
        <w:rPr>
          <w:noProof/>
        </w:rPr>
        <w:t xml:space="preserve">Payments for the completion of </w:t>
      </w:r>
      <w:r w:rsidR="00DC5B60">
        <w:rPr>
          <w:noProof/>
        </w:rPr>
        <w:t>outstanding</w:t>
      </w:r>
      <w:r w:rsidRPr="00390EB1">
        <w:rPr>
          <w:noProof/>
        </w:rPr>
        <w:t xml:space="preserve"> commitments</w:t>
      </w:r>
      <w:bookmarkEnd w:id="17"/>
    </w:p>
    <w:bookmarkEnd w:id="18"/>
    <w:p w14:paraId="0517DFB8" w14:textId="69940DEE" w:rsidR="00861C1C" w:rsidRPr="00390EB1" w:rsidRDefault="6375D7F3" w:rsidP="23B06DA2">
      <w:pPr>
        <w:spacing w:after="120" w:line="276" w:lineRule="auto"/>
        <w:jc w:val="both"/>
        <w:rPr>
          <w:noProof/>
        </w:rPr>
      </w:pPr>
      <w:r w:rsidRPr="00390EB1">
        <w:rPr>
          <w:noProof/>
        </w:rPr>
        <w:t xml:space="preserve">The payments of </w:t>
      </w:r>
      <w:r w:rsidR="008D6FD5">
        <w:rPr>
          <w:noProof/>
        </w:rPr>
        <w:t>outstanding</w:t>
      </w:r>
      <w:r w:rsidRPr="00390EB1">
        <w:rPr>
          <w:noProof/>
        </w:rPr>
        <w:t xml:space="preserve"> commitments (RAL for </w:t>
      </w:r>
      <w:r w:rsidRPr="00390EB1">
        <w:rPr>
          <w:i/>
          <w:iCs/>
          <w:noProof/>
        </w:rPr>
        <w:t>reste à liquider</w:t>
      </w:r>
      <w:r w:rsidRPr="00390EB1">
        <w:rPr>
          <w:noProof/>
        </w:rPr>
        <w:t xml:space="preserve">) </w:t>
      </w:r>
      <w:r w:rsidR="09015669" w:rsidRPr="00390EB1">
        <w:rPr>
          <w:noProof/>
        </w:rPr>
        <w:t>is forecast at</w:t>
      </w:r>
      <w:r w:rsidR="1E671D10" w:rsidRPr="00390EB1">
        <w:rPr>
          <w:noProof/>
        </w:rPr>
        <w:t xml:space="preserve"> EUR</w:t>
      </w:r>
      <w:r w:rsidR="007B130A">
        <w:rPr>
          <w:rFonts w:ascii="Calibri" w:hAnsi="Calibri" w:cs="Calibri"/>
          <w:noProof/>
        </w:rPr>
        <w:t> </w:t>
      </w:r>
      <w:r w:rsidR="004605A2">
        <w:rPr>
          <w:noProof/>
        </w:rPr>
        <w:t>2</w:t>
      </w:r>
      <w:r w:rsidR="002120BF">
        <w:rPr>
          <w:noProof/>
        </w:rPr>
        <w:t>4</w:t>
      </w:r>
      <w:r w:rsidR="007B130A">
        <w:rPr>
          <w:rFonts w:ascii="Calibri" w:hAnsi="Calibri" w:cs="Calibri"/>
          <w:noProof/>
        </w:rPr>
        <w:t> </w:t>
      </w:r>
      <w:r w:rsidR="1E671D10" w:rsidRPr="00390EB1">
        <w:rPr>
          <w:noProof/>
        </w:rPr>
        <w:t>billion for the</w:t>
      </w:r>
      <w:r w:rsidR="0C07A928" w:rsidRPr="00390EB1">
        <w:rPr>
          <w:noProof/>
        </w:rPr>
        <w:t xml:space="preserve"> period 202</w:t>
      </w:r>
      <w:r w:rsidR="00A82E0E">
        <w:rPr>
          <w:noProof/>
        </w:rPr>
        <w:t>5</w:t>
      </w:r>
      <w:r w:rsidR="0C07A928" w:rsidRPr="00390EB1">
        <w:rPr>
          <w:noProof/>
        </w:rPr>
        <w:t>-202</w:t>
      </w:r>
      <w:r w:rsidR="00A82E0E">
        <w:rPr>
          <w:noProof/>
        </w:rPr>
        <w:t>9</w:t>
      </w:r>
      <w:r w:rsidRPr="00390EB1">
        <w:rPr>
          <w:noProof/>
        </w:rPr>
        <w:t>.</w:t>
      </w:r>
    </w:p>
    <w:p w14:paraId="7FEE4904" w14:textId="1D11A859" w:rsidR="00861C1C" w:rsidRPr="00390EB1" w:rsidRDefault="003B6DC2">
      <w:pPr>
        <w:pStyle w:val="amprH4Subhead1"/>
        <w:rPr>
          <w:noProof/>
        </w:rPr>
      </w:pPr>
      <w:r w:rsidRPr="00390EB1">
        <w:rPr>
          <w:noProof/>
        </w:rPr>
        <w:t>Heading 2a – Cohesion policy</w:t>
      </w:r>
    </w:p>
    <w:p w14:paraId="737420FA" w14:textId="5C49A634" w:rsidR="00861C1C" w:rsidRPr="00390EB1" w:rsidRDefault="6375D7F3">
      <w:pPr>
        <w:spacing w:after="120" w:line="276" w:lineRule="auto"/>
        <w:jc w:val="both"/>
        <w:rPr>
          <w:noProof/>
        </w:rPr>
      </w:pPr>
      <w:bookmarkStart w:id="19" w:name="_Hlk136514400"/>
      <w:r w:rsidRPr="00390EB1">
        <w:rPr>
          <w:noProof/>
        </w:rPr>
        <w:t xml:space="preserve">Most payments on pre-2021 commitments relate to the </w:t>
      </w:r>
      <w:r w:rsidR="00F42042">
        <w:rPr>
          <w:noProof/>
        </w:rPr>
        <w:t xml:space="preserve">cohesion policy </w:t>
      </w:r>
      <w:r w:rsidRPr="00390EB1">
        <w:rPr>
          <w:noProof/>
        </w:rPr>
        <w:t xml:space="preserve">programmes, which are </w:t>
      </w:r>
      <w:r w:rsidR="00F843BE">
        <w:rPr>
          <w:noProof/>
        </w:rPr>
        <w:t>close to</w:t>
      </w:r>
      <w:r w:rsidR="00D0313B">
        <w:rPr>
          <w:noProof/>
        </w:rPr>
        <w:t xml:space="preserve"> their</w:t>
      </w:r>
      <w:r w:rsidR="00F843BE">
        <w:rPr>
          <w:noProof/>
        </w:rPr>
        <w:t xml:space="preserve"> closure</w:t>
      </w:r>
      <w:r w:rsidRPr="00390EB1">
        <w:rPr>
          <w:noProof/>
        </w:rPr>
        <w:t>. The payment projections are based on the latest Member States’ forecast (January 202</w:t>
      </w:r>
      <w:r w:rsidR="009448C6">
        <w:rPr>
          <w:noProof/>
        </w:rPr>
        <w:t>4</w:t>
      </w:r>
      <w:r w:rsidRPr="00390EB1">
        <w:rPr>
          <w:noProof/>
        </w:rPr>
        <w:t xml:space="preserve">) and information on the implementation on the ground. </w:t>
      </w:r>
    </w:p>
    <w:p w14:paraId="38873935" w14:textId="42E33CAB" w:rsidR="00861C1C" w:rsidRPr="00390EB1" w:rsidRDefault="006168D0">
      <w:pPr>
        <w:spacing w:after="120" w:line="276" w:lineRule="auto"/>
        <w:jc w:val="both"/>
        <w:rPr>
          <w:noProof/>
        </w:rPr>
      </w:pPr>
      <w:r>
        <w:rPr>
          <w:noProof/>
        </w:rPr>
        <w:t>F</w:t>
      </w:r>
      <w:r w:rsidR="005B18FA">
        <w:rPr>
          <w:noProof/>
        </w:rPr>
        <w:t xml:space="preserve">ollowing the changes proposed </w:t>
      </w:r>
      <w:r w:rsidR="00D0313B">
        <w:rPr>
          <w:noProof/>
        </w:rPr>
        <w:t>in STEP</w:t>
      </w:r>
      <w:r w:rsidR="00B86EC1">
        <w:rPr>
          <w:noProof/>
        </w:rPr>
        <w:t>, the deadline for submitting the final application for an interim payment for the final accounting year was extended by 12 months to 31 July 2025</w:t>
      </w:r>
      <w:r w:rsidR="00607B18">
        <w:rPr>
          <w:noProof/>
        </w:rPr>
        <w:t>.</w:t>
      </w:r>
      <w:r w:rsidR="6375D7F3" w:rsidRPr="00390EB1" w:rsidDel="0040716D">
        <w:rPr>
          <w:noProof/>
        </w:rPr>
        <w:t xml:space="preserve"> </w:t>
      </w:r>
      <w:r w:rsidR="0060430C">
        <w:rPr>
          <w:noProof/>
        </w:rPr>
        <w:t>Nevertheless, l</w:t>
      </w:r>
      <w:r w:rsidR="55A09E58" w:rsidRPr="00390EB1">
        <w:rPr>
          <w:noProof/>
        </w:rPr>
        <w:t>imited payments are expected</w:t>
      </w:r>
      <w:r w:rsidR="55A09E58" w:rsidRPr="00390EB1" w:rsidDel="00F44BAB">
        <w:rPr>
          <w:noProof/>
        </w:rPr>
        <w:t xml:space="preserve"> </w:t>
      </w:r>
      <w:r w:rsidR="00F44BAB">
        <w:rPr>
          <w:noProof/>
        </w:rPr>
        <w:t>in 2025</w:t>
      </w:r>
      <w:r w:rsidR="00D0313B">
        <w:rPr>
          <w:noProof/>
        </w:rPr>
        <w:t xml:space="preserve"> and afterwards</w:t>
      </w:r>
      <w:r w:rsidR="6375D7F3" w:rsidRPr="00390EB1">
        <w:rPr>
          <w:noProof/>
        </w:rPr>
        <w:t>, considering the retention rate and pre-financing clearance</w:t>
      </w:r>
      <w:r w:rsidR="38FB65C1" w:rsidRPr="00390EB1">
        <w:rPr>
          <w:noProof/>
        </w:rPr>
        <w:t xml:space="preserve">. </w:t>
      </w:r>
    </w:p>
    <w:bookmarkEnd w:id="19"/>
    <w:p w14:paraId="36AA7ED2" w14:textId="7E6331FA" w:rsidR="00861C1C" w:rsidRPr="00390EB1" w:rsidRDefault="003B6DC2">
      <w:pPr>
        <w:pStyle w:val="amprH4Subhead1"/>
        <w:rPr>
          <w:noProof/>
        </w:rPr>
      </w:pPr>
      <w:r w:rsidRPr="00390EB1">
        <w:rPr>
          <w:noProof/>
        </w:rPr>
        <w:t xml:space="preserve">Heading 3 - Common Agricultural Policy </w:t>
      </w:r>
    </w:p>
    <w:p w14:paraId="45D00C97" w14:textId="35563DE9" w:rsidR="00861C1C" w:rsidRPr="00390EB1" w:rsidRDefault="0EC21B4F" w:rsidP="14282FF8">
      <w:pPr>
        <w:pStyle w:val="amprH4Subhead1"/>
        <w:jc w:val="both"/>
        <w:rPr>
          <w:rFonts w:eastAsiaTheme="minorEastAsia" w:cstheme="minorBidi"/>
          <w:noProof/>
          <w:color w:val="auto"/>
          <w:sz w:val="20"/>
          <w:szCs w:val="20"/>
          <w:lang w:eastAsia="en-US"/>
        </w:rPr>
      </w:pPr>
      <w:r w:rsidRPr="14282FF8">
        <w:rPr>
          <w:rFonts w:eastAsiaTheme="minorEastAsia" w:cstheme="minorBidi"/>
          <w:noProof/>
          <w:color w:val="auto"/>
          <w:sz w:val="20"/>
          <w:szCs w:val="20"/>
          <w:lang w:eastAsia="en-US"/>
        </w:rPr>
        <w:t xml:space="preserve">As in the previous forecast, </w:t>
      </w:r>
      <w:r w:rsidR="6AA50775" w:rsidRPr="14282FF8">
        <w:rPr>
          <w:rFonts w:eastAsiaTheme="minorEastAsia" w:cstheme="minorBidi"/>
          <w:noProof/>
          <w:color w:val="auto"/>
          <w:sz w:val="20"/>
          <w:szCs w:val="20"/>
          <w:lang w:eastAsia="en-US"/>
        </w:rPr>
        <w:t xml:space="preserve">the </w:t>
      </w:r>
      <w:r w:rsidR="71FA7C33" w:rsidRPr="14282FF8">
        <w:rPr>
          <w:rFonts w:eastAsiaTheme="minorEastAsia" w:cstheme="minorBidi"/>
          <w:noProof/>
          <w:color w:val="auto"/>
          <w:sz w:val="20"/>
          <w:szCs w:val="20"/>
          <w:lang w:eastAsia="en-US"/>
        </w:rPr>
        <w:t xml:space="preserve">completion of the 2014-2022 </w:t>
      </w:r>
      <w:r w:rsidR="744E3C0C" w:rsidRPr="14282FF8">
        <w:rPr>
          <w:rFonts w:eastAsiaTheme="minorEastAsia" w:cstheme="minorBidi"/>
          <w:noProof/>
          <w:color w:val="auto"/>
          <w:sz w:val="20"/>
          <w:szCs w:val="20"/>
          <w:lang w:eastAsia="en-US"/>
        </w:rPr>
        <w:t>operational rural</w:t>
      </w:r>
      <w:r w:rsidR="5A2221C4" w:rsidRPr="14282FF8">
        <w:rPr>
          <w:rFonts w:eastAsiaTheme="minorEastAsia" w:cstheme="minorBidi"/>
          <w:noProof/>
          <w:color w:val="auto"/>
          <w:sz w:val="20"/>
          <w:szCs w:val="20"/>
          <w:lang w:eastAsia="en-US"/>
        </w:rPr>
        <w:t xml:space="preserve"> development </w:t>
      </w:r>
      <w:r w:rsidR="71FA7C33" w:rsidRPr="14282FF8">
        <w:rPr>
          <w:rFonts w:eastAsiaTheme="minorEastAsia" w:cstheme="minorBidi"/>
          <w:noProof/>
          <w:color w:val="auto"/>
          <w:sz w:val="20"/>
          <w:szCs w:val="20"/>
          <w:lang w:eastAsia="en-US"/>
        </w:rPr>
        <w:t xml:space="preserve">programmes </w:t>
      </w:r>
      <w:r w:rsidRPr="14282FF8">
        <w:rPr>
          <w:rFonts w:eastAsiaTheme="minorEastAsia" w:cstheme="minorBidi"/>
          <w:noProof/>
          <w:color w:val="auto"/>
          <w:sz w:val="20"/>
          <w:szCs w:val="20"/>
          <w:lang w:eastAsia="en-US"/>
        </w:rPr>
        <w:t xml:space="preserve">is </w:t>
      </w:r>
      <w:r w:rsidR="71FA7C33" w:rsidRPr="14282FF8">
        <w:rPr>
          <w:rFonts w:eastAsiaTheme="minorEastAsia" w:cstheme="minorBidi"/>
          <w:noProof/>
          <w:color w:val="auto"/>
          <w:sz w:val="20"/>
          <w:szCs w:val="20"/>
          <w:lang w:eastAsia="en-US"/>
        </w:rPr>
        <w:t>expected for 202</w:t>
      </w:r>
      <w:r w:rsidR="53BC9A98" w:rsidRPr="14282FF8">
        <w:rPr>
          <w:rFonts w:eastAsiaTheme="minorEastAsia" w:cstheme="minorBidi"/>
          <w:noProof/>
          <w:color w:val="auto"/>
          <w:sz w:val="20"/>
          <w:szCs w:val="20"/>
          <w:lang w:eastAsia="en-US"/>
        </w:rPr>
        <w:t>6</w:t>
      </w:r>
      <w:r w:rsidR="0C6ADC0F" w:rsidRPr="14282FF8">
        <w:rPr>
          <w:rFonts w:eastAsiaTheme="minorEastAsia" w:cstheme="minorBidi"/>
          <w:noProof/>
          <w:color w:val="auto"/>
          <w:sz w:val="20"/>
          <w:szCs w:val="20"/>
          <w:lang w:eastAsia="en-US"/>
        </w:rPr>
        <w:t xml:space="preserve"> with very limited payments for 2027</w:t>
      </w:r>
      <w:r w:rsidR="1B9CD1F9" w:rsidRPr="14282FF8">
        <w:rPr>
          <w:rFonts w:eastAsiaTheme="minorEastAsia" w:cstheme="minorBidi"/>
          <w:noProof/>
          <w:color w:val="auto"/>
          <w:sz w:val="20"/>
          <w:szCs w:val="20"/>
          <w:lang w:eastAsia="en-US"/>
        </w:rPr>
        <w:t>.</w:t>
      </w:r>
      <w:r w:rsidR="78C86B10" w:rsidRPr="14282FF8">
        <w:rPr>
          <w:rFonts w:eastAsiaTheme="minorEastAsia" w:cstheme="minorBidi"/>
          <w:noProof/>
          <w:color w:val="auto"/>
          <w:sz w:val="20"/>
          <w:szCs w:val="20"/>
          <w:lang w:eastAsia="en-US"/>
        </w:rPr>
        <w:t xml:space="preserve"> M</w:t>
      </w:r>
      <w:r w:rsidR="1B9CD1F9" w:rsidRPr="14282FF8">
        <w:rPr>
          <w:rFonts w:eastAsiaTheme="minorEastAsia" w:cstheme="minorBidi"/>
          <w:noProof/>
          <w:color w:val="auto"/>
          <w:sz w:val="20"/>
          <w:szCs w:val="20"/>
          <w:lang w:eastAsia="en-US"/>
        </w:rPr>
        <w:t>o</w:t>
      </w:r>
      <w:r w:rsidR="5BA77D0E" w:rsidRPr="14282FF8">
        <w:rPr>
          <w:rFonts w:eastAsiaTheme="minorEastAsia" w:cstheme="minorBidi"/>
          <w:noProof/>
          <w:color w:val="auto"/>
          <w:sz w:val="20"/>
          <w:szCs w:val="20"/>
          <w:lang w:eastAsia="en-US"/>
        </w:rPr>
        <w:t xml:space="preserve">st </w:t>
      </w:r>
      <w:r w:rsidR="6AA50775" w:rsidRPr="14282FF8">
        <w:rPr>
          <w:rFonts w:eastAsiaTheme="minorEastAsia" w:cstheme="minorBidi"/>
          <w:noProof/>
          <w:color w:val="auto"/>
          <w:sz w:val="20"/>
          <w:szCs w:val="20"/>
          <w:lang w:eastAsia="en-US"/>
        </w:rPr>
        <w:t xml:space="preserve">of </w:t>
      </w:r>
      <w:r w:rsidR="258DC761" w:rsidRPr="14282FF8">
        <w:rPr>
          <w:rFonts w:eastAsiaTheme="minorEastAsia" w:cstheme="minorBidi"/>
          <w:noProof/>
          <w:color w:val="auto"/>
          <w:sz w:val="20"/>
          <w:szCs w:val="20"/>
          <w:lang w:eastAsia="en-US"/>
        </w:rPr>
        <w:t xml:space="preserve">the </w:t>
      </w:r>
      <w:r w:rsidR="53BC9A98" w:rsidRPr="14282FF8">
        <w:rPr>
          <w:rFonts w:eastAsiaTheme="minorEastAsia" w:cstheme="minorBidi"/>
          <w:noProof/>
          <w:color w:val="auto"/>
          <w:sz w:val="20"/>
          <w:szCs w:val="20"/>
          <w:lang w:eastAsia="en-US"/>
        </w:rPr>
        <w:t xml:space="preserve">interim payments </w:t>
      </w:r>
      <w:r w:rsidR="78C86B10" w:rsidRPr="14282FF8">
        <w:rPr>
          <w:rFonts w:eastAsiaTheme="minorEastAsia" w:cstheme="minorBidi"/>
          <w:noProof/>
          <w:color w:val="auto"/>
          <w:sz w:val="20"/>
          <w:szCs w:val="20"/>
          <w:lang w:eastAsia="en-US"/>
        </w:rPr>
        <w:t xml:space="preserve">are to </w:t>
      </w:r>
      <w:r w:rsidR="105E416E" w:rsidRPr="14282FF8">
        <w:rPr>
          <w:rFonts w:eastAsiaTheme="minorEastAsia" w:cstheme="minorBidi"/>
          <w:noProof/>
          <w:color w:val="auto"/>
          <w:sz w:val="20"/>
          <w:szCs w:val="20"/>
          <w:lang w:eastAsia="en-US"/>
        </w:rPr>
        <w:t xml:space="preserve">be </w:t>
      </w:r>
      <w:r w:rsidR="6AA50775" w:rsidRPr="14282FF8">
        <w:rPr>
          <w:rFonts w:eastAsiaTheme="minorEastAsia" w:cstheme="minorBidi"/>
          <w:noProof/>
          <w:color w:val="auto"/>
          <w:sz w:val="20"/>
          <w:szCs w:val="20"/>
          <w:lang w:eastAsia="en-US"/>
        </w:rPr>
        <w:t>paid</w:t>
      </w:r>
      <w:r w:rsidR="4A6D90AA" w:rsidRPr="14282FF8">
        <w:rPr>
          <w:rFonts w:eastAsiaTheme="minorEastAsia" w:cstheme="minorBidi"/>
          <w:noProof/>
          <w:color w:val="auto"/>
          <w:sz w:val="20"/>
          <w:szCs w:val="20"/>
          <w:lang w:eastAsia="en-US"/>
        </w:rPr>
        <w:t xml:space="preserve"> in</w:t>
      </w:r>
      <w:r w:rsidR="6AA50775" w:rsidRPr="14282FF8">
        <w:rPr>
          <w:rFonts w:eastAsiaTheme="minorEastAsia" w:cstheme="minorBidi"/>
          <w:noProof/>
          <w:color w:val="auto"/>
          <w:sz w:val="20"/>
          <w:szCs w:val="20"/>
          <w:lang w:eastAsia="en-US"/>
        </w:rPr>
        <w:t xml:space="preserve"> </w:t>
      </w:r>
      <w:r w:rsidR="53BC9A98" w:rsidRPr="14282FF8">
        <w:rPr>
          <w:rFonts w:eastAsiaTheme="minorEastAsia" w:cstheme="minorBidi"/>
          <w:noProof/>
          <w:color w:val="auto"/>
          <w:sz w:val="20"/>
          <w:szCs w:val="20"/>
          <w:lang w:eastAsia="en-US"/>
        </w:rPr>
        <w:t>2025</w:t>
      </w:r>
      <w:r w:rsidR="0013789C">
        <w:rPr>
          <w:rFonts w:eastAsiaTheme="minorEastAsia" w:cstheme="minorBidi"/>
          <w:noProof/>
          <w:color w:val="auto"/>
          <w:sz w:val="20"/>
          <w:szCs w:val="20"/>
          <w:lang w:eastAsia="en-US"/>
        </w:rPr>
        <w:t xml:space="preserve">, and a larger amount of payments in 2026 is expected due to the </w:t>
      </w:r>
      <w:r w:rsidR="002A3CAE">
        <w:rPr>
          <w:rFonts w:eastAsiaTheme="minorEastAsia" w:cstheme="minorBidi"/>
          <w:noProof/>
          <w:color w:val="auto"/>
          <w:sz w:val="20"/>
          <w:szCs w:val="20"/>
          <w:lang w:eastAsia="en-US"/>
        </w:rPr>
        <w:t>EAFRD’s expected payments at closure.</w:t>
      </w:r>
    </w:p>
    <w:p w14:paraId="597FCF93" w14:textId="77777777" w:rsidR="00861C1C" w:rsidRPr="00390EB1" w:rsidRDefault="003B6DC2">
      <w:pPr>
        <w:pStyle w:val="amprH4Subhead1"/>
        <w:rPr>
          <w:noProof/>
        </w:rPr>
      </w:pPr>
      <w:r w:rsidRPr="00390EB1">
        <w:rPr>
          <w:noProof/>
        </w:rPr>
        <w:t>Other programmes and headings</w:t>
      </w:r>
    </w:p>
    <w:p w14:paraId="4C9023B1" w14:textId="389FD996" w:rsidR="00861C1C" w:rsidRPr="00390EB1" w:rsidRDefault="003B6DC2">
      <w:pPr>
        <w:spacing w:after="120" w:line="276" w:lineRule="auto"/>
        <w:jc w:val="both"/>
        <w:rPr>
          <w:noProof/>
        </w:rPr>
      </w:pPr>
      <w:r w:rsidRPr="00390EB1">
        <w:rPr>
          <w:noProof/>
        </w:rPr>
        <w:t>Most of the outstanding payments for the rest of the budget are divided b</w:t>
      </w:r>
      <w:r w:rsidR="00615669">
        <w:rPr>
          <w:noProof/>
        </w:rPr>
        <w:t>etween</w:t>
      </w:r>
      <w:r w:rsidRPr="00390EB1">
        <w:rPr>
          <w:noProof/>
        </w:rPr>
        <w:t xml:space="preserve"> Heading 1 – Single Market, Innovation and Digital</w:t>
      </w:r>
      <w:r w:rsidR="00F42042">
        <w:rPr>
          <w:noProof/>
        </w:rPr>
        <w:t xml:space="preserve"> </w:t>
      </w:r>
      <w:r w:rsidR="00F42042" w:rsidRPr="00390EB1">
        <w:rPr>
          <w:noProof/>
        </w:rPr>
        <w:t>–</w:t>
      </w:r>
      <w:r w:rsidRPr="00390EB1">
        <w:rPr>
          <w:noProof/>
        </w:rPr>
        <w:t xml:space="preserve"> and Heading 6 – Neighbourhood and the World. </w:t>
      </w:r>
      <w:r w:rsidR="002A7514">
        <w:rPr>
          <w:noProof/>
        </w:rPr>
        <w:t>C</w:t>
      </w:r>
      <w:r w:rsidRPr="00390EB1">
        <w:rPr>
          <w:noProof/>
        </w:rPr>
        <w:t xml:space="preserve">ompletion under Heading 1 </w:t>
      </w:r>
      <w:r w:rsidR="00F42042">
        <w:rPr>
          <w:noProof/>
        </w:rPr>
        <w:t>is</w:t>
      </w:r>
      <w:r w:rsidRPr="00390EB1">
        <w:rPr>
          <w:noProof/>
        </w:rPr>
        <w:t xml:space="preserve"> now expected earlier than</w:t>
      </w:r>
      <w:r w:rsidR="00F42042">
        <w:rPr>
          <w:noProof/>
        </w:rPr>
        <w:t xml:space="preserve"> in</w:t>
      </w:r>
      <w:r w:rsidRPr="00390EB1">
        <w:rPr>
          <w:noProof/>
        </w:rPr>
        <w:t xml:space="preserve"> previous estimations</w:t>
      </w:r>
      <w:r w:rsidR="002A7514">
        <w:rPr>
          <w:noProof/>
        </w:rPr>
        <w:t>, based on the latest information about implementation on the ground</w:t>
      </w:r>
      <w:r w:rsidRPr="00390EB1">
        <w:rPr>
          <w:noProof/>
        </w:rPr>
        <w:t>.</w:t>
      </w:r>
    </w:p>
    <w:p w14:paraId="39623D05" w14:textId="5AD8B7CB" w:rsidR="00861C1C" w:rsidRPr="00390EB1" w:rsidRDefault="003B6DC2">
      <w:pPr>
        <w:pStyle w:val="amprH3Title2-Numbered-11"/>
        <w:rPr>
          <w:noProof/>
        </w:rPr>
      </w:pPr>
      <w:bookmarkStart w:id="20" w:name="_Toc71370937"/>
      <w:bookmarkStart w:id="21" w:name="_Toc71377349"/>
      <w:bookmarkStart w:id="22" w:name="_Toc71392500"/>
      <w:bookmarkStart w:id="23" w:name="_Toc71399666"/>
      <w:bookmarkStart w:id="24" w:name="_Toc71454330"/>
      <w:bookmarkStart w:id="25" w:name="_Toc71462280"/>
      <w:bookmarkStart w:id="26" w:name="_Toc71462312"/>
      <w:bookmarkStart w:id="27" w:name="_Toc71370938"/>
      <w:bookmarkStart w:id="28" w:name="_Toc71377350"/>
      <w:bookmarkStart w:id="29" w:name="_Toc71392501"/>
      <w:bookmarkStart w:id="30" w:name="_Toc71399667"/>
      <w:bookmarkStart w:id="31" w:name="_Toc71454331"/>
      <w:bookmarkStart w:id="32" w:name="_Toc71462281"/>
      <w:bookmarkStart w:id="33" w:name="_Toc71462313"/>
      <w:bookmarkStart w:id="34" w:name="_Toc71370939"/>
      <w:bookmarkStart w:id="35" w:name="_Toc71377351"/>
      <w:bookmarkStart w:id="36" w:name="_Toc71392502"/>
      <w:bookmarkStart w:id="37" w:name="_Toc71399668"/>
      <w:bookmarkStart w:id="38" w:name="_Toc71454332"/>
      <w:bookmarkStart w:id="39" w:name="_Toc71462282"/>
      <w:bookmarkStart w:id="40" w:name="_Toc71462314"/>
      <w:bookmarkStart w:id="41" w:name="_Toc71224921"/>
      <w:bookmarkStart w:id="42" w:name="_Toc71226625"/>
      <w:bookmarkStart w:id="43" w:name="_Toc71232395"/>
      <w:bookmarkStart w:id="44" w:name="_Toc71370940"/>
      <w:bookmarkStart w:id="45" w:name="_Toc71377352"/>
      <w:bookmarkStart w:id="46" w:name="_Toc71392503"/>
      <w:bookmarkStart w:id="47" w:name="_Toc71399669"/>
      <w:bookmarkStart w:id="48" w:name="_Toc71454333"/>
      <w:bookmarkStart w:id="49" w:name="_Toc71462283"/>
      <w:bookmarkStart w:id="50" w:name="_Toc71462315"/>
      <w:bookmarkStart w:id="51" w:name="_Toc71224922"/>
      <w:bookmarkStart w:id="52" w:name="_Toc71226626"/>
      <w:bookmarkStart w:id="53" w:name="_Toc71232396"/>
      <w:bookmarkStart w:id="54" w:name="_Toc71370941"/>
      <w:bookmarkStart w:id="55" w:name="_Toc71377353"/>
      <w:bookmarkStart w:id="56" w:name="_Toc71392504"/>
      <w:bookmarkStart w:id="57" w:name="_Toc71399670"/>
      <w:bookmarkStart w:id="58" w:name="_Toc71454334"/>
      <w:bookmarkStart w:id="59" w:name="_Toc71462284"/>
      <w:bookmarkStart w:id="60" w:name="_Toc71462316"/>
      <w:bookmarkStart w:id="61" w:name="_Toc524523063"/>
      <w:bookmarkStart w:id="62" w:name="_Toc16719451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390EB1">
        <w:rPr>
          <w:noProof/>
        </w:rPr>
        <w:t>Decommitments</w:t>
      </w:r>
      <w:bookmarkEnd w:id="61"/>
      <w:bookmarkEnd w:id="62"/>
    </w:p>
    <w:p w14:paraId="08CBB9D1" w14:textId="1351883F" w:rsidR="00861C1C" w:rsidRPr="00390EB1" w:rsidRDefault="6375D7F3">
      <w:pPr>
        <w:spacing w:after="120" w:line="276" w:lineRule="auto"/>
        <w:jc w:val="both"/>
        <w:rPr>
          <w:noProof/>
        </w:rPr>
      </w:pPr>
      <w:r w:rsidRPr="00390EB1">
        <w:rPr>
          <w:noProof/>
        </w:rPr>
        <w:t>The de-commitments’ forecast</w:t>
      </w:r>
      <w:r w:rsidR="1D14380F" w:rsidRPr="00390EB1">
        <w:rPr>
          <w:noProof/>
        </w:rPr>
        <w:t xml:space="preserve"> stemming from the</w:t>
      </w:r>
      <w:r w:rsidR="32169023" w:rsidRPr="00390EB1">
        <w:rPr>
          <w:noProof/>
        </w:rPr>
        <w:t xml:space="preserve"> programmes of the</w:t>
      </w:r>
      <w:r w:rsidR="1D14380F" w:rsidRPr="00390EB1">
        <w:rPr>
          <w:noProof/>
        </w:rPr>
        <w:t xml:space="preserve"> current and prior MFF</w:t>
      </w:r>
      <w:r w:rsidR="62FE5465" w:rsidRPr="00390EB1">
        <w:rPr>
          <w:noProof/>
        </w:rPr>
        <w:t>s</w:t>
      </w:r>
      <w:r w:rsidRPr="00390EB1">
        <w:rPr>
          <w:noProof/>
        </w:rPr>
        <w:t xml:space="preserve"> over 202</w:t>
      </w:r>
      <w:r w:rsidR="00A82E0E">
        <w:rPr>
          <w:noProof/>
        </w:rPr>
        <w:t>5</w:t>
      </w:r>
      <w:r w:rsidRPr="00390EB1">
        <w:rPr>
          <w:noProof/>
        </w:rPr>
        <w:t>-202</w:t>
      </w:r>
      <w:r w:rsidR="00D81C0E">
        <w:rPr>
          <w:noProof/>
        </w:rPr>
        <w:t>7</w:t>
      </w:r>
      <w:r w:rsidRPr="00390EB1">
        <w:rPr>
          <w:noProof/>
        </w:rPr>
        <w:t xml:space="preserve"> stands at EUR</w:t>
      </w:r>
      <w:r w:rsidR="008D5210">
        <w:rPr>
          <w:rFonts w:ascii="Calibri" w:hAnsi="Calibri" w:cs="Calibri"/>
          <w:noProof/>
        </w:rPr>
        <w:t> </w:t>
      </w:r>
      <w:r w:rsidR="005B29E6">
        <w:rPr>
          <w:noProof/>
        </w:rPr>
        <w:t>8</w:t>
      </w:r>
      <w:r w:rsidR="000938FC">
        <w:rPr>
          <w:noProof/>
        </w:rPr>
        <w:t>.</w:t>
      </w:r>
      <w:r w:rsidR="00F920BE">
        <w:rPr>
          <w:noProof/>
        </w:rPr>
        <w:t>8</w:t>
      </w:r>
      <w:r w:rsidR="008D5210">
        <w:rPr>
          <w:rFonts w:ascii="Calibri" w:hAnsi="Calibri" w:cs="Calibri"/>
          <w:noProof/>
        </w:rPr>
        <w:t> </w:t>
      </w:r>
      <w:r w:rsidRPr="00390EB1">
        <w:rPr>
          <w:noProof/>
        </w:rPr>
        <w:t xml:space="preserve">billion, </w:t>
      </w:r>
      <w:r w:rsidR="00B85970">
        <w:rPr>
          <w:noProof/>
        </w:rPr>
        <w:t xml:space="preserve">increasing </w:t>
      </w:r>
      <w:r w:rsidR="3790247E" w:rsidRPr="00390EB1">
        <w:rPr>
          <w:noProof/>
        </w:rPr>
        <w:t xml:space="preserve">compared to </w:t>
      </w:r>
      <w:r w:rsidRPr="00390EB1">
        <w:rPr>
          <w:noProof/>
        </w:rPr>
        <w:t xml:space="preserve">last year’s forecast </w:t>
      </w:r>
      <w:r w:rsidR="44F1F871" w:rsidRPr="00390EB1">
        <w:rPr>
          <w:noProof/>
        </w:rPr>
        <w:t>projection</w:t>
      </w:r>
      <w:r w:rsidR="7AF52EFF" w:rsidRPr="00390EB1">
        <w:rPr>
          <w:noProof/>
        </w:rPr>
        <w:t>s</w:t>
      </w:r>
      <w:r w:rsidR="44F1F871" w:rsidRPr="00390EB1">
        <w:rPr>
          <w:noProof/>
        </w:rPr>
        <w:t xml:space="preserve"> for the years 202</w:t>
      </w:r>
      <w:r w:rsidR="00A82E0E">
        <w:rPr>
          <w:noProof/>
        </w:rPr>
        <w:t>4</w:t>
      </w:r>
      <w:r w:rsidR="44F1F871" w:rsidRPr="00390EB1">
        <w:rPr>
          <w:noProof/>
        </w:rPr>
        <w:t>-2027</w:t>
      </w:r>
      <w:r w:rsidRPr="00390EB1">
        <w:rPr>
          <w:noProof/>
        </w:rPr>
        <w:t xml:space="preserve">. </w:t>
      </w:r>
      <w:r w:rsidR="128FC4C3" w:rsidRPr="00390EB1">
        <w:rPr>
          <w:noProof/>
        </w:rPr>
        <w:t xml:space="preserve">The </w:t>
      </w:r>
      <w:r w:rsidR="00F10192">
        <w:rPr>
          <w:noProof/>
        </w:rPr>
        <w:t xml:space="preserve">increase </w:t>
      </w:r>
      <w:r w:rsidR="128FC4C3" w:rsidRPr="00390EB1">
        <w:rPr>
          <w:noProof/>
        </w:rPr>
        <w:t>is mostly driven by</w:t>
      </w:r>
      <w:r w:rsidR="1F77A37E" w:rsidRPr="00390EB1">
        <w:rPr>
          <w:noProof/>
        </w:rPr>
        <w:t xml:space="preserve"> the</w:t>
      </w:r>
      <w:r w:rsidR="128FC4C3" w:rsidRPr="00390EB1">
        <w:rPr>
          <w:noProof/>
        </w:rPr>
        <w:t xml:space="preserve"> cohesion p</w:t>
      </w:r>
      <w:r w:rsidR="12AA4DE5" w:rsidRPr="00390EB1">
        <w:rPr>
          <w:noProof/>
        </w:rPr>
        <w:t>rogrammes under the current MFF</w:t>
      </w:r>
      <w:r w:rsidR="00DE6253">
        <w:rPr>
          <w:noProof/>
        </w:rPr>
        <w:t xml:space="preserve"> and the EAFRD</w:t>
      </w:r>
      <w:r w:rsidR="6AE2A9A4" w:rsidRPr="00390EB1">
        <w:rPr>
          <w:noProof/>
        </w:rPr>
        <w:t>.</w:t>
      </w:r>
      <w:r w:rsidR="007B7CFD">
        <w:rPr>
          <w:noProof/>
        </w:rPr>
        <w:t xml:space="preserve"> </w:t>
      </w:r>
      <w:r w:rsidR="007B7CFD" w:rsidRPr="007B7CFD">
        <w:rPr>
          <w:noProof/>
        </w:rPr>
        <w:t>Most of these decommitments</w:t>
      </w:r>
      <w:r w:rsidR="00736B85">
        <w:rPr>
          <w:rStyle w:val="EndnoteReference"/>
          <w:noProof/>
        </w:rPr>
        <w:endnoteReference w:id="23"/>
      </w:r>
      <w:r w:rsidR="007B7CFD" w:rsidRPr="007B7CFD">
        <w:rPr>
          <w:noProof/>
        </w:rPr>
        <w:t xml:space="preserve"> </w:t>
      </w:r>
      <w:r w:rsidR="000A612F">
        <w:rPr>
          <w:noProof/>
        </w:rPr>
        <w:t>are eligible for</w:t>
      </w:r>
      <w:r w:rsidR="007B7CFD" w:rsidRPr="007B7CFD">
        <w:rPr>
          <w:noProof/>
        </w:rPr>
        <w:t xml:space="preserve"> the EURI </w:t>
      </w:r>
      <w:r w:rsidR="007B7CFD">
        <w:rPr>
          <w:noProof/>
        </w:rPr>
        <w:t>I</w:t>
      </w:r>
      <w:r w:rsidR="007B7CFD" w:rsidRPr="007B7CFD">
        <w:rPr>
          <w:noProof/>
        </w:rPr>
        <w:t>nstrument to cover the cost overruns above the budget availabilities.</w:t>
      </w:r>
    </w:p>
    <w:p w14:paraId="0AA447F8" w14:textId="6AEAADED" w:rsidR="00861C1C" w:rsidRPr="00390EB1" w:rsidRDefault="55E43B5C" w:rsidP="00A74031">
      <w:pPr>
        <w:pStyle w:val="amprH4Subhead1"/>
        <w:spacing w:after="120" w:line="276" w:lineRule="auto"/>
        <w:jc w:val="both"/>
        <w:rPr>
          <w:noProof/>
        </w:rPr>
      </w:pPr>
      <w:r w:rsidRPr="00390EB1">
        <w:rPr>
          <w:noProof/>
        </w:rPr>
        <w:t>Heading 2a – Cohesion policy</w:t>
      </w:r>
    </w:p>
    <w:p w14:paraId="5B699BAE" w14:textId="5475E675" w:rsidR="00861C1C" w:rsidRPr="00390EB1" w:rsidRDefault="55E43B5C">
      <w:pPr>
        <w:spacing w:after="120" w:line="276" w:lineRule="auto"/>
        <w:jc w:val="both"/>
        <w:rPr>
          <w:noProof/>
        </w:rPr>
      </w:pPr>
      <w:bookmarkStart w:id="63" w:name="_Hlk136514282"/>
      <w:r w:rsidRPr="00390EB1">
        <w:rPr>
          <w:noProof/>
        </w:rPr>
        <w:t xml:space="preserve">The amounts at risk of de-commitments for the completion of the programmes 2014-2020 </w:t>
      </w:r>
      <w:r w:rsidRPr="00390EB1" w:rsidDel="00B91EDA">
        <w:rPr>
          <w:noProof/>
        </w:rPr>
        <w:t xml:space="preserve">is </w:t>
      </w:r>
      <w:r w:rsidR="00AC6BEF">
        <w:rPr>
          <w:noProof/>
        </w:rPr>
        <w:t xml:space="preserve">increased compared to the previous </w:t>
      </w:r>
      <w:r w:rsidR="00640D1F">
        <w:rPr>
          <w:noProof/>
        </w:rPr>
        <w:t xml:space="preserve">report </w:t>
      </w:r>
      <w:r w:rsidR="00AC6BEF">
        <w:rPr>
          <w:noProof/>
        </w:rPr>
        <w:t xml:space="preserve">following the forecasts provided by Member </w:t>
      </w:r>
      <w:r w:rsidR="00640D1F">
        <w:rPr>
          <w:noProof/>
        </w:rPr>
        <w:t>States</w:t>
      </w:r>
      <w:r w:rsidRPr="00390EB1">
        <w:rPr>
          <w:noProof/>
        </w:rPr>
        <w:t>.</w:t>
      </w:r>
    </w:p>
    <w:p w14:paraId="7D8650F4" w14:textId="60F87EA0" w:rsidR="00861C1C" w:rsidRPr="00390EB1" w:rsidRDefault="003231EC" w:rsidP="04494A96">
      <w:pPr>
        <w:spacing w:after="120" w:line="276" w:lineRule="auto"/>
        <w:jc w:val="both"/>
        <w:rPr>
          <w:noProof/>
        </w:rPr>
      </w:pPr>
      <w:r>
        <w:rPr>
          <w:noProof/>
        </w:rPr>
        <w:t>C</w:t>
      </w:r>
      <w:r w:rsidR="6375D7F3">
        <w:rPr>
          <w:noProof/>
        </w:rPr>
        <w:t>ohesion programmes</w:t>
      </w:r>
      <w:r w:rsidR="55ECC21D">
        <w:rPr>
          <w:noProof/>
        </w:rPr>
        <w:t xml:space="preserve"> for the period</w:t>
      </w:r>
      <w:r w:rsidR="6375D7F3">
        <w:rPr>
          <w:noProof/>
        </w:rPr>
        <w:t xml:space="preserve"> 2021-2027 </w:t>
      </w:r>
      <w:r w:rsidR="55ECC21D">
        <w:rPr>
          <w:noProof/>
        </w:rPr>
        <w:t xml:space="preserve">are forecast to </w:t>
      </w:r>
      <w:r w:rsidR="6375D7F3">
        <w:rPr>
          <w:noProof/>
        </w:rPr>
        <w:t>face important risks from 202</w:t>
      </w:r>
      <w:r w:rsidR="0071310E">
        <w:rPr>
          <w:noProof/>
        </w:rPr>
        <w:t>7</w:t>
      </w:r>
      <w:r w:rsidR="6375D7F3">
        <w:rPr>
          <w:noProof/>
        </w:rPr>
        <w:t xml:space="preserve"> </w:t>
      </w:r>
      <w:r w:rsidR="55ECC21D">
        <w:rPr>
          <w:noProof/>
        </w:rPr>
        <w:t xml:space="preserve">when </w:t>
      </w:r>
      <w:r w:rsidR="6375D7F3">
        <w:rPr>
          <w:noProof/>
        </w:rPr>
        <w:t xml:space="preserve">the decommitment targets for the commitments made </w:t>
      </w:r>
      <w:r w:rsidR="001015FB">
        <w:rPr>
          <w:noProof/>
        </w:rPr>
        <w:t xml:space="preserve">in </w:t>
      </w:r>
      <w:r w:rsidR="00AD6E06">
        <w:rPr>
          <w:noProof/>
        </w:rPr>
        <w:t xml:space="preserve">2023 </w:t>
      </w:r>
      <w:r w:rsidR="6375D7F3">
        <w:rPr>
          <w:noProof/>
        </w:rPr>
        <w:t xml:space="preserve">apply. </w:t>
      </w:r>
      <w:r w:rsidR="55ECC21D">
        <w:rPr>
          <w:noProof/>
        </w:rPr>
        <w:t>It is</w:t>
      </w:r>
      <w:r w:rsidR="6375D7F3">
        <w:rPr>
          <w:noProof/>
        </w:rPr>
        <w:t xml:space="preserve"> estimate</w:t>
      </w:r>
      <w:r w:rsidR="55ECC21D">
        <w:rPr>
          <w:noProof/>
        </w:rPr>
        <w:t>d</w:t>
      </w:r>
      <w:r w:rsidR="6375D7F3">
        <w:rPr>
          <w:noProof/>
        </w:rPr>
        <w:t xml:space="preserve"> that the rate of submission of payment claims w</w:t>
      </w:r>
      <w:r w:rsidR="55ECC21D">
        <w:rPr>
          <w:noProof/>
        </w:rPr>
        <w:t>ill</w:t>
      </w:r>
      <w:r w:rsidR="6375D7F3">
        <w:rPr>
          <w:noProof/>
        </w:rPr>
        <w:t xml:space="preserve"> </w:t>
      </w:r>
      <w:r w:rsidR="00625998">
        <w:rPr>
          <w:noProof/>
        </w:rPr>
        <w:t>st</w:t>
      </w:r>
      <w:r w:rsidR="0071195E">
        <w:rPr>
          <w:noProof/>
        </w:rPr>
        <w:t>i</w:t>
      </w:r>
      <w:r w:rsidR="00625998">
        <w:rPr>
          <w:noProof/>
        </w:rPr>
        <w:t xml:space="preserve">ll </w:t>
      </w:r>
      <w:r w:rsidR="6375D7F3">
        <w:rPr>
          <w:noProof/>
        </w:rPr>
        <w:t>trail behind th</w:t>
      </w:r>
      <w:r w:rsidR="55ECC21D">
        <w:rPr>
          <w:noProof/>
        </w:rPr>
        <w:t>at of</w:t>
      </w:r>
      <w:r w:rsidR="6375D7F3">
        <w:rPr>
          <w:noProof/>
        </w:rPr>
        <w:t xml:space="preserve"> 2014-2020 due to the delay in the approval of the programmes</w:t>
      </w:r>
      <w:r w:rsidR="00031DEF">
        <w:rPr>
          <w:noProof/>
        </w:rPr>
        <w:t xml:space="preserve"> and the low uptake in the budget</w:t>
      </w:r>
      <w:r>
        <w:rPr>
          <w:noProof/>
        </w:rPr>
        <w:t>s</w:t>
      </w:r>
      <w:r w:rsidR="00031DEF">
        <w:rPr>
          <w:noProof/>
        </w:rPr>
        <w:t xml:space="preserve"> 2023</w:t>
      </w:r>
      <w:r w:rsidR="00625998">
        <w:rPr>
          <w:noProof/>
        </w:rPr>
        <w:t>,</w:t>
      </w:r>
      <w:r w:rsidR="00031DEF">
        <w:rPr>
          <w:noProof/>
        </w:rPr>
        <w:t xml:space="preserve"> 2024</w:t>
      </w:r>
      <w:r w:rsidR="005F2925">
        <w:rPr>
          <w:noProof/>
        </w:rPr>
        <w:t>,</w:t>
      </w:r>
      <w:r w:rsidR="00625998">
        <w:rPr>
          <w:noProof/>
        </w:rPr>
        <w:t xml:space="preserve"> </w:t>
      </w:r>
      <w:r w:rsidR="00031DEF">
        <w:rPr>
          <w:noProof/>
        </w:rPr>
        <w:t xml:space="preserve">and </w:t>
      </w:r>
      <w:r w:rsidR="005F2925">
        <w:rPr>
          <w:noProof/>
        </w:rPr>
        <w:t>d</w:t>
      </w:r>
      <w:r w:rsidR="00625998">
        <w:rPr>
          <w:noProof/>
        </w:rPr>
        <w:t xml:space="preserve">raft </w:t>
      </w:r>
      <w:r w:rsidR="005F2925">
        <w:rPr>
          <w:noProof/>
        </w:rPr>
        <w:t>b</w:t>
      </w:r>
      <w:r w:rsidR="00625998">
        <w:rPr>
          <w:noProof/>
        </w:rPr>
        <w:t>udget 2025</w:t>
      </w:r>
      <w:r w:rsidR="6375D7F3">
        <w:rPr>
          <w:noProof/>
        </w:rPr>
        <w:t>.</w:t>
      </w:r>
      <w:r w:rsidR="0104FBC1">
        <w:rPr>
          <w:noProof/>
        </w:rPr>
        <w:t xml:space="preserve"> </w:t>
      </w:r>
      <w:r w:rsidR="6375D7F3">
        <w:rPr>
          <w:noProof/>
        </w:rPr>
        <w:t xml:space="preserve">The de-commitment risk could only </w:t>
      </w:r>
      <w:r w:rsidR="00F42042">
        <w:rPr>
          <w:noProof/>
        </w:rPr>
        <w:t>decrease</w:t>
      </w:r>
      <w:r w:rsidR="55ECC21D">
        <w:rPr>
          <w:noProof/>
        </w:rPr>
        <w:t xml:space="preserve"> if implementation </w:t>
      </w:r>
      <w:r w:rsidR="6375D7F3">
        <w:rPr>
          <w:noProof/>
        </w:rPr>
        <w:t>accelerate</w:t>
      </w:r>
      <w:r w:rsidR="00F42042">
        <w:rPr>
          <w:noProof/>
        </w:rPr>
        <w:t>s</w:t>
      </w:r>
      <w:r w:rsidR="55ECC21D">
        <w:rPr>
          <w:noProof/>
        </w:rPr>
        <w:t xml:space="preserve"> </w:t>
      </w:r>
      <w:r w:rsidR="6375D7F3">
        <w:rPr>
          <w:noProof/>
        </w:rPr>
        <w:t>in 202</w:t>
      </w:r>
      <w:r w:rsidR="00C72A35">
        <w:rPr>
          <w:noProof/>
        </w:rPr>
        <w:t>6</w:t>
      </w:r>
      <w:r w:rsidR="6375D7F3">
        <w:rPr>
          <w:noProof/>
        </w:rPr>
        <w:t xml:space="preserve"> and 202</w:t>
      </w:r>
      <w:r w:rsidR="00C72A35">
        <w:rPr>
          <w:noProof/>
        </w:rPr>
        <w:t>7</w:t>
      </w:r>
      <w:r w:rsidR="55ECC21D">
        <w:rPr>
          <w:noProof/>
        </w:rPr>
        <w:t xml:space="preserve"> beyond the scenario</w:t>
      </w:r>
      <w:r w:rsidR="00625998">
        <w:rPr>
          <w:noProof/>
        </w:rPr>
        <w:t xml:space="preserve"> proposed in this forecast</w:t>
      </w:r>
      <w:r w:rsidR="6375D7F3">
        <w:rPr>
          <w:noProof/>
        </w:rPr>
        <w:t>. However, if this acceleration does not materialise and the implementation</w:t>
      </w:r>
      <w:r w:rsidR="00F67578">
        <w:rPr>
          <w:noProof/>
        </w:rPr>
        <w:t xml:space="preserve"> pace</w:t>
      </w:r>
      <w:r w:rsidR="55ECC21D">
        <w:rPr>
          <w:noProof/>
        </w:rPr>
        <w:t xml:space="preserve"> </w:t>
      </w:r>
      <w:r w:rsidR="009116EA">
        <w:rPr>
          <w:noProof/>
        </w:rPr>
        <w:t>remains relatively flat</w:t>
      </w:r>
      <w:r w:rsidR="500E3FB8">
        <w:rPr>
          <w:noProof/>
        </w:rPr>
        <w:t>,</w:t>
      </w:r>
      <w:r w:rsidR="6375D7F3">
        <w:rPr>
          <w:noProof/>
        </w:rPr>
        <w:t xml:space="preserve"> the amounts at risk of decommitment would </w:t>
      </w:r>
      <w:r w:rsidR="2A61F6A0">
        <w:rPr>
          <w:noProof/>
        </w:rPr>
        <w:t>be substantially larger</w:t>
      </w:r>
      <w:r w:rsidR="00F67578">
        <w:rPr>
          <w:noProof/>
        </w:rPr>
        <w:t xml:space="preserve"> even </w:t>
      </w:r>
      <w:r w:rsidR="00315522">
        <w:rPr>
          <w:noProof/>
        </w:rPr>
        <w:t xml:space="preserve">after </w:t>
      </w:r>
      <w:r w:rsidR="00F67578">
        <w:rPr>
          <w:noProof/>
        </w:rPr>
        <w:t xml:space="preserve">considering the </w:t>
      </w:r>
      <w:r w:rsidR="004A63A0">
        <w:rPr>
          <w:noProof/>
        </w:rPr>
        <w:t xml:space="preserve">expected </w:t>
      </w:r>
      <w:r w:rsidR="00F67578">
        <w:rPr>
          <w:noProof/>
        </w:rPr>
        <w:t>impact of STEP</w:t>
      </w:r>
      <w:r w:rsidR="004A63A0">
        <w:rPr>
          <w:noProof/>
        </w:rPr>
        <w:t xml:space="preserve"> on </w:t>
      </w:r>
      <w:r w:rsidR="00A96AEB">
        <w:rPr>
          <w:noProof/>
        </w:rPr>
        <w:t>c</w:t>
      </w:r>
      <w:r w:rsidR="004A63A0">
        <w:rPr>
          <w:noProof/>
        </w:rPr>
        <w:t>ohesion</w:t>
      </w:r>
      <w:r w:rsidR="00A96AEB">
        <w:rPr>
          <w:noProof/>
        </w:rPr>
        <w:t xml:space="preserve"> policy</w:t>
      </w:r>
      <w:r w:rsidR="6375D7F3">
        <w:rPr>
          <w:noProof/>
        </w:rPr>
        <w:t>.</w:t>
      </w:r>
    </w:p>
    <w:bookmarkEnd w:id="63"/>
    <w:p w14:paraId="24DC8C51" w14:textId="77777777" w:rsidR="00861C1C" w:rsidRPr="00390EB1" w:rsidRDefault="003B6DC2">
      <w:pPr>
        <w:pStyle w:val="amprH4Subhead1"/>
        <w:rPr>
          <w:noProof/>
        </w:rPr>
      </w:pPr>
      <w:r w:rsidRPr="00390EB1">
        <w:rPr>
          <w:noProof/>
        </w:rPr>
        <w:t xml:space="preserve">Heading 3 - Common Agricultural Policy and Just Transition Fund </w:t>
      </w:r>
    </w:p>
    <w:p w14:paraId="3BFFB3A7" w14:textId="52415FEE" w:rsidR="00861C1C" w:rsidRPr="00390EB1" w:rsidRDefault="2A67BF04">
      <w:pPr>
        <w:spacing w:after="120" w:line="276" w:lineRule="auto"/>
        <w:jc w:val="both"/>
        <w:rPr>
          <w:noProof/>
        </w:rPr>
      </w:pPr>
      <w:r w:rsidRPr="00390EB1">
        <w:rPr>
          <w:noProof/>
        </w:rPr>
        <w:t>The forecast for decommitments</w:t>
      </w:r>
      <w:r w:rsidR="6185E86D" w:rsidRPr="00390EB1">
        <w:rPr>
          <w:noProof/>
        </w:rPr>
        <w:t xml:space="preserve"> </w:t>
      </w:r>
      <w:r w:rsidRPr="00390EB1">
        <w:rPr>
          <w:noProof/>
        </w:rPr>
        <w:t>of the programmes 2014-2022</w:t>
      </w:r>
      <w:r w:rsidR="25478CCE" w:rsidRPr="00390EB1">
        <w:rPr>
          <w:noProof/>
        </w:rPr>
        <w:t xml:space="preserve"> of </w:t>
      </w:r>
      <w:r w:rsidR="00E22C8A">
        <w:rPr>
          <w:noProof/>
        </w:rPr>
        <w:t xml:space="preserve">the </w:t>
      </w:r>
      <w:r w:rsidR="25478CCE" w:rsidRPr="00390EB1">
        <w:rPr>
          <w:noProof/>
        </w:rPr>
        <w:t>EAFRD</w:t>
      </w:r>
      <w:r w:rsidR="00D153D1">
        <w:rPr>
          <w:noProof/>
        </w:rPr>
        <w:t xml:space="preserve"> </w:t>
      </w:r>
      <w:r w:rsidR="00045447">
        <w:rPr>
          <w:noProof/>
        </w:rPr>
        <w:t>increases compared</w:t>
      </w:r>
      <w:r w:rsidR="42F65073" w:rsidRPr="00390EB1">
        <w:rPr>
          <w:noProof/>
        </w:rPr>
        <w:t xml:space="preserve"> with the </w:t>
      </w:r>
      <w:r w:rsidR="00AA43DA">
        <w:rPr>
          <w:noProof/>
        </w:rPr>
        <w:t xml:space="preserve">forecasts </w:t>
      </w:r>
      <w:r w:rsidR="42F65073" w:rsidRPr="00390EB1">
        <w:rPr>
          <w:noProof/>
        </w:rPr>
        <w:t>of last year</w:t>
      </w:r>
      <w:r w:rsidR="00ED1E96">
        <w:rPr>
          <w:noProof/>
        </w:rPr>
        <w:t>, reaching the historical profile of the period 2007-1</w:t>
      </w:r>
      <w:r w:rsidR="007A4836">
        <w:rPr>
          <w:noProof/>
        </w:rPr>
        <w:t>3 and these are</w:t>
      </w:r>
      <w:r w:rsidR="42F65073" w:rsidRPr="00390EB1">
        <w:rPr>
          <w:noProof/>
        </w:rPr>
        <w:t xml:space="preserve"> </w:t>
      </w:r>
      <w:r w:rsidRPr="00390EB1">
        <w:rPr>
          <w:noProof/>
        </w:rPr>
        <w:t>expected</w:t>
      </w:r>
      <w:r w:rsidR="42F65073" w:rsidRPr="00390EB1">
        <w:rPr>
          <w:noProof/>
        </w:rPr>
        <w:t xml:space="preserve"> </w:t>
      </w:r>
      <w:r w:rsidR="00EA71BB">
        <w:rPr>
          <w:noProof/>
        </w:rPr>
        <w:t>at</w:t>
      </w:r>
      <w:r w:rsidR="10A5E409" w:rsidRPr="00390EB1">
        <w:rPr>
          <w:noProof/>
        </w:rPr>
        <w:t xml:space="preserve"> closure</w:t>
      </w:r>
      <w:r w:rsidR="00D153D1">
        <w:rPr>
          <w:noProof/>
        </w:rPr>
        <w:t xml:space="preserve"> of the programmes</w:t>
      </w:r>
      <w:r w:rsidR="10A5E409" w:rsidRPr="00390EB1">
        <w:rPr>
          <w:noProof/>
        </w:rPr>
        <w:t xml:space="preserve"> in </w:t>
      </w:r>
      <w:r w:rsidRPr="00390EB1">
        <w:rPr>
          <w:noProof/>
        </w:rPr>
        <w:t>2026</w:t>
      </w:r>
      <w:r w:rsidR="1479DBCE" w:rsidRPr="00390EB1">
        <w:rPr>
          <w:noProof/>
        </w:rPr>
        <w:t>.</w:t>
      </w:r>
      <w:r w:rsidR="007715BF" w:rsidRPr="007715BF">
        <w:rPr>
          <w:noProof/>
        </w:rPr>
        <w:t xml:space="preserve"> </w:t>
      </w:r>
      <w:r w:rsidR="00344B2B">
        <w:rPr>
          <w:noProof/>
        </w:rPr>
        <w:t xml:space="preserve">The increase in the expected amount of decommitments </w:t>
      </w:r>
      <w:r w:rsidR="00135507">
        <w:rPr>
          <w:noProof/>
        </w:rPr>
        <w:t>results from</w:t>
      </w:r>
      <w:r w:rsidR="00344B2B">
        <w:rPr>
          <w:noProof/>
        </w:rPr>
        <w:t xml:space="preserve"> the </w:t>
      </w:r>
      <w:r w:rsidR="005D352E">
        <w:rPr>
          <w:noProof/>
        </w:rPr>
        <w:t xml:space="preserve">recent implementation and the forecast from Member States. </w:t>
      </w:r>
      <w:r w:rsidR="007715BF">
        <w:rPr>
          <w:noProof/>
        </w:rPr>
        <w:t>If any</w:t>
      </w:r>
      <w:r w:rsidR="001151CE">
        <w:rPr>
          <w:noProof/>
        </w:rPr>
        <w:t xml:space="preserve">, </w:t>
      </w:r>
      <w:r w:rsidR="00E104DE">
        <w:rPr>
          <w:noProof/>
        </w:rPr>
        <w:t>decommitments</w:t>
      </w:r>
      <w:r w:rsidRPr="00390EB1">
        <w:rPr>
          <w:noProof/>
        </w:rPr>
        <w:t xml:space="preserve"> for the </w:t>
      </w:r>
      <w:r w:rsidR="4F03AAFB" w:rsidRPr="00390EB1">
        <w:rPr>
          <w:noProof/>
        </w:rPr>
        <w:t>20</w:t>
      </w:r>
      <w:r w:rsidRPr="00390EB1">
        <w:rPr>
          <w:noProof/>
        </w:rPr>
        <w:t xml:space="preserve">23-2027 CAP Strategic Plans </w:t>
      </w:r>
      <w:r w:rsidR="007715BF">
        <w:rPr>
          <w:noProof/>
        </w:rPr>
        <w:t xml:space="preserve">would be </w:t>
      </w:r>
      <w:r w:rsidR="6781E4C5" w:rsidRPr="00390EB1">
        <w:rPr>
          <w:noProof/>
        </w:rPr>
        <w:t xml:space="preserve">assumed </w:t>
      </w:r>
      <w:r w:rsidR="0B2D03C9" w:rsidRPr="00390EB1">
        <w:rPr>
          <w:noProof/>
        </w:rPr>
        <w:t>at</w:t>
      </w:r>
      <w:r w:rsidR="39B2F5E9" w:rsidRPr="00390EB1">
        <w:rPr>
          <w:noProof/>
        </w:rPr>
        <w:t xml:space="preserve"> </w:t>
      </w:r>
      <w:r w:rsidR="31162C11" w:rsidRPr="00390EB1">
        <w:rPr>
          <w:noProof/>
        </w:rPr>
        <w:t>closure</w:t>
      </w:r>
      <w:r w:rsidRPr="00390EB1">
        <w:rPr>
          <w:noProof/>
        </w:rPr>
        <w:t xml:space="preserve"> (i.e. </w:t>
      </w:r>
      <w:r w:rsidR="005F705E">
        <w:rPr>
          <w:noProof/>
        </w:rPr>
        <w:t xml:space="preserve">in </w:t>
      </w:r>
      <w:r w:rsidRPr="00390EB1">
        <w:rPr>
          <w:noProof/>
        </w:rPr>
        <w:t xml:space="preserve">2030), </w:t>
      </w:r>
      <w:r w:rsidR="009050C4">
        <w:rPr>
          <w:noProof/>
        </w:rPr>
        <w:t>and are hence</w:t>
      </w:r>
      <w:r w:rsidR="42F65073" w:rsidRPr="00390EB1">
        <w:rPr>
          <w:noProof/>
        </w:rPr>
        <w:t xml:space="preserve"> </w:t>
      </w:r>
      <w:r w:rsidR="52773DF8" w:rsidRPr="00390EB1">
        <w:rPr>
          <w:noProof/>
        </w:rPr>
        <w:t xml:space="preserve">outside </w:t>
      </w:r>
      <w:r w:rsidR="42F65073" w:rsidRPr="00390EB1">
        <w:rPr>
          <w:noProof/>
        </w:rPr>
        <w:t>the scope of</w:t>
      </w:r>
      <w:r w:rsidRPr="00390EB1">
        <w:rPr>
          <w:noProof/>
        </w:rPr>
        <w:t xml:space="preserve"> this report. </w:t>
      </w:r>
    </w:p>
    <w:p w14:paraId="5B9BD84C" w14:textId="628BBD58" w:rsidR="00861C1C" w:rsidRPr="00390EB1" w:rsidRDefault="6375D7F3" w:rsidP="23B06DA2">
      <w:pPr>
        <w:spacing w:after="120" w:line="276" w:lineRule="auto"/>
        <w:jc w:val="both"/>
        <w:rPr>
          <w:noProof/>
        </w:rPr>
      </w:pPr>
      <w:r>
        <w:rPr>
          <w:noProof/>
        </w:rPr>
        <w:t xml:space="preserve">As </w:t>
      </w:r>
      <w:r w:rsidR="00FD7DEA">
        <w:rPr>
          <w:noProof/>
        </w:rPr>
        <w:t>for the Just Transition Fund,</w:t>
      </w:r>
      <w:r w:rsidR="001A4437">
        <w:rPr>
          <w:noProof/>
        </w:rPr>
        <w:t xml:space="preserve"> </w:t>
      </w:r>
      <w:r w:rsidR="009830CC">
        <w:rPr>
          <w:noProof/>
        </w:rPr>
        <w:t>payments from NextGeneration EU fund</w:t>
      </w:r>
      <w:r w:rsidR="00B50B08">
        <w:rPr>
          <w:noProof/>
        </w:rPr>
        <w:t>ing</w:t>
      </w:r>
      <w:r w:rsidR="001B3859">
        <w:rPr>
          <w:noProof/>
        </w:rPr>
        <w:t xml:space="preserve"> were made in 20</w:t>
      </w:r>
      <w:r w:rsidR="00C959E7">
        <w:rPr>
          <w:noProof/>
        </w:rPr>
        <w:t xml:space="preserve">24 </w:t>
      </w:r>
      <w:r w:rsidR="3AF6E700">
        <w:rPr>
          <w:noProof/>
        </w:rPr>
        <w:t>including</w:t>
      </w:r>
      <w:r w:rsidR="00C959E7">
        <w:rPr>
          <w:noProof/>
        </w:rPr>
        <w:t xml:space="preserve"> </w:t>
      </w:r>
      <w:r w:rsidR="7929D540">
        <w:rPr>
          <w:noProof/>
        </w:rPr>
        <w:t xml:space="preserve">exceptional </w:t>
      </w:r>
      <w:r w:rsidR="00C959E7">
        <w:rPr>
          <w:noProof/>
        </w:rPr>
        <w:t>STEP</w:t>
      </w:r>
      <w:r w:rsidR="3EC26EF1">
        <w:rPr>
          <w:noProof/>
        </w:rPr>
        <w:t xml:space="preserve"> pre</w:t>
      </w:r>
      <w:r w:rsidR="0016683D">
        <w:rPr>
          <w:noProof/>
        </w:rPr>
        <w:t>-</w:t>
      </w:r>
      <w:r w:rsidR="3EC26EF1">
        <w:rPr>
          <w:noProof/>
        </w:rPr>
        <w:t>financing</w:t>
      </w:r>
      <w:r w:rsidR="5B580345">
        <w:rPr>
          <w:noProof/>
        </w:rPr>
        <w:t xml:space="preserve">, </w:t>
      </w:r>
      <w:r w:rsidR="233E2ADA">
        <w:rPr>
          <w:noProof/>
        </w:rPr>
        <w:t>the regular</w:t>
      </w:r>
      <w:r w:rsidR="5B580345">
        <w:rPr>
          <w:noProof/>
        </w:rPr>
        <w:t xml:space="preserve"> annual pre</w:t>
      </w:r>
      <w:r w:rsidR="0016683D">
        <w:rPr>
          <w:noProof/>
        </w:rPr>
        <w:t>-</w:t>
      </w:r>
      <w:r w:rsidR="5B580345">
        <w:rPr>
          <w:noProof/>
        </w:rPr>
        <w:t xml:space="preserve">financing and </w:t>
      </w:r>
      <w:r w:rsidR="78D7FC83">
        <w:rPr>
          <w:noProof/>
        </w:rPr>
        <w:t xml:space="preserve">limited </w:t>
      </w:r>
      <w:r w:rsidR="5B580345">
        <w:rPr>
          <w:noProof/>
        </w:rPr>
        <w:t xml:space="preserve">interim payments while </w:t>
      </w:r>
      <w:r w:rsidR="00C53961">
        <w:rPr>
          <w:noProof/>
        </w:rPr>
        <w:t>additional</w:t>
      </w:r>
      <w:r w:rsidR="001B3859">
        <w:rPr>
          <w:noProof/>
        </w:rPr>
        <w:t xml:space="preserve"> </w:t>
      </w:r>
      <w:r w:rsidR="0043753E">
        <w:rPr>
          <w:noProof/>
        </w:rPr>
        <w:t xml:space="preserve">payments </w:t>
      </w:r>
      <w:r w:rsidR="001B3859">
        <w:rPr>
          <w:noProof/>
        </w:rPr>
        <w:t xml:space="preserve">are </w:t>
      </w:r>
      <w:r w:rsidR="0043753E">
        <w:rPr>
          <w:noProof/>
        </w:rPr>
        <w:t>planned</w:t>
      </w:r>
      <w:r w:rsidR="00B50B08">
        <w:rPr>
          <w:noProof/>
        </w:rPr>
        <w:t xml:space="preserve"> for </w:t>
      </w:r>
      <w:r w:rsidR="62E5FF8C">
        <w:rPr>
          <w:noProof/>
        </w:rPr>
        <w:t xml:space="preserve">2024 and </w:t>
      </w:r>
      <w:r w:rsidR="00B50B08">
        <w:rPr>
          <w:noProof/>
        </w:rPr>
        <w:t>2025</w:t>
      </w:r>
      <w:r w:rsidR="5272D0A2">
        <w:rPr>
          <w:noProof/>
        </w:rPr>
        <w:t xml:space="preserve"> </w:t>
      </w:r>
      <w:r w:rsidR="699A9438">
        <w:rPr>
          <w:noProof/>
        </w:rPr>
        <w:t xml:space="preserve">further </w:t>
      </w:r>
      <w:r w:rsidR="5272D0A2">
        <w:rPr>
          <w:noProof/>
        </w:rPr>
        <w:t>minimising the decommitment risk</w:t>
      </w:r>
      <w:r w:rsidR="00B50B08">
        <w:rPr>
          <w:noProof/>
        </w:rPr>
        <w:t xml:space="preserve">. </w:t>
      </w:r>
    </w:p>
    <w:p w14:paraId="04C5B228" w14:textId="77777777" w:rsidR="00861C1C" w:rsidRPr="00390EB1" w:rsidRDefault="003B6DC2">
      <w:pPr>
        <w:pStyle w:val="amprH4Subhead1"/>
        <w:rPr>
          <w:noProof/>
        </w:rPr>
      </w:pPr>
      <w:r w:rsidRPr="00390EB1">
        <w:rPr>
          <w:noProof/>
        </w:rPr>
        <w:t>Other programmes and headings</w:t>
      </w:r>
    </w:p>
    <w:p w14:paraId="2F505424" w14:textId="0B4C9B57" w:rsidR="00861C1C" w:rsidRPr="00390EB1" w:rsidRDefault="003B6DC2">
      <w:pPr>
        <w:spacing w:after="120" w:line="276" w:lineRule="auto"/>
        <w:jc w:val="both"/>
        <w:rPr>
          <w:noProof/>
        </w:rPr>
      </w:pPr>
      <w:r w:rsidRPr="00390EB1">
        <w:rPr>
          <w:noProof/>
        </w:rPr>
        <w:t>For the programme</w:t>
      </w:r>
      <w:r w:rsidR="41BD613B" w:rsidRPr="00390EB1">
        <w:rPr>
          <w:noProof/>
        </w:rPr>
        <w:t>s</w:t>
      </w:r>
      <w:r w:rsidRPr="00390EB1">
        <w:rPr>
          <w:noProof/>
        </w:rPr>
        <w:t xml:space="preserve"> </w:t>
      </w:r>
      <w:r w:rsidR="6855CE9F" w:rsidRPr="00390EB1">
        <w:rPr>
          <w:noProof/>
        </w:rPr>
        <w:t>direct</w:t>
      </w:r>
      <w:r w:rsidR="41BD613B" w:rsidRPr="00390EB1">
        <w:rPr>
          <w:noProof/>
        </w:rPr>
        <w:t>ly</w:t>
      </w:r>
      <w:r w:rsidR="6855CE9F" w:rsidRPr="00390EB1">
        <w:rPr>
          <w:noProof/>
        </w:rPr>
        <w:t xml:space="preserve"> </w:t>
      </w:r>
      <w:r w:rsidRPr="00390EB1">
        <w:rPr>
          <w:noProof/>
        </w:rPr>
        <w:t>managed by the Commission, the decommitment</w:t>
      </w:r>
      <w:r w:rsidR="0A58EB15" w:rsidRPr="00390EB1">
        <w:rPr>
          <w:noProof/>
        </w:rPr>
        <w:t xml:space="preserve"> forecast </w:t>
      </w:r>
      <w:r w:rsidRPr="00390EB1">
        <w:rPr>
          <w:noProof/>
        </w:rPr>
        <w:t xml:space="preserve">is </w:t>
      </w:r>
      <w:r w:rsidR="219411BF" w:rsidRPr="00390EB1">
        <w:rPr>
          <w:noProof/>
        </w:rPr>
        <w:t>built</w:t>
      </w:r>
      <w:r w:rsidRPr="00390EB1">
        <w:rPr>
          <w:noProof/>
        </w:rPr>
        <w:t xml:space="preserve"> on the most recent project-level information. As in the previous</w:t>
      </w:r>
      <w:r w:rsidRPr="00390EB1" w:rsidDel="003B6DC2">
        <w:rPr>
          <w:noProof/>
        </w:rPr>
        <w:t xml:space="preserve"> </w:t>
      </w:r>
      <w:r w:rsidR="2BB21289" w:rsidRPr="00390EB1">
        <w:rPr>
          <w:noProof/>
        </w:rPr>
        <w:t>report</w:t>
      </w:r>
      <w:r w:rsidRPr="00390EB1">
        <w:rPr>
          <w:noProof/>
        </w:rPr>
        <w:t xml:space="preserve">, the projections for the </w:t>
      </w:r>
      <w:r w:rsidR="00E104DE">
        <w:rPr>
          <w:noProof/>
        </w:rPr>
        <w:t>decommitments</w:t>
      </w:r>
      <w:r w:rsidRPr="00390EB1">
        <w:rPr>
          <w:noProof/>
        </w:rPr>
        <w:t xml:space="preserve"> related to the MFF 2021-2027 programmes are based on the decommitment rates of the predecessor</w:t>
      </w:r>
      <w:r w:rsidR="00D61C53">
        <w:rPr>
          <w:noProof/>
        </w:rPr>
        <w:t xml:space="preserve"> programme</w:t>
      </w:r>
      <w:r w:rsidR="0003581B">
        <w:rPr>
          <w:noProof/>
        </w:rPr>
        <w:t>s</w:t>
      </w:r>
      <w:r w:rsidRPr="00390EB1">
        <w:rPr>
          <w:noProof/>
        </w:rPr>
        <w:t>.</w:t>
      </w:r>
      <w:r w:rsidR="00242EBC">
        <w:rPr>
          <w:noProof/>
        </w:rPr>
        <w:t xml:space="preserve"> This year, the forecast includes </w:t>
      </w:r>
      <w:r w:rsidR="00870A3D">
        <w:rPr>
          <w:noProof/>
        </w:rPr>
        <w:t xml:space="preserve">information from the implementation profile </w:t>
      </w:r>
      <w:r w:rsidR="00196FCA">
        <w:rPr>
          <w:noProof/>
        </w:rPr>
        <w:t>for the MFF 2021-27</w:t>
      </w:r>
      <w:r w:rsidR="00040958">
        <w:rPr>
          <w:noProof/>
        </w:rPr>
        <w:t xml:space="preserve"> thus far</w:t>
      </w:r>
      <w:r w:rsidR="00196FCA">
        <w:rPr>
          <w:noProof/>
        </w:rPr>
        <w:t>.</w:t>
      </w:r>
      <w:r w:rsidRPr="00390EB1">
        <w:rPr>
          <w:noProof/>
        </w:rPr>
        <w:t xml:space="preserve"> The exact year of decommitment would depend on the closure of individual projects and actions that cannot be forecast with precision.</w:t>
      </w:r>
    </w:p>
    <w:p w14:paraId="37B8B7FA" w14:textId="77777777" w:rsidR="00861C1C" w:rsidRPr="00390EB1" w:rsidRDefault="003B6DC2">
      <w:pPr>
        <w:pStyle w:val="amprH3Title2-Numbered-11"/>
        <w:rPr>
          <w:noProof/>
        </w:rPr>
      </w:pPr>
      <w:bookmarkStart w:id="64" w:name="_Toc524523066"/>
      <w:r w:rsidRPr="00390EB1">
        <w:rPr>
          <w:noProof/>
        </w:rPr>
        <w:tab/>
      </w:r>
      <w:bookmarkStart w:id="65" w:name="_Toc167194513"/>
      <w:bookmarkStart w:id="66" w:name="_Hlk134003111"/>
      <w:r w:rsidRPr="00390EB1">
        <w:rPr>
          <w:noProof/>
        </w:rPr>
        <w:t>NextGenerationEU</w:t>
      </w:r>
      <w:bookmarkEnd w:id="65"/>
    </w:p>
    <w:p w14:paraId="4476D5ED" w14:textId="11979ECA" w:rsidR="00861C1C" w:rsidRPr="00390EB1" w:rsidRDefault="003B6DC2">
      <w:pPr>
        <w:spacing w:after="120" w:line="276" w:lineRule="auto"/>
        <w:jc w:val="both"/>
        <w:rPr>
          <w:noProof/>
        </w:rPr>
      </w:pPr>
      <w:r w:rsidRPr="00390EB1">
        <w:rPr>
          <w:noProof/>
        </w:rPr>
        <w:t>NextGenerationEU</w:t>
      </w:r>
      <w:r w:rsidR="00C9617B">
        <w:rPr>
          <w:rStyle w:val="EndnoteReference"/>
          <w:noProof/>
        </w:rPr>
        <w:endnoteReference w:id="24"/>
      </w:r>
      <w:r w:rsidRPr="00390EB1">
        <w:rPr>
          <w:noProof/>
        </w:rPr>
        <w:t xml:space="preserve"> is a temporary emergency instrument for crisis response, recovery, and resilience measures</w:t>
      </w:r>
      <w:r w:rsidR="005B7ACA">
        <w:rPr>
          <w:noProof/>
        </w:rPr>
        <w:t xml:space="preserve"> foll</w:t>
      </w:r>
      <w:r w:rsidR="007C49DB">
        <w:rPr>
          <w:noProof/>
        </w:rPr>
        <w:t>owing the C</w:t>
      </w:r>
      <w:r w:rsidR="003F5936">
        <w:rPr>
          <w:noProof/>
        </w:rPr>
        <w:t>O</w:t>
      </w:r>
      <w:r w:rsidR="007C49DB">
        <w:rPr>
          <w:noProof/>
        </w:rPr>
        <w:t>VID-19 crisis</w:t>
      </w:r>
      <w:r w:rsidRPr="00390EB1">
        <w:rPr>
          <w:noProof/>
        </w:rPr>
        <w:t xml:space="preserve">. The non-repayable </w:t>
      </w:r>
      <w:r w:rsidR="00422ECC">
        <w:rPr>
          <w:noProof/>
        </w:rPr>
        <w:t xml:space="preserve">support component </w:t>
      </w:r>
      <w:r w:rsidRPr="00390EB1">
        <w:rPr>
          <w:noProof/>
        </w:rPr>
        <w:t xml:space="preserve">of NextGenerationEU constitutes external assigned revenue </w:t>
      </w:r>
      <w:r w:rsidR="0002515B">
        <w:rPr>
          <w:noProof/>
        </w:rPr>
        <w:t xml:space="preserve">to fund </w:t>
      </w:r>
      <w:r w:rsidRPr="00390EB1">
        <w:rPr>
          <w:noProof/>
        </w:rPr>
        <w:t>reform and investment priorities – in particular through the Recovery and Resilience Facility (RRF) – and t</w:t>
      </w:r>
      <w:r w:rsidR="003F38C1">
        <w:rPr>
          <w:noProof/>
        </w:rPr>
        <w:t xml:space="preserve">hrough </w:t>
      </w:r>
      <w:r w:rsidRPr="00390EB1">
        <w:rPr>
          <w:noProof/>
        </w:rPr>
        <w:t>reinforc</w:t>
      </w:r>
      <w:r w:rsidR="003F38C1">
        <w:rPr>
          <w:noProof/>
        </w:rPr>
        <w:t>ing</w:t>
      </w:r>
      <w:r w:rsidRPr="00390EB1">
        <w:rPr>
          <w:noProof/>
        </w:rPr>
        <w:t xml:space="preserve"> a number of key programmes for the recovery. To present the impact of NextGenerationEU in a transparent manner, the estimates of the expected implementation of the external assigned revenue are drawn separately for each programme (see Table 3). The forecast is established based on the annual commitment instalments provided in the financial programming accompanying the </w:t>
      </w:r>
      <w:r w:rsidR="00E71FB5">
        <w:rPr>
          <w:noProof/>
        </w:rPr>
        <w:t>d</w:t>
      </w:r>
      <w:r w:rsidRPr="00390EB1">
        <w:rPr>
          <w:noProof/>
        </w:rPr>
        <w:t xml:space="preserve">raft </w:t>
      </w:r>
      <w:r w:rsidR="00E71FB5">
        <w:rPr>
          <w:noProof/>
        </w:rPr>
        <w:t>b</w:t>
      </w:r>
      <w:r w:rsidRPr="00390EB1">
        <w:rPr>
          <w:noProof/>
        </w:rPr>
        <w:t>udget 202</w:t>
      </w:r>
      <w:r w:rsidR="00E71FB5">
        <w:rPr>
          <w:noProof/>
        </w:rPr>
        <w:t>5</w:t>
      </w:r>
      <w:r w:rsidRPr="00390EB1">
        <w:rPr>
          <w:noProof/>
        </w:rPr>
        <w:t>.</w:t>
      </w:r>
    </w:p>
    <w:p w14:paraId="1DF9B25A" w14:textId="4282AE0B" w:rsidR="00861C1C" w:rsidRPr="00390EB1" w:rsidRDefault="003B6DC2">
      <w:pPr>
        <w:spacing w:after="120" w:line="276" w:lineRule="auto"/>
        <w:jc w:val="both"/>
        <w:rPr>
          <w:rStyle w:val="normaltextrun"/>
          <w:rFonts w:asciiTheme="majorHAnsi" w:hAnsiTheme="majorHAnsi" w:cs="Calibri"/>
          <w:noProof/>
          <w:color w:val="000000"/>
          <w:shd w:val="clear" w:color="auto" w:fill="FFFFFF"/>
        </w:rPr>
      </w:pPr>
      <w:r w:rsidRPr="00390EB1">
        <w:rPr>
          <w:rStyle w:val="normaltextrun"/>
          <w:rFonts w:asciiTheme="majorHAnsi" w:hAnsiTheme="majorHAnsi" w:cs="Calibri"/>
          <w:noProof/>
          <w:color w:val="000000"/>
          <w:shd w:val="clear" w:color="auto" w:fill="FFFFFF"/>
        </w:rPr>
        <w:t xml:space="preserve">The centrepiece of NextGenerationEU is the </w:t>
      </w:r>
      <w:r w:rsidRPr="00390EB1">
        <w:rPr>
          <w:noProof/>
        </w:rPr>
        <w:t>Recovery and Resilience Facility (RRF),</w:t>
      </w:r>
      <w:r w:rsidRPr="00390EB1">
        <w:rPr>
          <w:rStyle w:val="normaltextrun"/>
          <w:rFonts w:asciiTheme="majorHAnsi" w:hAnsiTheme="majorHAnsi" w:cs="Calibri"/>
          <w:noProof/>
          <w:color w:val="000000"/>
          <w:shd w:val="clear" w:color="auto" w:fill="FFFFFF"/>
        </w:rPr>
        <w:t xml:space="preserve"> which accounts for 80% of the non-repayable allocations</w:t>
      </w:r>
      <w:r w:rsidR="003217CE">
        <w:rPr>
          <w:rStyle w:val="EndnoteReference"/>
          <w:rFonts w:cs="Calibri"/>
          <w:noProof/>
          <w:color w:val="000000"/>
          <w:shd w:val="clear" w:color="auto" w:fill="FFFFFF"/>
        </w:rPr>
        <w:endnoteReference w:id="25"/>
      </w:r>
      <w:r w:rsidRPr="00390EB1">
        <w:rPr>
          <w:rStyle w:val="normaltextrun"/>
          <w:rFonts w:asciiTheme="majorHAnsi" w:hAnsiTheme="majorHAnsi" w:cs="Calibri"/>
          <w:noProof/>
          <w:color w:val="000000"/>
          <w:shd w:val="clear" w:color="auto" w:fill="FFFFFF"/>
        </w:rPr>
        <w:t xml:space="preserve">. NextGenerationEU outflows are largely determined by the pace of disbursements for the RRF. </w:t>
      </w:r>
      <w:r w:rsidRPr="320480FA">
        <w:rPr>
          <w:rStyle w:val="normaltextrun"/>
          <w:rFonts w:asciiTheme="majorHAnsi" w:hAnsiTheme="majorHAnsi" w:cs="Calibri"/>
          <w:noProof/>
          <w:color w:val="000000"/>
          <w:shd w:val="clear" w:color="auto" w:fill="FFFFFF"/>
        </w:rPr>
        <w:t xml:space="preserve">The </w:t>
      </w:r>
      <w:r w:rsidR="7D707908" w:rsidRPr="120E1F92">
        <w:rPr>
          <w:rStyle w:val="normaltextrun"/>
          <w:rFonts w:asciiTheme="majorHAnsi" w:hAnsiTheme="majorHAnsi" w:cs="Calibri"/>
          <w:noProof/>
          <w:color w:val="000000"/>
          <w:shd w:val="clear" w:color="auto" w:fill="FFFFFF"/>
        </w:rPr>
        <w:t>RRF</w:t>
      </w:r>
      <w:r w:rsidR="00205ABD">
        <w:rPr>
          <w:rStyle w:val="normaltextrun"/>
          <w:rFonts w:asciiTheme="majorHAnsi" w:hAnsiTheme="majorHAnsi" w:cs="Calibri"/>
          <w:noProof/>
          <w:color w:val="000000"/>
          <w:shd w:val="clear" w:color="auto" w:fill="FFFFFF"/>
        </w:rPr>
        <w:t xml:space="preserve"> </w:t>
      </w:r>
      <w:r w:rsidR="007E6F9D" w:rsidRPr="120E1F92">
        <w:rPr>
          <w:rStyle w:val="normaltextrun"/>
          <w:rFonts w:asciiTheme="majorHAnsi" w:hAnsiTheme="majorHAnsi" w:cs="Calibri"/>
          <w:noProof/>
          <w:color w:val="000000"/>
          <w:shd w:val="clear" w:color="auto" w:fill="FFFFFF"/>
        </w:rPr>
        <w:t>is</w:t>
      </w:r>
      <w:r w:rsidR="007E6F9D">
        <w:rPr>
          <w:rStyle w:val="normaltextrun"/>
          <w:rFonts w:asciiTheme="majorHAnsi" w:hAnsiTheme="majorHAnsi" w:cs="Calibri"/>
          <w:noProof/>
          <w:color w:val="000000"/>
          <w:shd w:val="clear" w:color="auto" w:fill="FFFFFF"/>
        </w:rPr>
        <w:t xml:space="preserve"> halfway </w:t>
      </w:r>
      <w:r w:rsidR="00AE6C49">
        <w:rPr>
          <w:rStyle w:val="normaltextrun"/>
          <w:rFonts w:asciiTheme="majorHAnsi" w:hAnsiTheme="majorHAnsi" w:cs="Calibri"/>
          <w:noProof/>
          <w:color w:val="000000"/>
          <w:shd w:val="clear" w:color="auto" w:fill="FFFFFF"/>
        </w:rPr>
        <w:t xml:space="preserve">through </w:t>
      </w:r>
      <w:r w:rsidR="007E6F9D">
        <w:rPr>
          <w:rStyle w:val="normaltextrun"/>
          <w:rFonts w:asciiTheme="majorHAnsi" w:hAnsiTheme="majorHAnsi" w:cs="Calibri"/>
          <w:noProof/>
          <w:color w:val="000000"/>
          <w:shd w:val="clear" w:color="auto" w:fill="FFFFFF"/>
        </w:rPr>
        <w:t xml:space="preserve">its </w:t>
      </w:r>
      <w:r w:rsidRPr="00390EB1">
        <w:rPr>
          <w:rStyle w:val="normaltextrun"/>
          <w:rFonts w:asciiTheme="majorHAnsi" w:hAnsiTheme="majorHAnsi" w:cs="Calibri"/>
          <w:noProof/>
          <w:color w:val="000000"/>
          <w:shd w:val="clear" w:color="auto" w:fill="FFFFFF"/>
        </w:rPr>
        <w:t xml:space="preserve">implementation phase, </w:t>
      </w:r>
      <w:r w:rsidR="00802385">
        <w:rPr>
          <w:rStyle w:val="normaltextrun"/>
          <w:rFonts w:asciiTheme="majorHAnsi" w:hAnsiTheme="majorHAnsi" w:cs="Calibri"/>
          <w:noProof/>
          <w:color w:val="000000"/>
          <w:shd w:val="clear" w:color="auto" w:fill="FFFFFF"/>
        </w:rPr>
        <w:t xml:space="preserve">and </w:t>
      </w:r>
      <w:r w:rsidRPr="00390EB1">
        <w:rPr>
          <w:rStyle w:val="normaltextrun"/>
          <w:rFonts w:asciiTheme="majorHAnsi" w:hAnsiTheme="majorHAnsi" w:cs="Calibri"/>
          <w:noProof/>
          <w:color w:val="000000"/>
          <w:shd w:val="clear" w:color="auto" w:fill="FFFFFF"/>
        </w:rPr>
        <w:t>progress</w:t>
      </w:r>
      <w:r w:rsidR="00802385">
        <w:rPr>
          <w:rStyle w:val="normaltextrun"/>
          <w:rFonts w:asciiTheme="majorHAnsi" w:hAnsiTheme="majorHAnsi" w:cs="Calibri"/>
          <w:noProof/>
          <w:color w:val="000000"/>
          <w:shd w:val="clear" w:color="auto" w:fill="FFFFFF"/>
        </w:rPr>
        <w:t>es</w:t>
      </w:r>
      <w:r w:rsidR="00E22C8A">
        <w:rPr>
          <w:rStyle w:val="normaltextrun"/>
          <w:rFonts w:asciiTheme="majorHAnsi" w:hAnsiTheme="majorHAnsi" w:cs="Calibri"/>
          <w:noProof/>
          <w:color w:val="000000"/>
          <w:shd w:val="clear" w:color="auto" w:fill="FFFFFF"/>
        </w:rPr>
        <w:t xml:space="preserve"> </w:t>
      </w:r>
      <w:r w:rsidR="00F85B28">
        <w:rPr>
          <w:rStyle w:val="normaltextrun"/>
          <w:rFonts w:asciiTheme="majorHAnsi" w:hAnsiTheme="majorHAnsi" w:cs="Calibri"/>
          <w:noProof/>
          <w:color w:val="000000"/>
          <w:shd w:val="clear" w:color="auto" w:fill="FFFFFF"/>
        </w:rPr>
        <w:t xml:space="preserve">commensurate to the </w:t>
      </w:r>
      <w:r w:rsidR="00717009">
        <w:rPr>
          <w:rStyle w:val="normaltextrun"/>
          <w:rFonts w:asciiTheme="majorHAnsi" w:hAnsiTheme="majorHAnsi" w:cs="Calibri"/>
          <w:noProof/>
          <w:color w:val="000000"/>
          <w:shd w:val="clear" w:color="auto" w:fill="FFFFFF"/>
        </w:rPr>
        <w:t xml:space="preserve">achievement of milestones and targets linked to </w:t>
      </w:r>
      <w:r w:rsidRPr="00390EB1">
        <w:rPr>
          <w:rStyle w:val="normaltextrun"/>
          <w:rFonts w:asciiTheme="majorHAnsi" w:hAnsiTheme="majorHAnsi" w:cs="Calibri"/>
          <w:noProof/>
          <w:color w:val="000000"/>
          <w:shd w:val="clear" w:color="auto" w:fill="FFFFFF"/>
        </w:rPr>
        <w:t>reforms and investments by the Member States</w:t>
      </w:r>
      <w:r w:rsidR="00D95293">
        <w:rPr>
          <w:rStyle w:val="normaltextrun"/>
          <w:rFonts w:asciiTheme="majorHAnsi" w:hAnsiTheme="majorHAnsi" w:cs="Calibri"/>
          <w:noProof/>
          <w:color w:val="000000"/>
          <w:shd w:val="clear" w:color="auto" w:fill="FFFFFF"/>
        </w:rPr>
        <w:t>.</w:t>
      </w:r>
    </w:p>
    <w:p w14:paraId="07BD29AF" w14:textId="56FCF4DB" w:rsidR="00861C1C" w:rsidRPr="00507A67" w:rsidRDefault="2A67BF04" w:rsidP="4CFE12F3">
      <w:pPr>
        <w:spacing w:after="120" w:line="276" w:lineRule="auto"/>
        <w:jc w:val="both"/>
        <w:rPr>
          <w:rStyle w:val="normaltextrun"/>
          <w:rFonts w:asciiTheme="majorHAnsi" w:hAnsiTheme="majorHAnsi"/>
          <w:noProof/>
          <w:color w:val="000000"/>
          <w:shd w:val="clear" w:color="auto" w:fill="FFFFFF"/>
        </w:rPr>
      </w:pPr>
      <w:bookmarkStart w:id="67" w:name="_Hlk134003757"/>
      <w:r w:rsidRPr="3EA9C0DA">
        <w:rPr>
          <w:rStyle w:val="normaltextrun"/>
          <w:rFonts w:asciiTheme="majorHAnsi" w:hAnsiTheme="majorHAnsi" w:cs="Calibri"/>
          <w:noProof/>
          <w:color w:val="000000"/>
          <w:shd w:val="clear" w:color="auto" w:fill="FFFFFF"/>
        </w:rPr>
        <w:t>As of May 202</w:t>
      </w:r>
      <w:r w:rsidR="0030778D" w:rsidRPr="3EA9C0DA">
        <w:rPr>
          <w:rStyle w:val="normaltextrun"/>
          <w:rFonts w:asciiTheme="majorHAnsi" w:hAnsiTheme="majorHAnsi" w:cs="Calibri"/>
          <w:noProof/>
          <w:color w:val="000000"/>
          <w:shd w:val="clear" w:color="auto" w:fill="FFFFFF"/>
        </w:rPr>
        <w:t>4</w:t>
      </w:r>
      <w:r w:rsidRPr="3EA9C0DA">
        <w:rPr>
          <w:rStyle w:val="normaltextrun"/>
          <w:rFonts w:asciiTheme="majorHAnsi" w:hAnsiTheme="majorHAnsi" w:cs="Calibri"/>
          <w:noProof/>
          <w:color w:val="000000"/>
          <w:shd w:val="clear" w:color="auto" w:fill="FFFFFF"/>
        </w:rPr>
        <w:t xml:space="preserve">, all 27 Member States have </w:t>
      </w:r>
      <w:r w:rsidR="0030778D" w:rsidRPr="3EA9C0DA">
        <w:rPr>
          <w:rStyle w:val="normaltextrun"/>
          <w:rFonts w:asciiTheme="majorHAnsi" w:hAnsiTheme="majorHAnsi" w:cs="Calibri"/>
          <w:noProof/>
          <w:color w:val="000000"/>
          <w:shd w:val="clear" w:color="auto" w:fill="FFFFFF"/>
        </w:rPr>
        <w:t xml:space="preserve">updated their </w:t>
      </w:r>
      <w:r w:rsidRPr="3EA9C0DA">
        <w:rPr>
          <w:rStyle w:val="normaltextrun"/>
          <w:rFonts w:asciiTheme="majorHAnsi" w:hAnsiTheme="majorHAnsi" w:cs="Calibri"/>
          <w:noProof/>
          <w:color w:val="000000"/>
          <w:shd w:val="clear" w:color="auto" w:fill="FFFFFF"/>
        </w:rPr>
        <w:t>national Recovery and Resilience Plans (RRPs)</w:t>
      </w:r>
      <w:r w:rsidR="0030778D" w:rsidRPr="3EA9C0DA">
        <w:rPr>
          <w:rStyle w:val="normaltextrun"/>
          <w:rFonts w:asciiTheme="majorHAnsi" w:hAnsiTheme="majorHAnsi" w:cs="Calibri"/>
          <w:noProof/>
          <w:color w:val="000000"/>
          <w:shd w:val="clear" w:color="auto" w:fill="FFFFFF"/>
        </w:rPr>
        <w:t xml:space="preserve"> to take the update of the RRF allocation into</w:t>
      </w:r>
      <w:r w:rsidR="00250DE1" w:rsidRPr="3EA9C0DA">
        <w:rPr>
          <w:rStyle w:val="normaltextrun"/>
          <w:rFonts w:asciiTheme="majorHAnsi" w:hAnsiTheme="majorHAnsi" w:cs="Calibri"/>
          <w:noProof/>
          <w:color w:val="000000"/>
          <w:shd w:val="clear" w:color="auto" w:fill="FFFFFF"/>
        </w:rPr>
        <w:t xml:space="preserve"> account</w:t>
      </w:r>
      <w:r w:rsidRPr="3EA9C0DA">
        <w:rPr>
          <w:rStyle w:val="normaltextrun"/>
          <w:rFonts w:asciiTheme="majorHAnsi" w:hAnsiTheme="majorHAnsi" w:cs="Calibri"/>
          <w:noProof/>
          <w:color w:val="000000"/>
          <w:shd w:val="clear" w:color="auto" w:fill="FFFFFF"/>
        </w:rPr>
        <w:t xml:space="preserve">. </w:t>
      </w:r>
      <w:r w:rsidR="00841E94">
        <w:rPr>
          <w:rStyle w:val="normaltextrun"/>
          <w:rFonts w:asciiTheme="majorHAnsi" w:hAnsiTheme="majorHAnsi" w:cs="Calibri"/>
          <w:noProof/>
          <w:color w:val="000000"/>
          <w:shd w:val="clear" w:color="auto" w:fill="FFFFFF"/>
        </w:rPr>
        <w:t>Almost a</w:t>
      </w:r>
      <w:r w:rsidR="00A56C73" w:rsidRPr="0060739E">
        <w:rPr>
          <w:rStyle w:val="normaltextrun"/>
          <w:rFonts w:asciiTheme="majorHAnsi" w:hAnsiTheme="majorHAnsi" w:cs="Calibri"/>
          <w:noProof/>
          <w:color w:val="000000"/>
          <w:shd w:val="clear" w:color="auto" w:fill="FFFFFF"/>
        </w:rPr>
        <w:t>ll Member States</w:t>
      </w:r>
      <w:r w:rsidR="00A56C73" w:rsidRPr="3EA9C0DA">
        <w:rPr>
          <w:rStyle w:val="normaltextrun"/>
          <w:rFonts w:asciiTheme="majorHAnsi" w:hAnsiTheme="majorHAnsi" w:cs="Calibri"/>
          <w:noProof/>
          <w:color w:val="000000"/>
          <w:shd w:val="clear" w:color="auto" w:fill="FFFFFF"/>
        </w:rPr>
        <w:t xml:space="preserve"> have included dedicated REPowerEU Chapters to their national RRPs</w:t>
      </w:r>
      <w:r w:rsidR="00850A30" w:rsidRPr="3EA9C0DA">
        <w:rPr>
          <w:rStyle w:val="normaltextrun"/>
          <w:rFonts w:asciiTheme="majorHAnsi" w:hAnsiTheme="majorHAnsi" w:cs="Calibri"/>
          <w:noProof/>
          <w:color w:val="000000"/>
          <w:shd w:val="clear" w:color="auto" w:fill="FFFFFF"/>
        </w:rPr>
        <w:t xml:space="preserve">, following the Commission’s REPowerEU plan </w:t>
      </w:r>
      <w:r w:rsidR="009A6D40" w:rsidRPr="3EA9C0DA">
        <w:rPr>
          <w:rStyle w:val="normaltextrun"/>
          <w:rFonts w:asciiTheme="majorHAnsi" w:hAnsiTheme="majorHAnsi" w:cs="Calibri"/>
          <w:noProof/>
          <w:color w:val="000000"/>
          <w:shd w:val="clear" w:color="auto" w:fill="FFFFFF"/>
        </w:rPr>
        <w:t>to become more energy independent and foster the energy transition towards sustainable renewable energy sources.</w:t>
      </w:r>
      <w:r w:rsidR="00EE44BC" w:rsidRPr="3EA9C0DA">
        <w:rPr>
          <w:rStyle w:val="normaltextrun"/>
          <w:rFonts w:asciiTheme="majorHAnsi" w:hAnsiTheme="majorHAnsi" w:cs="Calibri"/>
          <w:noProof/>
          <w:color w:val="000000"/>
          <w:shd w:val="clear" w:color="auto" w:fill="FFFFFF"/>
        </w:rPr>
        <w:t xml:space="preserve"> In addition to that, </w:t>
      </w:r>
      <w:r w:rsidR="004C4953" w:rsidRPr="3EA9C0DA">
        <w:rPr>
          <w:rStyle w:val="normaltextrun"/>
          <w:rFonts w:asciiTheme="majorHAnsi" w:hAnsiTheme="majorHAnsi" w:cs="Calibri"/>
          <w:noProof/>
          <w:color w:val="000000"/>
          <w:shd w:val="clear" w:color="auto" w:fill="FFFFFF"/>
        </w:rPr>
        <w:t xml:space="preserve">REPowerEU chapters submitted by Ireland and </w:t>
      </w:r>
      <w:r w:rsidR="00CE7B7B" w:rsidRPr="3EA9C0DA">
        <w:rPr>
          <w:rStyle w:val="normaltextrun"/>
          <w:rFonts w:asciiTheme="majorHAnsi" w:hAnsiTheme="majorHAnsi" w:cs="Calibri"/>
          <w:noProof/>
          <w:color w:val="000000"/>
          <w:shd w:val="clear" w:color="auto" w:fill="FFFFFF"/>
        </w:rPr>
        <w:t>G</w:t>
      </w:r>
      <w:r w:rsidR="00657BE4" w:rsidRPr="3EA9C0DA">
        <w:rPr>
          <w:rStyle w:val="normaltextrun"/>
          <w:rFonts w:asciiTheme="majorHAnsi" w:hAnsiTheme="majorHAnsi" w:cs="Calibri"/>
          <w:noProof/>
          <w:color w:val="000000"/>
          <w:shd w:val="clear" w:color="auto" w:fill="FFFFFF"/>
        </w:rPr>
        <w:t>ermany</w:t>
      </w:r>
      <w:r w:rsidR="00A25286" w:rsidRPr="3EA9C0DA">
        <w:rPr>
          <w:rStyle w:val="normaltextrun"/>
          <w:rFonts w:asciiTheme="majorHAnsi" w:hAnsiTheme="majorHAnsi" w:cs="Calibri"/>
          <w:noProof/>
          <w:color w:val="000000"/>
          <w:shd w:val="clear" w:color="auto" w:fill="FFFFFF"/>
        </w:rPr>
        <w:t xml:space="preserve"> are currently under the Commission’s assessment </w:t>
      </w:r>
      <w:r w:rsidR="00D570AA" w:rsidRPr="3EA9C0DA">
        <w:rPr>
          <w:rStyle w:val="normaltextrun"/>
          <w:rFonts w:asciiTheme="majorHAnsi" w:hAnsiTheme="majorHAnsi" w:cs="Calibri"/>
          <w:noProof/>
          <w:color w:val="000000"/>
          <w:shd w:val="clear" w:color="auto" w:fill="FFFFFF"/>
        </w:rPr>
        <w:t xml:space="preserve">with a view to </w:t>
      </w:r>
      <w:r w:rsidR="008418B0" w:rsidRPr="3EA9C0DA">
        <w:rPr>
          <w:rStyle w:val="normaltextrun"/>
          <w:rFonts w:asciiTheme="majorHAnsi" w:hAnsiTheme="majorHAnsi" w:cs="Calibri"/>
          <w:noProof/>
          <w:color w:val="000000"/>
          <w:shd w:val="clear" w:color="auto" w:fill="FFFFFF"/>
        </w:rPr>
        <w:t>be</w:t>
      </w:r>
      <w:r w:rsidR="00D570AA" w:rsidRPr="3EA9C0DA">
        <w:rPr>
          <w:rStyle w:val="normaltextrun"/>
          <w:rFonts w:asciiTheme="majorHAnsi" w:hAnsiTheme="majorHAnsi" w:cs="Calibri"/>
          <w:noProof/>
          <w:color w:val="000000"/>
          <w:shd w:val="clear" w:color="auto" w:fill="FFFFFF"/>
        </w:rPr>
        <w:t xml:space="preserve"> adopted </w:t>
      </w:r>
      <w:r w:rsidR="00550971" w:rsidRPr="3EA9C0DA">
        <w:rPr>
          <w:rStyle w:val="normaltextrun"/>
          <w:rFonts w:asciiTheme="majorHAnsi" w:hAnsiTheme="majorHAnsi" w:cs="Calibri"/>
          <w:noProof/>
          <w:color w:val="000000"/>
          <w:shd w:val="clear" w:color="auto" w:fill="FFFFFF"/>
        </w:rPr>
        <w:t xml:space="preserve">in </w:t>
      </w:r>
      <w:r w:rsidR="008418B0" w:rsidRPr="3EA9C0DA">
        <w:rPr>
          <w:rStyle w:val="normaltextrun"/>
          <w:rFonts w:asciiTheme="majorHAnsi" w:hAnsiTheme="majorHAnsi" w:cs="Calibri"/>
          <w:noProof/>
          <w:color w:val="000000"/>
          <w:shd w:val="clear" w:color="auto" w:fill="FFFFFF"/>
        </w:rPr>
        <w:t>the following months</w:t>
      </w:r>
      <w:r w:rsidR="003E71B4" w:rsidRPr="3EA9C0DA">
        <w:rPr>
          <w:rStyle w:val="normaltextrun"/>
          <w:rFonts w:asciiTheme="majorHAnsi" w:hAnsiTheme="majorHAnsi" w:cs="Calibri"/>
          <w:noProof/>
          <w:color w:val="000000"/>
          <w:shd w:val="clear" w:color="auto" w:fill="FFFFFF"/>
        </w:rPr>
        <w:t>.</w:t>
      </w:r>
      <w:r w:rsidR="00657BE4" w:rsidRPr="3EA9C0DA">
        <w:rPr>
          <w:rStyle w:val="normaltextrun"/>
          <w:rFonts w:asciiTheme="majorHAnsi" w:hAnsiTheme="majorHAnsi" w:cs="Calibri"/>
          <w:noProof/>
          <w:color w:val="000000"/>
          <w:shd w:val="clear" w:color="auto" w:fill="FFFFFF"/>
        </w:rPr>
        <w:t xml:space="preserve"> </w:t>
      </w:r>
      <w:r w:rsidRPr="3EA9C0DA">
        <w:rPr>
          <w:rStyle w:val="normaltextrun"/>
          <w:rFonts w:asciiTheme="majorHAnsi" w:hAnsiTheme="majorHAnsi" w:cs="Calibri"/>
          <w:noProof/>
          <w:color w:val="000000"/>
          <w:shd w:val="clear" w:color="auto" w:fill="FFFFFF"/>
        </w:rPr>
        <w:t xml:space="preserve">In total, </w:t>
      </w:r>
      <w:r w:rsidRPr="0060739E">
        <w:rPr>
          <w:rStyle w:val="normaltextrun"/>
          <w:rFonts w:asciiTheme="majorHAnsi" w:hAnsiTheme="majorHAnsi" w:cs="Calibri"/>
          <w:noProof/>
          <w:color w:val="000000"/>
          <w:shd w:val="clear" w:color="auto" w:fill="FFFFFF"/>
        </w:rPr>
        <w:t>EUR</w:t>
      </w:r>
      <w:r w:rsidR="00283BC5" w:rsidRPr="0060739E">
        <w:rPr>
          <w:rStyle w:val="normaltextrun"/>
          <w:rFonts w:ascii="Calibri" w:hAnsi="Calibri" w:cs="Calibri"/>
          <w:noProof/>
          <w:color w:val="000000"/>
          <w:shd w:val="clear" w:color="auto" w:fill="FFFFFF"/>
        </w:rPr>
        <w:t> </w:t>
      </w:r>
      <w:r w:rsidR="0081123C" w:rsidRPr="0060739E">
        <w:rPr>
          <w:rStyle w:val="normaltextrun"/>
          <w:rFonts w:asciiTheme="majorHAnsi" w:hAnsiTheme="majorHAnsi" w:cs="Calibri"/>
          <w:noProof/>
          <w:color w:val="000000"/>
          <w:shd w:val="clear" w:color="auto" w:fill="FFFFFF"/>
        </w:rPr>
        <w:t>232</w:t>
      </w:r>
      <w:r w:rsidR="00283BC5" w:rsidRPr="0060739E">
        <w:rPr>
          <w:rStyle w:val="normaltextrun"/>
          <w:rFonts w:ascii="Calibri" w:hAnsi="Calibri" w:cs="Calibri"/>
          <w:noProof/>
          <w:color w:val="000000"/>
          <w:shd w:val="clear" w:color="auto" w:fill="FFFFFF"/>
        </w:rPr>
        <w:t> </w:t>
      </w:r>
      <w:r w:rsidRPr="0060739E">
        <w:rPr>
          <w:rStyle w:val="normaltextrun"/>
          <w:rFonts w:asciiTheme="majorHAnsi" w:hAnsiTheme="majorHAnsi" w:cs="Calibri"/>
          <w:noProof/>
          <w:color w:val="000000"/>
          <w:shd w:val="clear" w:color="auto" w:fill="FFFFFF"/>
        </w:rPr>
        <w:t>billion</w:t>
      </w:r>
      <w:r w:rsidRPr="3EA9C0DA">
        <w:rPr>
          <w:rStyle w:val="normaltextrun"/>
          <w:rFonts w:asciiTheme="majorHAnsi" w:hAnsiTheme="majorHAnsi" w:cs="Calibri"/>
          <w:noProof/>
          <w:color w:val="000000"/>
          <w:shd w:val="clear" w:color="auto" w:fill="FFFFFF"/>
        </w:rPr>
        <w:t xml:space="preserve"> was disbursed (EUR</w:t>
      </w:r>
      <w:r w:rsidR="00EE3B5F">
        <w:rPr>
          <w:rStyle w:val="normaltextrun"/>
          <w:rFonts w:ascii="Calibri" w:hAnsi="Calibri" w:cs="Calibri"/>
          <w:noProof/>
          <w:color w:val="000000"/>
          <w:shd w:val="clear" w:color="auto" w:fill="FFFFFF"/>
        </w:rPr>
        <w:t> </w:t>
      </w:r>
      <w:r w:rsidR="002C0B69" w:rsidRPr="3EA9C0DA">
        <w:rPr>
          <w:rStyle w:val="normaltextrun"/>
          <w:rFonts w:asciiTheme="majorHAnsi" w:hAnsiTheme="majorHAnsi" w:cs="Calibri"/>
          <w:noProof/>
          <w:color w:val="000000"/>
          <w:shd w:val="clear" w:color="auto" w:fill="FFFFFF"/>
        </w:rPr>
        <w:t>148</w:t>
      </w:r>
      <w:r w:rsidR="00283BC5" w:rsidRPr="00507A67">
        <w:rPr>
          <w:rStyle w:val="normaltextrun"/>
          <w:rFonts w:ascii="Calibri" w:hAnsi="Calibri" w:cs="Calibri"/>
          <w:noProof/>
          <w:color w:val="000000"/>
          <w:shd w:val="clear" w:color="auto" w:fill="FFFFFF"/>
        </w:rPr>
        <w:t> </w:t>
      </w:r>
      <w:r w:rsidRPr="3EA9C0DA">
        <w:rPr>
          <w:rStyle w:val="normaltextrun"/>
          <w:rFonts w:asciiTheme="majorHAnsi" w:hAnsiTheme="majorHAnsi" w:cs="Calibri"/>
          <w:noProof/>
          <w:color w:val="000000"/>
          <w:shd w:val="clear" w:color="auto" w:fill="FFFFFF"/>
        </w:rPr>
        <w:t>billion in non-repayable support and EUR</w:t>
      </w:r>
      <w:r w:rsidR="00283BC5" w:rsidRPr="00507A67">
        <w:rPr>
          <w:rStyle w:val="normaltextrun"/>
          <w:rFonts w:ascii="Calibri" w:hAnsi="Calibri" w:cs="Calibri"/>
          <w:noProof/>
          <w:color w:val="000000"/>
          <w:shd w:val="clear" w:color="auto" w:fill="FFFFFF"/>
        </w:rPr>
        <w:t> </w:t>
      </w:r>
      <w:r w:rsidR="00CB337D" w:rsidRPr="3EA9C0DA">
        <w:rPr>
          <w:rStyle w:val="normaltextrun"/>
          <w:rFonts w:asciiTheme="majorHAnsi" w:hAnsiTheme="majorHAnsi" w:cs="Calibri"/>
          <w:noProof/>
          <w:color w:val="000000"/>
          <w:shd w:val="clear" w:color="auto" w:fill="FFFFFF"/>
        </w:rPr>
        <w:t>84</w:t>
      </w:r>
      <w:r w:rsidR="00283BC5" w:rsidRPr="00507A67">
        <w:rPr>
          <w:rStyle w:val="normaltextrun"/>
          <w:rFonts w:ascii="Calibri" w:hAnsi="Calibri" w:cs="Calibri"/>
          <w:noProof/>
          <w:color w:val="000000"/>
          <w:shd w:val="clear" w:color="auto" w:fill="FFFFFF"/>
        </w:rPr>
        <w:t> </w:t>
      </w:r>
      <w:r w:rsidRPr="3EA9C0DA">
        <w:rPr>
          <w:rStyle w:val="normaltextrun"/>
          <w:rFonts w:asciiTheme="majorHAnsi" w:hAnsiTheme="majorHAnsi" w:cs="Calibri"/>
          <w:noProof/>
          <w:color w:val="000000"/>
          <w:shd w:val="clear" w:color="auto" w:fill="FFFFFF"/>
        </w:rPr>
        <w:t xml:space="preserve">billion in </w:t>
      </w:r>
      <w:r w:rsidR="00422ECC">
        <w:rPr>
          <w:rStyle w:val="normaltextrun"/>
          <w:rFonts w:asciiTheme="majorHAnsi" w:hAnsiTheme="majorHAnsi" w:cs="Calibri"/>
          <w:noProof/>
          <w:color w:val="000000"/>
          <w:shd w:val="clear" w:color="auto" w:fill="FFFFFF"/>
        </w:rPr>
        <w:t xml:space="preserve">the form of </w:t>
      </w:r>
      <w:r w:rsidRPr="3EA9C0DA">
        <w:rPr>
          <w:rStyle w:val="normaltextrun"/>
          <w:rFonts w:asciiTheme="majorHAnsi" w:hAnsiTheme="majorHAnsi" w:cs="Calibri"/>
          <w:noProof/>
          <w:color w:val="000000"/>
          <w:shd w:val="clear" w:color="auto" w:fill="FFFFFF"/>
        </w:rPr>
        <w:t>loans) out of around EUR</w:t>
      </w:r>
      <w:r w:rsidR="00283BC5" w:rsidRPr="00507A67">
        <w:rPr>
          <w:rStyle w:val="normaltextrun"/>
          <w:rFonts w:ascii="Calibri" w:hAnsi="Calibri" w:cs="Calibri"/>
          <w:noProof/>
          <w:color w:val="000000"/>
          <w:shd w:val="clear" w:color="auto" w:fill="FFFFFF"/>
        </w:rPr>
        <w:t> </w:t>
      </w:r>
      <w:r w:rsidR="00880373" w:rsidRPr="3EA9C0DA">
        <w:rPr>
          <w:rStyle w:val="normaltextrun"/>
          <w:rFonts w:asciiTheme="majorHAnsi" w:hAnsiTheme="majorHAnsi" w:cs="Calibri"/>
          <w:noProof/>
          <w:color w:val="000000"/>
          <w:shd w:val="clear" w:color="auto" w:fill="FFFFFF"/>
        </w:rPr>
        <w:t>648</w:t>
      </w:r>
      <w:r w:rsidR="00283BC5" w:rsidRPr="00507A67">
        <w:rPr>
          <w:rStyle w:val="normaltextrun"/>
          <w:rFonts w:ascii="Calibri" w:hAnsi="Calibri" w:cs="Calibri"/>
          <w:noProof/>
          <w:color w:val="000000"/>
          <w:shd w:val="clear" w:color="auto" w:fill="FFFFFF"/>
        </w:rPr>
        <w:t> </w:t>
      </w:r>
      <w:r w:rsidRPr="3EA9C0DA">
        <w:rPr>
          <w:rStyle w:val="normaltextrun"/>
          <w:rFonts w:asciiTheme="majorHAnsi" w:hAnsiTheme="majorHAnsi" w:cs="Calibri"/>
          <w:noProof/>
          <w:color w:val="000000"/>
          <w:shd w:val="clear" w:color="auto" w:fill="FFFFFF"/>
        </w:rPr>
        <w:t xml:space="preserve">billion in committed RRF </w:t>
      </w:r>
      <w:r w:rsidR="00422ECC">
        <w:rPr>
          <w:rStyle w:val="normaltextrun"/>
          <w:rFonts w:asciiTheme="majorHAnsi" w:hAnsiTheme="majorHAnsi" w:cs="Calibri"/>
          <w:noProof/>
          <w:color w:val="000000"/>
          <w:shd w:val="clear" w:color="auto" w:fill="FFFFFF"/>
        </w:rPr>
        <w:t xml:space="preserve">non-repayable and </w:t>
      </w:r>
      <w:r w:rsidRPr="3EA9C0DA">
        <w:rPr>
          <w:rStyle w:val="normaltextrun"/>
          <w:rFonts w:asciiTheme="majorHAnsi" w:hAnsiTheme="majorHAnsi" w:cs="Calibri"/>
          <w:noProof/>
          <w:color w:val="000000"/>
          <w:shd w:val="clear" w:color="auto" w:fill="FFFFFF"/>
        </w:rPr>
        <w:t>loan</w:t>
      </w:r>
      <w:r w:rsidR="00422ECC">
        <w:rPr>
          <w:rStyle w:val="normaltextrun"/>
          <w:rFonts w:asciiTheme="majorHAnsi" w:hAnsiTheme="majorHAnsi" w:cs="Calibri"/>
          <w:noProof/>
          <w:color w:val="000000"/>
          <w:shd w:val="clear" w:color="auto" w:fill="FFFFFF"/>
        </w:rPr>
        <w:t xml:space="preserve"> support</w:t>
      </w:r>
      <w:r w:rsidR="000F0036" w:rsidRPr="3EA9C0DA">
        <w:rPr>
          <w:rStyle w:val="normaltextrun"/>
          <w:rFonts w:asciiTheme="majorHAnsi" w:hAnsiTheme="majorHAnsi" w:cs="Calibri"/>
          <w:noProof/>
          <w:color w:val="000000"/>
          <w:shd w:val="clear" w:color="auto" w:fill="FFFFFF"/>
        </w:rPr>
        <w:t xml:space="preserve"> for both the RRF and REPowerEU</w:t>
      </w:r>
      <w:r w:rsidRPr="3EA9C0DA">
        <w:rPr>
          <w:rStyle w:val="normaltextrun"/>
          <w:rFonts w:asciiTheme="majorHAnsi" w:hAnsiTheme="majorHAnsi" w:cs="Calibri"/>
          <w:noProof/>
          <w:color w:val="000000"/>
          <w:shd w:val="clear" w:color="auto" w:fill="FFFFFF"/>
        </w:rPr>
        <w:t>. This includes EUR</w:t>
      </w:r>
      <w:r w:rsidRPr="00507A67">
        <w:rPr>
          <w:rStyle w:val="normaltextrun"/>
          <w:rFonts w:ascii="Calibri" w:hAnsi="Calibri" w:cs="Calibri"/>
          <w:noProof/>
          <w:color w:val="000000"/>
          <w:shd w:val="clear" w:color="auto" w:fill="FFFFFF"/>
        </w:rPr>
        <w:t> </w:t>
      </w:r>
      <w:r w:rsidR="00EE18B4" w:rsidRPr="3EA9C0DA">
        <w:rPr>
          <w:rStyle w:val="normaltextrun"/>
          <w:rFonts w:asciiTheme="majorHAnsi" w:hAnsiTheme="majorHAnsi" w:cs="Calibri"/>
          <w:noProof/>
          <w:color w:val="000000"/>
          <w:shd w:val="clear" w:color="auto" w:fill="FFFFFF"/>
        </w:rPr>
        <w:t>56</w:t>
      </w:r>
      <w:r w:rsidR="00A56D5F" w:rsidRPr="3EA9C0DA">
        <w:rPr>
          <w:rStyle w:val="normaltextrun"/>
          <w:rFonts w:asciiTheme="majorHAnsi" w:hAnsiTheme="majorHAnsi" w:cs="Calibri"/>
          <w:noProof/>
          <w:color w:val="000000"/>
          <w:shd w:val="clear" w:color="auto" w:fill="FFFFFF"/>
        </w:rPr>
        <w:t>.</w:t>
      </w:r>
      <w:r w:rsidR="00EE18B4" w:rsidRPr="3EA9C0DA">
        <w:rPr>
          <w:rStyle w:val="normaltextrun"/>
          <w:rFonts w:asciiTheme="majorHAnsi" w:hAnsiTheme="majorHAnsi" w:cs="Calibri"/>
          <w:noProof/>
          <w:color w:val="000000"/>
          <w:shd w:val="clear" w:color="auto" w:fill="FFFFFF"/>
        </w:rPr>
        <w:t>5</w:t>
      </w:r>
      <w:r w:rsidRPr="00507A67">
        <w:rPr>
          <w:rStyle w:val="normaltextrun"/>
          <w:rFonts w:ascii="Calibri" w:hAnsi="Calibri" w:cs="Calibri"/>
          <w:noProof/>
          <w:color w:val="000000"/>
          <w:shd w:val="clear" w:color="auto" w:fill="FFFFFF"/>
        </w:rPr>
        <w:t> </w:t>
      </w:r>
      <w:r w:rsidRPr="3EA9C0DA">
        <w:rPr>
          <w:rStyle w:val="normaltextrun"/>
          <w:rFonts w:asciiTheme="majorHAnsi" w:hAnsiTheme="majorHAnsi" w:cs="Calibri"/>
          <w:noProof/>
          <w:color w:val="000000"/>
          <w:shd w:val="clear" w:color="auto" w:fill="FFFFFF"/>
        </w:rPr>
        <w:t>billion in pre-financing</w:t>
      </w:r>
      <w:r w:rsidR="000F0036" w:rsidRPr="3EA9C0DA">
        <w:rPr>
          <w:rStyle w:val="normaltextrun"/>
          <w:rFonts w:asciiTheme="majorHAnsi" w:hAnsiTheme="majorHAnsi" w:cs="Calibri"/>
          <w:noProof/>
          <w:color w:val="000000"/>
          <w:shd w:val="clear" w:color="auto" w:fill="FFFFFF"/>
        </w:rPr>
        <w:t xml:space="preserve"> for RRF and </w:t>
      </w:r>
      <w:r w:rsidR="002E18B3" w:rsidRPr="0060739E">
        <w:rPr>
          <w:rStyle w:val="normaltextrun"/>
          <w:rFonts w:asciiTheme="majorHAnsi" w:hAnsiTheme="majorHAnsi" w:cs="Calibri"/>
          <w:noProof/>
          <w:color w:val="000000"/>
          <w:shd w:val="clear" w:color="auto" w:fill="FFFFFF"/>
        </w:rPr>
        <w:t>EUR</w:t>
      </w:r>
      <w:r w:rsidR="003B4E74" w:rsidRPr="0060739E">
        <w:rPr>
          <w:rStyle w:val="normaltextrun"/>
          <w:rFonts w:ascii="Calibri" w:hAnsi="Calibri" w:cs="Calibri"/>
          <w:noProof/>
          <w:color w:val="000000"/>
          <w:shd w:val="clear" w:color="auto" w:fill="FFFFFF"/>
        </w:rPr>
        <w:t> </w:t>
      </w:r>
      <w:r w:rsidR="00E943E1" w:rsidRPr="0060739E">
        <w:rPr>
          <w:rStyle w:val="normaltextrun"/>
          <w:rFonts w:asciiTheme="majorHAnsi" w:hAnsiTheme="majorHAnsi" w:cs="Calibri"/>
          <w:noProof/>
          <w:color w:val="000000"/>
          <w:shd w:val="clear" w:color="auto" w:fill="FFFFFF"/>
        </w:rPr>
        <w:t>10.5</w:t>
      </w:r>
      <w:r w:rsidR="003B4E74" w:rsidRPr="0060739E">
        <w:rPr>
          <w:rStyle w:val="normaltextrun"/>
          <w:rFonts w:ascii="Calibri" w:hAnsi="Calibri" w:cs="Calibri"/>
          <w:noProof/>
          <w:color w:val="000000"/>
          <w:shd w:val="clear" w:color="auto" w:fill="FFFFFF"/>
        </w:rPr>
        <w:t> </w:t>
      </w:r>
      <w:r w:rsidR="002E18B3" w:rsidRPr="0060739E">
        <w:rPr>
          <w:rStyle w:val="normaltextrun"/>
          <w:rFonts w:asciiTheme="majorHAnsi" w:hAnsiTheme="majorHAnsi" w:cs="Calibri"/>
          <w:noProof/>
          <w:color w:val="000000"/>
          <w:shd w:val="clear" w:color="auto" w:fill="FFFFFF"/>
        </w:rPr>
        <w:t>billion</w:t>
      </w:r>
      <w:r w:rsidR="002E18B3" w:rsidRPr="3EA9C0DA">
        <w:rPr>
          <w:rStyle w:val="normaltextrun"/>
          <w:rFonts w:asciiTheme="majorHAnsi" w:hAnsiTheme="majorHAnsi" w:cs="Calibri"/>
          <w:noProof/>
          <w:color w:val="000000"/>
          <w:shd w:val="clear" w:color="auto" w:fill="FFFFFF"/>
        </w:rPr>
        <w:t xml:space="preserve"> in pre-financing for REPowerEU</w:t>
      </w:r>
      <w:r w:rsidR="00EE18B4" w:rsidRPr="3EA9C0DA">
        <w:rPr>
          <w:rStyle w:val="normaltextrun"/>
          <w:rFonts w:asciiTheme="majorHAnsi" w:hAnsiTheme="majorHAnsi" w:cs="Calibri"/>
          <w:noProof/>
          <w:color w:val="000000"/>
          <w:shd w:val="clear" w:color="auto" w:fill="FFFFFF"/>
        </w:rPr>
        <w:t xml:space="preserve"> (both for repayable and non-repayable support)</w:t>
      </w:r>
      <w:r w:rsidR="002E18B3" w:rsidRPr="3EA9C0DA">
        <w:rPr>
          <w:rStyle w:val="normaltextrun"/>
          <w:rFonts w:asciiTheme="majorHAnsi" w:hAnsiTheme="majorHAnsi" w:cs="Calibri"/>
          <w:noProof/>
          <w:color w:val="000000"/>
          <w:shd w:val="clear" w:color="auto" w:fill="FFFFFF"/>
        </w:rPr>
        <w:t>.</w:t>
      </w:r>
      <w:r w:rsidR="0B968F29" w:rsidRPr="3EA9C0DA">
        <w:rPr>
          <w:rStyle w:val="normaltextrun"/>
          <w:rFonts w:asciiTheme="majorHAnsi" w:hAnsiTheme="majorHAnsi" w:cs="Calibri"/>
          <w:noProof/>
          <w:color w:val="000000"/>
          <w:shd w:val="clear" w:color="auto" w:fill="FFFFFF"/>
        </w:rPr>
        <w:t xml:space="preserve"> </w:t>
      </w:r>
      <w:r w:rsidR="3907A1EA" w:rsidRPr="0050317D">
        <w:rPr>
          <w:noProof/>
          <w:color w:val="000000" w:themeColor="text1"/>
        </w:rPr>
        <w:t>The present forecast is based on the disbursement planning of the individual RRPs, including amendments already approved.</w:t>
      </w:r>
      <w:r w:rsidR="3907A1EA" w:rsidRPr="0050317D">
        <w:rPr>
          <w:noProof/>
        </w:rPr>
        <w:t xml:space="preserve"> </w:t>
      </w:r>
      <w:r w:rsidR="0B968F29" w:rsidRPr="3EA9C0DA">
        <w:rPr>
          <w:rStyle w:val="normaltextrun"/>
          <w:rFonts w:asciiTheme="majorHAnsi" w:hAnsiTheme="majorHAnsi" w:cs="Calibri"/>
          <w:noProof/>
          <w:color w:val="000000" w:themeColor="text1"/>
        </w:rPr>
        <w:t>D</w:t>
      </w:r>
      <w:r w:rsidR="0B968F29" w:rsidRPr="3EA9C0DA">
        <w:rPr>
          <w:rFonts w:asciiTheme="majorHAnsi" w:eastAsia="EC Square Sans Pro" w:hAnsiTheme="majorHAnsi" w:cs="EC Square Sans Pro"/>
          <w:noProof/>
          <w:color w:val="000000" w:themeColor="text1"/>
        </w:rPr>
        <w:t xml:space="preserve">epending on the progress in implementation of the national RRPs, RRF annual </w:t>
      </w:r>
      <w:r w:rsidR="002E18B3" w:rsidRPr="3EA9C0DA">
        <w:rPr>
          <w:rFonts w:asciiTheme="majorHAnsi" w:eastAsia="EC Square Sans Pro" w:hAnsiTheme="majorHAnsi" w:cs="EC Square Sans Pro"/>
          <w:noProof/>
          <w:color w:val="000000" w:themeColor="text1"/>
        </w:rPr>
        <w:t xml:space="preserve">non-repayable </w:t>
      </w:r>
      <w:r w:rsidR="0013760E" w:rsidRPr="3EA9C0DA">
        <w:rPr>
          <w:rFonts w:asciiTheme="majorHAnsi" w:eastAsia="EC Square Sans Pro" w:hAnsiTheme="majorHAnsi" w:cs="EC Square Sans Pro"/>
          <w:noProof/>
          <w:color w:val="000000" w:themeColor="text1"/>
        </w:rPr>
        <w:t>support is</w:t>
      </w:r>
      <w:r w:rsidR="0B968F29" w:rsidRPr="3EA9C0DA">
        <w:rPr>
          <w:rFonts w:asciiTheme="majorHAnsi" w:eastAsia="EC Square Sans Pro" w:hAnsiTheme="majorHAnsi" w:cs="EC Square Sans Pro"/>
          <w:noProof/>
          <w:color w:val="000000" w:themeColor="text1"/>
        </w:rPr>
        <w:t xml:space="preserve"> expected to reach a level of </w:t>
      </w:r>
      <w:r w:rsidR="5BEEA2B6" w:rsidRPr="0060739E">
        <w:rPr>
          <w:rFonts w:asciiTheme="majorHAnsi" w:eastAsia="EC Square Sans Pro" w:hAnsiTheme="majorHAnsi" w:cs="EC Square Sans Pro"/>
          <w:noProof/>
          <w:color w:val="000000" w:themeColor="text1"/>
        </w:rPr>
        <w:t>EUR</w:t>
      </w:r>
      <w:r w:rsidR="003B4E74" w:rsidRPr="0060739E">
        <w:rPr>
          <w:rFonts w:ascii="Calibri" w:eastAsia="EC Square Sans Pro" w:hAnsi="Calibri" w:cs="Calibri"/>
          <w:noProof/>
          <w:color w:val="000000" w:themeColor="text1"/>
        </w:rPr>
        <w:t> </w:t>
      </w:r>
      <w:r w:rsidR="00C0332A" w:rsidRPr="0060739E">
        <w:rPr>
          <w:rFonts w:asciiTheme="majorHAnsi" w:eastAsia="EC Square Sans Pro" w:hAnsiTheme="majorHAnsi" w:cs="Calibri"/>
          <w:noProof/>
          <w:color w:val="000000" w:themeColor="text1"/>
        </w:rPr>
        <w:t>6</w:t>
      </w:r>
      <w:r w:rsidR="188FF992" w:rsidRPr="0060739E">
        <w:rPr>
          <w:rFonts w:asciiTheme="majorHAnsi" w:eastAsia="EC Square Sans Pro" w:hAnsiTheme="majorHAnsi" w:cs="Calibri"/>
          <w:noProof/>
          <w:color w:val="000000" w:themeColor="text1"/>
        </w:rPr>
        <w:t>5</w:t>
      </w:r>
      <w:r w:rsidR="003B4E74" w:rsidRPr="00507A67">
        <w:rPr>
          <w:rFonts w:ascii="Calibri" w:eastAsia="EC Square Sans Pro" w:hAnsi="Calibri" w:cs="Calibri"/>
          <w:noProof/>
          <w:color w:val="000000" w:themeColor="text1"/>
        </w:rPr>
        <w:t> </w:t>
      </w:r>
      <w:r w:rsidR="0B968F29" w:rsidRPr="3EA9C0DA">
        <w:rPr>
          <w:rFonts w:asciiTheme="majorHAnsi" w:eastAsia="EC Square Sans Pro" w:hAnsiTheme="majorHAnsi" w:cs="EC Square Sans Pro"/>
          <w:noProof/>
          <w:color w:val="000000" w:themeColor="text1"/>
        </w:rPr>
        <w:t xml:space="preserve">billion in </w:t>
      </w:r>
      <w:r w:rsidR="5BEEA2B6" w:rsidRPr="3EA9C0DA">
        <w:rPr>
          <w:rFonts w:asciiTheme="majorHAnsi" w:eastAsia="EC Square Sans Pro" w:hAnsiTheme="majorHAnsi" w:cs="EC Square Sans Pro"/>
          <w:noProof/>
          <w:color w:val="000000" w:themeColor="text1"/>
        </w:rPr>
        <w:t>202</w:t>
      </w:r>
      <w:r w:rsidR="0013760E" w:rsidRPr="3EA9C0DA">
        <w:rPr>
          <w:rFonts w:asciiTheme="majorHAnsi" w:eastAsia="EC Square Sans Pro" w:hAnsiTheme="majorHAnsi" w:cs="EC Square Sans Pro"/>
          <w:noProof/>
          <w:color w:val="000000" w:themeColor="text1"/>
        </w:rPr>
        <w:t>5</w:t>
      </w:r>
      <w:r w:rsidR="53CC2101" w:rsidRPr="3EA9C0DA">
        <w:rPr>
          <w:rFonts w:asciiTheme="majorHAnsi" w:eastAsia="EC Square Sans Pro" w:hAnsiTheme="majorHAnsi" w:cs="EC Square Sans Pro"/>
          <w:noProof/>
          <w:color w:val="000000" w:themeColor="text1"/>
        </w:rPr>
        <w:t xml:space="preserve">, </w:t>
      </w:r>
      <w:r w:rsidR="7E497D59" w:rsidRPr="3EA9C0DA">
        <w:rPr>
          <w:rFonts w:asciiTheme="majorHAnsi" w:eastAsia="EC Square Sans Pro" w:hAnsiTheme="majorHAnsi" w:cs="EC Square Sans Pro"/>
          <w:noProof/>
          <w:color w:val="000000" w:themeColor="text1"/>
        </w:rPr>
        <w:t xml:space="preserve">and </w:t>
      </w:r>
      <w:r w:rsidR="326CBCE6" w:rsidRPr="3EA9C0DA">
        <w:rPr>
          <w:rFonts w:asciiTheme="majorHAnsi" w:eastAsia="EC Square Sans Pro" w:hAnsiTheme="majorHAnsi" w:cs="EC Square Sans Pro"/>
          <w:noProof/>
          <w:color w:val="000000" w:themeColor="text1"/>
        </w:rPr>
        <w:t xml:space="preserve">around </w:t>
      </w:r>
      <w:r w:rsidR="3E8E8EA1" w:rsidRPr="0060739E">
        <w:rPr>
          <w:rFonts w:asciiTheme="majorHAnsi" w:eastAsia="EC Square Sans Pro" w:hAnsiTheme="majorHAnsi" w:cs="EC Square Sans Pro"/>
          <w:noProof/>
          <w:color w:val="000000" w:themeColor="text1"/>
        </w:rPr>
        <w:t>EUR</w:t>
      </w:r>
      <w:r w:rsidR="003B4E74" w:rsidRPr="0060739E">
        <w:rPr>
          <w:rFonts w:ascii="Calibri" w:eastAsia="EC Square Sans Pro" w:hAnsi="Calibri" w:cs="Calibri"/>
          <w:noProof/>
          <w:color w:val="000000" w:themeColor="text1"/>
        </w:rPr>
        <w:t> </w:t>
      </w:r>
      <w:r w:rsidR="00010DF7" w:rsidRPr="0060739E">
        <w:rPr>
          <w:rFonts w:asciiTheme="majorHAnsi" w:eastAsia="EC Square Sans Pro" w:hAnsiTheme="majorHAnsi" w:cs="Calibri"/>
          <w:noProof/>
          <w:color w:val="000000" w:themeColor="text1"/>
        </w:rPr>
        <w:t>7</w:t>
      </w:r>
      <w:r w:rsidR="7E3513FC" w:rsidRPr="0060739E">
        <w:rPr>
          <w:rFonts w:asciiTheme="majorHAnsi" w:eastAsia="EC Square Sans Pro" w:hAnsiTheme="majorHAnsi" w:cs="Calibri"/>
          <w:noProof/>
          <w:color w:val="000000" w:themeColor="text1"/>
        </w:rPr>
        <w:t>0</w:t>
      </w:r>
      <w:r w:rsidR="003B4E74" w:rsidRPr="0060739E">
        <w:rPr>
          <w:rFonts w:ascii="Calibri" w:eastAsia="EC Square Sans Pro" w:hAnsi="Calibri" w:cs="Calibri"/>
          <w:noProof/>
          <w:color w:val="000000" w:themeColor="text1"/>
        </w:rPr>
        <w:t> </w:t>
      </w:r>
      <w:r w:rsidR="0B968F29" w:rsidRPr="0060739E">
        <w:rPr>
          <w:rFonts w:asciiTheme="majorHAnsi" w:eastAsia="EC Square Sans Pro" w:hAnsiTheme="majorHAnsi" w:cs="EC Square Sans Pro"/>
          <w:noProof/>
          <w:color w:val="000000" w:themeColor="text1"/>
        </w:rPr>
        <w:t>billion</w:t>
      </w:r>
      <w:r w:rsidR="0B968F29" w:rsidRPr="3EA9C0DA">
        <w:rPr>
          <w:rFonts w:asciiTheme="majorHAnsi" w:eastAsia="EC Square Sans Pro" w:hAnsiTheme="majorHAnsi" w:cs="EC Square Sans Pro"/>
          <w:noProof/>
          <w:color w:val="000000" w:themeColor="text1"/>
        </w:rPr>
        <w:t xml:space="preserve"> </w:t>
      </w:r>
      <w:r w:rsidR="5BEEA2B6" w:rsidRPr="3EA9C0DA">
        <w:rPr>
          <w:rFonts w:asciiTheme="majorHAnsi" w:eastAsia="EC Square Sans Pro" w:hAnsiTheme="majorHAnsi" w:cs="EC Square Sans Pro"/>
          <w:noProof/>
          <w:color w:val="000000" w:themeColor="text1"/>
        </w:rPr>
        <w:t xml:space="preserve">in </w:t>
      </w:r>
      <w:r w:rsidR="19C52153" w:rsidRPr="3EA9C0DA">
        <w:rPr>
          <w:rFonts w:asciiTheme="majorHAnsi" w:eastAsia="EC Square Sans Pro" w:hAnsiTheme="majorHAnsi" w:cs="EC Square Sans Pro"/>
          <w:noProof/>
          <w:color w:val="000000" w:themeColor="text1"/>
        </w:rPr>
        <w:t>202</w:t>
      </w:r>
      <w:r w:rsidR="5BEEA2B6" w:rsidRPr="3EA9C0DA">
        <w:rPr>
          <w:rFonts w:asciiTheme="majorHAnsi" w:eastAsia="EC Square Sans Pro" w:hAnsiTheme="majorHAnsi" w:cs="EC Square Sans Pro"/>
          <w:noProof/>
          <w:color w:val="000000" w:themeColor="text1"/>
        </w:rPr>
        <w:t>6</w:t>
      </w:r>
      <w:r w:rsidR="00560CA4">
        <w:rPr>
          <w:rStyle w:val="EndnoteReference"/>
          <w:rFonts w:eastAsia="EC Square Sans Pro" w:cs="EC Square Sans Pro"/>
          <w:noProof/>
          <w:color w:val="000000" w:themeColor="text1"/>
        </w:rPr>
        <w:endnoteReference w:id="26"/>
      </w:r>
      <w:r w:rsidR="5BEEA2B6" w:rsidRPr="3EA9C0DA">
        <w:rPr>
          <w:rFonts w:asciiTheme="majorHAnsi" w:eastAsia="EC Square Sans Pro" w:hAnsiTheme="majorHAnsi" w:cs="EC Square Sans Pro"/>
          <w:noProof/>
          <w:color w:val="000000" w:themeColor="text1"/>
        </w:rPr>
        <w:t>.</w:t>
      </w:r>
      <w:r w:rsidR="0B968F29" w:rsidRPr="3EA9C0DA">
        <w:rPr>
          <w:rFonts w:asciiTheme="majorHAnsi" w:eastAsia="EC Square Sans Pro" w:hAnsiTheme="majorHAnsi" w:cs="EC Square Sans Pro"/>
          <w:noProof/>
          <w:color w:val="000000" w:themeColor="text1"/>
        </w:rPr>
        <w:t xml:space="preserve"> Compared to last year’s forecast, the profile for disbursements is </w:t>
      </w:r>
      <w:r w:rsidR="008B1972" w:rsidRPr="3EA9C0DA">
        <w:rPr>
          <w:rFonts w:asciiTheme="majorHAnsi" w:eastAsia="EC Square Sans Pro" w:hAnsiTheme="majorHAnsi" w:cs="EC Square Sans Pro"/>
          <w:noProof/>
          <w:color w:val="000000" w:themeColor="text1"/>
        </w:rPr>
        <w:t xml:space="preserve">somewhat </w:t>
      </w:r>
      <w:r w:rsidR="009B3320" w:rsidRPr="3EA9C0DA">
        <w:rPr>
          <w:rFonts w:asciiTheme="majorHAnsi" w:eastAsia="EC Square Sans Pro" w:hAnsiTheme="majorHAnsi" w:cs="EC Square Sans Pro"/>
          <w:noProof/>
          <w:color w:val="000000" w:themeColor="text1"/>
        </w:rPr>
        <w:t>backloaded</w:t>
      </w:r>
      <w:r w:rsidR="008B1972" w:rsidRPr="3EA9C0DA">
        <w:rPr>
          <w:rFonts w:asciiTheme="majorHAnsi" w:eastAsia="EC Square Sans Pro" w:hAnsiTheme="majorHAnsi" w:cs="EC Square Sans Pro"/>
          <w:noProof/>
          <w:color w:val="000000" w:themeColor="text1"/>
        </w:rPr>
        <w:t xml:space="preserve"> </w:t>
      </w:r>
      <w:r w:rsidR="00EA2928">
        <w:rPr>
          <w:rFonts w:asciiTheme="majorHAnsi" w:eastAsia="EC Square Sans Pro" w:hAnsiTheme="majorHAnsi" w:cs="EC Square Sans Pro"/>
          <w:noProof/>
          <w:color w:val="000000" w:themeColor="text1"/>
        </w:rPr>
        <w:t>based on the updated RRPs.</w:t>
      </w:r>
      <w:r w:rsidR="0B968F29" w:rsidRPr="3EA9C0DA">
        <w:rPr>
          <w:rFonts w:asciiTheme="majorHAnsi" w:eastAsia="EC Square Sans Pro" w:hAnsiTheme="majorHAnsi" w:cs="EC Square Sans Pro"/>
          <w:noProof/>
          <w:color w:val="000000" w:themeColor="text1"/>
        </w:rPr>
        <w:t xml:space="preserve"> </w:t>
      </w:r>
      <w:r w:rsidR="764379EB" w:rsidRPr="3EA9C0DA">
        <w:rPr>
          <w:rFonts w:asciiTheme="majorHAnsi" w:eastAsia="EC Square Sans Pro" w:hAnsiTheme="majorHAnsi" w:cs="EC Square Sans Pro"/>
          <w:noProof/>
          <w:color w:val="000000" w:themeColor="text1"/>
        </w:rPr>
        <w:t>Based on the current Member State plans, t</w:t>
      </w:r>
      <w:r w:rsidR="0B968F29" w:rsidRPr="3EA9C0DA">
        <w:rPr>
          <w:rFonts w:asciiTheme="majorHAnsi" w:eastAsia="EC Square Sans Pro" w:hAnsiTheme="majorHAnsi" w:cs="EC Square Sans Pro"/>
          <w:noProof/>
          <w:color w:val="000000" w:themeColor="text1"/>
        </w:rPr>
        <w:t xml:space="preserve">here are no </w:t>
      </w:r>
      <w:r w:rsidR="00E104DE" w:rsidRPr="3EA9C0DA">
        <w:rPr>
          <w:rFonts w:asciiTheme="majorHAnsi" w:eastAsia="EC Square Sans Pro" w:hAnsiTheme="majorHAnsi" w:cs="EC Square Sans Pro"/>
          <w:noProof/>
          <w:color w:val="000000" w:themeColor="text1"/>
        </w:rPr>
        <w:t>decommitments</w:t>
      </w:r>
      <w:r w:rsidR="0B968F29" w:rsidRPr="3EA9C0DA">
        <w:rPr>
          <w:rFonts w:asciiTheme="majorHAnsi" w:eastAsia="EC Square Sans Pro" w:hAnsiTheme="majorHAnsi" w:cs="EC Square Sans Pro"/>
          <w:noProof/>
          <w:color w:val="000000" w:themeColor="text1"/>
        </w:rPr>
        <w:t xml:space="preserve"> estimated in this forecast.</w:t>
      </w:r>
    </w:p>
    <w:p w14:paraId="7EF4D438" w14:textId="3A2666C4" w:rsidR="00861C1C" w:rsidRPr="00390EB1" w:rsidRDefault="2A67BF04" w:rsidP="23B06DA2">
      <w:pPr>
        <w:spacing w:after="120" w:line="276" w:lineRule="auto"/>
        <w:jc w:val="both"/>
        <w:rPr>
          <w:rStyle w:val="normaltextrun"/>
          <w:rFonts w:asciiTheme="majorHAnsi" w:hAnsiTheme="majorHAnsi" w:cs="Calibri"/>
          <w:noProof/>
          <w:color w:val="000000"/>
          <w:shd w:val="clear" w:color="auto" w:fill="FFFFFF"/>
        </w:rPr>
      </w:pPr>
      <w:r w:rsidRPr="00390EB1">
        <w:rPr>
          <w:rStyle w:val="normaltextrun"/>
          <w:rFonts w:asciiTheme="majorHAnsi" w:hAnsiTheme="majorHAnsi" w:cs="Calibri"/>
          <w:noProof/>
          <w:color w:val="000000"/>
          <w:shd w:val="clear" w:color="auto" w:fill="FFFFFF"/>
        </w:rPr>
        <w:t>Member States by far and large prioritised using non-repayable support to finance investments and reforms</w:t>
      </w:r>
      <w:r w:rsidR="4345CDA9" w:rsidRPr="5F26F3EC">
        <w:rPr>
          <w:rStyle w:val="normaltextrun"/>
          <w:rFonts w:asciiTheme="majorHAnsi" w:hAnsiTheme="majorHAnsi" w:cs="Calibri"/>
          <w:noProof/>
          <w:color w:val="000000"/>
          <w:shd w:val="clear" w:color="auto" w:fill="FFFFFF"/>
        </w:rPr>
        <w:t xml:space="preserve"> rather than loan support</w:t>
      </w:r>
      <w:r w:rsidRPr="5F26F3EC">
        <w:rPr>
          <w:rStyle w:val="normaltextrun"/>
          <w:rFonts w:asciiTheme="majorHAnsi" w:hAnsiTheme="majorHAnsi" w:cs="Calibri"/>
          <w:noProof/>
          <w:color w:val="000000"/>
          <w:shd w:val="clear" w:color="auto" w:fill="FFFFFF"/>
        </w:rPr>
        <w:t>.</w:t>
      </w:r>
      <w:r w:rsidRPr="00390EB1">
        <w:rPr>
          <w:rStyle w:val="normaltextrun"/>
          <w:rFonts w:asciiTheme="majorHAnsi" w:hAnsiTheme="majorHAnsi" w:cs="Calibri"/>
          <w:noProof/>
          <w:color w:val="000000"/>
          <w:shd w:val="clear" w:color="auto" w:fill="FFFFFF"/>
        </w:rPr>
        <w:t xml:space="preserve"> </w:t>
      </w:r>
      <w:r w:rsidR="00DA66DB">
        <w:rPr>
          <w:rStyle w:val="normaltextrun"/>
          <w:rFonts w:asciiTheme="majorHAnsi" w:hAnsiTheme="majorHAnsi" w:cs="Calibri"/>
          <w:noProof/>
          <w:color w:val="000000"/>
          <w:shd w:val="clear" w:color="auto" w:fill="FFFFFF"/>
        </w:rPr>
        <w:t>I</w:t>
      </w:r>
      <w:r w:rsidRPr="00390EB1">
        <w:rPr>
          <w:rStyle w:val="normaltextrun"/>
          <w:rFonts w:asciiTheme="majorHAnsi" w:hAnsiTheme="majorHAnsi" w:cs="Calibri"/>
          <w:noProof/>
          <w:color w:val="000000"/>
          <w:shd w:val="clear" w:color="auto" w:fill="FFFFFF"/>
        </w:rPr>
        <w:t>n line with Article 14(6) of the amended RRF Regulation</w:t>
      </w:r>
      <w:r w:rsidR="00DA66DB">
        <w:rPr>
          <w:rStyle w:val="normaltextrun"/>
          <w:rFonts w:asciiTheme="majorHAnsi" w:hAnsiTheme="majorHAnsi" w:cs="Calibri"/>
          <w:noProof/>
          <w:color w:val="000000"/>
          <w:shd w:val="clear" w:color="auto" w:fill="FFFFFF"/>
        </w:rPr>
        <w:t xml:space="preserve">, in total </w:t>
      </w:r>
      <w:r w:rsidR="00FD0958">
        <w:rPr>
          <w:rStyle w:val="normaltextrun"/>
          <w:rFonts w:asciiTheme="majorHAnsi" w:hAnsiTheme="majorHAnsi" w:cs="Calibri"/>
          <w:noProof/>
          <w:color w:val="000000"/>
          <w:shd w:val="clear" w:color="auto" w:fill="FFFFFF"/>
        </w:rPr>
        <w:t>13</w:t>
      </w:r>
      <w:r w:rsidR="00DA66DB">
        <w:rPr>
          <w:rStyle w:val="normaltextrun"/>
          <w:rFonts w:asciiTheme="majorHAnsi" w:hAnsiTheme="majorHAnsi" w:cs="Calibri"/>
          <w:noProof/>
          <w:color w:val="000000"/>
          <w:shd w:val="clear" w:color="auto" w:fill="FFFFFF"/>
        </w:rPr>
        <w:t xml:space="preserve"> </w:t>
      </w:r>
      <w:r w:rsidRPr="00390EB1">
        <w:rPr>
          <w:rStyle w:val="normaltextrun"/>
          <w:rFonts w:asciiTheme="majorHAnsi" w:hAnsiTheme="majorHAnsi" w:cs="Calibri"/>
          <w:noProof/>
          <w:color w:val="000000"/>
          <w:shd w:val="clear" w:color="auto" w:fill="FFFFFF"/>
        </w:rPr>
        <w:t>Member States have request</w:t>
      </w:r>
      <w:r w:rsidR="00DA66DB">
        <w:rPr>
          <w:rStyle w:val="normaltextrun"/>
          <w:rFonts w:asciiTheme="majorHAnsi" w:hAnsiTheme="majorHAnsi" w:cs="Calibri"/>
          <w:noProof/>
          <w:color w:val="000000"/>
          <w:shd w:val="clear" w:color="auto" w:fill="FFFFFF"/>
        </w:rPr>
        <w:t>ed</w:t>
      </w:r>
      <w:r w:rsidRPr="00390EB1">
        <w:rPr>
          <w:rStyle w:val="normaltextrun"/>
          <w:rFonts w:asciiTheme="majorHAnsi" w:hAnsiTheme="majorHAnsi" w:cs="Calibri"/>
          <w:noProof/>
          <w:color w:val="000000"/>
          <w:shd w:val="clear" w:color="auto" w:fill="FFFFFF"/>
        </w:rPr>
        <w:t xml:space="preserve"> loan</w:t>
      </w:r>
      <w:r w:rsidR="00D8020E">
        <w:rPr>
          <w:rStyle w:val="normaltextrun"/>
          <w:rFonts w:asciiTheme="majorHAnsi" w:hAnsiTheme="majorHAnsi" w:cs="Calibri"/>
          <w:noProof/>
          <w:color w:val="000000"/>
          <w:shd w:val="clear" w:color="auto" w:fill="FFFFFF"/>
        </w:rPr>
        <w:t>s and additional loan</w:t>
      </w:r>
      <w:r w:rsidRPr="00390EB1">
        <w:rPr>
          <w:rStyle w:val="normaltextrun"/>
          <w:rFonts w:asciiTheme="majorHAnsi" w:hAnsiTheme="majorHAnsi" w:cs="Calibri"/>
          <w:noProof/>
          <w:color w:val="000000"/>
          <w:shd w:val="clear" w:color="auto" w:fill="FFFFFF"/>
        </w:rPr>
        <w:t xml:space="preserve"> support</w:t>
      </w:r>
      <w:r w:rsidR="00DA66DB">
        <w:rPr>
          <w:rStyle w:val="normaltextrun"/>
          <w:rFonts w:asciiTheme="majorHAnsi" w:hAnsiTheme="majorHAnsi" w:cs="Calibri"/>
          <w:noProof/>
          <w:color w:val="000000"/>
          <w:shd w:val="clear" w:color="auto" w:fill="FFFFFF"/>
        </w:rPr>
        <w:t xml:space="preserve"> </w:t>
      </w:r>
      <w:r w:rsidR="00D8020E">
        <w:rPr>
          <w:rStyle w:val="normaltextrun"/>
          <w:rFonts w:asciiTheme="majorHAnsi" w:hAnsiTheme="majorHAnsi" w:cs="Calibri"/>
          <w:noProof/>
          <w:color w:val="000000"/>
          <w:shd w:val="clear" w:color="auto" w:fill="FFFFFF"/>
        </w:rPr>
        <w:t xml:space="preserve">is committed </w:t>
      </w:r>
      <w:r w:rsidR="00DA66DB">
        <w:rPr>
          <w:rStyle w:val="normaltextrun"/>
          <w:rFonts w:asciiTheme="majorHAnsi" w:hAnsiTheme="majorHAnsi" w:cs="Calibri"/>
          <w:noProof/>
          <w:color w:val="000000"/>
          <w:shd w:val="clear" w:color="auto" w:fill="FFFFFF"/>
        </w:rPr>
        <w:t xml:space="preserve">for a total </w:t>
      </w:r>
      <w:r w:rsidR="00DA66DB" w:rsidRPr="008D5210">
        <w:rPr>
          <w:rStyle w:val="normaltextrun"/>
          <w:rFonts w:asciiTheme="majorHAnsi" w:hAnsiTheme="majorHAnsi" w:cs="Calibri"/>
          <w:noProof/>
          <w:color w:val="000000"/>
          <w:shd w:val="clear" w:color="auto" w:fill="FFFFFF"/>
        </w:rPr>
        <w:t>of EUR</w:t>
      </w:r>
      <w:r w:rsidR="00EC7B3A" w:rsidRPr="008D5210">
        <w:rPr>
          <w:rStyle w:val="normaltextrun"/>
          <w:rFonts w:ascii="Calibri" w:hAnsi="Calibri" w:cs="Calibri"/>
          <w:noProof/>
          <w:color w:val="000000"/>
          <w:shd w:val="clear" w:color="auto" w:fill="FFFFFF"/>
        </w:rPr>
        <w:t> </w:t>
      </w:r>
      <w:r w:rsidR="002B3C4F" w:rsidRPr="00CA44E7">
        <w:rPr>
          <w:rStyle w:val="normaltextrun"/>
          <w:rFonts w:asciiTheme="majorHAnsi" w:hAnsiTheme="majorHAnsi" w:cs="Calibri"/>
          <w:noProof/>
          <w:color w:val="000000"/>
          <w:shd w:val="clear" w:color="auto" w:fill="FFFFFF"/>
        </w:rPr>
        <w:t>291</w:t>
      </w:r>
      <w:r w:rsidR="00EC7B3A" w:rsidRPr="008D5210">
        <w:rPr>
          <w:rStyle w:val="normaltextrun"/>
          <w:rFonts w:ascii="Calibri" w:hAnsi="Calibri" w:cs="Calibri"/>
          <w:noProof/>
          <w:color w:val="000000"/>
          <w:shd w:val="clear" w:color="auto" w:fill="FFFFFF"/>
        </w:rPr>
        <w:t> </w:t>
      </w:r>
      <w:r w:rsidR="00DA66DB" w:rsidRPr="008D5210">
        <w:rPr>
          <w:rStyle w:val="normaltextrun"/>
          <w:rFonts w:asciiTheme="majorHAnsi" w:hAnsiTheme="majorHAnsi" w:cs="Calibri"/>
          <w:noProof/>
          <w:color w:val="000000"/>
          <w:shd w:val="clear" w:color="auto" w:fill="FFFFFF"/>
        </w:rPr>
        <w:t>billion</w:t>
      </w:r>
      <w:r w:rsidRPr="00390EB1">
        <w:rPr>
          <w:rStyle w:val="normaltextrun"/>
          <w:rFonts w:asciiTheme="majorHAnsi" w:hAnsiTheme="majorHAnsi" w:cs="Calibri"/>
          <w:noProof/>
          <w:color w:val="000000"/>
          <w:shd w:val="clear" w:color="auto" w:fill="FFFFFF"/>
        </w:rPr>
        <w:t>.</w:t>
      </w:r>
    </w:p>
    <w:bookmarkEnd w:id="67"/>
    <w:p w14:paraId="39CE10FC" w14:textId="60AC07A0" w:rsidR="00861C1C" w:rsidRPr="00390EB1" w:rsidRDefault="003B6DC2">
      <w:pPr>
        <w:spacing w:after="120" w:line="276" w:lineRule="auto"/>
        <w:jc w:val="both"/>
        <w:rPr>
          <w:rStyle w:val="normaltextrun"/>
          <w:rFonts w:asciiTheme="majorHAnsi" w:hAnsiTheme="majorHAnsi" w:cs="Calibri"/>
          <w:noProof/>
          <w:color w:val="000000"/>
          <w:shd w:val="clear" w:color="auto" w:fill="FFFFFF"/>
        </w:rPr>
      </w:pPr>
      <w:r w:rsidRPr="002C6170">
        <w:rPr>
          <w:rStyle w:val="Strong"/>
          <w:b w:val="0"/>
          <w:bCs w:val="0"/>
          <w:noProof/>
        </w:rPr>
        <w:t>REACT-EU</w:t>
      </w:r>
      <w:r w:rsidRPr="008C2F97">
        <w:rPr>
          <w:rStyle w:val="normaltextrun"/>
          <w:rFonts w:asciiTheme="majorHAnsi" w:hAnsiTheme="majorHAnsi" w:cs="Calibri"/>
          <w:noProof/>
          <w:color w:val="245F95" w:themeColor="text2"/>
          <w:shd w:val="clear" w:color="auto" w:fill="FFFFFF"/>
        </w:rPr>
        <w:t xml:space="preserve"> </w:t>
      </w:r>
      <w:r w:rsidRPr="00390EB1">
        <w:rPr>
          <w:rStyle w:val="normaltextrun"/>
          <w:rFonts w:asciiTheme="majorHAnsi" w:hAnsiTheme="majorHAnsi" w:cs="Calibri"/>
          <w:noProof/>
          <w:color w:val="000000"/>
          <w:shd w:val="clear" w:color="auto" w:fill="FFFFFF"/>
        </w:rPr>
        <w:t>is the second largest instrument of NextGenerationEU, representing 12% of the non-repayable support and distributing additional resources in 2021 and 2022 through some of the existing cohesion policy funds (ERDF</w:t>
      </w:r>
      <w:r w:rsidR="009D0C6E">
        <w:rPr>
          <w:rStyle w:val="normaltextrun"/>
          <w:rFonts w:asciiTheme="majorHAnsi" w:hAnsiTheme="majorHAnsi" w:cs="Calibri"/>
          <w:noProof/>
          <w:color w:val="000000"/>
          <w:shd w:val="clear" w:color="auto" w:fill="FFFFFF"/>
        </w:rPr>
        <w:t xml:space="preserve">, </w:t>
      </w:r>
      <w:r w:rsidRPr="00390EB1">
        <w:rPr>
          <w:rStyle w:val="normaltextrun"/>
          <w:rFonts w:asciiTheme="majorHAnsi" w:hAnsiTheme="majorHAnsi" w:cs="Calibri"/>
          <w:noProof/>
          <w:color w:val="000000"/>
          <w:shd w:val="clear" w:color="auto" w:fill="FFFFFF"/>
        </w:rPr>
        <w:t>ESF</w:t>
      </w:r>
      <w:r w:rsidR="00F967AB">
        <w:rPr>
          <w:rStyle w:val="normaltextrun"/>
          <w:rFonts w:asciiTheme="majorHAnsi" w:hAnsiTheme="majorHAnsi" w:cs="Calibri"/>
          <w:noProof/>
          <w:color w:val="000000"/>
          <w:shd w:val="clear" w:color="auto" w:fill="FFFFFF"/>
        </w:rPr>
        <w:t>,</w:t>
      </w:r>
      <w:r w:rsidRPr="00390EB1">
        <w:rPr>
          <w:rStyle w:val="normaltextrun"/>
          <w:rFonts w:asciiTheme="majorHAnsi" w:hAnsiTheme="majorHAnsi" w:cs="Calibri"/>
          <w:noProof/>
          <w:color w:val="000000"/>
          <w:shd w:val="clear" w:color="auto" w:fill="FFFFFF"/>
        </w:rPr>
        <w:t xml:space="preserve"> and </w:t>
      </w:r>
      <w:r w:rsidR="00F967AB">
        <w:rPr>
          <w:rStyle w:val="normaltextrun"/>
          <w:rFonts w:asciiTheme="majorHAnsi" w:hAnsiTheme="majorHAnsi" w:cs="Calibri"/>
          <w:noProof/>
          <w:color w:val="000000"/>
          <w:shd w:val="clear" w:color="auto" w:fill="FFFFFF"/>
        </w:rPr>
        <w:t>FEAD</w:t>
      </w:r>
      <w:r w:rsidRPr="00390EB1">
        <w:rPr>
          <w:rStyle w:val="normaltextrun"/>
          <w:rFonts w:asciiTheme="majorHAnsi" w:hAnsiTheme="majorHAnsi" w:cs="Calibri"/>
          <w:noProof/>
          <w:color w:val="000000"/>
          <w:shd w:val="clear" w:color="auto" w:fill="FFFFFF"/>
        </w:rPr>
        <w:t xml:space="preserve">). REACT-EU commitments took place over 2021-2022. </w:t>
      </w:r>
      <w:r w:rsidR="00672BFF" w:rsidRPr="00390EB1">
        <w:rPr>
          <w:rStyle w:val="normaltextrun"/>
          <w:rFonts w:asciiTheme="majorHAnsi" w:hAnsiTheme="majorHAnsi" w:cs="Calibri"/>
          <w:noProof/>
          <w:color w:val="000000"/>
          <w:shd w:val="clear" w:color="auto" w:fill="FFFFFF"/>
        </w:rPr>
        <w:t xml:space="preserve">Member States can use funding under REACT-EU to address refugee flows following the Russian </w:t>
      </w:r>
      <w:r w:rsidR="00D1260D">
        <w:rPr>
          <w:rStyle w:val="normaltextrun"/>
          <w:rFonts w:asciiTheme="majorHAnsi" w:hAnsiTheme="majorHAnsi" w:cs="Calibri"/>
          <w:noProof/>
          <w:color w:val="000000"/>
          <w:shd w:val="clear" w:color="auto" w:fill="FFFFFF"/>
        </w:rPr>
        <w:t>war of aggression against</w:t>
      </w:r>
      <w:r w:rsidR="00672BFF" w:rsidRPr="00390EB1">
        <w:rPr>
          <w:rStyle w:val="normaltextrun"/>
          <w:rFonts w:asciiTheme="majorHAnsi" w:hAnsiTheme="majorHAnsi" w:cs="Calibri"/>
          <w:noProof/>
          <w:color w:val="000000"/>
          <w:shd w:val="clear" w:color="auto" w:fill="FFFFFF"/>
        </w:rPr>
        <w:t xml:space="preserve"> Ukraine. To alleviate the pressure on national budgets and allow faster and easier implementation of measures related to the integration of third country nationals, the Commission proposed increased pre-financing and simplified cost options in 2022</w:t>
      </w:r>
      <w:r w:rsidR="00E43629">
        <w:rPr>
          <w:rStyle w:val="EndnoteReference"/>
          <w:rFonts w:cs="Calibri"/>
          <w:noProof/>
          <w:color w:val="000000"/>
          <w:shd w:val="clear" w:color="auto" w:fill="FFFFFF"/>
        </w:rPr>
        <w:endnoteReference w:id="27"/>
      </w:r>
      <w:r w:rsidR="003818D6">
        <w:rPr>
          <w:rStyle w:val="normaltextrun"/>
          <w:rFonts w:asciiTheme="majorHAnsi" w:hAnsiTheme="majorHAnsi" w:cs="Calibri"/>
          <w:noProof/>
          <w:color w:val="000000"/>
          <w:shd w:val="clear" w:color="auto" w:fill="FFFFFF"/>
        </w:rPr>
        <w:t>.</w:t>
      </w:r>
      <w:r w:rsidR="00672BFF">
        <w:rPr>
          <w:rStyle w:val="normaltextrun"/>
          <w:rFonts w:asciiTheme="majorHAnsi" w:hAnsiTheme="majorHAnsi" w:cs="Calibri"/>
          <w:noProof/>
          <w:color w:val="000000"/>
          <w:shd w:val="clear" w:color="auto" w:fill="FFFFFF"/>
        </w:rPr>
        <w:t xml:space="preserve"> </w:t>
      </w:r>
      <w:r w:rsidRPr="00390EB1">
        <w:rPr>
          <w:rStyle w:val="normaltextrun"/>
          <w:rFonts w:asciiTheme="majorHAnsi" w:hAnsiTheme="majorHAnsi" w:cs="Calibri"/>
          <w:noProof/>
          <w:color w:val="000000"/>
          <w:shd w:val="clear" w:color="auto" w:fill="FFFFFF"/>
        </w:rPr>
        <w:t xml:space="preserve">Interim and final payments </w:t>
      </w:r>
      <w:r w:rsidR="00961A15">
        <w:rPr>
          <w:rStyle w:val="normaltextrun"/>
          <w:rFonts w:asciiTheme="majorHAnsi" w:hAnsiTheme="majorHAnsi" w:cs="Calibri"/>
          <w:noProof/>
          <w:color w:val="000000"/>
          <w:shd w:val="clear" w:color="auto" w:fill="FFFFFF"/>
        </w:rPr>
        <w:t xml:space="preserve">in the current </w:t>
      </w:r>
      <w:r w:rsidR="00312C98">
        <w:rPr>
          <w:rStyle w:val="normaltextrun"/>
          <w:rFonts w:asciiTheme="majorHAnsi" w:hAnsiTheme="majorHAnsi" w:cs="Calibri"/>
          <w:noProof/>
          <w:color w:val="000000"/>
          <w:shd w:val="clear" w:color="auto" w:fill="FFFFFF"/>
        </w:rPr>
        <w:t xml:space="preserve">forecast </w:t>
      </w:r>
      <w:r w:rsidR="00961A15">
        <w:rPr>
          <w:rStyle w:val="normaltextrun"/>
          <w:rFonts w:asciiTheme="majorHAnsi" w:hAnsiTheme="majorHAnsi" w:cs="Calibri"/>
          <w:noProof/>
          <w:color w:val="000000"/>
          <w:shd w:val="clear" w:color="auto" w:fill="FFFFFF"/>
        </w:rPr>
        <w:t xml:space="preserve">are </w:t>
      </w:r>
      <w:r w:rsidRPr="00390EB1">
        <w:rPr>
          <w:rStyle w:val="normaltextrun"/>
          <w:rFonts w:asciiTheme="majorHAnsi" w:hAnsiTheme="majorHAnsi" w:cs="Calibri"/>
          <w:noProof/>
          <w:color w:val="000000"/>
          <w:shd w:val="clear" w:color="auto" w:fill="FFFFFF"/>
        </w:rPr>
        <w:t>concentrated over 2022-2024, in line with REACT-EU objectives to speed up the delivery by using</w:t>
      </w:r>
      <w:r w:rsidR="00BE0E02" w:rsidRPr="00390EB1">
        <w:rPr>
          <w:rStyle w:val="normaltextrun"/>
          <w:rFonts w:asciiTheme="majorHAnsi" w:hAnsiTheme="majorHAnsi" w:cs="Calibri"/>
          <w:noProof/>
          <w:color w:val="000000"/>
          <w:shd w:val="clear" w:color="auto" w:fill="FFFFFF"/>
        </w:rPr>
        <w:t xml:space="preserve"> already</w:t>
      </w:r>
      <w:r w:rsidRPr="00390EB1">
        <w:rPr>
          <w:rStyle w:val="normaltextrun"/>
          <w:rFonts w:asciiTheme="majorHAnsi" w:hAnsiTheme="majorHAnsi" w:cs="Calibri"/>
          <w:noProof/>
          <w:color w:val="000000"/>
          <w:shd w:val="clear" w:color="auto" w:fill="FFFFFF"/>
        </w:rPr>
        <w:t xml:space="preserve"> existing programmes and providing full flexibility of the implementation rules. Compared to last year’s forecast, REACT-EU payments </w:t>
      </w:r>
      <w:r w:rsidR="00155F33">
        <w:rPr>
          <w:rStyle w:val="normaltextrun"/>
          <w:rFonts w:asciiTheme="majorHAnsi" w:hAnsiTheme="majorHAnsi" w:cs="Calibri"/>
          <w:noProof/>
          <w:color w:val="000000"/>
          <w:shd w:val="clear" w:color="auto" w:fill="FFFFFF"/>
        </w:rPr>
        <w:t xml:space="preserve">are </w:t>
      </w:r>
      <w:r w:rsidR="00BF280A">
        <w:rPr>
          <w:rStyle w:val="normaltextrun"/>
          <w:rFonts w:asciiTheme="majorHAnsi" w:hAnsiTheme="majorHAnsi" w:cs="Calibri"/>
          <w:noProof/>
          <w:color w:val="000000"/>
          <w:shd w:val="clear" w:color="auto" w:fill="FFFFFF"/>
        </w:rPr>
        <w:t xml:space="preserve">expected to increase in 2024 in view of the extension of the deadline to submit payment requests </w:t>
      </w:r>
      <w:r w:rsidR="008E11D3">
        <w:rPr>
          <w:rStyle w:val="normaltextrun"/>
          <w:rFonts w:asciiTheme="majorHAnsi" w:hAnsiTheme="majorHAnsi" w:cs="Calibri"/>
          <w:noProof/>
          <w:color w:val="000000"/>
          <w:shd w:val="clear" w:color="auto" w:fill="FFFFFF"/>
        </w:rPr>
        <w:t>as agreed in the STEP Regulation.</w:t>
      </w:r>
      <w:r w:rsidR="00FF78B1">
        <w:rPr>
          <w:rStyle w:val="normaltextrun"/>
          <w:rFonts w:asciiTheme="majorHAnsi" w:hAnsiTheme="majorHAnsi" w:cs="Calibri"/>
          <w:noProof/>
          <w:color w:val="000000"/>
          <w:shd w:val="clear" w:color="auto" w:fill="FFFFFF"/>
        </w:rPr>
        <w:t xml:space="preserve"> </w:t>
      </w:r>
      <w:r w:rsidRPr="00390EB1">
        <w:rPr>
          <w:rStyle w:val="normaltextrun"/>
          <w:rFonts w:asciiTheme="majorHAnsi" w:hAnsiTheme="majorHAnsi" w:cs="Calibri"/>
          <w:noProof/>
          <w:color w:val="000000"/>
          <w:shd w:val="clear" w:color="auto" w:fill="FFFFFF"/>
        </w:rPr>
        <w:t xml:space="preserve">Some </w:t>
      </w:r>
      <w:r w:rsidR="00B8360E">
        <w:rPr>
          <w:rStyle w:val="normaltextrun"/>
          <w:rFonts w:asciiTheme="majorHAnsi" w:hAnsiTheme="majorHAnsi" w:cs="Calibri"/>
          <w:noProof/>
          <w:color w:val="000000"/>
          <w:shd w:val="clear" w:color="auto" w:fill="FFFFFF"/>
        </w:rPr>
        <w:t xml:space="preserve">final </w:t>
      </w:r>
      <w:r w:rsidRPr="00390EB1">
        <w:rPr>
          <w:rStyle w:val="normaltextrun"/>
          <w:rFonts w:asciiTheme="majorHAnsi" w:hAnsiTheme="majorHAnsi" w:cs="Calibri"/>
          <w:noProof/>
          <w:color w:val="000000"/>
          <w:shd w:val="clear" w:color="auto" w:fill="FFFFFF"/>
        </w:rPr>
        <w:t>closure payments under both the ESF and ERDF are expected by the end of 2025.</w:t>
      </w:r>
    </w:p>
    <w:p w14:paraId="316E739B" w14:textId="31D75F09" w:rsidR="00861C1C" w:rsidRDefault="003B6DC2">
      <w:pPr>
        <w:spacing w:after="120" w:line="276" w:lineRule="auto"/>
        <w:jc w:val="both"/>
        <w:rPr>
          <w:rStyle w:val="normaltextrun"/>
          <w:rFonts w:asciiTheme="majorHAnsi" w:hAnsiTheme="majorHAnsi" w:cs="Calibri"/>
          <w:noProof/>
          <w:color w:val="000000"/>
          <w:shd w:val="clear" w:color="auto" w:fill="FFFFFF"/>
        </w:rPr>
      </w:pPr>
      <w:r w:rsidRPr="00390EB1">
        <w:rPr>
          <w:rStyle w:val="normaltextrun"/>
          <w:rFonts w:asciiTheme="majorHAnsi" w:hAnsiTheme="majorHAnsi" w:cs="Calibri"/>
          <w:noProof/>
          <w:color w:val="000000"/>
          <w:shd w:val="clear" w:color="auto" w:fill="FFFFFF"/>
        </w:rPr>
        <w:t xml:space="preserve">The other five programmes supported through NextGenerationEU take up the remaining 8% of the non-repayable allocation. The forecast of payments considers the experience with predecessor programmes, taking into account the shorter cycle of commitments and the focus on immediate recovery needs. The </w:t>
      </w:r>
      <w:r w:rsidRPr="00D0100B">
        <w:rPr>
          <w:rStyle w:val="Strong"/>
          <w:b w:val="0"/>
          <w:bCs w:val="0"/>
          <w:noProof/>
        </w:rPr>
        <w:t>Just Transition Fund (JTF)</w:t>
      </w:r>
      <w:r w:rsidRPr="00390EB1">
        <w:rPr>
          <w:rStyle w:val="normaltextrun"/>
          <w:rFonts w:asciiTheme="majorHAnsi" w:hAnsiTheme="majorHAnsi" w:cs="Calibri"/>
          <w:noProof/>
          <w:color w:val="000000"/>
          <w:shd w:val="clear" w:color="auto" w:fill="FFFFFF"/>
        </w:rPr>
        <w:t xml:space="preserve"> has been affected by the delays in the adoption of the MFF and the programme-specific legislation. </w:t>
      </w:r>
      <w:r w:rsidR="6B135D8B" w:rsidRPr="1F4BF015">
        <w:rPr>
          <w:rStyle w:val="normaltextrun"/>
          <w:rFonts w:asciiTheme="majorHAnsi" w:hAnsiTheme="majorHAnsi" w:cs="Calibri"/>
          <w:noProof/>
          <w:color w:val="000000" w:themeColor="text1"/>
        </w:rPr>
        <w:t xml:space="preserve">All JTF programmes were adopted by end of 2022, except for </w:t>
      </w:r>
      <w:r w:rsidR="669D743C" w:rsidRPr="62704A1F">
        <w:rPr>
          <w:rStyle w:val="normaltextrun"/>
          <w:rFonts w:asciiTheme="majorHAnsi" w:hAnsiTheme="majorHAnsi" w:cs="Calibri"/>
          <w:noProof/>
          <w:color w:val="000000" w:themeColor="text1"/>
        </w:rPr>
        <w:t xml:space="preserve">the one for Bulgaria, which was </w:t>
      </w:r>
      <w:r w:rsidR="669D743C" w:rsidRPr="009D462D">
        <w:rPr>
          <w:rStyle w:val="normaltextrun"/>
          <w:rFonts w:asciiTheme="majorHAnsi" w:hAnsiTheme="majorHAnsi" w:cs="Calibri"/>
          <w:noProof/>
          <w:color w:val="000000" w:themeColor="text1"/>
        </w:rPr>
        <w:t xml:space="preserve">adopted in 2023. </w:t>
      </w:r>
      <w:r w:rsidR="669D743C" w:rsidRPr="74565F09">
        <w:rPr>
          <w:rStyle w:val="normaltextrun"/>
          <w:rFonts w:asciiTheme="majorHAnsi" w:hAnsiTheme="majorHAnsi" w:cs="Calibri"/>
          <w:noProof/>
          <w:color w:val="000000" w:themeColor="text1"/>
        </w:rPr>
        <w:t xml:space="preserve">The implementation phase started </w:t>
      </w:r>
      <w:r w:rsidR="669D743C" w:rsidRPr="6496085E">
        <w:rPr>
          <w:rStyle w:val="normaltextrun"/>
          <w:rFonts w:asciiTheme="majorHAnsi" w:hAnsiTheme="majorHAnsi" w:cs="Calibri"/>
          <w:noProof/>
          <w:color w:val="000000" w:themeColor="text1"/>
        </w:rPr>
        <w:t xml:space="preserve">directly after the adoption of the </w:t>
      </w:r>
      <w:r w:rsidR="087117FC" w:rsidRPr="7A2D3A5F">
        <w:rPr>
          <w:rStyle w:val="normaltextrun"/>
          <w:rFonts w:asciiTheme="majorHAnsi" w:hAnsiTheme="majorHAnsi" w:cs="Calibri"/>
          <w:noProof/>
          <w:color w:val="000000" w:themeColor="text1"/>
        </w:rPr>
        <w:t>programmes</w:t>
      </w:r>
      <w:r w:rsidRPr="00390EB1">
        <w:rPr>
          <w:rStyle w:val="normaltextrun"/>
          <w:rFonts w:asciiTheme="majorHAnsi" w:hAnsiTheme="majorHAnsi" w:cs="Calibri"/>
          <w:noProof/>
          <w:color w:val="000000"/>
          <w:shd w:val="clear" w:color="auto" w:fill="FFFFFF"/>
        </w:rPr>
        <w:t xml:space="preserve">, with all disbursements projected over 2023-2026. For </w:t>
      </w:r>
      <w:r w:rsidRPr="002C6170">
        <w:rPr>
          <w:rStyle w:val="Strong"/>
          <w:b w:val="0"/>
          <w:bCs w:val="0"/>
          <w:noProof/>
        </w:rPr>
        <w:t>InvestEU,</w:t>
      </w:r>
      <w:r w:rsidRPr="00390EB1">
        <w:rPr>
          <w:rStyle w:val="normaltextrun"/>
          <w:rFonts w:asciiTheme="majorHAnsi" w:hAnsiTheme="majorHAnsi" w:cs="Calibri"/>
          <w:noProof/>
          <w:color w:val="000000"/>
          <w:shd w:val="clear" w:color="auto" w:fill="FFFFFF"/>
        </w:rPr>
        <w:t xml:space="preserve"> the forecast reflects the expected provisioning schedule of the budgetary guarantee, expenditure for the advisory hub and support expenses.</w:t>
      </w:r>
    </w:p>
    <w:p w14:paraId="78FBDB87" w14:textId="21A19235" w:rsidR="00861C1C" w:rsidRPr="00390EB1" w:rsidRDefault="003B6DC2">
      <w:pPr>
        <w:pStyle w:val="amprH3Title2-Numbered-11"/>
        <w:rPr>
          <w:noProof/>
        </w:rPr>
      </w:pPr>
      <w:bookmarkStart w:id="68" w:name="_Toc524523064"/>
      <w:bookmarkEnd w:id="66"/>
      <w:r w:rsidRPr="00390EB1">
        <w:rPr>
          <w:noProof/>
        </w:rPr>
        <w:tab/>
      </w:r>
      <w:bookmarkStart w:id="69" w:name="_Toc167194514"/>
      <w:r w:rsidRPr="00390EB1">
        <w:rPr>
          <w:noProof/>
        </w:rPr>
        <w:t>Evolution of the level of outstanding commitments</w:t>
      </w:r>
      <w:bookmarkEnd w:id="68"/>
      <w:bookmarkEnd w:id="69"/>
    </w:p>
    <w:p w14:paraId="4E129A68" w14:textId="0EBA4F50" w:rsidR="00861C1C" w:rsidRPr="00390EB1" w:rsidRDefault="6375D7F3" w:rsidP="4F4E128F">
      <w:pPr>
        <w:spacing w:after="120" w:line="276" w:lineRule="auto"/>
        <w:jc w:val="both"/>
        <w:rPr>
          <w:noProof/>
        </w:rPr>
      </w:pPr>
      <w:r w:rsidRPr="00390EB1">
        <w:rPr>
          <w:noProof/>
        </w:rPr>
        <w:t xml:space="preserve">The total RAL from the 2021-2027 </w:t>
      </w:r>
      <w:r w:rsidR="0003581B">
        <w:rPr>
          <w:noProof/>
        </w:rPr>
        <w:t xml:space="preserve">and previous MFFs </w:t>
      </w:r>
      <w:r w:rsidRPr="00390EB1">
        <w:rPr>
          <w:noProof/>
        </w:rPr>
        <w:t xml:space="preserve">is expected to </w:t>
      </w:r>
      <w:r w:rsidR="009A4FD3">
        <w:rPr>
          <w:noProof/>
        </w:rPr>
        <w:t>decrease</w:t>
      </w:r>
      <w:r w:rsidR="40A383D7" w:rsidRPr="00390EB1">
        <w:rPr>
          <w:noProof/>
        </w:rPr>
        <w:t xml:space="preserve"> </w:t>
      </w:r>
      <w:r w:rsidRPr="00390EB1">
        <w:rPr>
          <w:noProof/>
        </w:rPr>
        <w:t>gradually over the period 202</w:t>
      </w:r>
      <w:r w:rsidR="009A4FD3">
        <w:rPr>
          <w:noProof/>
        </w:rPr>
        <w:t>5</w:t>
      </w:r>
      <w:r w:rsidRPr="00390EB1">
        <w:rPr>
          <w:noProof/>
        </w:rPr>
        <w:t>-202</w:t>
      </w:r>
      <w:r w:rsidR="027562DF" w:rsidRPr="00390EB1">
        <w:rPr>
          <w:noProof/>
        </w:rPr>
        <w:t>7</w:t>
      </w:r>
      <w:r w:rsidRPr="00390EB1">
        <w:rPr>
          <w:noProof/>
        </w:rPr>
        <w:t xml:space="preserve">, from </w:t>
      </w:r>
      <w:r w:rsidR="6D7901D6" w:rsidRPr="00390EB1">
        <w:rPr>
          <w:noProof/>
        </w:rPr>
        <w:t>EUR</w:t>
      </w:r>
      <w:r w:rsidR="008D5210">
        <w:rPr>
          <w:rFonts w:ascii="Calibri" w:hAnsi="Calibri" w:cs="Calibri"/>
          <w:noProof/>
        </w:rPr>
        <w:t> </w:t>
      </w:r>
      <w:r w:rsidR="008A3901">
        <w:rPr>
          <w:noProof/>
        </w:rPr>
        <w:t>4</w:t>
      </w:r>
      <w:r w:rsidR="00425D75">
        <w:rPr>
          <w:noProof/>
        </w:rPr>
        <w:t>7</w:t>
      </w:r>
      <w:r w:rsidR="005446F0">
        <w:rPr>
          <w:noProof/>
        </w:rPr>
        <w:t>4</w:t>
      </w:r>
      <w:r w:rsidR="008D5210">
        <w:rPr>
          <w:rFonts w:ascii="Calibri" w:hAnsi="Calibri" w:cs="Calibri"/>
          <w:noProof/>
        </w:rPr>
        <w:t> </w:t>
      </w:r>
      <w:r w:rsidR="6D7901D6" w:rsidRPr="00390EB1">
        <w:rPr>
          <w:noProof/>
        </w:rPr>
        <w:t xml:space="preserve">billion to </w:t>
      </w:r>
      <w:r w:rsidR="1298B0C1" w:rsidRPr="00390EB1">
        <w:rPr>
          <w:noProof/>
        </w:rPr>
        <w:t>EUR</w:t>
      </w:r>
      <w:r w:rsidR="008D5210">
        <w:rPr>
          <w:rFonts w:ascii="Calibri" w:hAnsi="Calibri" w:cs="Calibri"/>
          <w:noProof/>
        </w:rPr>
        <w:t> </w:t>
      </w:r>
      <w:r w:rsidR="004F4697">
        <w:rPr>
          <w:noProof/>
        </w:rPr>
        <w:t>3</w:t>
      </w:r>
      <w:r w:rsidR="005446F0">
        <w:rPr>
          <w:noProof/>
        </w:rPr>
        <w:t>6</w:t>
      </w:r>
      <w:r w:rsidR="008B2AD1">
        <w:rPr>
          <w:noProof/>
        </w:rPr>
        <w:t>5</w:t>
      </w:r>
      <w:r w:rsidR="008D5210">
        <w:rPr>
          <w:rFonts w:ascii="Calibri" w:hAnsi="Calibri" w:cs="Calibri"/>
          <w:noProof/>
        </w:rPr>
        <w:t> </w:t>
      </w:r>
      <w:r w:rsidR="6D7901D6" w:rsidRPr="00390EB1">
        <w:rPr>
          <w:noProof/>
        </w:rPr>
        <w:t>billion</w:t>
      </w:r>
      <w:r w:rsidRPr="00390EB1">
        <w:rPr>
          <w:noProof/>
        </w:rPr>
        <w:t>.</w:t>
      </w:r>
      <w:r w:rsidR="00B8702D">
        <w:rPr>
          <w:noProof/>
        </w:rPr>
        <w:t xml:space="preserve"> Compared to last year’s forecast</w:t>
      </w:r>
      <w:r w:rsidR="00447539">
        <w:rPr>
          <w:noProof/>
        </w:rPr>
        <w:t xml:space="preserve"> (EUR</w:t>
      </w:r>
      <w:r w:rsidR="00447539">
        <w:rPr>
          <w:rFonts w:ascii="Calibri" w:hAnsi="Calibri" w:cs="Calibri"/>
          <w:noProof/>
        </w:rPr>
        <w:t> </w:t>
      </w:r>
      <w:r w:rsidR="00447539">
        <w:rPr>
          <w:noProof/>
        </w:rPr>
        <w:t>322</w:t>
      </w:r>
      <w:r w:rsidR="00447539">
        <w:rPr>
          <w:rFonts w:ascii="Calibri" w:hAnsi="Calibri" w:cs="Calibri"/>
          <w:noProof/>
        </w:rPr>
        <w:t> </w:t>
      </w:r>
      <w:r w:rsidR="00447539">
        <w:rPr>
          <w:noProof/>
        </w:rPr>
        <w:t>billion)</w:t>
      </w:r>
      <w:r w:rsidR="00B8702D">
        <w:rPr>
          <w:noProof/>
        </w:rPr>
        <w:t>, this represents an increase of EUR</w:t>
      </w:r>
      <w:r w:rsidR="00B8702D">
        <w:rPr>
          <w:rFonts w:ascii="Calibri" w:hAnsi="Calibri" w:cs="Calibri"/>
          <w:noProof/>
        </w:rPr>
        <w:t> </w:t>
      </w:r>
      <w:r w:rsidR="005446F0">
        <w:rPr>
          <w:noProof/>
        </w:rPr>
        <w:t>4</w:t>
      </w:r>
      <w:r w:rsidR="008B2AD1">
        <w:rPr>
          <w:noProof/>
        </w:rPr>
        <w:t>3</w:t>
      </w:r>
      <w:r w:rsidR="00B8702D">
        <w:rPr>
          <w:rFonts w:ascii="Calibri" w:hAnsi="Calibri" w:cs="Calibri"/>
          <w:noProof/>
        </w:rPr>
        <w:t> </w:t>
      </w:r>
      <w:r w:rsidR="00B8702D">
        <w:rPr>
          <w:noProof/>
        </w:rPr>
        <w:t>billion</w:t>
      </w:r>
      <w:r w:rsidR="00DD53EE">
        <w:rPr>
          <w:noProof/>
        </w:rPr>
        <w:t>.</w:t>
      </w:r>
      <w:r w:rsidR="1D50ED3E" w:rsidRPr="00390EB1">
        <w:rPr>
          <w:noProof/>
        </w:rPr>
        <w:t xml:space="preserve"> </w:t>
      </w:r>
      <w:r w:rsidR="00C227B9">
        <w:rPr>
          <w:noProof/>
        </w:rPr>
        <w:t xml:space="preserve">This year, the RAL also includes the Ukraine </w:t>
      </w:r>
      <w:r w:rsidR="009D1FCF">
        <w:rPr>
          <w:noProof/>
        </w:rPr>
        <w:t>Facility.</w:t>
      </w:r>
      <w:r w:rsidR="1D50ED3E" w:rsidRPr="00390EB1">
        <w:rPr>
          <w:noProof/>
        </w:rPr>
        <w:t xml:space="preserve"> </w:t>
      </w:r>
      <w:r w:rsidR="0F290463" w:rsidRPr="00390EB1">
        <w:rPr>
          <w:noProof/>
        </w:rPr>
        <w:t xml:space="preserve">With </w:t>
      </w:r>
      <w:r w:rsidR="00346F78">
        <w:rPr>
          <w:noProof/>
        </w:rPr>
        <w:t>c</w:t>
      </w:r>
      <w:r w:rsidR="0F290463" w:rsidRPr="00390EB1">
        <w:rPr>
          <w:noProof/>
        </w:rPr>
        <w:t>ohesion</w:t>
      </w:r>
      <w:r w:rsidR="5C38466C" w:rsidRPr="00390EB1">
        <w:rPr>
          <w:noProof/>
        </w:rPr>
        <w:t xml:space="preserve"> </w:t>
      </w:r>
      <w:r w:rsidR="206594C5" w:rsidRPr="00390EB1">
        <w:rPr>
          <w:noProof/>
        </w:rPr>
        <w:t xml:space="preserve">accounting </w:t>
      </w:r>
      <w:r w:rsidR="4A09768B" w:rsidRPr="00390EB1">
        <w:rPr>
          <w:noProof/>
        </w:rPr>
        <w:t xml:space="preserve">for </w:t>
      </w:r>
      <w:r w:rsidR="0E7016EC" w:rsidRPr="00390EB1">
        <w:rPr>
          <w:noProof/>
        </w:rPr>
        <w:t>a large share</w:t>
      </w:r>
      <w:r w:rsidR="02DF3051" w:rsidRPr="00390EB1">
        <w:rPr>
          <w:noProof/>
        </w:rPr>
        <w:t>,</w:t>
      </w:r>
      <w:r w:rsidR="4A09768B" w:rsidRPr="00390EB1">
        <w:rPr>
          <w:noProof/>
        </w:rPr>
        <w:t xml:space="preserve"> </w:t>
      </w:r>
      <w:r w:rsidR="59647942" w:rsidRPr="00390EB1">
        <w:rPr>
          <w:noProof/>
        </w:rPr>
        <w:t xml:space="preserve">the implementation </w:t>
      </w:r>
      <w:r w:rsidR="10F2F9FD" w:rsidRPr="00390EB1">
        <w:rPr>
          <w:noProof/>
        </w:rPr>
        <w:t>of</w:t>
      </w:r>
      <w:r w:rsidR="59647942" w:rsidRPr="00390EB1">
        <w:rPr>
          <w:noProof/>
        </w:rPr>
        <w:t xml:space="preserve"> this policy</w:t>
      </w:r>
      <w:r w:rsidR="23F65942" w:rsidRPr="00390EB1">
        <w:rPr>
          <w:noProof/>
        </w:rPr>
        <w:t xml:space="preserve"> under the N+3 decommitment rule</w:t>
      </w:r>
      <w:r w:rsidR="24209C13" w:rsidRPr="00390EB1">
        <w:rPr>
          <w:noProof/>
        </w:rPr>
        <w:t xml:space="preserve"> will deter</w:t>
      </w:r>
      <w:r w:rsidR="1ABDF773" w:rsidRPr="00390EB1">
        <w:rPr>
          <w:noProof/>
        </w:rPr>
        <w:t xml:space="preserve">mine </w:t>
      </w:r>
      <w:r w:rsidR="69ED879B" w:rsidRPr="00390EB1">
        <w:rPr>
          <w:noProof/>
        </w:rPr>
        <w:t xml:space="preserve">the </w:t>
      </w:r>
      <w:r w:rsidR="0E0D8477" w:rsidRPr="00390EB1">
        <w:rPr>
          <w:noProof/>
        </w:rPr>
        <w:t>overal</w:t>
      </w:r>
      <w:r w:rsidR="1AD73C69" w:rsidRPr="00390EB1">
        <w:rPr>
          <w:noProof/>
        </w:rPr>
        <w:t>l evolution in the stock</w:t>
      </w:r>
      <w:r w:rsidR="4336F494" w:rsidRPr="00390EB1">
        <w:rPr>
          <w:noProof/>
        </w:rPr>
        <w:t xml:space="preserve"> of</w:t>
      </w:r>
      <w:r w:rsidR="111CB82C" w:rsidRPr="00390EB1">
        <w:rPr>
          <w:noProof/>
        </w:rPr>
        <w:t xml:space="preserve"> </w:t>
      </w:r>
      <w:r w:rsidR="69ED879B" w:rsidRPr="00390EB1">
        <w:rPr>
          <w:noProof/>
        </w:rPr>
        <w:t>outstanding commitment</w:t>
      </w:r>
      <w:r w:rsidR="5C648453" w:rsidRPr="00390EB1">
        <w:rPr>
          <w:noProof/>
        </w:rPr>
        <w:t>s</w:t>
      </w:r>
      <w:r w:rsidR="406A4F38" w:rsidRPr="00390EB1">
        <w:rPr>
          <w:noProof/>
        </w:rPr>
        <w:t>,</w:t>
      </w:r>
      <w:r w:rsidR="58F2D0FD" w:rsidRPr="00390EB1">
        <w:rPr>
          <w:noProof/>
        </w:rPr>
        <w:t xml:space="preserve"> </w:t>
      </w:r>
      <w:r w:rsidR="57048911" w:rsidRPr="00390EB1">
        <w:rPr>
          <w:noProof/>
        </w:rPr>
        <w:t xml:space="preserve">with the </w:t>
      </w:r>
      <w:r w:rsidR="4A09768B" w:rsidRPr="00390EB1">
        <w:rPr>
          <w:noProof/>
        </w:rPr>
        <w:t>backload</w:t>
      </w:r>
      <w:r w:rsidR="4918B2B9" w:rsidRPr="00390EB1">
        <w:rPr>
          <w:noProof/>
        </w:rPr>
        <w:t xml:space="preserve"> </w:t>
      </w:r>
      <w:r w:rsidR="076658BB" w:rsidRPr="00390EB1">
        <w:rPr>
          <w:noProof/>
        </w:rPr>
        <w:t xml:space="preserve">of </w:t>
      </w:r>
      <w:r w:rsidR="4A09768B" w:rsidRPr="00390EB1">
        <w:rPr>
          <w:noProof/>
        </w:rPr>
        <w:t>payments towards the end of the MFF</w:t>
      </w:r>
      <w:r w:rsidR="78F4305E" w:rsidRPr="00390EB1">
        <w:rPr>
          <w:noProof/>
        </w:rPr>
        <w:t xml:space="preserve"> and after</w:t>
      </w:r>
      <w:r w:rsidR="328BDEC7" w:rsidRPr="00390EB1">
        <w:rPr>
          <w:noProof/>
        </w:rPr>
        <w:t xml:space="preserve"> </w:t>
      </w:r>
      <w:r w:rsidR="018AEA91" w:rsidRPr="00390EB1">
        <w:rPr>
          <w:noProof/>
        </w:rPr>
        <w:t>(s</w:t>
      </w:r>
      <w:r w:rsidR="4A09768B" w:rsidRPr="00390EB1">
        <w:rPr>
          <w:noProof/>
        </w:rPr>
        <w:t xml:space="preserve">ee point 2.1). </w:t>
      </w:r>
      <w:r w:rsidR="5F8445D7" w:rsidRPr="00390EB1">
        <w:rPr>
          <w:noProof/>
        </w:rPr>
        <w:t xml:space="preserve">As for </w:t>
      </w:r>
      <w:r w:rsidR="1A5C22C6" w:rsidRPr="00390EB1">
        <w:rPr>
          <w:noProof/>
        </w:rPr>
        <w:t>NextGenerationEU</w:t>
      </w:r>
      <w:r w:rsidR="620DDF4C" w:rsidRPr="00390EB1">
        <w:rPr>
          <w:noProof/>
        </w:rPr>
        <w:t>, the RAL</w:t>
      </w:r>
      <w:r w:rsidR="1A5C22C6" w:rsidRPr="00390EB1">
        <w:rPr>
          <w:noProof/>
        </w:rPr>
        <w:t xml:space="preserve"> will be progressively settled until the end of 2026 when all the payments will </w:t>
      </w:r>
      <w:r w:rsidR="120478EF" w:rsidRPr="00390EB1">
        <w:rPr>
          <w:noProof/>
        </w:rPr>
        <w:t xml:space="preserve">need to </w:t>
      </w:r>
      <w:r w:rsidR="1A5C22C6" w:rsidRPr="00390EB1">
        <w:rPr>
          <w:noProof/>
        </w:rPr>
        <w:t>be completed</w:t>
      </w:r>
      <w:r w:rsidR="00346F78">
        <w:rPr>
          <w:noProof/>
        </w:rPr>
        <w:t>, except for very small amounts linked to administrative expenditure.</w:t>
      </w:r>
    </w:p>
    <w:p w14:paraId="47F666B2" w14:textId="3471FF31" w:rsidR="00211E6F" w:rsidRDefault="618AA924" w:rsidP="62C6627F">
      <w:pPr>
        <w:spacing w:after="120" w:line="276" w:lineRule="auto"/>
        <w:jc w:val="both"/>
        <w:rPr>
          <w:noProof/>
        </w:rPr>
      </w:pPr>
      <w:r w:rsidRPr="00390EB1">
        <w:rPr>
          <w:noProof/>
        </w:rPr>
        <w:t>The forecast for</w:t>
      </w:r>
      <w:r w:rsidR="0003581B">
        <w:rPr>
          <w:noProof/>
        </w:rPr>
        <w:t xml:space="preserve"> </w:t>
      </w:r>
      <w:r w:rsidR="54E93404" w:rsidRPr="00390EB1">
        <w:rPr>
          <w:noProof/>
        </w:rPr>
        <w:t xml:space="preserve">the evolution of </w:t>
      </w:r>
      <w:r w:rsidR="6053406C" w:rsidRPr="00390EB1">
        <w:rPr>
          <w:noProof/>
        </w:rPr>
        <w:t>RAL</w:t>
      </w:r>
      <w:r w:rsidR="6DDC168A" w:rsidRPr="00390EB1">
        <w:rPr>
          <w:noProof/>
        </w:rPr>
        <w:t xml:space="preserve"> stemming from the 2021-2027</w:t>
      </w:r>
      <w:r w:rsidR="00226289">
        <w:rPr>
          <w:noProof/>
        </w:rPr>
        <w:t xml:space="preserve"> and previous MFFs</w:t>
      </w:r>
      <w:r w:rsidR="000F7FC2">
        <w:rPr>
          <w:noProof/>
        </w:rPr>
        <w:t xml:space="preserve"> </w:t>
      </w:r>
      <w:r w:rsidR="6DDC168A" w:rsidRPr="00390EB1">
        <w:rPr>
          <w:noProof/>
        </w:rPr>
        <w:t>(excluding NextGenerationEU)</w:t>
      </w:r>
      <w:r w:rsidR="6053406C" w:rsidRPr="00390EB1">
        <w:rPr>
          <w:noProof/>
        </w:rPr>
        <w:t xml:space="preserve"> as a share of the EU-27 GNI </w:t>
      </w:r>
      <w:r w:rsidR="2A89F186" w:rsidRPr="00390EB1">
        <w:rPr>
          <w:noProof/>
        </w:rPr>
        <w:t>would</w:t>
      </w:r>
      <w:r w:rsidR="54DDE5A4" w:rsidRPr="00390EB1">
        <w:rPr>
          <w:noProof/>
        </w:rPr>
        <w:t xml:space="preserve"> </w:t>
      </w:r>
      <w:r w:rsidR="0EDF2AF8" w:rsidRPr="00390EB1">
        <w:rPr>
          <w:noProof/>
        </w:rPr>
        <w:t>decline</w:t>
      </w:r>
      <w:r w:rsidR="150359E4" w:rsidRPr="00390EB1">
        <w:rPr>
          <w:noProof/>
        </w:rPr>
        <w:t xml:space="preserve"> </w:t>
      </w:r>
      <w:r w:rsidR="034FF86E" w:rsidRPr="00390EB1">
        <w:rPr>
          <w:noProof/>
        </w:rPr>
        <w:t xml:space="preserve">from </w:t>
      </w:r>
      <w:r w:rsidR="00D602BA">
        <w:rPr>
          <w:noProof/>
        </w:rPr>
        <w:t>2.</w:t>
      </w:r>
      <w:r w:rsidR="007D416E">
        <w:rPr>
          <w:noProof/>
        </w:rPr>
        <w:t>4</w:t>
      </w:r>
      <w:r w:rsidR="7DD74963" w:rsidRPr="00390EB1">
        <w:rPr>
          <w:noProof/>
        </w:rPr>
        <w:t xml:space="preserve">% to </w:t>
      </w:r>
      <w:r w:rsidR="00D602BA">
        <w:rPr>
          <w:noProof/>
        </w:rPr>
        <w:t>1.</w:t>
      </w:r>
      <w:r w:rsidR="007D416E">
        <w:rPr>
          <w:noProof/>
        </w:rPr>
        <w:t>8</w:t>
      </w:r>
      <w:r w:rsidR="007029E7">
        <w:rPr>
          <w:noProof/>
        </w:rPr>
        <w:t>5</w:t>
      </w:r>
      <w:r w:rsidR="7DD74963" w:rsidRPr="00390EB1">
        <w:rPr>
          <w:noProof/>
        </w:rPr>
        <w:t>%</w:t>
      </w:r>
      <w:r w:rsidR="61A38DA8" w:rsidRPr="00390EB1">
        <w:rPr>
          <w:noProof/>
        </w:rPr>
        <w:t xml:space="preserve"> in 2027</w:t>
      </w:r>
      <w:r w:rsidR="0832C05C" w:rsidRPr="00390EB1">
        <w:rPr>
          <w:noProof/>
        </w:rPr>
        <w:t xml:space="preserve">, </w:t>
      </w:r>
      <w:r w:rsidR="75AC7A38" w:rsidRPr="00390EB1">
        <w:rPr>
          <w:noProof/>
        </w:rPr>
        <w:t xml:space="preserve">which is </w:t>
      </w:r>
      <w:r w:rsidR="1B8523DA" w:rsidRPr="00390EB1">
        <w:rPr>
          <w:noProof/>
        </w:rPr>
        <w:t>explained</w:t>
      </w:r>
      <w:r w:rsidR="75AC7A38" w:rsidRPr="00390EB1">
        <w:rPr>
          <w:noProof/>
        </w:rPr>
        <w:t xml:space="preserve"> by</w:t>
      </w:r>
      <w:r w:rsidR="010D7501" w:rsidRPr="00390EB1">
        <w:rPr>
          <w:noProof/>
        </w:rPr>
        <w:t xml:space="preserve"> </w:t>
      </w:r>
      <w:r w:rsidR="3DC1E5C7" w:rsidRPr="00390EB1">
        <w:rPr>
          <w:noProof/>
        </w:rPr>
        <w:t>the</w:t>
      </w:r>
      <w:r w:rsidR="668B5361" w:rsidRPr="00390EB1">
        <w:rPr>
          <w:noProof/>
        </w:rPr>
        <w:t xml:space="preserve"> </w:t>
      </w:r>
      <w:r w:rsidR="01CB7478" w:rsidRPr="00390EB1">
        <w:rPr>
          <w:noProof/>
        </w:rPr>
        <w:t>increase</w:t>
      </w:r>
      <w:r w:rsidR="2F86CBAB" w:rsidRPr="00390EB1">
        <w:rPr>
          <w:noProof/>
        </w:rPr>
        <w:t xml:space="preserve"> </w:t>
      </w:r>
      <w:r w:rsidR="2610DE8B" w:rsidRPr="00390EB1">
        <w:rPr>
          <w:noProof/>
        </w:rPr>
        <w:t xml:space="preserve">in the RAL </w:t>
      </w:r>
      <w:r w:rsidR="2D0EB29E" w:rsidRPr="00390EB1">
        <w:rPr>
          <w:noProof/>
        </w:rPr>
        <w:t xml:space="preserve">that it is compensated by </w:t>
      </w:r>
      <w:r w:rsidR="39A5DFC3" w:rsidRPr="00390EB1">
        <w:rPr>
          <w:noProof/>
        </w:rPr>
        <w:t xml:space="preserve">the </w:t>
      </w:r>
      <w:r w:rsidR="7DD74963" w:rsidRPr="00390EB1">
        <w:rPr>
          <w:noProof/>
        </w:rPr>
        <w:t>growth of the EU</w:t>
      </w:r>
      <w:r w:rsidR="442AAD14" w:rsidRPr="00390EB1">
        <w:rPr>
          <w:noProof/>
        </w:rPr>
        <w:t>-27 GNI</w:t>
      </w:r>
      <w:r w:rsidR="54383A84" w:rsidRPr="00390EB1">
        <w:rPr>
          <w:noProof/>
        </w:rPr>
        <w:t>.</w:t>
      </w:r>
      <w:r w:rsidR="07C2ABA8" w:rsidRPr="00390EB1">
        <w:rPr>
          <w:noProof/>
        </w:rPr>
        <w:t xml:space="preserve"> </w:t>
      </w:r>
      <w:r w:rsidR="00974CD9">
        <w:rPr>
          <w:noProof/>
        </w:rPr>
        <w:t>The RAL reflects the state of implementation of the budget to-date, including delays in cohesion policy and agriculture</w:t>
      </w:r>
      <w:r w:rsidR="003B14B2">
        <w:rPr>
          <w:noProof/>
        </w:rPr>
        <w:t>,</w:t>
      </w:r>
      <w:r w:rsidR="00F375F5">
        <w:rPr>
          <w:noProof/>
        </w:rPr>
        <w:t xml:space="preserve"> which are estimated to persist until the end of the programming period.</w:t>
      </w:r>
    </w:p>
    <w:p w14:paraId="28691202" w14:textId="26D58E0C" w:rsidR="00861C1C" w:rsidRPr="00390EB1" w:rsidRDefault="07C2ABA8" w:rsidP="62C6627F">
      <w:pPr>
        <w:spacing w:after="120" w:line="276" w:lineRule="auto"/>
        <w:jc w:val="both"/>
        <w:rPr>
          <w:noProof/>
        </w:rPr>
      </w:pPr>
      <w:r w:rsidRPr="00390EB1">
        <w:rPr>
          <w:noProof/>
        </w:rPr>
        <w:t>The</w:t>
      </w:r>
      <w:r w:rsidR="6344160D" w:rsidRPr="00390EB1">
        <w:rPr>
          <w:noProof/>
        </w:rPr>
        <w:t xml:space="preserve"> p</w:t>
      </w:r>
      <w:r w:rsidRPr="00390EB1">
        <w:rPr>
          <w:noProof/>
        </w:rPr>
        <w:t xml:space="preserve">rojections for the </w:t>
      </w:r>
      <w:r w:rsidR="000F7FC2">
        <w:rPr>
          <w:noProof/>
        </w:rPr>
        <w:t>post-2027 MFF</w:t>
      </w:r>
      <w:r w:rsidRPr="00390EB1">
        <w:rPr>
          <w:noProof/>
        </w:rPr>
        <w:t xml:space="preserve"> are not considered</w:t>
      </w:r>
      <w:r w:rsidR="6DD9B5FD" w:rsidRPr="00390EB1">
        <w:rPr>
          <w:noProof/>
        </w:rPr>
        <w:t>.</w:t>
      </w:r>
      <w:r w:rsidRPr="00390EB1">
        <w:rPr>
          <w:noProof/>
        </w:rPr>
        <w:t xml:space="preserve"> </w:t>
      </w:r>
      <w:r w:rsidR="00782BA4">
        <w:rPr>
          <w:noProof/>
        </w:rPr>
        <w:t xml:space="preserve">Since the MFF 2021-27 will conclude in 2027, the forecast data for 2028-29 </w:t>
      </w:r>
      <w:r w:rsidR="00A86F3C">
        <w:rPr>
          <w:noProof/>
        </w:rPr>
        <w:t xml:space="preserve">only refers to commitments made in the period 2021-27. The rate of absorption of the RAL would be influenced by the </w:t>
      </w:r>
      <w:r w:rsidR="00E54137">
        <w:rPr>
          <w:noProof/>
        </w:rPr>
        <w:t xml:space="preserve">successor MFF. Hence, </w:t>
      </w:r>
      <w:r w:rsidR="00832568">
        <w:rPr>
          <w:noProof/>
        </w:rPr>
        <w:t>the RAL forecast is only done until the end of 2027.</w:t>
      </w:r>
    </w:p>
    <w:p w14:paraId="46EEBD7F" w14:textId="237278AC" w:rsidR="00861C1C" w:rsidRPr="008C2F97" w:rsidRDefault="2A67BF04">
      <w:pPr>
        <w:spacing w:after="120" w:line="276" w:lineRule="auto"/>
        <w:jc w:val="both"/>
        <w:rPr>
          <w:rStyle w:val="amprcharCharttitle"/>
          <w:noProof/>
        </w:rPr>
      </w:pPr>
      <w:r w:rsidRPr="008C2F97">
        <w:rPr>
          <w:rStyle w:val="amprcharCharttitle"/>
          <w:noProof/>
        </w:rPr>
        <w:t xml:space="preserve">Chart </w:t>
      </w:r>
      <w:r w:rsidR="00F21E84">
        <w:rPr>
          <w:rStyle w:val="amprcharCharttitle"/>
          <w:noProof/>
        </w:rPr>
        <w:t>3</w:t>
      </w:r>
      <w:r w:rsidRPr="008C2F97">
        <w:rPr>
          <w:rStyle w:val="amprcharCharttitle"/>
          <w:noProof/>
        </w:rPr>
        <w:t xml:space="preserve"> – Evolution of the level of outstanding commitments (RAL) over 202</w:t>
      </w:r>
      <w:r w:rsidR="00A75FFB" w:rsidRPr="008C2F97">
        <w:rPr>
          <w:rStyle w:val="amprcharCharttitle"/>
          <w:noProof/>
        </w:rPr>
        <w:t>5</w:t>
      </w:r>
      <w:r w:rsidRPr="008C2F97">
        <w:rPr>
          <w:rStyle w:val="amprcharCharttitle"/>
          <w:noProof/>
        </w:rPr>
        <w:t>-202</w:t>
      </w:r>
      <w:r w:rsidR="38F344AA" w:rsidRPr="008C2F97">
        <w:rPr>
          <w:rStyle w:val="amprcharCharttitle"/>
          <w:noProof/>
        </w:rPr>
        <w:t>7</w:t>
      </w:r>
      <w:r w:rsidRPr="008C2F97">
        <w:rPr>
          <w:rStyle w:val="amprcharCharttitle"/>
          <w:noProof/>
        </w:rPr>
        <w:t>, measured in percentage of the Union’s Gross National Income</w:t>
      </w:r>
    </w:p>
    <w:p w14:paraId="19C7EBC1" w14:textId="1075BF54" w:rsidR="00861C1C" w:rsidRPr="00390EB1" w:rsidRDefault="006A0872" w:rsidP="00EE7256">
      <w:pPr>
        <w:spacing w:after="120" w:line="276" w:lineRule="auto"/>
        <w:jc w:val="center"/>
        <w:rPr>
          <w:noProof/>
        </w:rPr>
      </w:pPr>
      <w:r>
        <w:rPr>
          <w:noProof/>
          <w:lang w:eastAsia="en-GB"/>
        </w:rPr>
        <w:drawing>
          <wp:inline distT="0" distB="0" distL="0" distR="0" wp14:anchorId="1039A25B" wp14:editId="0E4FEA72">
            <wp:extent cx="3520376" cy="229552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27865" cy="2300408"/>
                    </a:xfrm>
                    <a:prstGeom prst="rect">
                      <a:avLst/>
                    </a:prstGeom>
                  </pic:spPr>
                </pic:pic>
              </a:graphicData>
            </a:graphic>
          </wp:inline>
        </w:drawing>
      </w:r>
    </w:p>
    <w:p w14:paraId="25AC0004" w14:textId="68B3A063" w:rsidR="00861C1C" w:rsidRPr="00390EB1" w:rsidRDefault="6375D7F3">
      <w:pPr>
        <w:pStyle w:val="amprH2TITLE1-Numbered-1"/>
        <w:rPr>
          <w:noProof/>
        </w:rPr>
      </w:pPr>
      <w:bookmarkStart w:id="70" w:name="_Toc167194515"/>
      <w:r w:rsidRPr="00390EB1">
        <w:rPr>
          <w:noProof/>
        </w:rPr>
        <w:t xml:space="preserve">Forecast of inflows of the EU budget </w:t>
      </w:r>
      <w:r w:rsidR="00E61370">
        <w:rPr>
          <w:noProof/>
        </w:rPr>
        <w:br/>
      </w:r>
      <w:r w:rsidRPr="00390EB1">
        <w:rPr>
          <w:noProof/>
        </w:rPr>
        <w:t>202</w:t>
      </w:r>
      <w:r w:rsidR="000F7FC2">
        <w:rPr>
          <w:noProof/>
        </w:rPr>
        <w:t>5</w:t>
      </w:r>
      <w:r w:rsidRPr="00390EB1">
        <w:rPr>
          <w:noProof/>
        </w:rPr>
        <w:t>-202</w:t>
      </w:r>
      <w:r w:rsidR="00702FF6">
        <w:rPr>
          <w:noProof/>
        </w:rPr>
        <w:t>9</w:t>
      </w:r>
      <w:bookmarkEnd w:id="70"/>
    </w:p>
    <w:p w14:paraId="52895612" w14:textId="20F06FD1" w:rsidR="00861C1C" w:rsidRPr="00390EB1" w:rsidRDefault="55E43B5C" w:rsidP="0050317D">
      <w:pPr>
        <w:spacing w:before="180" w:after="120" w:line="276" w:lineRule="auto"/>
        <w:jc w:val="both"/>
        <w:rPr>
          <w:noProof/>
        </w:rPr>
      </w:pPr>
      <w:r w:rsidRPr="00390EB1">
        <w:rPr>
          <w:noProof/>
        </w:rPr>
        <w:t>The EU budget is financed by own resources and other revenue. In addition, the Union is empowered to borrow funds to finance NextGenerationEU</w:t>
      </w:r>
      <w:r w:rsidR="00F35505">
        <w:rPr>
          <w:noProof/>
        </w:rPr>
        <w:t>, which are</w:t>
      </w:r>
      <w:r w:rsidR="0F8E03EC" w:rsidRPr="00390EB1">
        <w:rPr>
          <w:noProof/>
        </w:rPr>
        <w:t xml:space="preserve"> channelled </w:t>
      </w:r>
      <w:r w:rsidR="00275EC5" w:rsidRPr="00390EB1">
        <w:rPr>
          <w:noProof/>
        </w:rPr>
        <w:t xml:space="preserve">into the budget </w:t>
      </w:r>
      <w:r w:rsidR="00275EC5">
        <w:rPr>
          <w:noProof/>
        </w:rPr>
        <w:t xml:space="preserve">through </w:t>
      </w:r>
      <w:r w:rsidR="0F8E03EC" w:rsidRPr="00390EB1">
        <w:rPr>
          <w:noProof/>
        </w:rPr>
        <w:t>external assigned revenue</w:t>
      </w:r>
      <w:r w:rsidR="321C0197" w:rsidRPr="00390EB1">
        <w:rPr>
          <w:noProof/>
        </w:rPr>
        <w:t>.</w:t>
      </w:r>
      <w:r w:rsidRPr="00390EB1">
        <w:rPr>
          <w:noProof/>
        </w:rPr>
        <w:t xml:space="preserve"> The Commission </w:t>
      </w:r>
      <w:r w:rsidR="3B0E91ED" w:rsidRPr="00390EB1">
        <w:rPr>
          <w:noProof/>
        </w:rPr>
        <w:t>mobilis</w:t>
      </w:r>
      <w:r w:rsidR="1F48CE89" w:rsidRPr="00390EB1">
        <w:rPr>
          <w:noProof/>
        </w:rPr>
        <w:t>es</w:t>
      </w:r>
      <w:r w:rsidRPr="00390EB1">
        <w:rPr>
          <w:noProof/>
        </w:rPr>
        <w:t xml:space="preserve"> the funds through operations on international capital markets, in line with the financing needs of NextGenerationEU’s spending programmes (see point 2.4). To this end, the Commission follows a diversified funding strategy</w:t>
      </w:r>
      <w:r w:rsidR="003B6DC2" w:rsidRPr="00390EB1">
        <w:rPr>
          <w:rStyle w:val="EndnoteReference"/>
          <w:noProof/>
        </w:rPr>
        <w:endnoteReference w:id="28"/>
      </w:r>
      <w:r w:rsidRPr="00390EB1">
        <w:rPr>
          <w:noProof/>
        </w:rPr>
        <w:t xml:space="preserve"> and, as part of this strategy, publishes annual borrowing decisions and six-monthly funding plans. The present forecast focuses on the revenue necessary to finance the budget expenditure within the MFF</w:t>
      </w:r>
      <w:r w:rsidR="13309246" w:rsidRPr="00390EB1">
        <w:rPr>
          <w:noProof/>
        </w:rPr>
        <w:t xml:space="preserve"> (</w:t>
      </w:r>
      <w:r w:rsidR="003E1CF5">
        <w:rPr>
          <w:noProof/>
        </w:rPr>
        <w:t>excluding</w:t>
      </w:r>
      <w:r w:rsidR="13309246" w:rsidRPr="00390EB1">
        <w:rPr>
          <w:noProof/>
        </w:rPr>
        <w:t xml:space="preserve"> the non-r</w:t>
      </w:r>
      <w:r w:rsidR="1BEB9F1F" w:rsidRPr="00390EB1">
        <w:rPr>
          <w:noProof/>
        </w:rPr>
        <w:t>e</w:t>
      </w:r>
      <w:r w:rsidR="13309246" w:rsidRPr="00390EB1">
        <w:rPr>
          <w:noProof/>
        </w:rPr>
        <w:t>payable support</w:t>
      </w:r>
      <w:r w:rsidR="0FB52985" w:rsidRPr="00390EB1">
        <w:rPr>
          <w:noProof/>
        </w:rPr>
        <w:t xml:space="preserve"> </w:t>
      </w:r>
      <w:r w:rsidR="003E1CF5">
        <w:rPr>
          <w:noProof/>
        </w:rPr>
        <w:t>from</w:t>
      </w:r>
      <w:r w:rsidR="0FB52985" w:rsidRPr="00390EB1">
        <w:rPr>
          <w:noProof/>
        </w:rPr>
        <w:t xml:space="preserve"> </w:t>
      </w:r>
      <w:r w:rsidR="0FB52985">
        <w:rPr>
          <w:noProof/>
        </w:rPr>
        <w:t>NextGenerationEU)</w:t>
      </w:r>
      <w:r w:rsidR="321C0197" w:rsidRPr="00390EB1">
        <w:rPr>
          <w:noProof/>
        </w:rPr>
        <w:t>.</w:t>
      </w:r>
    </w:p>
    <w:p w14:paraId="79B7C85A" w14:textId="02C52BAF" w:rsidR="00861C1C" w:rsidRPr="00390EB1" w:rsidRDefault="55E43B5C" w:rsidP="0050317D">
      <w:pPr>
        <w:spacing w:before="180" w:after="120" w:line="276" w:lineRule="auto"/>
        <w:jc w:val="both"/>
        <w:rPr>
          <w:noProof/>
        </w:rPr>
      </w:pPr>
      <w:r w:rsidRPr="00390EB1">
        <w:rPr>
          <w:noProof/>
        </w:rPr>
        <w:t xml:space="preserve">The own resources needed to finance the budget is determined by total expenditure less </w:t>
      </w:r>
      <w:r w:rsidR="1C1ACE09" w:rsidRPr="00390EB1">
        <w:rPr>
          <w:noProof/>
        </w:rPr>
        <w:t>‘</w:t>
      </w:r>
      <w:r w:rsidRPr="00390EB1">
        <w:rPr>
          <w:noProof/>
        </w:rPr>
        <w:t xml:space="preserve">other </w:t>
      </w:r>
      <w:r w:rsidR="03CD785A" w:rsidRPr="00390EB1">
        <w:rPr>
          <w:noProof/>
        </w:rPr>
        <w:t>revenue</w:t>
      </w:r>
      <w:r w:rsidR="7B72B42F" w:rsidRPr="00390EB1">
        <w:rPr>
          <w:noProof/>
        </w:rPr>
        <w:t>’</w:t>
      </w:r>
      <w:r w:rsidR="03CD785A" w:rsidRPr="00390EB1">
        <w:rPr>
          <w:noProof/>
        </w:rPr>
        <w:t>.</w:t>
      </w:r>
      <w:r w:rsidRPr="00390EB1">
        <w:rPr>
          <w:noProof/>
        </w:rPr>
        <w:t xml:space="preserve"> Accordingly, the forecast of the EU budget revenue for 202</w:t>
      </w:r>
      <w:r w:rsidR="00AF27E0">
        <w:rPr>
          <w:noProof/>
        </w:rPr>
        <w:t>5</w:t>
      </w:r>
      <w:r w:rsidR="03CD785A" w:rsidRPr="00390EB1">
        <w:rPr>
          <w:noProof/>
        </w:rPr>
        <w:t>-202</w:t>
      </w:r>
      <w:r w:rsidR="00702FF6">
        <w:rPr>
          <w:noProof/>
        </w:rPr>
        <w:t>9</w:t>
      </w:r>
      <w:r w:rsidRPr="00390EB1">
        <w:rPr>
          <w:noProof/>
        </w:rPr>
        <w:t xml:space="preserve"> is based on the principle that expenditure must be matched by revenue; therefore</w:t>
      </w:r>
      <w:r w:rsidR="3149DA84" w:rsidRPr="00390EB1">
        <w:rPr>
          <w:noProof/>
        </w:rPr>
        <w:t>,</w:t>
      </w:r>
      <w:r w:rsidRPr="00390EB1">
        <w:rPr>
          <w:noProof/>
        </w:rPr>
        <w:t xml:space="preserve"> total revenue equals total expenditure.</w:t>
      </w:r>
    </w:p>
    <w:p w14:paraId="1A8E2068" w14:textId="77777777" w:rsidR="00861C1C" w:rsidRPr="00390EB1" w:rsidRDefault="55E43B5C" w:rsidP="0050317D">
      <w:pPr>
        <w:spacing w:before="180" w:after="120" w:line="276" w:lineRule="auto"/>
        <w:jc w:val="both"/>
        <w:rPr>
          <w:noProof/>
          <w:lang w:eastAsia="ko-KR"/>
        </w:rPr>
      </w:pPr>
      <w:r w:rsidRPr="00390EB1">
        <w:rPr>
          <w:noProof/>
        </w:rPr>
        <w:t>Since 2021,</w:t>
      </w:r>
      <w:r w:rsidRPr="00390EB1">
        <w:rPr>
          <w:noProof/>
          <w:lang w:eastAsia="ko-KR"/>
        </w:rPr>
        <w:t xml:space="preserve"> in line with the Withdrawal Agreement (part V), the United Kingdom contributes to the EU budget in relation to outstanding commitments of previous financial frameworks. This includes the RAL at the end of 2020, as well as pensions and other liabilities laid down in the financial settlement. The United Kingdom’s contribution constitutes ‘other revenue’ of the EU budget and is not part of the Union’s own resources. It will progressively phase-out as the outstanding commitments will be settled.</w:t>
      </w:r>
    </w:p>
    <w:p w14:paraId="597DE50F" w14:textId="52DA4047" w:rsidR="00861C1C" w:rsidRPr="00390EB1" w:rsidRDefault="55E43B5C" w:rsidP="0050317D">
      <w:pPr>
        <w:spacing w:before="180" w:after="120" w:line="276" w:lineRule="auto"/>
        <w:jc w:val="both"/>
        <w:rPr>
          <w:noProof/>
          <w:lang w:eastAsia="ko-KR"/>
        </w:rPr>
      </w:pPr>
      <w:r w:rsidRPr="00390EB1">
        <w:rPr>
          <w:noProof/>
          <w:lang w:eastAsia="ko-KR"/>
        </w:rPr>
        <w:t xml:space="preserve">Other miscellaneous </w:t>
      </w:r>
      <w:r w:rsidR="2116873E" w:rsidRPr="00390EB1">
        <w:rPr>
          <w:noProof/>
          <w:lang w:eastAsia="ko-KR"/>
        </w:rPr>
        <w:t xml:space="preserve">revenue </w:t>
      </w:r>
      <w:r w:rsidR="3B0E91ED" w:rsidRPr="00390EB1">
        <w:rPr>
          <w:noProof/>
          <w:lang w:eastAsia="ko-KR"/>
        </w:rPr>
        <w:t>not</w:t>
      </w:r>
      <w:r w:rsidRPr="00390EB1">
        <w:rPr>
          <w:noProof/>
          <w:lang w:eastAsia="ko-KR"/>
        </w:rPr>
        <w:t xml:space="preserve"> forming part of the Union’s own resources are assumed to remain nominally constant at the level of the 202</w:t>
      </w:r>
      <w:r w:rsidR="00A330BA">
        <w:rPr>
          <w:noProof/>
          <w:lang w:eastAsia="ko-KR"/>
        </w:rPr>
        <w:t>5</w:t>
      </w:r>
      <w:r w:rsidRPr="00390EB1">
        <w:rPr>
          <w:noProof/>
          <w:lang w:eastAsia="ko-KR"/>
        </w:rPr>
        <w:t xml:space="preserve"> </w:t>
      </w:r>
      <w:r w:rsidR="005F44CA">
        <w:rPr>
          <w:noProof/>
          <w:lang w:eastAsia="ko-KR"/>
        </w:rPr>
        <w:t>d</w:t>
      </w:r>
      <w:r w:rsidRPr="00390EB1">
        <w:rPr>
          <w:noProof/>
          <w:lang w:eastAsia="ko-KR"/>
        </w:rPr>
        <w:t xml:space="preserve">raft </w:t>
      </w:r>
      <w:r w:rsidR="005F44CA">
        <w:rPr>
          <w:noProof/>
          <w:lang w:eastAsia="ko-KR"/>
        </w:rPr>
        <w:t>b</w:t>
      </w:r>
      <w:r w:rsidRPr="00390EB1">
        <w:rPr>
          <w:noProof/>
          <w:lang w:eastAsia="ko-KR"/>
        </w:rPr>
        <w:t>udget.</w:t>
      </w:r>
    </w:p>
    <w:p w14:paraId="15B7448A" w14:textId="2C4FE5BC" w:rsidR="003D5E93" w:rsidRDefault="6F6CB59C" w:rsidP="0050317D">
      <w:pPr>
        <w:spacing w:before="180" w:after="120" w:line="276" w:lineRule="auto"/>
        <w:jc w:val="both"/>
        <w:rPr>
          <w:noProof/>
          <w:lang w:eastAsia="ko-KR"/>
        </w:rPr>
      </w:pPr>
      <w:r w:rsidRPr="00390EB1">
        <w:rPr>
          <w:noProof/>
          <w:lang w:eastAsia="ko-KR"/>
        </w:rPr>
        <w:t>Own resources</w:t>
      </w:r>
      <w:r w:rsidR="55E43B5C" w:rsidRPr="00390EB1">
        <w:rPr>
          <w:noProof/>
          <w:lang w:eastAsia="ko-KR"/>
        </w:rPr>
        <w:t xml:space="preserve"> – national contributions and customs duties – account for most of the revenue needed to </w:t>
      </w:r>
      <w:r w:rsidR="64F198F5" w:rsidRPr="00390EB1">
        <w:rPr>
          <w:noProof/>
          <w:lang w:eastAsia="ko-KR"/>
        </w:rPr>
        <w:t>finance</w:t>
      </w:r>
      <w:r w:rsidR="55E43B5C" w:rsidRPr="00390EB1">
        <w:rPr>
          <w:noProof/>
          <w:lang w:eastAsia="ko-KR"/>
        </w:rPr>
        <w:t xml:space="preserve"> budget expenditure. The projections </w:t>
      </w:r>
      <w:r w:rsidR="3975EE40" w:rsidRPr="00390EB1">
        <w:rPr>
          <w:noProof/>
          <w:lang w:eastAsia="ko-KR"/>
        </w:rPr>
        <w:t>are based on the Own Resources Decision in force</w:t>
      </w:r>
      <w:r w:rsidR="003B6DC2" w:rsidRPr="00390EB1">
        <w:rPr>
          <w:rStyle w:val="EndnoteReference"/>
          <w:noProof/>
        </w:rPr>
        <w:endnoteReference w:id="29"/>
      </w:r>
      <w:r w:rsidR="3975EE40" w:rsidRPr="00390EB1">
        <w:rPr>
          <w:noProof/>
          <w:lang w:eastAsia="ko-KR"/>
        </w:rPr>
        <w:t xml:space="preserve">. </w:t>
      </w:r>
      <w:r w:rsidR="55E43B5C" w:rsidRPr="00390EB1">
        <w:rPr>
          <w:noProof/>
          <w:lang w:eastAsia="ko-KR"/>
        </w:rPr>
        <w:t>They do not consider the Commission’s proposals on new own resources of 2</w:t>
      </w:r>
      <w:r w:rsidR="1892BB06" w:rsidRPr="00390EB1">
        <w:rPr>
          <w:noProof/>
          <w:lang w:eastAsia="ko-KR"/>
        </w:rPr>
        <w:t>0</w:t>
      </w:r>
      <w:r w:rsidR="55E43B5C" w:rsidRPr="00390EB1">
        <w:rPr>
          <w:noProof/>
          <w:lang w:eastAsia="ko-KR"/>
        </w:rPr>
        <w:t xml:space="preserve"> </w:t>
      </w:r>
      <w:r w:rsidR="3A03A4AD" w:rsidRPr="00390EB1">
        <w:rPr>
          <w:noProof/>
          <w:lang w:eastAsia="ko-KR"/>
        </w:rPr>
        <w:t xml:space="preserve">June </w:t>
      </w:r>
      <w:r w:rsidR="03CD785A" w:rsidRPr="00390EB1">
        <w:rPr>
          <w:noProof/>
          <w:lang w:eastAsia="ko-KR"/>
        </w:rPr>
        <w:t>202</w:t>
      </w:r>
      <w:r w:rsidR="14F8825A" w:rsidRPr="00390EB1">
        <w:rPr>
          <w:noProof/>
          <w:lang w:eastAsia="ko-KR"/>
        </w:rPr>
        <w:t>3</w:t>
      </w:r>
      <w:r w:rsidR="003B6DC2" w:rsidRPr="00390EB1">
        <w:rPr>
          <w:rStyle w:val="EndnoteReference"/>
          <w:noProof/>
          <w:lang w:eastAsia="ko-KR"/>
        </w:rPr>
        <w:endnoteReference w:id="30"/>
      </w:r>
      <w:r w:rsidR="03CD785A" w:rsidRPr="00390EB1">
        <w:rPr>
          <w:noProof/>
          <w:lang w:eastAsia="ko-KR"/>
        </w:rPr>
        <w:t>.</w:t>
      </w:r>
      <w:r w:rsidR="4B9E2096" w:rsidRPr="00390EB1">
        <w:rPr>
          <w:noProof/>
          <w:lang w:eastAsia="ko-KR"/>
        </w:rPr>
        <w:t xml:space="preserve"> </w:t>
      </w:r>
      <w:r w:rsidR="19A33924" w:rsidRPr="00390EB1">
        <w:rPr>
          <w:noProof/>
        </w:rPr>
        <w:t xml:space="preserve">Mainly </w:t>
      </w:r>
      <w:r w:rsidR="024E33EB" w:rsidRPr="00390EB1">
        <w:rPr>
          <w:noProof/>
        </w:rPr>
        <w:t>t</w:t>
      </w:r>
      <w:r w:rsidR="738598E8" w:rsidRPr="00390EB1">
        <w:rPr>
          <w:noProof/>
        </w:rPr>
        <w:t>he</w:t>
      </w:r>
      <w:r w:rsidR="55E43B5C" w:rsidRPr="00390EB1">
        <w:rPr>
          <w:noProof/>
        </w:rPr>
        <w:t xml:space="preserve"> spending cycle</w:t>
      </w:r>
      <w:r w:rsidR="55E43B5C" w:rsidRPr="00390EB1" w:rsidDel="00E305BF">
        <w:rPr>
          <w:noProof/>
        </w:rPr>
        <w:t xml:space="preserve"> </w:t>
      </w:r>
      <w:r w:rsidR="55E43B5C" w:rsidRPr="00390EB1">
        <w:rPr>
          <w:noProof/>
        </w:rPr>
        <w:t>determine</w:t>
      </w:r>
      <w:r w:rsidR="005564B8">
        <w:rPr>
          <w:noProof/>
        </w:rPr>
        <w:t>s</w:t>
      </w:r>
      <w:r w:rsidR="55E43B5C" w:rsidRPr="00390EB1">
        <w:rPr>
          <w:noProof/>
        </w:rPr>
        <w:t xml:space="preserve"> the development of national contributions over the forecast period. </w:t>
      </w:r>
      <w:r w:rsidR="00685EB5">
        <w:rPr>
          <w:noProof/>
        </w:rPr>
        <w:t xml:space="preserve">After the slow start </w:t>
      </w:r>
      <w:r w:rsidR="2272832D" w:rsidRPr="00390EB1">
        <w:rPr>
          <w:noProof/>
        </w:rPr>
        <w:t xml:space="preserve">of important spending programmes, </w:t>
      </w:r>
      <w:r w:rsidR="007110F9">
        <w:rPr>
          <w:noProof/>
          <w:lang w:eastAsia="ko-KR"/>
        </w:rPr>
        <w:t>i</w:t>
      </w:r>
      <w:r w:rsidR="34F1DC19" w:rsidRPr="00390EB1">
        <w:rPr>
          <w:noProof/>
          <w:lang w:eastAsia="ko-KR"/>
        </w:rPr>
        <w:t>ncreasing</w:t>
      </w:r>
      <w:r w:rsidR="55E43B5C" w:rsidRPr="00390EB1">
        <w:rPr>
          <w:noProof/>
          <w:lang w:eastAsia="ko-KR"/>
        </w:rPr>
        <w:t xml:space="preserve"> expenditure </w:t>
      </w:r>
      <w:r w:rsidR="0039614F">
        <w:rPr>
          <w:noProof/>
          <w:lang w:eastAsia="ko-KR"/>
        </w:rPr>
        <w:t>due to</w:t>
      </w:r>
      <w:r w:rsidR="00AD5508" w:rsidRPr="00390EB1">
        <w:rPr>
          <w:noProof/>
          <w:lang w:eastAsia="ko-KR"/>
        </w:rPr>
        <w:t xml:space="preserve"> </w:t>
      </w:r>
      <w:r w:rsidR="053FD2AA" w:rsidRPr="00390EB1">
        <w:rPr>
          <w:noProof/>
          <w:lang w:eastAsia="ko-KR"/>
        </w:rPr>
        <w:t>accelerated</w:t>
      </w:r>
      <w:r w:rsidR="55E43B5C" w:rsidRPr="00390EB1">
        <w:rPr>
          <w:noProof/>
          <w:lang w:eastAsia="ko-KR"/>
        </w:rPr>
        <w:t xml:space="preserve"> programme </w:t>
      </w:r>
      <w:r w:rsidR="28E33D42" w:rsidRPr="00390EB1">
        <w:rPr>
          <w:noProof/>
          <w:lang w:eastAsia="ko-KR"/>
        </w:rPr>
        <w:t xml:space="preserve">implementation </w:t>
      </w:r>
      <w:r w:rsidR="55E43B5C" w:rsidRPr="00390EB1">
        <w:rPr>
          <w:noProof/>
          <w:lang w:eastAsia="ko-KR"/>
        </w:rPr>
        <w:t xml:space="preserve">will </w:t>
      </w:r>
      <w:r w:rsidR="7E37E27C" w:rsidRPr="00390EB1">
        <w:rPr>
          <w:noProof/>
          <w:lang w:eastAsia="ko-KR"/>
        </w:rPr>
        <w:t xml:space="preserve">lead </w:t>
      </w:r>
      <w:r w:rsidR="528BB2A3" w:rsidRPr="00390EB1">
        <w:rPr>
          <w:noProof/>
          <w:lang w:eastAsia="ko-KR"/>
        </w:rPr>
        <w:t>to</w:t>
      </w:r>
      <w:r w:rsidR="41CA8994" w:rsidRPr="00390EB1">
        <w:rPr>
          <w:noProof/>
          <w:lang w:eastAsia="ko-KR"/>
        </w:rPr>
        <w:t xml:space="preserve"> </w:t>
      </w:r>
      <w:r w:rsidR="0B2D94BF" w:rsidRPr="00390EB1">
        <w:rPr>
          <w:noProof/>
          <w:lang w:eastAsia="ko-KR"/>
        </w:rPr>
        <w:t>increas</w:t>
      </w:r>
      <w:r w:rsidR="4DC3ECD2" w:rsidRPr="00390EB1">
        <w:rPr>
          <w:noProof/>
          <w:lang w:eastAsia="ko-KR"/>
        </w:rPr>
        <w:t>ing</w:t>
      </w:r>
      <w:r w:rsidR="0B2D94BF" w:rsidRPr="00390EB1">
        <w:rPr>
          <w:noProof/>
          <w:lang w:eastAsia="ko-KR"/>
        </w:rPr>
        <w:t xml:space="preserve"> </w:t>
      </w:r>
      <w:r w:rsidR="55E43B5C" w:rsidRPr="00390EB1">
        <w:rPr>
          <w:noProof/>
          <w:lang w:eastAsia="ko-KR"/>
        </w:rPr>
        <w:t>national contributions</w:t>
      </w:r>
      <w:r w:rsidR="7A0DEA92" w:rsidRPr="00390EB1">
        <w:rPr>
          <w:noProof/>
          <w:lang w:eastAsia="ko-KR"/>
        </w:rPr>
        <w:t xml:space="preserve"> </w:t>
      </w:r>
      <w:r w:rsidR="057E6080" w:rsidRPr="00390EB1">
        <w:rPr>
          <w:noProof/>
          <w:lang w:eastAsia="ko-KR"/>
        </w:rPr>
        <w:t>in</w:t>
      </w:r>
      <w:r w:rsidR="133195A9" w:rsidRPr="00390EB1">
        <w:rPr>
          <w:noProof/>
          <w:lang w:eastAsia="ko-KR"/>
        </w:rPr>
        <w:t xml:space="preserve"> </w:t>
      </w:r>
      <w:r w:rsidR="55292216" w:rsidRPr="00390EB1">
        <w:rPr>
          <w:noProof/>
          <w:lang w:eastAsia="ko-KR"/>
        </w:rPr>
        <w:t>202</w:t>
      </w:r>
      <w:r w:rsidR="007C289F">
        <w:rPr>
          <w:noProof/>
          <w:lang w:eastAsia="ko-KR"/>
        </w:rPr>
        <w:t>5-</w:t>
      </w:r>
      <w:r w:rsidR="781DCF8E" w:rsidRPr="00390EB1">
        <w:rPr>
          <w:noProof/>
          <w:lang w:eastAsia="ko-KR"/>
        </w:rPr>
        <w:t>202</w:t>
      </w:r>
      <w:r w:rsidR="00C773E9">
        <w:rPr>
          <w:noProof/>
          <w:lang w:eastAsia="ko-KR"/>
        </w:rPr>
        <w:t>7</w:t>
      </w:r>
      <w:r w:rsidR="6F69BDA2" w:rsidRPr="00390EB1">
        <w:rPr>
          <w:noProof/>
          <w:lang w:eastAsia="ko-KR"/>
        </w:rPr>
        <w:t>.</w:t>
      </w:r>
      <w:r w:rsidR="13447E3F" w:rsidRPr="00390EB1">
        <w:rPr>
          <w:noProof/>
          <w:lang w:eastAsia="ko-KR"/>
        </w:rPr>
        <w:t xml:space="preserve"> </w:t>
      </w:r>
      <w:r w:rsidR="00E6538A" w:rsidRPr="00E6538A">
        <w:rPr>
          <w:noProof/>
          <w:lang w:eastAsia="ko-KR"/>
        </w:rPr>
        <w:t>On average for the period 2025-202</w:t>
      </w:r>
      <w:r w:rsidR="00E6538A">
        <w:rPr>
          <w:noProof/>
          <w:lang w:eastAsia="ko-KR"/>
        </w:rPr>
        <w:t>7</w:t>
      </w:r>
      <w:r w:rsidR="00E6538A" w:rsidRPr="00E6538A">
        <w:rPr>
          <w:noProof/>
          <w:lang w:eastAsia="ko-KR"/>
        </w:rPr>
        <w:t>, national contributions are projected at EUR</w:t>
      </w:r>
      <w:r w:rsidR="008D5210">
        <w:rPr>
          <w:rFonts w:ascii="Calibri" w:hAnsi="Calibri" w:cs="Calibri"/>
          <w:noProof/>
          <w:lang w:eastAsia="ko-KR"/>
        </w:rPr>
        <w:t> </w:t>
      </w:r>
      <w:r w:rsidR="00407E62">
        <w:rPr>
          <w:noProof/>
          <w:lang w:eastAsia="ko-KR"/>
        </w:rPr>
        <w:t>15</w:t>
      </w:r>
      <w:r w:rsidR="00BC7EB7">
        <w:rPr>
          <w:noProof/>
          <w:lang w:eastAsia="ko-KR"/>
        </w:rPr>
        <w:t>3</w:t>
      </w:r>
      <w:r w:rsidR="008D5210">
        <w:rPr>
          <w:rFonts w:ascii="Calibri" w:hAnsi="Calibri" w:cs="Calibri"/>
          <w:noProof/>
          <w:lang w:eastAsia="ko-KR"/>
        </w:rPr>
        <w:t> </w:t>
      </w:r>
      <w:r w:rsidR="00E6538A" w:rsidRPr="00E6538A">
        <w:rPr>
          <w:noProof/>
          <w:lang w:eastAsia="ko-KR"/>
        </w:rPr>
        <w:t>billion per year or 0.</w:t>
      </w:r>
      <w:r w:rsidR="00A63D24">
        <w:rPr>
          <w:noProof/>
          <w:lang w:eastAsia="ko-KR"/>
        </w:rPr>
        <w:t>80</w:t>
      </w:r>
      <w:r w:rsidR="00E6538A" w:rsidRPr="00E6538A">
        <w:rPr>
          <w:noProof/>
          <w:lang w:eastAsia="ko-KR"/>
        </w:rPr>
        <w:t>% of the EU’s Gross National Income.</w:t>
      </w:r>
    </w:p>
    <w:p w14:paraId="355924A7" w14:textId="2E091D4F" w:rsidR="003D5E93" w:rsidRDefault="00D45DE9" w:rsidP="0050317D">
      <w:pPr>
        <w:spacing w:before="180" w:after="120" w:line="276" w:lineRule="auto"/>
        <w:jc w:val="both"/>
        <w:rPr>
          <w:noProof/>
          <w:lang w:eastAsia="ko-KR"/>
        </w:rPr>
      </w:pPr>
      <w:r w:rsidRPr="00D45DE9">
        <w:rPr>
          <w:noProof/>
          <w:lang w:eastAsia="ko-KR"/>
        </w:rPr>
        <w:t>For 2028 and 2029</w:t>
      </w:r>
      <w:r w:rsidR="003548F1">
        <w:rPr>
          <w:noProof/>
          <w:lang w:eastAsia="ko-KR"/>
        </w:rPr>
        <w:t>,</w:t>
      </w:r>
      <w:r w:rsidRPr="00D45DE9">
        <w:rPr>
          <w:noProof/>
          <w:lang w:eastAsia="ko-KR"/>
        </w:rPr>
        <w:t xml:space="preserve"> the forecast </w:t>
      </w:r>
      <w:r w:rsidR="003548F1">
        <w:rPr>
          <w:noProof/>
          <w:lang w:eastAsia="ko-KR"/>
        </w:rPr>
        <w:t>is</w:t>
      </w:r>
      <w:r w:rsidRPr="00D45DE9">
        <w:rPr>
          <w:noProof/>
          <w:lang w:eastAsia="ko-KR"/>
        </w:rPr>
        <w:t xml:space="preserve"> limited to </w:t>
      </w:r>
      <w:r w:rsidR="00F800C9">
        <w:rPr>
          <w:noProof/>
          <w:lang w:eastAsia="ko-KR"/>
        </w:rPr>
        <w:t>expenditure resulting</w:t>
      </w:r>
      <w:r w:rsidRPr="00D45DE9">
        <w:rPr>
          <w:noProof/>
          <w:lang w:eastAsia="ko-KR"/>
        </w:rPr>
        <w:t xml:space="preserve"> from the current MFF </w:t>
      </w:r>
      <w:r w:rsidR="00E00D90">
        <w:rPr>
          <w:noProof/>
          <w:lang w:eastAsia="ko-KR"/>
        </w:rPr>
        <w:t xml:space="preserve">and </w:t>
      </w:r>
      <w:r w:rsidRPr="00D45DE9">
        <w:rPr>
          <w:noProof/>
          <w:lang w:eastAsia="ko-KR"/>
        </w:rPr>
        <w:t xml:space="preserve">does not include expenditure for the </w:t>
      </w:r>
      <w:r w:rsidR="00F62EA6">
        <w:rPr>
          <w:noProof/>
          <w:lang w:eastAsia="ko-KR"/>
        </w:rPr>
        <w:t>next</w:t>
      </w:r>
      <w:r w:rsidRPr="00D45DE9">
        <w:rPr>
          <w:noProof/>
          <w:lang w:eastAsia="ko-KR"/>
        </w:rPr>
        <w:t xml:space="preserve"> MFF. </w:t>
      </w:r>
      <w:r w:rsidR="000E1FA5">
        <w:rPr>
          <w:noProof/>
          <w:lang w:eastAsia="ko-KR"/>
        </w:rPr>
        <w:t>Therefore,</w:t>
      </w:r>
      <w:r w:rsidRPr="00D45DE9">
        <w:rPr>
          <w:noProof/>
          <w:lang w:eastAsia="ko-KR"/>
        </w:rPr>
        <w:t xml:space="preserve"> the corresponding forecast of revenue needs</w:t>
      </w:r>
      <w:r w:rsidR="006469AE">
        <w:rPr>
          <w:noProof/>
          <w:lang w:eastAsia="ko-KR"/>
        </w:rPr>
        <w:t>, in particular the GNI-based own resource,</w:t>
      </w:r>
      <w:r w:rsidRPr="00D45DE9">
        <w:rPr>
          <w:noProof/>
          <w:lang w:eastAsia="ko-KR"/>
        </w:rPr>
        <w:t xml:space="preserve"> is </w:t>
      </w:r>
      <w:r w:rsidR="007E2AAA">
        <w:rPr>
          <w:noProof/>
          <w:lang w:eastAsia="ko-KR"/>
        </w:rPr>
        <w:t>incomplete</w:t>
      </w:r>
      <w:r w:rsidRPr="00D45DE9">
        <w:rPr>
          <w:noProof/>
          <w:lang w:eastAsia="ko-KR"/>
        </w:rPr>
        <w:t>.</w:t>
      </w:r>
    </w:p>
    <w:p w14:paraId="12345436" w14:textId="40E8DF41" w:rsidR="0026049A" w:rsidRDefault="0026049A" w:rsidP="003569B0">
      <w:pPr>
        <w:spacing w:before="180" w:after="120" w:line="276" w:lineRule="auto"/>
        <w:jc w:val="both"/>
        <w:rPr>
          <w:rStyle w:val="amprcharCharttitle"/>
          <w:noProof/>
        </w:rPr>
      </w:pPr>
      <w:r>
        <w:rPr>
          <w:rStyle w:val="amprcharCharttitle"/>
          <w:noProof/>
        </w:rPr>
        <w:br w:type="page"/>
      </w:r>
    </w:p>
    <w:p w14:paraId="5F0A2EEA" w14:textId="5D9E050B" w:rsidR="00861C1C" w:rsidRPr="008C2F97" w:rsidRDefault="6375D7F3" w:rsidP="0050317D">
      <w:pPr>
        <w:spacing w:before="180" w:after="120" w:line="276" w:lineRule="auto"/>
        <w:jc w:val="both"/>
        <w:rPr>
          <w:rStyle w:val="amprcharCharttitle"/>
          <w:noProof/>
        </w:rPr>
      </w:pPr>
      <w:r w:rsidRPr="008C2F97">
        <w:rPr>
          <w:rStyle w:val="amprcharCharttitle"/>
          <w:noProof/>
        </w:rPr>
        <w:t>Chart 4 - Revenue forecast for financing the MFF 202</w:t>
      </w:r>
      <w:r w:rsidR="000F7FC2" w:rsidRPr="008C2F97">
        <w:rPr>
          <w:rStyle w:val="amprcharCharttitle"/>
          <w:noProof/>
        </w:rPr>
        <w:t>5</w:t>
      </w:r>
      <w:r w:rsidRPr="008C2F97">
        <w:rPr>
          <w:rStyle w:val="amprcharCharttitle"/>
          <w:noProof/>
        </w:rPr>
        <w:t>-202</w:t>
      </w:r>
      <w:r w:rsidR="00E578E0" w:rsidRPr="008C2F97">
        <w:rPr>
          <w:rStyle w:val="amprcharCharttitle"/>
          <w:noProof/>
        </w:rPr>
        <w:t>9</w:t>
      </w:r>
    </w:p>
    <w:p w14:paraId="440FB872" w14:textId="04151410" w:rsidR="00A14026" w:rsidRDefault="00367725" w:rsidP="00D0100B">
      <w:pPr>
        <w:spacing w:after="120" w:line="276" w:lineRule="auto"/>
        <w:jc w:val="center"/>
        <w:rPr>
          <w:noProof/>
        </w:rPr>
      </w:pPr>
      <w:r>
        <w:rPr>
          <w:noProof/>
          <w:lang w:eastAsia="en-GB"/>
        </w:rPr>
        <w:drawing>
          <wp:inline distT="0" distB="0" distL="0" distR="0" wp14:anchorId="5A653413" wp14:editId="778BB263">
            <wp:extent cx="4943475" cy="2219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943475" cy="2219325"/>
                    </a:xfrm>
                    <a:prstGeom prst="rect">
                      <a:avLst/>
                    </a:prstGeom>
                  </pic:spPr>
                </pic:pic>
              </a:graphicData>
            </a:graphic>
          </wp:inline>
        </w:drawing>
      </w:r>
    </w:p>
    <w:p w14:paraId="53D1DA20" w14:textId="102D2FCC" w:rsidR="00861C1C" w:rsidRPr="00390EB1" w:rsidRDefault="6375D7F3" w:rsidP="23B06DA2">
      <w:pPr>
        <w:spacing w:after="120" w:line="276" w:lineRule="auto"/>
        <w:jc w:val="both"/>
        <w:rPr>
          <w:noProof/>
        </w:rPr>
      </w:pPr>
      <w:r w:rsidRPr="00390EB1">
        <w:rPr>
          <w:noProof/>
        </w:rPr>
        <w:t xml:space="preserve">In any given year, the total own resources collected by the Union may not exceed the own resources ceiling set in the Own Resources Decision of 1.4% of Gross National Income of the EU Member States, with an additional temporary increase of 0.6% of EU GNI for covering all liabilities of the Union from the borrowing on the capital markets to fund NextGenerationEU. While own resources are projected to grow </w:t>
      </w:r>
      <w:r w:rsidR="0E70A629" w:rsidRPr="00390EB1">
        <w:rPr>
          <w:noProof/>
        </w:rPr>
        <w:t>in 202</w:t>
      </w:r>
      <w:r w:rsidR="000910BD">
        <w:rPr>
          <w:noProof/>
        </w:rPr>
        <w:t>6</w:t>
      </w:r>
      <w:r w:rsidR="002466D6">
        <w:rPr>
          <w:noProof/>
        </w:rPr>
        <w:t xml:space="preserve"> </w:t>
      </w:r>
      <w:r w:rsidR="007C68E0">
        <w:rPr>
          <w:noProof/>
        </w:rPr>
        <w:t>and</w:t>
      </w:r>
      <w:r w:rsidR="17405DFF" w:rsidRPr="00390EB1">
        <w:rPr>
          <w:noProof/>
        </w:rPr>
        <w:t xml:space="preserve"> 2027</w:t>
      </w:r>
      <w:r w:rsidR="05A690A6" w:rsidRPr="00390EB1">
        <w:rPr>
          <w:noProof/>
        </w:rPr>
        <w:t xml:space="preserve">, </w:t>
      </w:r>
      <w:r w:rsidRPr="008C2F97">
        <w:rPr>
          <w:noProof/>
        </w:rPr>
        <w:t xml:space="preserve">the available margin under the </w:t>
      </w:r>
      <w:r w:rsidR="63B2B931" w:rsidRPr="008C2F97">
        <w:rPr>
          <w:noProof/>
        </w:rPr>
        <w:t>o</w:t>
      </w:r>
      <w:r w:rsidRPr="008C2F97">
        <w:rPr>
          <w:noProof/>
        </w:rPr>
        <w:t xml:space="preserve">wn </w:t>
      </w:r>
      <w:r w:rsidR="3F4AC363" w:rsidRPr="008C2F97">
        <w:rPr>
          <w:noProof/>
        </w:rPr>
        <w:t>r</w:t>
      </w:r>
      <w:r w:rsidRPr="008C2F97">
        <w:rPr>
          <w:noProof/>
        </w:rPr>
        <w:t>esources celling (so</w:t>
      </w:r>
      <w:r w:rsidR="00226289" w:rsidRPr="008C2F97">
        <w:rPr>
          <w:noProof/>
        </w:rPr>
        <w:t>-</w:t>
      </w:r>
      <w:r w:rsidRPr="008C2F97">
        <w:rPr>
          <w:noProof/>
        </w:rPr>
        <w:t xml:space="preserve">called headroom) is expected </w:t>
      </w:r>
      <w:r w:rsidR="007C64C8">
        <w:rPr>
          <w:noProof/>
        </w:rPr>
        <w:t>to decline</w:t>
      </w:r>
      <w:r w:rsidR="00CB3746">
        <w:rPr>
          <w:noProof/>
        </w:rPr>
        <w:t xml:space="preserve"> as payments and revenues are expected to increase in 2025 and 2026 compared to 2024, while </w:t>
      </w:r>
      <w:r w:rsidRPr="008C2F97">
        <w:rPr>
          <w:noProof/>
        </w:rPr>
        <w:t xml:space="preserve">the Union’s Gross National Income is expected to </w:t>
      </w:r>
      <w:r w:rsidR="00CB3746">
        <w:rPr>
          <w:noProof/>
        </w:rPr>
        <w:t xml:space="preserve">only </w:t>
      </w:r>
      <w:r w:rsidRPr="008C2F97">
        <w:rPr>
          <w:noProof/>
        </w:rPr>
        <w:t xml:space="preserve">increase gradually over </w:t>
      </w:r>
      <w:r w:rsidR="008D20D9">
        <w:rPr>
          <w:noProof/>
        </w:rPr>
        <w:t>the same years</w:t>
      </w:r>
      <w:r w:rsidR="003B6DC2" w:rsidRPr="008C2F97">
        <w:rPr>
          <w:noProof/>
          <w:vertAlign w:val="superscript"/>
        </w:rPr>
        <w:endnoteReference w:id="31"/>
      </w:r>
      <w:r w:rsidRPr="008C2F97">
        <w:rPr>
          <w:noProof/>
        </w:rPr>
        <w:t xml:space="preserve">. The </w:t>
      </w:r>
      <w:r w:rsidR="005E3B03">
        <w:rPr>
          <w:noProof/>
        </w:rPr>
        <w:t>margin</w:t>
      </w:r>
      <w:r w:rsidR="005E3B03" w:rsidRPr="008C2F97">
        <w:rPr>
          <w:noProof/>
        </w:rPr>
        <w:t xml:space="preserve"> </w:t>
      </w:r>
      <w:r w:rsidR="6968E566" w:rsidRPr="008C2F97">
        <w:rPr>
          <w:noProof/>
        </w:rPr>
        <w:t xml:space="preserve">under the permanent ceiling </w:t>
      </w:r>
      <w:r w:rsidR="007B1AEB">
        <w:rPr>
          <w:noProof/>
        </w:rPr>
        <w:t xml:space="preserve">is </w:t>
      </w:r>
      <w:r w:rsidR="00086654">
        <w:rPr>
          <w:noProof/>
        </w:rPr>
        <w:t xml:space="preserve">set to decline from </w:t>
      </w:r>
      <w:r w:rsidR="007B1AEB">
        <w:rPr>
          <w:noProof/>
        </w:rPr>
        <w:t>around EUR</w:t>
      </w:r>
      <w:r w:rsidR="00FA74CD">
        <w:rPr>
          <w:rFonts w:ascii="Calibri" w:hAnsi="Calibri" w:cs="Calibri"/>
          <w:noProof/>
        </w:rPr>
        <w:t> </w:t>
      </w:r>
      <w:r w:rsidR="00086654">
        <w:rPr>
          <w:noProof/>
        </w:rPr>
        <w:t>115</w:t>
      </w:r>
      <w:r w:rsidR="00FA74CD">
        <w:rPr>
          <w:rFonts w:ascii="Calibri" w:hAnsi="Calibri" w:cs="Calibri"/>
          <w:noProof/>
        </w:rPr>
        <w:t> </w:t>
      </w:r>
      <w:r w:rsidR="00086654">
        <w:rPr>
          <w:noProof/>
        </w:rPr>
        <w:t>billion in 2025 to around EUR</w:t>
      </w:r>
      <w:r w:rsidR="00FA74CD">
        <w:rPr>
          <w:rFonts w:ascii="Calibri" w:hAnsi="Calibri" w:cs="Calibri"/>
          <w:noProof/>
        </w:rPr>
        <w:t> </w:t>
      </w:r>
      <w:r w:rsidR="007306ED">
        <w:rPr>
          <w:noProof/>
        </w:rPr>
        <w:t>88</w:t>
      </w:r>
      <w:r w:rsidR="00FA74CD">
        <w:rPr>
          <w:rFonts w:ascii="Calibri" w:hAnsi="Calibri" w:cs="Calibri"/>
          <w:noProof/>
        </w:rPr>
        <w:t> </w:t>
      </w:r>
      <w:r w:rsidR="007306ED">
        <w:rPr>
          <w:noProof/>
        </w:rPr>
        <w:t xml:space="preserve">billion in 2027; the margin </w:t>
      </w:r>
      <w:r w:rsidR="3A07B651" w:rsidRPr="008C2F97">
        <w:rPr>
          <w:noProof/>
        </w:rPr>
        <w:t xml:space="preserve">under the temporary ceiling for NextGenerationEU </w:t>
      </w:r>
      <w:r w:rsidR="007306ED">
        <w:rPr>
          <w:noProof/>
        </w:rPr>
        <w:t xml:space="preserve">is </w:t>
      </w:r>
      <w:r w:rsidR="000B713E">
        <w:rPr>
          <w:noProof/>
        </w:rPr>
        <w:t>increasing from EUR</w:t>
      </w:r>
      <w:r w:rsidR="00FA74CD">
        <w:rPr>
          <w:rFonts w:ascii="Calibri" w:hAnsi="Calibri" w:cs="Calibri"/>
          <w:noProof/>
        </w:rPr>
        <w:t> </w:t>
      </w:r>
      <w:r w:rsidR="000B713E">
        <w:rPr>
          <w:noProof/>
        </w:rPr>
        <w:t>105.4</w:t>
      </w:r>
      <w:r w:rsidR="00FA74CD">
        <w:rPr>
          <w:rFonts w:ascii="Calibri" w:hAnsi="Calibri" w:cs="Calibri"/>
          <w:noProof/>
        </w:rPr>
        <w:t> </w:t>
      </w:r>
      <w:r w:rsidR="000B713E">
        <w:rPr>
          <w:noProof/>
        </w:rPr>
        <w:t>billion to EUR</w:t>
      </w:r>
      <w:r w:rsidR="00FA74CD">
        <w:rPr>
          <w:rFonts w:ascii="Calibri" w:hAnsi="Calibri" w:cs="Calibri"/>
          <w:noProof/>
        </w:rPr>
        <w:t> </w:t>
      </w:r>
      <w:r w:rsidR="000B713E">
        <w:rPr>
          <w:noProof/>
        </w:rPr>
        <w:t>113.3</w:t>
      </w:r>
      <w:r w:rsidR="00FA74CD">
        <w:rPr>
          <w:rFonts w:ascii="Calibri" w:hAnsi="Calibri" w:cs="Calibri"/>
          <w:noProof/>
        </w:rPr>
        <w:t> </w:t>
      </w:r>
      <w:r w:rsidR="00FA74CD" w:rsidRPr="00C3250E">
        <w:rPr>
          <w:noProof/>
        </w:rPr>
        <w:t>billion</w:t>
      </w:r>
      <w:r w:rsidR="002B1385">
        <w:rPr>
          <w:noProof/>
        </w:rPr>
        <w:t>,</w:t>
      </w:r>
      <w:r w:rsidR="00FA74CD">
        <w:rPr>
          <w:rFonts w:ascii="Calibri" w:hAnsi="Calibri" w:cs="Calibri"/>
          <w:noProof/>
        </w:rPr>
        <w:t xml:space="preserve"> </w:t>
      </w:r>
      <w:r w:rsidR="00FA74CD">
        <w:rPr>
          <w:noProof/>
        </w:rPr>
        <w:t xml:space="preserve">based on the </w:t>
      </w:r>
      <w:r w:rsidR="00EB0FDE">
        <w:rPr>
          <w:noProof/>
        </w:rPr>
        <w:t xml:space="preserve">amounts </w:t>
      </w:r>
      <w:r w:rsidR="00FA74CD">
        <w:rPr>
          <w:noProof/>
        </w:rPr>
        <w:t xml:space="preserve">programmed for NGEU borrowing costs. </w:t>
      </w:r>
      <w:r w:rsidR="009C37ED">
        <w:rPr>
          <w:noProof/>
        </w:rPr>
        <w:t>The</w:t>
      </w:r>
      <w:r w:rsidR="009C37ED" w:rsidRPr="00390EB1">
        <w:rPr>
          <w:noProof/>
        </w:rPr>
        <w:t xml:space="preserve"> uncertainties </w:t>
      </w:r>
      <w:r w:rsidR="009C37ED">
        <w:rPr>
          <w:noProof/>
        </w:rPr>
        <w:t>surrounding this forecast remain large, as the actual amounts depend on both the pace of NGEU disbursements and related borrowing operations, as well as interest rate developments.</w:t>
      </w:r>
      <w:bookmarkStart w:id="71" w:name="_Toc71745280"/>
      <w:bookmarkStart w:id="72" w:name="_Toc524523073"/>
      <w:bookmarkEnd w:id="71"/>
    </w:p>
    <w:p w14:paraId="34A9E241" w14:textId="5B44E176" w:rsidR="00861C1C" w:rsidRPr="00390EB1" w:rsidRDefault="003B6DC2">
      <w:pPr>
        <w:pStyle w:val="amprH2TITLE1-Numbered-1"/>
        <w:rPr>
          <w:noProof/>
        </w:rPr>
      </w:pPr>
      <w:bookmarkStart w:id="73" w:name="_Toc167194516"/>
      <w:r w:rsidRPr="00390EB1">
        <w:rPr>
          <w:noProof/>
        </w:rPr>
        <w:t>Conclusions</w:t>
      </w:r>
      <w:bookmarkEnd w:id="72"/>
      <w:bookmarkEnd w:id="73"/>
    </w:p>
    <w:p w14:paraId="142ED7A7" w14:textId="6020FEDA" w:rsidR="00E77670" w:rsidRPr="00390EB1" w:rsidRDefault="2A67BF04">
      <w:pPr>
        <w:spacing w:after="120" w:line="276" w:lineRule="auto"/>
        <w:jc w:val="both"/>
        <w:rPr>
          <w:noProof/>
        </w:rPr>
      </w:pPr>
      <w:r w:rsidRPr="00390EB1">
        <w:rPr>
          <w:noProof/>
        </w:rPr>
        <w:t xml:space="preserve">The present forecast is drawn up in a context of high uncertainty. The initiatives put forward </w:t>
      </w:r>
      <w:r w:rsidR="00EA71BB">
        <w:rPr>
          <w:noProof/>
        </w:rPr>
        <w:t>to</w:t>
      </w:r>
      <w:r w:rsidRPr="00390EB1">
        <w:rPr>
          <w:noProof/>
        </w:rPr>
        <w:t xml:space="preserve"> support Member States</w:t>
      </w:r>
      <w:r w:rsidR="543AE4DE" w:rsidRPr="00390EB1">
        <w:rPr>
          <w:noProof/>
        </w:rPr>
        <w:t xml:space="preserve">, third countries </w:t>
      </w:r>
      <w:r w:rsidRPr="00390EB1">
        <w:rPr>
          <w:noProof/>
        </w:rPr>
        <w:t xml:space="preserve">and specific sectors accelerated payments for the </w:t>
      </w:r>
      <w:r w:rsidR="74D3338A" w:rsidRPr="00390EB1">
        <w:rPr>
          <w:noProof/>
        </w:rPr>
        <w:t>outstanding</w:t>
      </w:r>
      <w:r w:rsidR="6BBA30AA" w:rsidRPr="00390EB1">
        <w:rPr>
          <w:noProof/>
        </w:rPr>
        <w:t xml:space="preserve"> and new programmes</w:t>
      </w:r>
      <w:r w:rsidR="004F236E">
        <w:rPr>
          <w:noProof/>
        </w:rPr>
        <w:t xml:space="preserve">. Following the historic mid-term revision, </w:t>
      </w:r>
      <w:r w:rsidR="009C4A5E">
        <w:rPr>
          <w:noProof/>
        </w:rPr>
        <w:t xml:space="preserve">the </w:t>
      </w:r>
      <w:r w:rsidR="004F236E">
        <w:rPr>
          <w:noProof/>
        </w:rPr>
        <w:t>MFF and</w:t>
      </w:r>
      <w:r w:rsidR="74D3338A" w:rsidRPr="00390EB1">
        <w:rPr>
          <w:noProof/>
        </w:rPr>
        <w:t xml:space="preserve"> e</w:t>
      </w:r>
      <w:r w:rsidRPr="00390EB1">
        <w:rPr>
          <w:noProof/>
        </w:rPr>
        <w:t>xternal financing instruments are making more funding available for Ukraine and the neighbouring partner countries</w:t>
      </w:r>
      <w:r w:rsidR="004F236E">
        <w:rPr>
          <w:noProof/>
        </w:rPr>
        <w:t xml:space="preserve"> as well as for migration and competitiveness.</w:t>
      </w:r>
      <w:r w:rsidRPr="00390EB1">
        <w:rPr>
          <w:noProof/>
        </w:rPr>
        <w:t xml:space="preserve"> </w:t>
      </w:r>
    </w:p>
    <w:p w14:paraId="2ED65641" w14:textId="019B1D1F" w:rsidR="00972003" w:rsidRPr="00390EB1" w:rsidRDefault="334DE64F" w:rsidP="00972003">
      <w:pPr>
        <w:spacing w:after="120" w:line="276" w:lineRule="auto"/>
        <w:jc w:val="both"/>
        <w:rPr>
          <w:noProof/>
        </w:rPr>
      </w:pPr>
      <w:r w:rsidRPr="00390EB1">
        <w:rPr>
          <w:noProof/>
        </w:rPr>
        <w:t xml:space="preserve">The </w:t>
      </w:r>
      <w:r w:rsidR="00972003">
        <w:rPr>
          <w:noProof/>
        </w:rPr>
        <w:t xml:space="preserve">delayed </w:t>
      </w:r>
      <w:r w:rsidR="132F28E6" w:rsidRPr="00390EB1">
        <w:rPr>
          <w:noProof/>
        </w:rPr>
        <w:t>implementation of</w:t>
      </w:r>
      <w:r w:rsidR="7D4D03E3" w:rsidRPr="00390EB1">
        <w:rPr>
          <w:noProof/>
        </w:rPr>
        <w:t xml:space="preserve"> </w:t>
      </w:r>
      <w:r w:rsidR="132F28E6" w:rsidRPr="00390EB1">
        <w:rPr>
          <w:noProof/>
        </w:rPr>
        <w:t xml:space="preserve">2021-2027 </w:t>
      </w:r>
      <w:r w:rsidR="00662D6B">
        <w:rPr>
          <w:noProof/>
        </w:rPr>
        <w:t>c</w:t>
      </w:r>
      <w:r w:rsidR="7D4D03E3" w:rsidRPr="00390EB1">
        <w:rPr>
          <w:noProof/>
        </w:rPr>
        <w:t xml:space="preserve">ohesion </w:t>
      </w:r>
      <w:r w:rsidR="59F56A78" w:rsidRPr="5B4BA441">
        <w:rPr>
          <w:noProof/>
        </w:rPr>
        <w:t>p</w:t>
      </w:r>
      <w:r w:rsidR="7D4D03E3" w:rsidRPr="5B4BA441">
        <w:rPr>
          <w:noProof/>
        </w:rPr>
        <w:t>olicy</w:t>
      </w:r>
      <w:r w:rsidR="7D4D03E3" w:rsidRPr="00390EB1">
        <w:rPr>
          <w:noProof/>
        </w:rPr>
        <w:t xml:space="preserve"> programmes </w:t>
      </w:r>
      <w:r w:rsidR="52622C47" w:rsidRPr="00390EB1">
        <w:rPr>
          <w:noProof/>
        </w:rPr>
        <w:t>increases the</w:t>
      </w:r>
      <w:r w:rsidR="583AA47B" w:rsidRPr="00390EB1">
        <w:rPr>
          <w:noProof/>
        </w:rPr>
        <w:t xml:space="preserve"> </w:t>
      </w:r>
      <w:r w:rsidR="2A67BF04" w:rsidRPr="00390EB1">
        <w:rPr>
          <w:noProof/>
        </w:rPr>
        <w:t xml:space="preserve">risks of </w:t>
      </w:r>
      <w:r w:rsidR="7D4D03E3" w:rsidRPr="00390EB1">
        <w:rPr>
          <w:noProof/>
        </w:rPr>
        <w:t>decommitments.</w:t>
      </w:r>
      <w:r w:rsidR="74D3338A" w:rsidRPr="00390EB1">
        <w:rPr>
          <w:noProof/>
        </w:rPr>
        <w:t xml:space="preserve"> </w:t>
      </w:r>
      <w:r w:rsidR="6FEE6C1F" w:rsidRPr="00390EB1">
        <w:rPr>
          <w:noProof/>
        </w:rPr>
        <w:t>The n</w:t>
      </w:r>
      <w:r w:rsidR="74D3338A" w:rsidRPr="00390EB1">
        <w:rPr>
          <w:noProof/>
        </w:rPr>
        <w:t>ational authorities</w:t>
      </w:r>
      <w:r w:rsidR="48FB5C2B" w:rsidRPr="00390EB1">
        <w:rPr>
          <w:noProof/>
        </w:rPr>
        <w:t>’</w:t>
      </w:r>
      <w:r w:rsidR="4B345BB0" w:rsidRPr="00390EB1">
        <w:rPr>
          <w:noProof/>
        </w:rPr>
        <w:t xml:space="preserve"> focus </w:t>
      </w:r>
      <w:r w:rsidR="74D3338A" w:rsidRPr="00390EB1">
        <w:rPr>
          <w:noProof/>
        </w:rPr>
        <w:t xml:space="preserve">on </w:t>
      </w:r>
      <w:r w:rsidR="4671FFBD" w:rsidRPr="00390EB1">
        <w:rPr>
          <w:noProof/>
        </w:rPr>
        <w:t>finalising</w:t>
      </w:r>
      <w:r w:rsidR="74D3338A" w:rsidRPr="00390EB1">
        <w:rPr>
          <w:noProof/>
        </w:rPr>
        <w:t xml:space="preserve"> programmes from the previous MFF and NextGenerationEU, given </w:t>
      </w:r>
      <w:r w:rsidR="542A81D6" w:rsidRPr="00390EB1">
        <w:rPr>
          <w:noProof/>
        </w:rPr>
        <w:t>their</w:t>
      </w:r>
      <w:r w:rsidR="74D3338A" w:rsidRPr="00390EB1">
        <w:rPr>
          <w:noProof/>
        </w:rPr>
        <w:t xml:space="preserve"> shorter timeframes,</w:t>
      </w:r>
      <w:r w:rsidR="00181E45">
        <w:rPr>
          <w:noProof/>
        </w:rPr>
        <w:t xml:space="preserve"> could have also</w:t>
      </w:r>
      <w:r w:rsidR="0E070EE8">
        <w:rPr>
          <w:noProof/>
        </w:rPr>
        <w:t xml:space="preserve"> </w:t>
      </w:r>
      <w:r w:rsidR="74D3338A">
        <w:rPr>
          <w:noProof/>
        </w:rPr>
        <w:t>contribut</w:t>
      </w:r>
      <w:r w:rsidR="00972003">
        <w:rPr>
          <w:noProof/>
        </w:rPr>
        <w:t>e</w:t>
      </w:r>
      <w:r w:rsidR="00181E45">
        <w:rPr>
          <w:noProof/>
        </w:rPr>
        <w:t>d</w:t>
      </w:r>
      <w:r w:rsidR="74D3338A" w:rsidRPr="00390EB1">
        <w:rPr>
          <w:noProof/>
        </w:rPr>
        <w:t xml:space="preserve"> to</w:t>
      </w:r>
      <w:r w:rsidR="7D4D03E3" w:rsidRPr="00390EB1">
        <w:rPr>
          <w:noProof/>
        </w:rPr>
        <w:t xml:space="preserve"> </w:t>
      </w:r>
      <w:r w:rsidR="005907DB">
        <w:rPr>
          <w:noProof/>
        </w:rPr>
        <w:t>the</w:t>
      </w:r>
      <w:r w:rsidR="00181E45">
        <w:rPr>
          <w:noProof/>
        </w:rPr>
        <w:t xml:space="preserve"> accumulation of </w:t>
      </w:r>
      <w:r w:rsidR="7D4D03E3" w:rsidRPr="00390EB1">
        <w:rPr>
          <w:noProof/>
        </w:rPr>
        <w:t>delays</w:t>
      </w:r>
      <w:r w:rsidR="74D3338A" w:rsidRPr="00390EB1">
        <w:rPr>
          <w:noProof/>
        </w:rPr>
        <w:t xml:space="preserve">, </w:t>
      </w:r>
      <w:r w:rsidR="7D4D03E3" w:rsidRPr="00390EB1">
        <w:rPr>
          <w:noProof/>
        </w:rPr>
        <w:t xml:space="preserve">together with the </w:t>
      </w:r>
      <w:r w:rsidR="74D3338A" w:rsidRPr="00390EB1">
        <w:rPr>
          <w:noProof/>
        </w:rPr>
        <w:t xml:space="preserve">late </w:t>
      </w:r>
      <w:r w:rsidR="00422ECC">
        <w:rPr>
          <w:noProof/>
        </w:rPr>
        <w:t>adoption</w:t>
      </w:r>
      <w:r w:rsidR="74D3338A" w:rsidRPr="00390EB1">
        <w:rPr>
          <w:noProof/>
        </w:rPr>
        <w:t xml:space="preserve"> of the relevant legal bas</w:t>
      </w:r>
      <w:r w:rsidR="00422ECC">
        <w:rPr>
          <w:noProof/>
        </w:rPr>
        <w:t>ic acts</w:t>
      </w:r>
      <w:r w:rsidR="74D3338A" w:rsidRPr="00390EB1">
        <w:rPr>
          <w:noProof/>
        </w:rPr>
        <w:t>.</w:t>
      </w:r>
      <w:r w:rsidR="00A21C38">
        <w:rPr>
          <w:noProof/>
        </w:rPr>
        <w:t xml:space="preserve"> To avoid the materialisation of these </w:t>
      </w:r>
      <w:r w:rsidR="008D7699">
        <w:rPr>
          <w:noProof/>
        </w:rPr>
        <w:t xml:space="preserve">decommitments, </w:t>
      </w:r>
      <w:r w:rsidR="008D7699" w:rsidRPr="00390EB1">
        <w:rPr>
          <w:noProof/>
        </w:rPr>
        <w:t>Member</w:t>
      </w:r>
      <w:r w:rsidR="2A67BF04" w:rsidRPr="00390EB1">
        <w:rPr>
          <w:noProof/>
        </w:rPr>
        <w:t xml:space="preserve"> States</w:t>
      </w:r>
      <w:r w:rsidR="078EA9F3" w:rsidRPr="00390EB1">
        <w:rPr>
          <w:noProof/>
        </w:rPr>
        <w:t xml:space="preserve"> </w:t>
      </w:r>
      <w:r w:rsidR="00A21C38">
        <w:rPr>
          <w:noProof/>
        </w:rPr>
        <w:t xml:space="preserve">need to </w:t>
      </w:r>
      <w:r w:rsidR="008D7699">
        <w:rPr>
          <w:noProof/>
        </w:rPr>
        <w:t>accelerate</w:t>
      </w:r>
      <w:r w:rsidR="00BB3D82">
        <w:rPr>
          <w:noProof/>
        </w:rPr>
        <w:t xml:space="preserve"> </w:t>
      </w:r>
      <w:r w:rsidR="2A67BF04" w:rsidRPr="00390EB1">
        <w:rPr>
          <w:noProof/>
        </w:rPr>
        <w:t>the implementation in 2026</w:t>
      </w:r>
      <w:r w:rsidR="00B13E4F">
        <w:rPr>
          <w:noProof/>
        </w:rPr>
        <w:t xml:space="preserve"> and 2027</w:t>
      </w:r>
      <w:r w:rsidR="7D4D03E3" w:rsidRPr="00390EB1">
        <w:rPr>
          <w:noProof/>
        </w:rPr>
        <w:t xml:space="preserve"> to avoid the loss of funds due to</w:t>
      </w:r>
      <w:r w:rsidR="00972003">
        <w:rPr>
          <w:noProof/>
        </w:rPr>
        <w:t xml:space="preserve"> </w:t>
      </w:r>
      <w:r w:rsidR="00E104DE">
        <w:rPr>
          <w:noProof/>
        </w:rPr>
        <w:t>decommitment</w:t>
      </w:r>
      <w:r w:rsidR="7D4D03E3" w:rsidRPr="00390EB1">
        <w:rPr>
          <w:noProof/>
        </w:rPr>
        <w:t xml:space="preserve"> rules. </w:t>
      </w:r>
      <w:r w:rsidR="0046292B">
        <w:rPr>
          <w:noProof/>
        </w:rPr>
        <w:t xml:space="preserve">For the completion of the programmes 2014-2020 of </w:t>
      </w:r>
      <w:r w:rsidR="00662D6B">
        <w:rPr>
          <w:noProof/>
        </w:rPr>
        <w:t>c</w:t>
      </w:r>
      <w:r w:rsidR="0046292B">
        <w:rPr>
          <w:noProof/>
        </w:rPr>
        <w:t>ohesion funds and 2014-2022 of EAFRD, the amounts</w:t>
      </w:r>
      <w:r w:rsidR="009A4B20">
        <w:rPr>
          <w:noProof/>
        </w:rPr>
        <w:t xml:space="preserve"> at </w:t>
      </w:r>
      <w:r w:rsidR="00587E37">
        <w:rPr>
          <w:noProof/>
        </w:rPr>
        <w:t>risk</w:t>
      </w:r>
      <w:r w:rsidR="0046292B">
        <w:rPr>
          <w:noProof/>
        </w:rPr>
        <w:t xml:space="preserve"> of decommitment increased</w:t>
      </w:r>
      <w:r w:rsidR="009A4B20">
        <w:rPr>
          <w:noProof/>
        </w:rPr>
        <w:t xml:space="preserve"> compared to the previous</w:t>
      </w:r>
      <w:r w:rsidR="008E5711">
        <w:rPr>
          <w:noProof/>
        </w:rPr>
        <w:t xml:space="preserve"> forecast</w:t>
      </w:r>
      <w:r w:rsidR="0046292B">
        <w:rPr>
          <w:noProof/>
        </w:rPr>
        <w:t xml:space="preserve"> following the analysis of the implementation and the </w:t>
      </w:r>
      <w:r w:rsidR="008F2431">
        <w:rPr>
          <w:noProof/>
        </w:rPr>
        <w:t>latest Member States</w:t>
      </w:r>
      <w:r w:rsidR="009A4B20">
        <w:rPr>
          <w:noProof/>
        </w:rPr>
        <w:t>’</w:t>
      </w:r>
      <w:r w:rsidR="008F2431">
        <w:rPr>
          <w:noProof/>
        </w:rPr>
        <w:t xml:space="preserve"> forecast.</w:t>
      </w:r>
    </w:p>
    <w:p w14:paraId="6238291A" w14:textId="6B8324D6" w:rsidR="00B276B4" w:rsidRPr="00390EB1" w:rsidRDefault="25DEB9F0" w:rsidP="00B276B4">
      <w:pPr>
        <w:spacing w:after="120" w:line="276" w:lineRule="auto"/>
        <w:jc w:val="both"/>
        <w:rPr>
          <w:noProof/>
        </w:rPr>
      </w:pPr>
      <w:r w:rsidRPr="00390EB1">
        <w:rPr>
          <w:noProof/>
        </w:rPr>
        <w:t xml:space="preserve">The MFF payment ceiling remains sufficient to cover the projected payments </w:t>
      </w:r>
      <w:r w:rsidR="004F236E">
        <w:rPr>
          <w:noProof/>
        </w:rPr>
        <w:t>until the end of the MFF</w:t>
      </w:r>
      <w:r w:rsidRPr="00390EB1">
        <w:rPr>
          <w:noProof/>
        </w:rPr>
        <w:t xml:space="preserve">. </w:t>
      </w:r>
      <w:r w:rsidR="6A70A5C4" w:rsidRPr="00390EB1">
        <w:rPr>
          <w:rStyle w:val="amprcharCharttitle"/>
          <w:b w:val="0"/>
          <w:noProof/>
          <w:color w:val="auto"/>
        </w:rPr>
        <w:t xml:space="preserve">Payments are expected to run well below the MFF payment ceiling in </w:t>
      </w:r>
      <w:r w:rsidR="004F236E">
        <w:rPr>
          <w:rStyle w:val="amprcharCharttitle"/>
          <w:b w:val="0"/>
          <w:noProof/>
          <w:color w:val="auto"/>
        </w:rPr>
        <w:t xml:space="preserve">2024 and </w:t>
      </w:r>
      <w:r w:rsidR="6A70A5C4" w:rsidRPr="00390EB1">
        <w:rPr>
          <w:rStyle w:val="amprcharCharttitle"/>
          <w:b w:val="0"/>
          <w:noProof/>
          <w:color w:val="auto"/>
        </w:rPr>
        <w:t>202</w:t>
      </w:r>
      <w:r w:rsidR="004F236E">
        <w:rPr>
          <w:rStyle w:val="amprcharCharttitle"/>
          <w:b w:val="0"/>
          <w:noProof/>
          <w:color w:val="auto"/>
        </w:rPr>
        <w:t>5</w:t>
      </w:r>
      <w:r w:rsidR="6A70A5C4" w:rsidRPr="00390EB1">
        <w:rPr>
          <w:rStyle w:val="amprcharCharttitle"/>
          <w:b w:val="0"/>
          <w:noProof/>
          <w:color w:val="auto"/>
        </w:rPr>
        <w:t xml:space="preserve">, allowing to transfer </w:t>
      </w:r>
      <w:r w:rsidRPr="00390EB1">
        <w:rPr>
          <w:noProof/>
        </w:rPr>
        <w:t>unused amounts</w:t>
      </w:r>
      <w:r w:rsidR="0591494A" w:rsidRPr="00390EB1">
        <w:rPr>
          <w:noProof/>
        </w:rPr>
        <w:t xml:space="preserve"> within certain limits</w:t>
      </w:r>
      <w:r w:rsidRPr="00390EB1">
        <w:rPr>
          <w:noProof/>
        </w:rPr>
        <w:t xml:space="preserve"> towards the end of the period when credit needs will </w:t>
      </w:r>
      <w:r w:rsidR="6A70A5C4" w:rsidRPr="00390EB1">
        <w:rPr>
          <w:noProof/>
        </w:rPr>
        <w:t>be higher</w:t>
      </w:r>
      <w:r w:rsidR="35F55317" w:rsidRPr="00390EB1">
        <w:rPr>
          <w:noProof/>
        </w:rPr>
        <w:t>.</w:t>
      </w:r>
      <w:r w:rsidR="004F236E">
        <w:rPr>
          <w:noProof/>
        </w:rPr>
        <w:t xml:space="preserve"> In particular, the amended Article 11(3a) MFFR will allow the transfer of the 2025 margin to 2026.</w:t>
      </w:r>
      <w:r w:rsidR="7BDC819D" w:rsidRPr="00390EB1">
        <w:rPr>
          <w:noProof/>
        </w:rPr>
        <w:t xml:space="preserve"> </w:t>
      </w:r>
      <w:r w:rsidRPr="00390EB1">
        <w:rPr>
          <w:noProof/>
        </w:rPr>
        <w:t>Overall, the net margin over 202</w:t>
      </w:r>
      <w:r w:rsidR="004F236E">
        <w:rPr>
          <w:noProof/>
        </w:rPr>
        <w:t>5</w:t>
      </w:r>
      <w:r w:rsidRPr="00390EB1">
        <w:rPr>
          <w:noProof/>
        </w:rPr>
        <w:t xml:space="preserve">-2027 </w:t>
      </w:r>
      <w:r w:rsidR="45C28C57" w:rsidRPr="00390EB1">
        <w:rPr>
          <w:noProof/>
        </w:rPr>
        <w:t xml:space="preserve">including </w:t>
      </w:r>
      <w:r w:rsidR="000D761E">
        <w:rPr>
          <w:noProof/>
        </w:rPr>
        <w:t xml:space="preserve">programme-specific </w:t>
      </w:r>
      <w:r w:rsidR="45C28C57" w:rsidRPr="00390EB1">
        <w:rPr>
          <w:noProof/>
        </w:rPr>
        <w:t xml:space="preserve">adjustments </w:t>
      </w:r>
      <w:r w:rsidRPr="00390EB1">
        <w:rPr>
          <w:noProof/>
        </w:rPr>
        <w:t>is estimated at EUR</w:t>
      </w:r>
      <w:r w:rsidR="008D5210">
        <w:rPr>
          <w:rFonts w:ascii="Calibri" w:hAnsi="Calibri" w:cs="Calibri"/>
          <w:noProof/>
        </w:rPr>
        <w:t> </w:t>
      </w:r>
      <w:r w:rsidR="00C3250E">
        <w:rPr>
          <w:noProof/>
        </w:rPr>
        <w:t>1</w:t>
      </w:r>
      <w:r w:rsidR="005B675F">
        <w:rPr>
          <w:noProof/>
        </w:rPr>
        <w:t>7</w:t>
      </w:r>
      <w:r w:rsidR="004A77DB">
        <w:rPr>
          <w:noProof/>
        </w:rPr>
        <w:t>.</w:t>
      </w:r>
      <w:r w:rsidR="005B675F">
        <w:rPr>
          <w:noProof/>
        </w:rPr>
        <w:t>6</w:t>
      </w:r>
      <w:r w:rsidR="008D5210">
        <w:rPr>
          <w:rFonts w:ascii="Calibri" w:hAnsi="Calibri" w:cs="Calibri"/>
          <w:noProof/>
        </w:rPr>
        <w:t> </w:t>
      </w:r>
      <w:r w:rsidRPr="00390EB1">
        <w:rPr>
          <w:noProof/>
        </w:rPr>
        <w:t>billion</w:t>
      </w:r>
      <w:r w:rsidR="4ABED5BC" w:rsidRPr="00390EB1">
        <w:rPr>
          <w:noProof/>
        </w:rPr>
        <w:t>.</w:t>
      </w:r>
      <w:r w:rsidR="01E24B00" w:rsidRPr="00390EB1">
        <w:rPr>
          <w:noProof/>
        </w:rPr>
        <w:t xml:space="preserve"> </w:t>
      </w:r>
      <w:r w:rsidR="00C16324">
        <w:rPr>
          <w:noProof/>
        </w:rPr>
        <w:t xml:space="preserve">Hence, there is space for increased acceleration under the payment ceilings. </w:t>
      </w:r>
      <w:r w:rsidR="007417C1">
        <w:rPr>
          <w:noProof/>
        </w:rPr>
        <w:t xml:space="preserve">If the acceleration does not materialise, </w:t>
      </w:r>
      <w:r w:rsidR="00D16276">
        <w:rPr>
          <w:noProof/>
        </w:rPr>
        <w:t>substantial amounts of margin</w:t>
      </w:r>
      <w:r w:rsidR="009C0132">
        <w:rPr>
          <w:noProof/>
        </w:rPr>
        <w:t>s risk remaining unused at the end of the period.</w:t>
      </w:r>
    </w:p>
    <w:p w14:paraId="2A67703F" w14:textId="46F43DAE" w:rsidR="00861C1C" w:rsidRPr="00390EB1" w:rsidRDefault="2A67BF04" w:rsidP="23B06DA2">
      <w:pPr>
        <w:spacing w:after="120" w:line="276" w:lineRule="auto"/>
        <w:jc w:val="both"/>
        <w:rPr>
          <w:noProof/>
        </w:rPr>
      </w:pPr>
      <w:r w:rsidRPr="00390EB1">
        <w:rPr>
          <w:noProof/>
        </w:rPr>
        <w:t>NextGenerationEU’s</w:t>
      </w:r>
      <w:r w:rsidR="0B528229" w:rsidRPr="00390EB1">
        <w:rPr>
          <w:noProof/>
        </w:rPr>
        <w:t xml:space="preserve"> targeting </w:t>
      </w:r>
      <w:r w:rsidRPr="00390EB1">
        <w:rPr>
          <w:noProof/>
        </w:rPr>
        <w:t xml:space="preserve">investments and reforms continues supporting the </w:t>
      </w:r>
      <w:r w:rsidR="1512025F" w:rsidRPr="00390EB1">
        <w:rPr>
          <w:noProof/>
        </w:rPr>
        <w:t xml:space="preserve">EU </w:t>
      </w:r>
      <w:r w:rsidRPr="00390EB1">
        <w:rPr>
          <w:noProof/>
        </w:rPr>
        <w:t>econom</w:t>
      </w:r>
      <w:r w:rsidR="0B0295A8" w:rsidRPr="00390EB1">
        <w:rPr>
          <w:noProof/>
        </w:rPr>
        <w:t>y</w:t>
      </w:r>
      <w:r w:rsidR="75CE2038" w:rsidRPr="00390EB1">
        <w:rPr>
          <w:noProof/>
        </w:rPr>
        <w:t xml:space="preserve"> </w:t>
      </w:r>
      <w:r w:rsidRPr="00390EB1">
        <w:rPr>
          <w:noProof/>
        </w:rPr>
        <w:t>and the transition to clean, green energy</w:t>
      </w:r>
      <w:r w:rsidRPr="00390EB1">
        <w:rPr>
          <w:b/>
          <w:bCs/>
          <w:noProof/>
        </w:rPr>
        <w:t xml:space="preserve">. </w:t>
      </w:r>
      <w:r w:rsidR="0B528229" w:rsidRPr="00390EB1">
        <w:rPr>
          <w:noProof/>
        </w:rPr>
        <w:t>For the years ahead,</w:t>
      </w:r>
      <w:r w:rsidRPr="00390EB1">
        <w:rPr>
          <w:b/>
          <w:bCs/>
          <w:noProof/>
        </w:rPr>
        <w:t xml:space="preserve"> </w:t>
      </w:r>
      <w:r w:rsidRPr="00390EB1">
        <w:rPr>
          <w:noProof/>
        </w:rPr>
        <w:t xml:space="preserve">Member States will </w:t>
      </w:r>
      <w:r w:rsidR="372415D7" w:rsidRPr="00390EB1">
        <w:rPr>
          <w:noProof/>
        </w:rPr>
        <w:t xml:space="preserve">need </w:t>
      </w:r>
      <w:r w:rsidRPr="00390EB1">
        <w:rPr>
          <w:noProof/>
        </w:rPr>
        <w:t>to implement NextGenerationEU funds</w:t>
      </w:r>
      <w:r w:rsidR="0B528229" w:rsidRPr="00390EB1">
        <w:rPr>
          <w:noProof/>
        </w:rPr>
        <w:t xml:space="preserve"> </w:t>
      </w:r>
      <w:r w:rsidR="009008AB">
        <w:rPr>
          <w:noProof/>
        </w:rPr>
        <w:t xml:space="preserve">respecting </w:t>
      </w:r>
      <w:r w:rsidR="0B528229" w:rsidRPr="00390EB1">
        <w:rPr>
          <w:noProof/>
        </w:rPr>
        <w:t xml:space="preserve">the </w:t>
      </w:r>
      <w:r w:rsidRPr="00390EB1">
        <w:rPr>
          <w:noProof/>
        </w:rPr>
        <w:t xml:space="preserve">deadline for disbursements </w:t>
      </w:r>
      <w:r w:rsidR="009008AB">
        <w:rPr>
          <w:noProof/>
        </w:rPr>
        <w:t>in</w:t>
      </w:r>
      <w:r w:rsidRPr="00390EB1">
        <w:rPr>
          <w:noProof/>
        </w:rPr>
        <w:t xml:space="preserve"> 2026 and at the same time </w:t>
      </w:r>
      <w:r w:rsidR="5A9E84AB" w:rsidRPr="00390EB1">
        <w:rPr>
          <w:noProof/>
        </w:rPr>
        <w:t>accelerat</w:t>
      </w:r>
      <w:r w:rsidR="44A728EC" w:rsidRPr="00390EB1">
        <w:rPr>
          <w:noProof/>
        </w:rPr>
        <w:t>e</w:t>
      </w:r>
      <w:r w:rsidRPr="00390EB1">
        <w:rPr>
          <w:noProof/>
        </w:rPr>
        <w:t xml:space="preserve"> the implementation of </w:t>
      </w:r>
      <w:r w:rsidR="009008AB">
        <w:rPr>
          <w:noProof/>
        </w:rPr>
        <w:t>c</w:t>
      </w:r>
      <w:r w:rsidR="0B528229" w:rsidRPr="00390EB1">
        <w:rPr>
          <w:noProof/>
        </w:rPr>
        <w:t xml:space="preserve">ohesion </w:t>
      </w:r>
      <w:r w:rsidR="009008AB">
        <w:rPr>
          <w:noProof/>
        </w:rPr>
        <w:t>f</w:t>
      </w:r>
      <w:r w:rsidR="0B528229" w:rsidRPr="00390EB1">
        <w:rPr>
          <w:noProof/>
        </w:rPr>
        <w:t>unds</w:t>
      </w:r>
      <w:r w:rsidR="00695EC4">
        <w:rPr>
          <w:noProof/>
        </w:rPr>
        <w:t xml:space="preserve"> to reduce decommitment risks.</w:t>
      </w:r>
    </w:p>
    <w:p w14:paraId="29C5E221" w14:textId="315A1794" w:rsidR="00861C1C" w:rsidRPr="00390EB1" w:rsidRDefault="3EEAF5F5">
      <w:pPr>
        <w:spacing w:after="120" w:line="276" w:lineRule="auto"/>
        <w:jc w:val="both"/>
        <w:rPr>
          <w:noProof/>
        </w:rPr>
      </w:pPr>
      <w:r w:rsidRPr="00390EB1">
        <w:rPr>
          <w:noProof/>
        </w:rPr>
        <w:t xml:space="preserve">While the RAL nominally increases at the end of the MFF compared to </w:t>
      </w:r>
      <w:r w:rsidR="00D03253">
        <w:rPr>
          <w:noProof/>
        </w:rPr>
        <w:t>last year</w:t>
      </w:r>
      <w:r w:rsidRPr="00390EB1">
        <w:rPr>
          <w:noProof/>
        </w:rPr>
        <w:t xml:space="preserve">, when measured as a share of the EU </w:t>
      </w:r>
      <w:r w:rsidR="00366742">
        <w:rPr>
          <w:noProof/>
        </w:rPr>
        <w:t>G</w:t>
      </w:r>
      <w:r w:rsidRPr="00390EB1">
        <w:rPr>
          <w:noProof/>
        </w:rPr>
        <w:t xml:space="preserve">ross </w:t>
      </w:r>
      <w:r w:rsidR="00366742">
        <w:rPr>
          <w:noProof/>
        </w:rPr>
        <w:t>N</w:t>
      </w:r>
      <w:r w:rsidRPr="00390EB1">
        <w:rPr>
          <w:noProof/>
        </w:rPr>
        <w:t xml:space="preserve">ational </w:t>
      </w:r>
      <w:r w:rsidR="00366742">
        <w:rPr>
          <w:noProof/>
        </w:rPr>
        <w:t>I</w:t>
      </w:r>
      <w:r w:rsidRPr="00390EB1">
        <w:rPr>
          <w:noProof/>
        </w:rPr>
        <w:t xml:space="preserve">ncome the RAL is reduced, which shows that the nominal growth of the EU economy outweights the accumulation of outstanding commitments from the EU budget. </w:t>
      </w:r>
      <w:r w:rsidR="2A67BF04" w:rsidRPr="00390EB1">
        <w:rPr>
          <w:noProof/>
        </w:rPr>
        <w:t>NextGenerationEU produces a temporary effect on the level of the EU outstanding commitments</w:t>
      </w:r>
      <w:r w:rsidR="004478D7">
        <w:rPr>
          <w:noProof/>
        </w:rPr>
        <w:t>. As previously reported, the level of outstanding commitments has peaked at the end of 2023</w:t>
      </w:r>
      <w:r w:rsidR="00397B72">
        <w:rPr>
          <w:noProof/>
        </w:rPr>
        <w:t>, with an overall value of EUR</w:t>
      </w:r>
      <w:r w:rsidR="008D5210">
        <w:rPr>
          <w:rFonts w:ascii="Calibri" w:hAnsi="Calibri" w:cs="Calibri"/>
          <w:noProof/>
        </w:rPr>
        <w:t> </w:t>
      </w:r>
      <w:r w:rsidR="00397B72">
        <w:rPr>
          <w:noProof/>
        </w:rPr>
        <w:t>5</w:t>
      </w:r>
      <w:r w:rsidR="00881F0B">
        <w:rPr>
          <w:noProof/>
        </w:rPr>
        <w:t>43</w:t>
      </w:r>
      <w:r w:rsidR="008D5210">
        <w:rPr>
          <w:rFonts w:ascii="Calibri" w:hAnsi="Calibri" w:cs="Calibri"/>
          <w:noProof/>
        </w:rPr>
        <w:t> </w:t>
      </w:r>
      <w:r w:rsidR="00881F0B">
        <w:rPr>
          <w:noProof/>
        </w:rPr>
        <w:t>billion</w:t>
      </w:r>
      <w:r w:rsidR="003C5C52">
        <w:rPr>
          <w:noProof/>
        </w:rPr>
        <w:t>, mainly driven by the impact of NextGenerationEU.</w:t>
      </w:r>
      <w:r w:rsidR="00851C7C">
        <w:rPr>
          <w:noProof/>
        </w:rPr>
        <w:t xml:space="preserve"> This effect is shown to </w:t>
      </w:r>
      <w:r w:rsidR="2A67BF04" w:rsidRPr="00390EB1">
        <w:rPr>
          <w:noProof/>
        </w:rPr>
        <w:t>gradually</w:t>
      </w:r>
      <w:r w:rsidR="00851C7C">
        <w:rPr>
          <w:noProof/>
        </w:rPr>
        <w:t xml:space="preserve"> decrease and</w:t>
      </w:r>
      <w:r w:rsidR="2A67BF04" w:rsidRPr="00390EB1">
        <w:rPr>
          <w:noProof/>
        </w:rPr>
        <w:t xml:space="preserve"> return to levels comparable with the start of the MFF period by the end of 2027. </w:t>
      </w:r>
      <w:r w:rsidR="00A872A0">
        <w:rPr>
          <w:noProof/>
        </w:rPr>
        <w:t xml:space="preserve">Nevertheless, </w:t>
      </w:r>
      <w:r w:rsidR="007C2F31">
        <w:rPr>
          <w:noProof/>
        </w:rPr>
        <w:t>it</w:t>
      </w:r>
      <w:r w:rsidR="007C2F31" w:rsidRPr="007C2F31">
        <w:rPr>
          <w:noProof/>
        </w:rPr>
        <w:t xml:space="preserve"> reflects the state of implementation of the budget to-date, including delays in cohesion policy and agriculture, which are estimated to persist until the end of the programming period.</w:t>
      </w:r>
    </w:p>
    <w:p w14:paraId="76D1A985" w14:textId="6C246B37" w:rsidR="00861C1C" w:rsidRPr="00390EB1" w:rsidRDefault="2A67BF04">
      <w:pPr>
        <w:spacing w:after="120" w:line="276" w:lineRule="auto"/>
        <w:jc w:val="both"/>
        <w:rPr>
          <w:noProof/>
        </w:rPr>
      </w:pPr>
      <w:r w:rsidRPr="00390EB1">
        <w:rPr>
          <w:noProof/>
        </w:rPr>
        <w:t xml:space="preserve">The own resources necessary to finance the budget </w:t>
      </w:r>
      <w:r w:rsidR="00AB2183">
        <w:rPr>
          <w:noProof/>
        </w:rPr>
        <w:t>alongside</w:t>
      </w:r>
      <w:r w:rsidR="20D82AF7">
        <w:rPr>
          <w:noProof/>
        </w:rPr>
        <w:t xml:space="preserve"> other revenue </w:t>
      </w:r>
      <w:r w:rsidRPr="00390EB1">
        <w:rPr>
          <w:noProof/>
        </w:rPr>
        <w:t xml:space="preserve">will </w:t>
      </w:r>
      <w:r w:rsidR="00262DB1">
        <w:rPr>
          <w:noProof/>
        </w:rPr>
        <w:t>follow</w:t>
      </w:r>
      <w:r w:rsidRPr="00390EB1">
        <w:rPr>
          <w:noProof/>
        </w:rPr>
        <w:t xml:space="preserve"> the MFF expenditure</w:t>
      </w:r>
      <w:r w:rsidR="0032708A">
        <w:rPr>
          <w:noProof/>
        </w:rPr>
        <w:t xml:space="preserve"> cycle</w:t>
      </w:r>
      <w:r w:rsidRPr="00390EB1">
        <w:rPr>
          <w:noProof/>
        </w:rPr>
        <w:t xml:space="preserve">. </w:t>
      </w:r>
      <w:r w:rsidRPr="00527828">
        <w:rPr>
          <w:noProof/>
        </w:rPr>
        <w:t xml:space="preserve">Yet, the size of the available margin under the </w:t>
      </w:r>
      <w:r w:rsidR="00E760EE">
        <w:rPr>
          <w:noProof/>
        </w:rPr>
        <w:t>o</w:t>
      </w:r>
      <w:r w:rsidR="00E760EE" w:rsidRPr="00527828">
        <w:rPr>
          <w:noProof/>
        </w:rPr>
        <w:t xml:space="preserve">wn </w:t>
      </w:r>
      <w:r w:rsidR="00E760EE">
        <w:rPr>
          <w:noProof/>
        </w:rPr>
        <w:t>r</w:t>
      </w:r>
      <w:r w:rsidR="00E760EE" w:rsidRPr="00527828">
        <w:rPr>
          <w:noProof/>
        </w:rPr>
        <w:t xml:space="preserve">esources </w:t>
      </w:r>
      <w:r w:rsidRPr="00527828">
        <w:rPr>
          <w:noProof/>
        </w:rPr>
        <w:t>ceiling will remain relatively stable as the increasing revenue needs match the projected nominal growth of the EU economy.</w:t>
      </w:r>
    </w:p>
    <w:p w14:paraId="64614B46" w14:textId="77777777" w:rsidR="00861C1C" w:rsidRPr="00390EB1" w:rsidRDefault="00861C1C">
      <w:pPr>
        <w:spacing w:after="120" w:line="276" w:lineRule="auto"/>
        <w:jc w:val="both"/>
        <w:rPr>
          <w:noProof/>
        </w:rPr>
        <w:sectPr w:rsidR="00861C1C" w:rsidRPr="00390EB1">
          <w:headerReference w:type="default" r:id="rId29"/>
          <w:pgSz w:w="11906" w:h="16838"/>
          <w:pgMar w:top="1321" w:right="1151" w:bottom="1440" w:left="1151" w:header="720" w:footer="720" w:gutter="0"/>
          <w:pgNumType w:start="1"/>
          <w:cols w:space="720"/>
          <w:docGrid w:linePitch="326"/>
        </w:sectPr>
      </w:pPr>
    </w:p>
    <w:p w14:paraId="4DF4B46E" w14:textId="1C7E6860" w:rsidR="00861C1C" w:rsidRPr="002A00F5" w:rsidRDefault="00391EE0" w:rsidP="002A00F5">
      <w:pPr>
        <w:pStyle w:val="amprH2TITLE1"/>
        <w:spacing w:after="480"/>
        <w:rPr>
          <w:noProof/>
        </w:rPr>
      </w:pPr>
      <w:bookmarkStart w:id="74" w:name="_Toc167194517"/>
      <w:bookmarkStart w:id="75" w:name="_Toc524523074"/>
      <w:bookmarkEnd w:id="64"/>
      <w:r w:rsidRPr="002A00F5">
        <w:rPr>
          <w:noProof/>
        </w:rPr>
        <w:t>A</w:t>
      </w:r>
      <w:r w:rsidR="003B6DC2" w:rsidRPr="002A00F5">
        <w:rPr>
          <w:noProof/>
        </w:rPr>
        <w:t>nnex II – Results of the forecast</w:t>
      </w:r>
      <w:bookmarkEnd w:id="74"/>
    </w:p>
    <w:bookmarkEnd w:id="75"/>
    <w:p w14:paraId="1823CB20" w14:textId="1C8DF275" w:rsidR="00EB3BDB" w:rsidRPr="0040310C" w:rsidRDefault="009838C1" w:rsidP="00850C3E">
      <w:pPr>
        <w:pStyle w:val="amprBodyText"/>
        <w:rPr>
          <w:b/>
          <w:i/>
          <w:iCs/>
          <w:noProof/>
          <w:sz w:val="22"/>
          <w:szCs w:val="22"/>
          <w:lang w:eastAsia="en-US"/>
        </w:rPr>
      </w:pPr>
      <w:r w:rsidRPr="0040310C">
        <w:rPr>
          <w:i/>
          <w:iCs/>
          <w:noProof/>
          <w:sz w:val="22"/>
          <w:szCs w:val="22"/>
          <w:lang w:eastAsia="en-US"/>
        </w:rPr>
        <w:t>All values are in billions of EUR, current prices, unless otherwise specified. Some totals may not tally due to rounding.</w:t>
      </w:r>
    </w:p>
    <w:p w14:paraId="7CD51858" w14:textId="4A2A6BCB" w:rsidR="00861C1C" w:rsidRPr="00390EB1" w:rsidRDefault="003B6DC2" w:rsidP="009C6708">
      <w:pPr>
        <w:pStyle w:val="Heading2"/>
        <w:rPr>
          <w:noProof/>
        </w:rPr>
      </w:pPr>
      <w:bookmarkStart w:id="76" w:name="_Toc167194518"/>
      <w:r w:rsidRPr="00390EB1">
        <w:rPr>
          <w:noProof/>
        </w:rPr>
        <w:t xml:space="preserve">Table </w:t>
      </w:r>
      <w:r w:rsidRPr="00390EB1">
        <w:rPr>
          <w:noProof/>
        </w:rPr>
        <w:fldChar w:fldCharType="begin"/>
      </w:r>
      <w:r w:rsidRPr="00390EB1">
        <w:rPr>
          <w:noProof/>
        </w:rPr>
        <w:instrText xml:space="preserve"> SEQ Table \* ARABIC </w:instrText>
      </w:r>
      <w:r w:rsidRPr="00390EB1">
        <w:rPr>
          <w:noProof/>
        </w:rPr>
        <w:fldChar w:fldCharType="separate"/>
      </w:r>
      <w:r w:rsidR="00927C3F" w:rsidRPr="00390EB1">
        <w:rPr>
          <w:noProof/>
        </w:rPr>
        <w:t>1</w:t>
      </w:r>
      <w:r w:rsidRPr="00390EB1">
        <w:rPr>
          <w:noProof/>
        </w:rPr>
        <w:fldChar w:fldCharType="end"/>
      </w:r>
      <w:r w:rsidRPr="00390EB1">
        <w:rPr>
          <w:noProof/>
        </w:rPr>
        <w:t>.1 – Long-term forecast of future outflows over 202</w:t>
      </w:r>
      <w:r w:rsidR="00501CED">
        <w:rPr>
          <w:noProof/>
        </w:rPr>
        <w:t>5</w:t>
      </w:r>
      <w:r w:rsidRPr="00390EB1">
        <w:rPr>
          <w:noProof/>
        </w:rPr>
        <w:t>-202</w:t>
      </w:r>
      <w:r w:rsidR="00501CED">
        <w:rPr>
          <w:noProof/>
        </w:rPr>
        <w:t>9</w:t>
      </w:r>
      <w:r w:rsidRPr="00390EB1">
        <w:rPr>
          <w:noProof/>
        </w:rPr>
        <w:t xml:space="preserve"> for the MFF</w:t>
      </w:r>
      <w:bookmarkEnd w:id="76"/>
    </w:p>
    <w:tbl>
      <w:tblPr>
        <w:tblStyle w:val="AMPR2021"/>
        <w:tblW w:w="9750" w:type="dxa"/>
        <w:tblBorders>
          <w:top w:val="none" w:sz="0" w:space="0" w:color="auto"/>
          <w:insideH w:val="single" w:sz="6" w:space="0" w:color="BFBFBF" w:themeColor="background1" w:themeShade="BF"/>
          <w:insideV w:val="single" w:sz="6" w:space="0" w:color="BFBFBF" w:themeColor="background1" w:themeShade="BF"/>
        </w:tblBorders>
        <w:tblLayout w:type="fixed"/>
        <w:tblLook w:val="06A0" w:firstRow="1" w:lastRow="0" w:firstColumn="1" w:lastColumn="0" w:noHBand="1" w:noVBand="1"/>
      </w:tblPr>
      <w:tblGrid>
        <w:gridCol w:w="3288"/>
        <w:gridCol w:w="1077"/>
        <w:gridCol w:w="1077"/>
        <w:gridCol w:w="1077"/>
        <w:gridCol w:w="1077"/>
        <w:gridCol w:w="1077"/>
        <w:gridCol w:w="1077"/>
      </w:tblGrid>
      <w:tr w:rsidR="0040310C" w:rsidRPr="0040310C" w14:paraId="25D4248E" w14:textId="77777777" w:rsidTr="00ED1B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8" w:type="dxa"/>
          </w:tcPr>
          <w:p w14:paraId="1613DF08" w14:textId="77777777" w:rsidR="003539BF" w:rsidRPr="0040310C" w:rsidRDefault="003539BF" w:rsidP="003539BF">
            <w:pPr>
              <w:rPr>
                <w:rFonts w:asciiTheme="minorHAnsi" w:eastAsia="Calibri" w:hAnsiTheme="minorHAnsi"/>
                <w:noProof/>
                <w:sz w:val="22"/>
                <w:szCs w:val="22"/>
              </w:rPr>
            </w:pPr>
            <w:r w:rsidRPr="0040310C">
              <w:rPr>
                <w:rFonts w:asciiTheme="minorHAnsi" w:eastAsia="Calibri" w:hAnsiTheme="minorHAnsi"/>
                <w:noProof/>
                <w:sz w:val="22"/>
                <w:szCs w:val="22"/>
              </w:rPr>
              <w:t>Year</w:t>
            </w:r>
          </w:p>
        </w:tc>
        <w:tc>
          <w:tcPr>
            <w:tcW w:w="1077" w:type="dxa"/>
          </w:tcPr>
          <w:p w14:paraId="6526BCA1" w14:textId="21E060BD" w:rsidR="003539BF" w:rsidRPr="0040310C" w:rsidRDefault="003539BF" w:rsidP="003539B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val="0"/>
                <w:bCs/>
                <w:noProof/>
                <w:sz w:val="22"/>
                <w:szCs w:val="22"/>
              </w:rPr>
            </w:pPr>
            <w:r w:rsidRPr="0040310C">
              <w:rPr>
                <w:rFonts w:asciiTheme="minorHAnsi" w:eastAsia="Calibri" w:hAnsiTheme="minorHAnsi"/>
                <w:noProof/>
                <w:sz w:val="22"/>
                <w:szCs w:val="22"/>
              </w:rPr>
              <w:t>202</w:t>
            </w:r>
            <w:r w:rsidR="00850A58" w:rsidRPr="0040310C">
              <w:rPr>
                <w:rFonts w:asciiTheme="minorHAnsi" w:eastAsia="Calibri" w:hAnsiTheme="minorHAnsi"/>
                <w:noProof/>
                <w:sz w:val="22"/>
                <w:szCs w:val="22"/>
              </w:rPr>
              <w:t>5</w:t>
            </w:r>
          </w:p>
        </w:tc>
        <w:tc>
          <w:tcPr>
            <w:tcW w:w="1077" w:type="dxa"/>
          </w:tcPr>
          <w:p w14:paraId="1A1F559E" w14:textId="3B59E24E" w:rsidR="003539BF" w:rsidRPr="0040310C" w:rsidRDefault="003539BF" w:rsidP="003539B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val="0"/>
                <w:bCs/>
                <w:noProof/>
                <w:sz w:val="22"/>
                <w:szCs w:val="22"/>
              </w:rPr>
            </w:pPr>
            <w:r w:rsidRPr="0040310C">
              <w:rPr>
                <w:rFonts w:asciiTheme="minorHAnsi" w:eastAsia="Calibri" w:hAnsiTheme="minorHAnsi"/>
                <w:noProof/>
                <w:sz w:val="22"/>
                <w:szCs w:val="22"/>
              </w:rPr>
              <w:t>202</w:t>
            </w:r>
            <w:r w:rsidR="00850A58" w:rsidRPr="0040310C">
              <w:rPr>
                <w:rFonts w:asciiTheme="minorHAnsi" w:eastAsia="Calibri" w:hAnsiTheme="minorHAnsi"/>
                <w:noProof/>
                <w:sz w:val="22"/>
                <w:szCs w:val="22"/>
              </w:rPr>
              <w:t>6</w:t>
            </w:r>
          </w:p>
        </w:tc>
        <w:tc>
          <w:tcPr>
            <w:tcW w:w="1077" w:type="dxa"/>
          </w:tcPr>
          <w:p w14:paraId="3F243BCE" w14:textId="024B8C81" w:rsidR="003539BF" w:rsidRPr="0040310C" w:rsidRDefault="003539BF" w:rsidP="003539B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val="0"/>
                <w:bCs/>
                <w:noProof/>
                <w:sz w:val="22"/>
                <w:szCs w:val="22"/>
              </w:rPr>
            </w:pPr>
            <w:r w:rsidRPr="0040310C">
              <w:rPr>
                <w:rFonts w:asciiTheme="minorHAnsi" w:eastAsia="Calibri" w:hAnsiTheme="minorHAnsi"/>
                <w:noProof/>
                <w:sz w:val="22"/>
                <w:szCs w:val="22"/>
              </w:rPr>
              <w:t>202</w:t>
            </w:r>
            <w:r w:rsidR="00850A58" w:rsidRPr="0040310C">
              <w:rPr>
                <w:rFonts w:asciiTheme="minorHAnsi" w:eastAsia="Calibri" w:hAnsiTheme="minorHAnsi"/>
                <w:noProof/>
                <w:sz w:val="22"/>
                <w:szCs w:val="22"/>
              </w:rPr>
              <w:t>7</w:t>
            </w:r>
          </w:p>
        </w:tc>
        <w:tc>
          <w:tcPr>
            <w:tcW w:w="1077" w:type="dxa"/>
          </w:tcPr>
          <w:p w14:paraId="6C172A85" w14:textId="2759D85A" w:rsidR="003539BF" w:rsidRPr="0040310C" w:rsidRDefault="003539BF" w:rsidP="003539B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val="0"/>
                <w:bCs/>
                <w:noProof/>
                <w:sz w:val="22"/>
                <w:szCs w:val="22"/>
              </w:rPr>
            </w:pPr>
            <w:r w:rsidRPr="0040310C">
              <w:rPr>
                <w:rFonts w:asciiTheme="minorHAnsi" w:eastAsia="Calibri" w:hAnsiTheme="minorHAnsi"/>
                <w:noProof/>
                <w:sz w:val="22"/>
                <w:szCs w:val="22"/>
              </w:rPr>
              <w:t>202</w:t>
            </w:r>
            <w:r w:rsidR="00850A58" w:rsidRPr="0040310C">
              <w:rPr>
                <w:rFonts w:asciiTheme="minorHAnsi" w:eastAsia="Calibri" w:hAnsiTheme="minorHAnsi"/>
                <w:noProof/>
                <w:sz w:val="22"/>
                <w:szCs w:val="22"/>
              </w:rPr>
              <w:t>8</w:t>
            </w:r>
          </w:p>
        </w:tc>
        <w:tc>
          <w:tcPr>
            <w:tcW w:w="1077" w:type="dxa"/>
          </w:tcPr>
          <w:p w14:paraId="64B49C82" w14:textId="3CCDC3F9" w:rsidR="003539BF" w:rsidRPr="0040310C" w:rsidRDefault="003539BF" w:rsidP="003539B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40310C">
              <w:rPr>
                <w:rFonts w:asciiTheme="minorHAnsi" w:eastAsia="Calibri" w:hAnsiTheme="minorHAnsi"/>
                <w:noProof/>
                <w:sz w:val="22"/>
                <w:szCs w:val="22"/>
              </w:rPr>
              <w:t>202</w:t>
            </w:r>
            <w:r w:rsidR="00850A58" w:rsidRPr="0040310C">
              <w:rPr>
                <w:rFonts w:asciiTheme="minorHAnsi" w:eastAsia="Calibri" w:hAnsiTheme="minorHAnsi"/>
                <w:noProof/>
                <w:sz w:val="22"/>
                <w:szCs w:val="22"/>
              </w:rPr>
              <w:t>9</w:t>
            </w:r>
          </w:p>
        </w:tc>
        <w:tc>
          <w:tcPr>
            <w:tcW w:w="1077" w:type="dxa"/>
          </w:tcPr>
          <w:p w14:paraId="4FC7249B" w14:textId="77777777" w:rsidR="003539BF" w:rsidRPr="0040310C" w:rsidRDefault="003539BF" w:rsidP="003539B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val="0"/>
                <w:bCs/>
                <w:noProof/>
                <w:sz w:val="22"/>
                <w:szCs w:val="22"/>
              </w:rPr>
            </w:pPr>
            <w:r w:rsidRPr="0040310C">
              <w:rPr>
                <w:rFonts w:asciiTheme="minorHAnsi" w:eastAsia="Calibri" w:hAnsiTheme="minorHAnsi"/>
                <w:noProof/>
                <w:sz w:val="22"/>
                <w:szCs w:val="22"/>
              </w:rPr>
              <w:t>Total</w:t>
            </w:r>
          </w:p>
        </w:tc>
      </w:tr>
      <w:tr w:rsidR="0040310C" w:rsidRPr="0040310C" w14:paraId="3822FE07" w14:textId="77777777" w:rsidTr="00ED1BB1">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568B11AF" w14:textId="77777777" w:rsidR="003539BF" w:rsidRPr="00ED1BB1" w:rsidRDefault="003539BF" w:rsidP="003539BF">
            <w:pPr>
              <w:spacing w:after="120"/>
              <w:rPr>
                <w:rFonts w:asciiTheme="minorHAnsi" w:eastAsia="Calibri" w:hAnsiTheme="minorHAnsi"/>
                <w:bCs/>
                <w:noProof/>
                <w:color w:val="245F95" w:themeColor="text2"/>
                <w:sz w:val="22"/>
                <w:szCs w:val="22"/>
              </w:rPr>
            </w:pPr>
            <w:r w:rsidRPr="00ED1BB1">
              <w:rPr>
                <w:rFonts w:asciiTheme="minorHAnsi" w:eastAsia="Calibri" w:hAnsiTheme="minorHAnsi"/>
                <w:bCs/>
                <w:noProof/>
                <w:color w:val="245F95" w:themeColor="text2"/>
                <w:sz w:val="22"/>
                <w:szCs w:val="22"/>
              </w:rPr>
              <w:t>Commitment Ceiling</w:t>
            </w:r>
          </w:p>
        </w:tc>
        <w:tc>
          <w:tcPr>
            <w:tcW w:w="1077" w:type="dxa"/>
            <w:vAlign w:val="center"/>
          </w:tcPr>
          <w:p w14:paraId="13B2AA9D" w14:textId="4E009AC4" w:rsidR="003539BF" w:rsidRPr="0040310C" w:rsidRDefault="006F5F64"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r w:rsidRPr="0040310C">
              <w:rPr>
                <w:rFonts w:asciiTheme="minorHAnsi" w:eastAsia="Calibri" w:hAnsiTheme="minorHAnsi"/>
                <w:bCs/>
                <w:noProof/>
                <w:color w:val="000000" w:themeColor="text1"/>
                <w:sz w:val="22"/>
                <w:szCs w:val="22"/>
              </w:rPr>
              <w:t>190</w:t>
            </w:r>
            <w:r w:rsidR="00850A58" w:rsidRPr="0040310C">
              <w:rPr>
                <w:rFonts w:asciiTheme="minorHAnsi" w:eastAsia="Calibri" w:hAnsiTheme="minorHAnsi"/>
                <w:bCs/>
                <w:noProof/>
                <w:color w:val="000000" w:themeColor="text1"/>
                <w:sz w:val="22"/>
                <w:szCs w:val="22"/>
              </w:rPr>
              <w:t>.5</w:t>
            </w:r>
          </w:p>
        </w:tc>
        <w:tc>
          <w:tcPr>
            <w:tcW w:w="1077" w:type="dxa"/>
            <w:vAlign w:val="center"/>
          </w:tcPr>
          <w:p w14:paraId="4847FE02" w14:textId="551CEA1F"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r w:rsidRPr="0040310C">
              <w:rPr>
                <w:rFonts w:asciiTheme="minorHAnsi" w:eastAsia="Calibri" w:hAnsiTheme="minorHAnsi"/>
                <w:bCs/>
                <w:noProof/>
                <w:color w:val="000000" w:themeColor="text1"/>
                <w:sz w:val="22"/>
                <w:szCs w:val="22"/>
              </w:rPr>
              <w:t>18</w:t>
            </w:r>
            <w:r w:rsidR="00CA0CF2" w:rsidRPr="0040310C">
              <w:rPr>
                <w:rFonts w:asciiTheme="minorHAnsi" w:eastAsia="Calibri" w:hAnsiTheme="minorHAnsi"/>
                <w:bCs/>
                <w:noProof/>
                <w:color w:val="000000" w:themeColor="text1"/>
                <w:sz w:val="22"/>
                <w:szCs w:val="22"/>
              </w:rPr>
              <w:t>0</w:t>
            </w:r>
            <w:r w:rsidRPr="0040310C">
              <w:rPr>
                <w:rFonts w:asciiTheme="minorHAnsi" w:eastAsia="Calibri" w:hAnsiTheme="minorHAnsi"/>
                <w:bCs/>
                <w:noProof/>
                <w:color w:val="000000" w:themeColor="text1"/>
                <w:sz w:val="22"/>
                <w:szCs w:val="22"/>
              </w:rPr>
              <w:t>.</w:t>
            </w:r>
            <w:r w:rsidR="00CA0CF2" w:rsidRPr="0040310C">
              <w:rPr>
                <w:rFonts w:asciiTheme="minorHAnsi" w:eastAsia="Calibri" w:hAnsiTheme="minorHAnsi"/>
                <w:bCs/>
                <w:noProof/>
                <w:color w:val="000000" w:themeColor="text1"/>
                <w:sz w:val="22"/>
                <w:szCs w:val="22"/>
              </w:rPr>
              <w:t>5</w:t>
            </w:r>
          </w:p>
        </w:tc>
        <w:tc>
          <w:tcPr>
            <w:tcW w:w="1077" w:type="dxa"/>
            <w:vAlign w:val="center"/>
          </w:tcPr>
          <w:p w14:paraId="0CE87CAE" w14:textId="4F000E7C"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r w:rsidRPr="0040310C">
              <w:rPr>
                <w:rFonts w:asciiTheme="minorHAnsi" w:eastAsia="Calibri" w:hAnsiTheme="minorHAnsi"/>
                <w:bCs/>
                <w:noProof/>
                <w:color w:val="000000" w:themeColor="text1"/>
                <w:sz w:val="22"/>
                <w:szCs w:val="22"/>
              </w:rPr>
              <w:t>1</w:t>
            </w:r>
            <w:r w:rsidR="0084313E" w:rsidRPr="0040310C">
              <w:rPr>
                <w:rFonts w:asciiTheme="minorHAnsi" w:eastAsia="Calibri" w:hAnsiTheme="minorHAnsi"/>
                <w:bCs/>
                <w:noProof/>
                <w:color w:val="000000" w:themeColor="text1"/>
                <w:sz w:val="22"/>
                <w:szCs w:val="22"/>
              </w:rPr>
              <w:t>86</w:t>
            </w:r>
            <w:r w:rsidRPr="0040310C">
              <w:rPr>
                <w:rFonts w:asciiTheme="minorHAnsi" w:eastAsia="Calibri" w:hAnsiTheme="minorHAnsi"/>
                <w:bCs/>
                <w:noProof/>
                <w:color w:val="000000" w:themeColor="text1"/>
                <w:sz w:val="22"/>
                <w:szCs w:val="22"/>
              </w:rPr>
              <w:t>.</w:t>
            </w:r>
            <w:r w:rsidR="0084313E" w:rsidRPr="0040310C">
              <w:rPr>
                <w:rFonts w:asciiTheme="minorHAnsi" w:eastAsia="Calibri" w:hAnsiTheme="minorHAnsi"/>
                <w:bCs/>
                <w:noProof/>
                <w:color w:val="000000" w:themeColor="text1"/>
                <w:sz w:val="22"/>
                <w:szCs w:val="22"/>
              </w:rPr>
              <w:t>2</w:t>
            </w:r>
          </w:p>
        </w:tc>
        <w:tc>
          <w:tcPr>
            <w:tcW w:w="1077" w:type="dxa"/>
            <w:vAlign w:val="center"/>
          </w:tcPr>
          <w:p w14:paraId="4E03CC8B" w14:textId="50387A78"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p>
        </w:tc>
        <w:tc>
          <w:tcPr>
            <w:tcW w:w="1077" w:type="dxa"/>
            <w:vAlign w:val="center"/>
          </w:tcPr>
          <w:p w14:paraId="5B03D7CA" w14:textId="63CBCA74"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p>
        </w:tc>
        <w:tc>
          <w:tcPr>
            <w:tcW w:w="1077" w:type="dxa"/>
            <w:vAlign w:val="center"/>
          </w:tcPr>
          <w:p w14:paraId="02CAC638" w14:textId="4071FB4D" w:rsidR="003539BF" w:rsidRPr="00ED1BB1" w:rsidRDefault="0084313E"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245F95" w:themeColor="text2"/>
                <w:sz w:val="22"/>
                <w:szCs w:val="22"/>
              </w:rPr>
            </w:pPr>
            <w:r w:rsidRPr="00ED1BB1">
              <w:rPr>
                <w:rFonts w:asciiTheme="minorHAnsi" w:eastAsia="Calibri" w:hAnsiTheme="minorHAnsi"/>
                <w:b/>
                <w:bCs/>
                <w:noProof/>
                <w:color w:val="245F95" w:themeColor="text2"/>
                <w:sz w:val="22"/>
                <w:szCs w:val="22"/>
              </w:rPr>
              <w:t>557</w:t>
            </w:r>
            <w:r w:rsidR="00CD69CB" w:rsidRPr="00ED1BB1">
              <w:rPr>
                <w:rFonts w:asciiTheme="minorHAnsi" w:eastAsia="Calibri" w:hAnsiTheme="minorHAnsi"/>
                <w:b/>
                <w:bCs/>
                <w:noProof/>
                <w:color w:val="245F95" w:themeColor="text2"/>
                <w:sz w:val="22"/>
                <w:szCs w:val="22"/>
              </w:rPr>
              <w:t>.</w:t>
            </w:r>
            <w:r w:rsidRPr="00ED1BB1">
              <w:rPr>
                <w:rFonts w:asciiTheme="minorHAnsi" w:eastAsia="Calibri" w:hAnsiTheme="minorHAnsi"/>
                <w:b/>
                <w:bCs/>
                <w:noProof/>
                <w:color w:val="245F95" w:themeColor="text2"/>
                <w:sz w:val="22"/>
                <w:szCs w:val="22"/>
              </w:rPr>
              <w:t>2</w:t>
            </w:r>
          </w:p>
        </w:tc>
      </w:tr>
      <w:tr w:rsidR="0040310C" w:rsidRPr="0040310C" w14:paraId="5F681BD4" w14:textId="77777777" w:rsidTr="00ED1BB1">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3178286A" w14:textId="77777777" w:rsidR="003539BF" w:rsidRPr="00ED1BB1" w:rsidRDefault="003539BF" w:rsidP="003539BF">
            <w:pPr>
              <w:spacing w:after="120"/>
              <w:rPr>
                <w:rFonts w:asciiTheme="minorHAnsi" w:eastAsia="Calibri" w:hAnsiTheme="minorHAnsi"/>
                <w:bCs/>
                <w:noProof/>
                <w:color w:val="245F95" w:themeColor="text2"/>
                <w:sz w:val="22"/>
                <w:szCs w:val="22"/>
              </w:rPr>
            </w:pPr>
            <w:r w:rsidRPr="00ED1BB1">
              <w:rPr>
                <w:rFonts w:asciiTheme="minorHAnsi" w:eastAsia="Calibri" w:hAnsiTheme="minorHAnsi"/>
                <w:bCs/>
                <w:noProof/>
                <w:color w:val="245F95" w:themeColor="text2"/>
                <w:sz w:val="22"/>
                <w:szCs w:val="22"/>
              </w:rPr>
              <w:t>Payment Ceiling</w:t>
            </w:r>
          </w:p>
        </w:tc>
        <w:tc>
          <w:tcPr>
            <w:tcW w:w="1077" w:type="dxa"/>
            <w:vAlign w:val="center"/>
          </w:tcPr>
          <w:p w14:paraId="1BF04BEA" w14:textId="187B30BC" w:rsidR="003539BF" w:rsidRPr="0040310C" w:rsidRDefault="00CD69CB"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r w:rsidRPr="0040310C">
              <w:rPr>
                <w:rFonts w:asciiTheme="minorHAnsi" w:eastAsia="Calibri" w:hAnsiTheme="minorHAnsi"/>
                <w:bCs/>
                <w:noProof/>
                <w:color w:val="000000" w:themeColor="text1"/>
                <w:sz w:val="22"/>
                <w:szCs w:val="22"/>
              </w:rPr>
              <w:t>17</w:t>
            </w:r>
            <w:r w:rsidR="00987849" w:rsidRPr="0040310C">
              <w:rPr>
                <w:rFonts w:asciiTheme="minorHAnsi" w:eastAsia="Calibri" w:hAnsiTheme="minorHAnsi"/>
                <w:bCs/>
                <w:noProof/>
                <w:color w:val="000000" w:themeColor="text1"/>
                <w:sz w:val="22"/>
                <w:szCs w:val="22"/>
              </w:rPr>
              <w:t>5</w:t>
            </w:r>
            <w:r w:rsidR="00401F60" w:rsidRPr="0040310C">
              <w:rPr>
                <w:rFonts w:asciiTheme="minorHAnsi" w:eastAsia="Calibri" w:hAnsiTheme="minorHAnsi"/>
                <w:bCs/>
                <w:noProof/>
                <w:color w:val="000000" w:themeColor="text1"/>
                <w:sz w:val="22"/>
                <w:szCs w:val="22"/>
              </w:rPr>
              <w:t>.</w:t>
            </w:r>
            <w:r w:rsidR="00987849" w:rsidRPr="0040310C">
              <w:rPr>
                <w:rFonts w:asciiTheme="minorHAnsi" w:eastAsia="Calibri" w:hAnsiTheme="minorHAnsi"/>
                <w:bCs/>
                <w:noProof/>
                <w:color w:val="000000" w:themeColor="text1"/>
                <w:sz w:val="22"/>
                <w:szCs w:val="22"/>
              </w:rPr>
              <w:t>4</w:t>
            </w:r>
          </w:p>
        </w:tc>
        <w:tc>
          <w:tcPr>
            <w:tcW w:w="1077" w:type="dxa"/>
            <w:vAlign w:val="center"/>
          </w:tcPr>
          <w:p w14:paraId="6C9D0B33" w14:textId="06FB1CF3" w:rsidR="003539BF" w:rsidRPr="0040310C" w:rsidRDefault="00401F60"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r w:rsidRPr="0040310C">
              <w:rPr>
                <w:rFonts w:asciiTheme="minorHAnsi" w:eastAsia="Calibri" w:hAnsiTheme="minorHAnsi"/>
                <w:bCs/>
                <w:noProof/>
                <w:color w:val="000000" w:themeColor="text1"/>
                <w:sz w:val="22"/>
                <w:szCs w:val="22"/>
              </w:rPr>
              <w:t>1</w:t>
            </w:r>
            <w:r w:rsidR="00987849" w:rsidRPr="0040310C">
              <w:rPr>
                <w:rFonts w:asciiTheme="minorHAnsi" w:eastAsia="Calibri" w:hAnsiTheme="minorHAnsi"/>
                <w:bCs/>
                <w:noProof/>
                <w:color w:val="000000" w:themeColor="text1"/>
                <w:sz w:val="22"/>
                <w:szCs w:val="22"/>
              </w:rPr>
              <w:t>80</w:t>
            </w:r>
            <w:r w:rsidRPr="0040310C">
              <w:rPr>
                <w:rFonts w:asciiTheme="minorHAnsi" w:eastAsia="Calibri" w:hAnsiTheme="minorHAnsi"/>
                <w:bCs/>
                <w:noProof/>
                <w:color w:val="000000" w:themeColor="text1"/>
                <w:sz w:val="22"/>
                <w:szCs w:val="22"/>
              </w:rPr>
              <w:t>.</w:t>
            </w:r>
            <w:r w:rsidR="00987849" w:rsidRPr="0040310C">
              <w:rPr>
                <w:rFonts w:asciiTheme="minorHAnsi" w:eastAsia="Calibri" w:hAnsiTheme="minorHAnsi"/>
                <w:bCs/>
                <w:noProof/>
                <w:color w:val="000000" w:themeColor="text1"/>
                <w:sz w:val="22"/>
                <w:szCs w:val="22"/>
              </w:rPr>
              <w:t>6</w:t>
            </w:r>
          </w:p>
        </w:tc>
        <w:tc>
          <w:tcPr>
            <w:tcW w:w="1077" w:type="dxa"/>
            <w:vAlign w:val="center"/>
          </w:tcPr>
          <w:p w14:paraId="5FC39066" w14:textId="5B46F96F"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r w:rsidRPr="0040310C">
              <w:rPr>
                <w:rFonts w:asciiTheme="minorHAnsi" w:eastAsia="Calibri" w:hAnsiTheme="minorHAnsi"/>
                <w:bCs/>
                <w:noProof/>
                <w:color w:val="000000" w:themeColor="text1"/>
                <w:sz w:val="22"/>
                <w:szCs w:val="22"/>
              </w:rPr>
              <w:t>1</w:t>
            </w:r>
            <w:r w:rsidR="00207BD6" w:rsidRPr="0040310C">
              <w:rPr>
                <w:rFonts w:asciiTheme="minorHAnsi" w:eastAsia="Calibri" w:hAnsiTheme="minorHAnsi"/>
                <w:bCs/>
                <w:noProof/>
                <w:color w:val="000000" w:themeColor="text1"/>
                <w:sz w:val="22"/>
                <w:szCs w:val="22"/>
              </w:rPr>
              <w:t>84</w:t>
            </w:r>
            <w:r w:rsidRPr="0040310C">
              <w:rPr>
                <w:rFonts w:asciiTheme="minorHAnsi" w:eastAsia="Calibri" w:hAnsiTheme="minorHAnsi"/>
                <w:bCs/>
                <w:noProof/>
                <w:color w:val="000000" w:themeColor="text1"/>
                <w:sz w:val="22"/>
                <w:szCs w:val="22"/>
              </w:rPr>
              <w:t>.</w:t>
            </w:r>
            <w:r w:rsidR="00207BD6" w:rsidRPr="0040310C">
              <w:rPr>
                <w:rFonts w:asciiTheme="minorHAnsi" w:eastAsia="Calibri" w:hAnsiTheme="minorHAnsi"/>
                <w:bCs/>
                <w:noProof/>
                <w:color w:val="000000" w:themeColor="text1"/>
                <w:sz w:val="22"/>
                <w:szCs w:val="22"/>
              </w:rPr>
              <w:t>2</w:t>
            </w:r>
          </w:p>
        </w:tc>
        <w:tc>
          <w:tcPr>
            <w:tcW w:w="1077" w:type="dxa"/>
            <w:vAlign w:val="center"/>
          </w:tcPr>
          <w:p w14:paraId="6C87700B" w14:textId="65337137"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p>
        </w:tc>
        <w:tc>
          <w:tcPr>
            <w:tcW w:w="1077" w:type="dxa"/>
            <w:vAlign w:val="center"/>
          </w:tcPr>
          <w:p w14:paraId="15A56518" w14:textId="2F216BEF"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p>
        </w:tc>
        <w:tc>
          <w:tcPr>
            <w:tcW w:w="1077" w:type="dxa"/>
            <w:vAlign w:val="center"/>
          </w:tcPr>
          <w:p w14:paraId="22E251C8" w14:textId="563ACDFB" w:rsidR="003539BF" w:rsidRPr="00ED1BB1" w:rsidRDefault="00207BD6"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245F95" w:themeColor="text2"/>
                <w:sz w:val="22"/>
                <w:szCs w:val="22"/>
              </w:rPr>
            </w:pPr>
            <w:r w:rsidRPr="00ED1BB1">
              <w:rPr>
                <w:rFonts w:asciiTheme="minorHAnsi" w:eastAsia="Calibri" w:hAnsiTheme="minorHAnsi"/>
                <w:b/>
                <w:bCs/>
                <w:noProof/>
                <w:color w:val="245F95" w:themeColor="text2"/>
                <w:sz w:val="22"/>
                <w:szCs w:val="22"/>
              </w:rPr>
              <w:t>540</w:t>
            </w:r>
            <w:r w:rsidR="00D46423" w:rsidRPr="00ED1BB1">
              <w:rPr>
                <w:rFonts w:asciiTheme="minorHAnsi" w:eastAsia="Calibri" w:hAnsiTheme="minorHAnsi"/>
                <w:b/>
                <w:bCs/>
                <w:noProof/>
                <w:color w:val="245F95" w:themeColor="text2"/>
                <w:sz w:val="22"/>
                <w:szCs w:val="22"/>
              </w:rPr>
              <w:t>.</w:t>
            </w:r>
            <w:r w:rsidRPr="00ED1BB1">
              <w:rPr>
                <w:rFonts w:asciiTheme="minorHAnsi" w:eastAsia="Calibri" w:hAnsiTheme="minorHAnsi"/>
                <w:b/>
                <w:bCs/>
                <w:noProof/>
                <w:color w:val="245F95" w:themeColor="text2"/>
                <w:sz w:val="22"/>
                <w:szCs w:val="22"/>
              </w:rPr>
              <w:t>2</w:t>
            </w:r>
          </w:p>
        </w:tc>
      </w:tr>
      <w:tr w:rsidR="0040310C" w:rsidRPr="0040310C" w14:paraId="0B999388" w14:textId="77777777" w:rsidTr="00ED1BB1">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38007A5E" w14:textId="77777777" w:rsidR="003539BF" w:rsidRPr="0040310C" w:rsidRDefault="003539BF" w:rsidP="003539BF">
            <w:pPr>
              <w:spacing w:after="120"/>
              <w:rPr>
                <w:rFonts w:asciiTheme="minorHAnsi" w:eastAsia="Calibri" w:hAnsiTheme="minorHAnsi"/>
                <w:b w:val="0"/>
                <w:bCs/>
                <w:i/>
                <w:iCs/>
                <w:noProof/>
                <w:color w:val="000000" w:themeColor="text1"/>
                <w:sz w:val="22"/>
                <w:szCs w:val="22"/>
              </w:rPr>
            </w:pPr>
            <w:r w:rsidRPr="0040310C">
              <w:rPr>
                <w:rFonts w:asciiTheme="minorHAnsi" w:hAnsiTheme="minorHAnsi"/>
                <w:b w:val="0"/>
                <w:i/>
                <w:iCs/>
                <w:noProof/>
                <w:color w:val="000000" w:themeColor="text1"/>
                <w:sz w:val="22"/>
                <w:szCs w:val="22"/>
              </w:rPr>
              <w:t>In addition, adjustment for MFFR Article 5 (estimate for future years)</w:t>
            </w:r>
          </w:p>
        </w:tc>
        <w:tc>
          <w:tcPr>
            <w:tcW w:w="1077" w:type="dxa"/>
            <w:vAlign w:val="center"/>
          </w:tcPr>
          <w:p w14:paraId="4C999090" w14:textId="335DFDB2"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noProof/>
                <w:color w:val="000000" w:themeColor="text1"/>
                <w:sz w:val="22"/>
                <w:szCs w:val="22"/>
              </w:rPr>
            </w:pPr>
          </w:p>
        </w:tc>
        <w:tc>
          <w:tcPr>
            <w:tcW w:w="1077" w:type="dxa"/>
            <w:vAlign w:val="center"/>
          </w:tcPr>
          <w:p w14:paraId="3A4BCABD" w14:textId="28FCF532"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noProof/>
                <w:color w:val="000000" w:themeColor="text1"/>
                <w:sz w:val="22"/>
                <w:szCs w:val="22"/>
              </w:rPr>
            </w:pPr>
            <w:r w:rsidRPr="0040310C">
              <w:rPr>
                <w:rFonts w:asciiTheme="minorHAnsi" w:hAnsiTheme="minorHAnsi"/>
                <w:i/>
                <w:iCs/>
                <w:noProof/>
                <w:color w:val="000000" w:themeColor="text1"/>
                <w:sz w:val="22"/>
                <w:szCs w:val="22"/>
              </w:rPr>
              <w:t>1</w:t>
            </w:r>
            <w:r w:rsidR="00AA7D32" w:rsidRPr="0040310C">
              <w:rPr>
                <w:rFonts w:asciiTheme="minorHAnsi" w:hAnsiTheme="minorHAnsi"/>
                <w:i/>
                <w:iCs/>
                <w:noProof/>
                <w:color w:val="000000" w:themeColor="text1"/>
                <w:sz w:val="22"/>
                <w:szCs w:val="22"/>
              </w:rPr>
              <w:t>.</w:t>
            </w:r>
            <w:r w:rsidR="00E17975" w:rsidRPr="0040310C">
              <w:rPr>
                <w:rFonts w:asciiTheme="minorHAnsi" w:hAnsiTheme="minorHAnsi"/>
                <w:i/>
                <w:iCs/>
                <w:noProof/>
                <w:color w:val="000000" w:themeColor="text1"/>
                <w:sz w:val="22"/>
                <w:szCs w:val="22"/>
              </w:rPr>
              <w:t>8</w:t>
            </w:r>
          </w:p>
        </w:tc>
        <w:tc>
          <w:tcPr>
            <w:tcW w:w="1077" w:type="dxa"/>
            <w:vAlign w:val="center"/>
          </w:tcPr>
          <w:p w14:paraId="08AD9A1E" w14:textId="0B574A65" w:rsidR="003539BF" w:rsidRPr="0040310C" w:rsidRDefault="00E17975"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noProof/>
                <w:color w:val="000000" w:themeColor="text1"/>
                <w:sz w:val="22"/>
                <w:szCs w:val="22"/>
              </w:rPr>
            </w:pPr>
            <w:r w:rsidRPr="0040310C">
              <w:rPr>
                <w:rFonts w:asciiTheme="minorHAnsi" w:hAnsiTheme="minorHAnsi"/>
                <w:i/>
                <w:iCs/>
                <w:noProof/>
                <w:color w:val="000000" w:themeColor="text1"/>
                <w:sz w:val="22"/>
                <w:szCs w:val="22"/>
              </w:rPr>
              <w:t>3.2</w:t>
            </w:r>
          </w:p>
        </w:tc>
        <w:tc>
          <w:tcPr>
            <w:tcW w:w="1077" w:type="dxa"/>
            <w:vAlign w:val="center"/>
          </w:tcPr>
          <w:p w14:paraId="06FE2221" w14:textId="3921117C"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noProof/>
                <w:color w:val="000000" w:themeColor="text1"/>
                <w:sz w:val="22"/>
                <w:szCs w:val="22"/>
              </w:rPr>
            </w:pPr>
          </w:p>
        </w:tc>
        <w:tc>
          <w:tcPr>
            <w:tcW w:w="1077" w:type="dxa"/>
            <w:vAlign w:val="center"/>
          </w:tcPr>
          <w:p w14:paraId="01F123B3" w14:textId="37DA5F9E"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i/>
                <w:iCs/>
                <w:noProof/>
                <w:color w:val="000000" w:themeColor="text1"/>
                <w:sz w:val="22"/>
                <w:szCs w:val="22"/>
              </w:rPr>
            </w:pPr>
          </w:p>
        </w:tc>
        <w:tc>
          <w:tcPr>
            <w:tcW w:w="1077" w:type="dxa"/>
            <w:vAlign w:val="center"/>
          </w:tcPr>
          <w:p w14:paraId="5E700C6D" w14:textId="10FBA176" w:rsidR="003539BF" w:rsidRPr="00ED1BB1" w:rsidRDefault="00E17975"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i/>
                <w:iCs/>
                <w:noProof/>
                <w:color w:val="245F95" w:themeColor="text2"/>
                <w:sz w:val="22"/>
                <w:szCs w:val="22"/>
              </w:rPr>
            </w:pPr>
            <w:r w:rsidRPr="00ED1BB1">
              <w:rPr>
                <w:rFonts w:asciiTheme="minorHAnsi" w:eastAsia="Calibri" w:hAnsiTheme="minorHAnsi"/>
                <w:b/>
                <w:bCs/>
                <w:i/>
                <w:iCs/>
                <w:noProof/>
                <w:color w:val="245F95" w:themeColor="text2"/>
                <w:sz w:val="22"/>
                <w:szCs w:val="22"/>
              </w:rPr>
              <w:t>4</w:t>
            </w:r>
            <w:r w:rsidR="003539BF" w:rsidRPr="00ED1BB1">
              <w:rPr>
                <w:rFonts w:asciiTheme="minorHAnsi" w:eastAsia="Calibri" w:hAnsiTheme="minorHAnsi"/>
                <w:b/>
                <w:bCs/>
                <w:i/>
                <w:iCs/>
                <w:noProof/>
                <w:color w:val="245F95" w:themeColor="text2"/>
                <w:sz w:val="22"/>
                <w:szCs w:val="22"/>
              </w:rPr>
              <w:t>.</w:t>
            </w:r>
            <w:r w:rsidRPr="00ED1BB1">
              <w:rPr>
                <w:rFonts w:asciiTheme="minorHAnsi" w:eastAsia="Calibri" w:hAnsiTheme="minorHAnsi"/>
                <w:b/>
                <w:bCs/>
                <w:i/>
                <w:iCs/>
                <w:noProof/>
                <w:color w:val="245F95" w:themeColor="text2"/>
                <w:sz w:val="22"/>
                <w:szCs w:val="22"/>
              </w:rPr>
              <w:t>9</w:t>
            </w:r>
          </w:p>
        </w:tc>
      </w:tr>
      <w:tr w:rsidR="0040310C" w:rsidRPr="0040310C" w14:paraId="1862E808" w14:textId="77777777" w:rsidTr="00ED1BB1">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1DBD8B65" w14:textId="77777777" w:rsidR="003539BF" w:rsidRPr="0040310C" w:rsidRDefault="003539BF" w:rsidP="003539BF">
            <w:pPr>
              <w:spacing w:after="120"/>
              <w:rPr>
                <w:rFonts w:asciiTheme="minorHAnsi" w:eastAsia="Calibri" w:hAnsiTheme="minorHAnsi"/>
                <w:b w:val="0"/>
                <w:bCs/>
                <w:noProof/>
                <w:color w:val="000000" w:themeColor="text1"/>
                <w:sz w:val="22"/>
                <w:szCs w:val="22"/>
              </w:rPr>
            </w:pPr>
            <w:r w:rsidRPr="0040310C">
              <w:rPr>
                <w:rFonts w:asciiTheme="minorHAnsi" w:eastAsia="Calibri" w:hAnsiTheme="minorHAnsi"/>
                <w:b w:val="0"/>
                <w:bCs/>
                <w:noProof/>
                <w:color w:val="000000" w:themeColor="text1"/>
                <w:sz w:val="22"/>
                <w:szCs w:val="22"/>
              </w:rPr>
              <w:t>Commitments (programmed)*</w:t>
            </w:r>
          </w:p>
        </w:tc>
        <w:tc>
          <w:tcPr>
            <w:tcW w:w="1077" w:type="dxa"/>
            <w:vAlign w:val="center"/>
          </w:tcPr>
          <w:p w14:paraId="169E4AB0" w14:textId="07A772FD" w:rsidR="003539BF" w:rsidRPr="0040310C" w:rsidRDefault="00C14D3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themeColor="text1"/>
                <w:sz w:val="22"/>
                <w:szCs w:val="22"/>
              </w:rPr>
            </w:pPr>
            <w:r w:rsidRPr="0040310C">
              <w:rPr>
                <w:rFonts w:asciiTheme="minorHAnsi" w:hAnsiTheme="minorHAnsi"/>
                <w:noProof/>
                <w:color w:val="000000" w:themeColor="text1"/>
                <w:sz w:val="22"/>
                <w:szCs w:val="22"/>
              </w:rPr>
              <w:t>19</w:t>
            </w:r>
            <w:r w:rsidR="004754E4">
              <w:rPr>
                <w:rFonts w:asciiTheme="minorHAnsi" w:hAnsiTheme="minorHAnsi"/>
                <w:noProof/>
                <w:color w:val="000000" w:themeColor="text1"/>
                <w:sz w:val="22"/>
                <w:szCs w:val="22"/>
              </w:rPr>
              <w:t>9</w:t>
            </w:r>
            <w:r w:rsidRPr="0040310C">
              <w:rPr>
                <w:rFonts w:asciiTheme="minorHAnsi" w:hAnsiTheme="minorHAnsi"/>
                <w:noProof/>
                <w:color w:val="000000" w:themeColor="text1"/>
                <w:sz w:val="22"/>
                <w:szCs w:val="22"/>
              </w:rPr>
              <w:t>.</w:t>
            </w:r>
            <w:r w:rsidR="006F603F">
              <w:rPr>
                <w:rFonts w:asciiTheme="minorHAnsi" w:hAnsiTheme="minorHAnsi"/>
                <w:noProof/>
                <w:color w:val="000000" w:themeColor="text1"/>
                <w:sz w:val="22"/>
                <w:szCs w:val="22"/>
              </w:rPr>
              <w:t>8</w:t>
            </w:r>
          </w:p>
        </w:tc>
        <w:tc>
          <w:tcPr>
            <w:tcW w:w="1077" w:type="dxa"/>
            <w:vAlign w:val="center"/>
          </w:tcPr>
          <w:p w14:paraId="51A410FC" w14:textId="0D7F0026"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themeColor="text1"/>
                <w:sz w:val="22"/>
                <w:szCs w:val="22"/>
              </w:rPr>
            </w:pPr>
            <w:r w:rsidRPr="0040310C">
              <w:rPr>
                <w:rFonts w:asciiTheme="minorHAnsi" w:hAnsiTheme="minorHAnsi"/>
                <w:noProof/>
                <w:color w:val="000000" w:themeColor="text1"/>
                <w:sz w:val="22"/>
                <w:szCs w:val="22"/>
              </w:rPr>
              <w:t>1</w:t>
            </w:r>
            <w:r w:rsidR="00600F00" w:rsidRPr="0040310C">
              <w:rPr>
                <w:rFonts w:asciiTheme="minorHAnsi" w:hAnsiTheme="minorHAnsi"/>
                <w:noProof/>
                <w:color w:val="000000" w:themeColor="text1"/>
                <w:sz w:val="22"/>
                <w:szCs w:val="22"/>
              </w:rPr>
              <w:t>8</w:t>
            </w:r>
            <w:r w:rsidR="00294167">
              <w:rPr>
                <w:rFonts w:asciiTheme="minorHAnsi" w:hAnsiTheme="minorHAnsi"/>
                <w:noProof/>
                <w:color w:val="000000" w:themeColor="text1"/>
                <w:sz w:val="22"/>
                <w:szCs w:val="22"/>
              </w:rPr>
              <w:t>8</w:t>
            </w:r>
            <w:r w:rsidRPr="0040310C">
              <w:rPr>
                <w:rFonts w:asciiTheme="minorHAnsi" w:hAnsiTheme="minorHAnsi"/>
                <w:noProof/>
                <w:color w:val="000000" w:themeColor="text1"/>
                <w:sz w:val="22"/>
                <w:szCs w:val="22"/>
              </w:rPr>
              <w:t>.</w:t>
            </w:r>
            <w:r w:rsidR="00294167">
              <w:rPr>
                <w:rFonts w:asciiTheme="minorHAnsi" w:hAnsiTheme="minorHAnsi"/>
                <w:noProof/>
                <w:color w:val="000000" w:themeColor="text1"/>
                <w:sz w:val="22"/>
                <w:szCs w:val="22"/>
              </w:rPr>
              <w:t>5</w:t>
            </w:r>
          </w:p>
        </w:tc>
        <w:tc>
          <w:tcPr>
            <w:tcW w:w="1077" w:type="dxa"/>
            <w:vAlign w:val="center"/>
          </w:tcPr>
          <w:p w14:paraId="1E2C8597" w14:textId="3DF2FAB9"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themeColor="text1"/>
                <w:sz w:val="22"/>
                <w:szCs w:val="22"/>
              </w:rPr>
            </w:pPr>
            <w:r w:rsidRPr="0040310C">
              <w:rPr>
                <w:rFonts w:asciiTheme="minorHAnsi" w:hAnsiTheme="minorHAnsi"/>
                <w:noProof/>
                <w:color w:val="000000" w:themeColor="text1"/>
                <w:sz w:val="22"/>
                <w:szCs w:val="22"/>
              </w:rPr>
              <w:t>1</w:t>
            </w:r>
            <w:r w:rsidR="00F73B1B" w:rsidRPr="0040310C">
              <w:rPr>
                <w:rFonts w:asciiTheme="minorHAnsi" w:hAnsiTheme="minorHAnsi"/>
                <w:noProof/>
                <w:color w:val="000000" w:themeColor="text1"/>
                <w:sz w:val="22"/>
                <w:szCs w:val="22"/>
              </w:rPr>
              <w:t>9</w:t>
            </w:r>
            <w:r w:rsidR="0034434A">
              <w:rPr>
                <w:rFonts w:asciiTheme="minorHAnsi" w:hAnsiTheme="minorHAnsi"/>
                <w:noProof/>
                <w:color w:val="000000" w:themeColor="text1"/>
                <w:sz w:val="22"/>
                <w:szCs w:val="22"/>
              </w:rPr>
              <w:t>5</w:t>
            </w:r>
            <w:r w:rsidRPr="0040310C">
              <w:rPr>
                <w:rFonts w:asciiTheme="minorHAnsi" w:hAnsiTheme="minorHAnsi"/>
                <w:noProof/>
                <w:color w:val="000000" w:themeColor="text1"/>
                <w:sz w:val="22"/>
                <w:szCs w:val="22"/>
              </w:rPr>
              <w:t>.</w:t>
            </w:r>
            <w:r w:rsidR="008C6001">
              <w:rPr>
                <w:rFonts w:asciiTheme="minorHAnsi" w:hAnsiTheme="minorHAnsi"/>
                <w:noProof/>
                <w:color w:val="000000" w:themeColor="text1"/>
                <w:sz w:val="22"/>
                <w:szCs w:val="22"/>
              </w:rPr>
              <w:t>3</w:t>
            </w:r>
          </w:p>
        </w:tc>
        <w:tc>
          <w:tcPr>
            <w:tcW w:w="1077" w:type="dxa"/>
            <w:vAlign w:val="center"/>
          </w:tcPr>
          <w:p w14:paraId="2D0DB6DE" w14:textId="40F3903C"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themeColor="text1"/>
                <w:sz w:val="22"/>
                <w:szCs w:val="22"/>
              </w:rPr>
            </w:pPr>
          </w:p>
        </w:tc>
        <w:tc>
          <w:tcPr>
            <w:tcW w:w="1077" w:type="dxa"/>
            <w:vAlign w:val="center"/>
          </w:tcPr>
          <w:p w14:paraId="1EFBD65A" w14:textId="1F1D6FA3"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p>
        </w:tc>
        <w:tc>
          <w:tcPr>
            <w:tcW w:w="1077" w:type="dxa"/>
            <w:vAlign w:val="center"/>
          </w:tcPr>
          <w:p w14:paraId="022D214B" w14:textId="2D89687F" w:rsidR="003539BF" w:rsidRPr="00ED1BB1" w:rsidRDefault="00F73B1B"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noProof/>
                <w:color w:val="245F95" w:themeColor="text2"/>
                <w:sz w:val="22"/>
                <w:szCs w:val="22"/>
              </w:rPr>
            </w:pPr>
            <w:r w:rsidRPr="00ED1BB1">
              <w:rPr>
                <w:rFonts w:asciiTheme="minorHAnsi" w:eastAsia="Calibri" w:hAnsiTheme="minorHAnsi"/>
                <w:b/>
                <w:noProof/>
                <w:color w:val="245F95" w:themeColor="text2"/>
                <w:sz w:val="22"/>
                <w:szCs w:val="22"/>
              </w:rPr>
              <w:t>5</w:t>
            </w:r>
            <w:r w:rsidR="00165CB5">
              <w:rPr>
                <w:rFonts w:asciiTheme="minorHAnsi" w:eastAsia="Calibri" w:hAnsiTheme="minorHAnsi"/>
                <w:b/>
                <w:noProof/>
                <w:color w:val="245F95" w:themeColor="text2"/>
                <w:sz w:val="22"/>
                <w:szCs w:val="22"/>
              </w:rPr>
              <w:t>8</w:t>
            </w:r>
            <w:r w:rsidR="0022556F" w:rsidRPr="00ED1BB1">
              <w:rPr>
                <w:rFonts w:asciiTheme="minorHAnsi" w:eastAsia="Calibri" w:hAnsiTheme="minorHAnsi"/>
                <w:b/>
                <w:noProof/>
                <w:color w:val="245F95" w:themeColor="text2"/>
                <w:sz w:val="22"/>
                <w:szCs w:val="22"/>
              </w:rPr>
              <w:t>3</w:t>
            </w:r>
            <w:r w:rsidR="003E6C8F" w:rsidRPr="00ED1BB1">
              <w:rPr>
                <w:rFonts w:asciiTheme="minorHAnsi" w:eastAsia="Calibri" w:hAnsiTheme="minorHAnsi"/>
                <w:b/>
                <w:noProof/>
                <w:color w:val="245F95" w:themeColor="text2"/>
                <w:sz w:val="22"/>
                <w:szCs w:val="22"/>
              </w:rPr>
              <w:t>.</w:t>
            </w:r>
            <w:r w:rsidR="008C6001">
              <w:rPr>
                <w:rFonts w:asciiTheme="minorHAnsi" w:eastAsia="Calibri" w:hAnsiTheme="minorHAnsi"/>
                <w:b/>
                <w:noProof/>
                <w:color w:val="245F95" w:themeColor="text2"/>
                <w:sz w:val="22"/>
                <w:szCs w:val="22"/>
              </w:rPr>
              <w:t>7</w:t>
            </w:r>
          </w:p>
        </w:tc>
      </w:tr>
      <w:tr w:rsidR="0040310C" w:rsidRPr="0040310C" w14:paraId="2775948F" w14:textId="77777777" w:rsidTr="00ED1BB1">
        <w:trPr>
          <w:trHeight w:val="300"/>
        </w:trPr>
        <w:tc>
          <w:tcPr>
            <w:cnfStyle w:val="001000000000" w:firstRow="0" w:lastRow="0" w:firstColumn="1" w:lastColumn="0" w:oddVBand="0" w:evenVBand="0" w:oddHBand="0" w:evenHBand="0" w:firstRowFirstColumn="0" w:firstRowLastColumn="0" w:lastRowFirstColumn="0" w:lastRowLastColumn="0"/>
            <w:tcW w:w="3288" w:type="dxa"/>
            <w:tcBorders>
              <w:bottom w:val="single" w:sz="6" w:space="0" w:color="BFBFBF" w:themeColor="background1" w:themeShade="BF"/>
            </w:tcBorders>
          </w:tcPr>
          <w:p w14:paraId="256C2DB6" w14:textId="1B373DC8" w:rsidR="003539BF" w:rsidRPr="0040310C" w:rsidRDefault="003539BF" w:rsidP="003539BF">
            <w:pPr>
              <w:spacing w:after="120"/>
              <w:rPr>
                <w:rFonts w:asciiTheme="minorHAnsi" w:eastAsia="Calibri" w:hAnsiTheme="minorHAnsi"/>
                <w:b w:val="0"/>
                <w:bCs/>
                <w:noProof/>
                <w:color w:val="000000" w:themeColor="text1"/>
                <w:sz w:val="22"/>
                <w:szCs w:val="22"/>
              </w:rPr>
            </w:pPr>
            <w:r w:rsidRPr="0040310C">
              <w:rPr>
                <w:rFonts w:asciiTheme="minorHAnsi" w:eastAsia="Calibri" w:hAnsiTheme="minorHAnsi"/>
                <w:b w:val="0"/>
                <w:bCs/>
                <w:noProof/>
                <w:color w:val="000000" w:themeColor="text1"/>
                <w:sz w:val="22"/>
                <w:szCs w:val="22"/>
              </w:rPr>
              <w:t>Forecast Payments</w:t>
            </w:r>
            <w:r w:rsidRPr="0040310C">
              <w:rPr>
                <w:rFonts w:asciiTheme="minorHAnsi" w:eastAsia="Calibri" w:hAnsiTheme="minorHAnsi"/>
                <w:b w:val="0"/>
                <w:noProof/>
                <w:color w:val="000000" w:themeColor="text1"/>
                <w:sz w:val="22"/>
                <w:szCs w:val="22"/>
              </w:rPr>
              <w:t>*</w:t>
            </w:r>
            <w:r w:rsidR="00E50A59">
              <w:rPr>
                <w:rFonts w:asciiTheme="minorHAnsi" w:eastAsia="Calibri" w:hAnsiTheme="minorHAnsi"/>
                <w:b w:val="0"/>
                <w:noProof/>
                <w:color w:val="000000" w:themeColor="text1"/>
                <w:sz w:val="22"/>
                <w:szCs w:val="22"/>
              </w:rPr>
              <w:t>*</w:t>
            </w:r>
          </w:p>
        </w:tc>
        <w:tc>
          <w:tcPr>
            <w:tcW w:w="1077" w:type="dxa"/>
            <w:tcBorders>
              <w:bottom w:val="single" w:sz="6" w:space="0" w:color="BFBFBF" w:themeColor="background1" w:themeShade="BF"/>
            </w:tcBorders>
            <w:vAlign w:val="center"/>
          </w:tcPr>
          <w:p w14:paraId="3E1A111A" w14:textId="1EB50FC8" w:rsidR="003539BF" w:rsidRPr="0040310C" w:rsidRDefault="001506F3"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themeColor="text1"/>
                <w:sz w:val="22"/>
                <w:szCs w:val="22"/>
              </w:rPr>
            </w:pPr>
            <w:r w:rsidRPr="0040310C">
              <w:rPr>
                <w:rFonts w:asciiTheme="minorHAnsi" w:hAnsiTheme="minorHAnsi"/>
                <w:noProof/>
                <w:color w:val="000000" w:themeColor="text1"/>
                <w:sz w:val="22"/>
                <w:szCs w:val="22"/>
              </w:rPr>
              <w:t>1</w:t>
            </w:r>
            <w:r w:rsidR="00165CB5">
              <w:rPr>
                <w:rFonts w:asciiTheme="minorHAnsi" w:hAnsiTheme="minorHAnsi"/>
                <w:noProof/>
                <w:color w:val="000000" w:themeColor="text1"/>
                <w:sz w:val="22"/>
                <w:szCs w:val="22"/>
              </w:rPr>
              <w:t>5</w:t>
            </w:r>
            <w:r w:rsidR="0049380A" w:rsidRPr="0040310C">
              <w:rPr>
                <w:rFonts w:asciiTheme="minorHAnsi" w:hAnsiTheme="minorHAnsi"/>
                <w:noProof/>
                <w:color w:val="000000" w:themeColor="text1"/>
                <w:sz w:val="22"/>
                <w:szCs w:val="22"/>
              </w:rPr>
              <w:t>2</w:t>
            </w:r>
            <w:r w:rsidR="003539BF" w:rsidRPr="0040310C">
              <w:rPr>
                <w:rFonts w:asciiTheme="minorHAnsi" w:hAnsiTheme="minorHAnsi"/>
                <w:noProof/>
                <w:color w:val="000000" w:themeColor="text1"/>
                <w:sz w:val="22"/>
                <w:szCs w:val="22"/>
              </w:rPr>
              <w:t>.</w:t>
            </w:r>
            <w:r w:rsidR="00165CB5">
              <w:rPr>
                <w:rFonts w:asciiTheme="minorHAnsi" w:hAnsiTheme="minorHAnsi"/>
                <w:noProof/>
                <w:color w:val="000000" w:themeColor="text1"/>
                <w:sz w:val="22"/>
                <w:szCs w:val="22"/>
              </w:rPr>
              <w:t>7</w:t>
            </w:r>
          </w:p>
        </w:tc>
        <w:tc>
          <w:tcPr>
            <w:tcW w:w="1077" w:type="dxa"/>
            <w:tcBorders>
              <w:bottom w:val="single" w:sz="6" w:space="0" w:color="BFBFBF" w:themeColor="background1" w:themeShade="BF"/>
            </w:tcBorders>
            <w:vAlign w:val="center"/>
          </w:tcPr>
          <w:p w14:paraId="090EDE20" w14:textId="53032387" w:rsidR="003539BF" w:rsidRPr="0040310C" w:rsidRDefault="008F0319"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themeColor="text1"/>
                <w:sz w:val="22"/>
                <w:szCs w:val="22"/>
              </w:rPr>
            </w:pPr>
            <w:r w:rsidRPr="0040310C">
              <w:rPr>
                <w:rFonts w:asciiTheme="minorHAnsi" w:hAnsiTheme="minorHAnsi"/>
                <w:noProof/>
                <w:color w:val="000000" w:themeColor="text1"/>
                <w:sz w:val="22"/>
                <w:szCs w:val="22"/>
              </w:rPr>
              <w:t>1</w:t>
            </w:r>
            <w:r w:rsidR="0049380A" w:rsidRPr="0040310C">
              <w:rPr>
                <w:rFonts w:asciiTheme="minorHAnsi" w:hAnsiTheme="minorHAnsi"/>
                <w:noProof/>
                <w:color w:val="000000" w:themeColor="text1"/>
                <w:sz w:val="22"/>
                <w:szCs w:val="22"/>
              </w:rPr>
              <w:t>8</w:t>
            </w:r>
            <w:r w:rsidR="008C6001">
              <w:rPr>
                <w:rFonts w:asciiTheme="minorHAnsi" w:hAnsiTheme="minorHAnsi"/>
                <w:noProof/>
                <w:color w:val="000000" w:themeColor="text1"/>
                <w:sz w:val="22"/>
                <w:szCs w:val="22"/>
              </w:rPr>
              <w:t>5</w:t>
            </w:r>
            <w:r w:rsidR="003539BF" w:rsidRPr="0040310C">
              <w:rPr>
                <w:rFonts w:asciiTheme="minorHAnsi" w:hAnsiTheme="minorHAnsi"/>
                <w:noProof/>
                <w:color w:val="000000" w:themeColor="text1"/>
                <w:sz w:val="22"/>
                <w:szCs w:val="22"/>
              </w:rPr>
              <w:t>.</w:t>
            </w:r>
            <w:r w:rsidR="002120BF">
              <w:rPr>
                <w:rFonts w:asciiTheme="minorHAnsi" w:hAnsiTheme="minorHAnsi"/>
                <w:noProof/>
                <w:color w:val="000000" w:themeColor="text1"/>
                <w:sz w:val="22"/>
                <w:szCs w:val="22"/>
              </w:rPr>
              <w:t>6</w:t>
            </w:r>
          </w:p>
        </w:tc>
        <w:tc>
          <w:tcPr>
            <w:tcW w:w="1077" w:type="dxa"/>
            <w:tcBorders>
              <w:bottom w:val="single" w:sz="6" w:space="0" w:color="BFBFBF" w:themeColor="background1" w:themeShade="BF"/>
            </w:tcBorders>
            <w:vAlign w:val="center"/>
          </w:tcPr>
          <w:p w14:paraId="1A6C36A3" w14:textId="7D808BDA" w:rsidR="003539BF" w:rsidRPr="0040310C" w:rsidRDefault="008F0319"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themeColor="text1"/>
                <w:sz w:val="22"/>
                <w:szCs w:val="22"/>
              </w:rPr>
            </w:pPr>
            <w:r w:rsidRPr="0040310C">
              <w:rPr>
                <w:rFonts w:asciiTheme="minorHAnsi" w:hAnsiTheme="minorHAnsi"/>
                <w:noProof/>
                <w:color w:val="000000" w:themeColor="text1"/>
                <w:sz w:val="22"/>
                <w:szCs w:val="22"/>
              </w:rPr>
              <w:t>19</w:t>
            </w:r>
            <w:r w:rsidR="00E86777">
              <w:rPr>
                <w:rFonts w:asciiTheme="minorHAnsi" w:hAnsiTheme="minorHAnsi"/>
                <w:noProof/>
                <w:color w:val="000000" w:themeColor="text1"/>
                <w:sz w:val="22"/>
                <w:szCs w:val="22"/>
              </w:rPr>
              <w:t>7</w:t>
            </w:r>
            <w:r w:rsidR="003539BF" w:rsidRPr="0040310C">
              <w:rPr>
                <w:rFonts w:asciiTheme="minorHAnsi" w:hAnsiTheme="minorHAnsi"/>
                <w:noProof/>
                <w:color w:val="000000" w:themeColor="text1"/>
                <w:sz w:val="22"/>
                <w:szCs w:val="22"/>
              </w:rPr>
              <w:t>.</w:t>
            </w:r>
            <w:r w:rsidR="002120BF">
              <w:rPr>
                <w:rFonts w:asciiTheme="minorHAnsi" w:hAnsiTheme="minorHAnsi"/>
                <w:noProof/>
                <w:color w:val="000000" w:themeColor="text1"/>
                <w:sz w:val="22"/>
                <w:szCs w:val="22"/>
              </w:rPr>
              <w:t>7</w:t>
            </w:r>
          </w:p>
        </w:tc>
        <w:tc>
          <w:tcPr>
            <w:tcW w:w="1077" w:type="dxa"/>
            <w:tcBorders>
              <w:bottom w:val="single" w:sz="6" w:space="0" w:color="BFBFBF" w:themeColor="background1" w:themeShade="BF"/>
            </w:tcBorders>
            <w:vAlign w:val="center"/>
          </w:tcPr>
          <w:p w14:paraId="4478C9DB" w14:textId="678A5DD5"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themeColor="text1"/>
                <w:sz w:val="22"/>
                <w:szCs w:val="22"/>
              </w:rPr>
            </w:pPr>
            <w:r w:rsidRPr="0040310C">
              <w:rPr>
                <w:rFonts w:asciiTheme="minorHAnsi" w:hAnsiTheme="minorHAnsi"/>
                <w:noProof/>
                <w:color w:val="000000" w:themeColor="text1"/>
                <w:sz w:val="22"/>
                <w:szCs w:val="22"/>
              </w:rPr>
              <w:t>1</w:t>
            </w:r>
            <w:r w:rsidR="00E614EA" w:rsidRPr="0040310C">
              <w:rPr>
                <w:rFonts w:asciiTheme="minorHAnsi" w:hAnsiTheme="minorHAnsi"/>
                <w:noProof/>
                <w:color w:val="000000" w:themeColor="text1"/>
                <w:sz w:val="22"/>
                <w:szCs w:val="22"/>
              </w:rPr>
              <w:t>4</w:t>
            </w:r>
            <w:r w:rsidR="00E86777">
              <w:rPr>
                <w:rFonts w:asciiTheme="minorHAnsi" w:hAnsiTheme="minorHAnsi"/>
                <w:noProof/>
                <w:color w:val="000000" w:themeColor="text1"/>
                <w:sz w:val="22"/>
                <w:szCs w:val="22"/>
              </w:rPr>
              <w:t>4</w:t>
            </w:r>
            <w:r w:rsidRPr="0040310C">
              <w:rPr>
                <w:rFonts w:asciiTheme="minorHAnsi" w:hAnsiTheme="minorHAnsi"/>
                <w:noProof/>
                <w:color w:val="000000" w:themeColor="text1"/>
                <w:sz w:val="22"/>
                <w:szCs w:val="22"/>
              </w:rPr>
              <w:t>.</w:t>
            </w:r>
            <w:r w:rsidR="002120BF">
              <w:rPr>
                <w:rFonts w:asciiTheme="minorHAnsi" w:hAnsiTheme="minorHAnsi"/>
                <w:noProof/>
                <w:color w:val="000000" w:themeColor="text1"/>
                <w:sz w:val="22"/>
                <w:szCs w:val="22"/>
              </w:rPr>
              <w:t>7</w:t>
            </w:r>
          </w:p>
        </w:tc>
        <w:tc>
          <w:tcPr>
            <w:tcW w:w="1077" w:type="dxa"/>
            <w:tcBorders>
              <w:bottom w:val="single" w:sz="6" w:space="0" w:color="BFBFBF" w:themeColor="background1" w:themeShade="BF"/>
            </w:tcBorders>
            <w:vAlign w:val="center"/>
          </w:tcPr>
          <w:p w14:paraId="1C4723C1" w14:textId="7ACDA7DC" w:rsidR="003539BF" w:rsidRPr="0040310C" w:rsidRDefault="0012367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r w:rsidRPr="0040310C">
              <w:rPr>
                <w:rFonts w:asciiTheme="minorHAnsi" w:hAnsiTheme="minorHAnsi"/>
                <w:noProof/>
                <w:color w:val="000000" w:themeColor="text1"/>
                <w:sz w:val="22"/>
                <w:szCs w:val="22"/>
              </w:rPr>
              <w:t>1</w:t>
            </w:r>
            <w:r w:rsidR="00463B69" w:rsidRPr="0040310C">
              <w:rPr>
                <w:rFonts w:asciiTheme="minorHAnsi" w:hAnsiTheme="minorHAnsi"/>
                <w:noProof/>
                <w:color w:val="000000" w:themeColor="text1"/>
                <w:sz w:val="22"/>
                <w:szCs w:val="22"/>
              </w:rPr>
              <w:t>2</w:t>
            </w:r>
            <w:r w:rsidR="00E86777">
              <w:rPr>
                <w:rFonts w:asciiTheme="minorHAnsi" w:hAnsiTheme="minorHAnsi"/>
                <w:noProof/>
                <w:color w:val="000000" w:themeColor="text1"/>
                <w:sz w:val="22"/>
                <w:szCs w:val="22"/>
              </w:rPr>
              <w:t>3</w:t>
            </w:r>
            <w:r w:rsidRPr="0040310C">
              <w:rPr>
                <w:rFonts w:asciiTheme="minorHAnsi" w:hAnsiTheme="minorHAnsi"/>
                <w:noProof/>
                <w:color w:val="000000" w:themeColor="text1"/>
                <w:sz w:val="22"/>
                <w:szCs w:val="22"/>
              </w:rPr>
              <w:t>.</w:t>
            </w:r>
            <w:r w:rsidR="002120BF">
              <w:rPr>
                <w:rFonts w:asciiTheme="minorHAnsi" w:hAnsiTheme="minorHAnsi"/>
                <w:noProof/>
                <w:color w:val="000000" w:themeColor="text1"/>
                <w:sz w:val="22"/>
                <w:szCs w:val="22"/>
              </w:rPr>
              <w:t>3</w:t>
            </w:r>
          </w:p>
        </w:tc>
        <w:tc>
          <w:tcPr>
            <w:tcW w:w="1077" w:type="dxa"/>
            <w:tcBorders>
              <w:bottom w:val="single" w:sz="6" w:space="0" w:color="BFBFBF" w:themeColor="background1" w:themeShade="BF"/>
            </w:tcBorders>
            <w:vAlign w:val="center"/>
          </w:tcPr>
          <w:p w14:paraId="68E4AAB3" w14:textId="0E4A7A8C" w:rsidR="003539BF" w:rsidRPr="00ED1BB1" w:rsidRDefault="008C6001"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noProof/>
                <w:color w:val="245F95" w:themeColor="text2"/>
                <w:sz w:val="22"/>
                <w:szCs w:val="22"/>
              </w:rPr>
            </w:pPr>
            <w:r>
              <w:rPr>
                <w:rFonts w:asciiTheme="minorHAnsi" w:eastAsia="Calibri" w:hAnsiTheme="minorHAnsi"/>
                <w:b/>
                <w:noProof/>
                <w:color w:val="245F95" w:themeColor="text2"/>
                <w:sz w:val="22"/>
                <w:szCs w:val="22"/>
              </w:rPr>
              <w:t>80</w:t>
            </w:r>
            <w:r w:rsidR="002120BF">
              <w:rPr>
                <w:rFonts w:asciiTheme="minorHAnsi" w:eastAsia="Calibri" w:hAnsiTheme="minorHAnsi"/>
                <w:b/>
                <w:noProof/>
                <w:color w:val="245F95" w:themeColor="text2"/>
                <w:sz w:val="22"/>
                <w:szCs w:val="22"/>
              </w:rPr>
              <w:t>4</w:t>
            </w:r>
            <w:r>
              <w:rPr>
                <w:rFonts w:asciiTheme="minorHAnsi" w:eastAsia="Calibri" w:hAnsiTheme="minorHAnsi"/>
                <w:b/>
                <w:noProof/>
                <w:color w:val="245F95" w:themeColor="text2"/>
                <w:sz w:val="22"/>
                <w:szCs w:val="22"/>
              </w:rPr>
              <w:t>.</w:t>
            </w:r>
            <w:r w:rsidR="002120BF">
              <w:rPr>
                <w:rFonts w:asciiTheme="minorHAnsi" w:eastAsia="Calibri" w:hAnsiTheme="minorHAnsi"/>
                <w:b/>
                <w:noProof/>
                <w:color w:val="245F95" w:themeColor="text2"/>
                <w:sz w:val="22"/>
                <w:szCs w:val="22"/>
              </w:rPr>
              <w:t>1</w:t>
            </w:r>
          </w:p>
        </w:tc>
      </w:tr>
      <w:tr w:rsidR="0040310C" w:rsidRPr="0040310C" w14:paraId="2026525A" w14:textId="77777777" w:rsidTr="00ED1BB1">
        <w:trPr>
          <w:trHeight w:val="300"/>
        </w:trPr>
        <w:tc>
          <w:tcPr>
            <w:cnfStyle w:val="001000000000" w:firstRow="0" w:lastRow="0" w:firstColumn="1" w:lastColumn="0" w:oddVBand="0" w:evenVBand="0" w:oddHBand="0" w:evenHBand="0" w:firstRowFirstColumn="0" w:firstRowLastColumn="0" w:lastRowFirstColumn="0" w:lastRowLastColumn="0"/>
            <w:tcW w:w="3288" w:type="dxa"/>
            <w:tcBorders>
              <w:top w:val="single" w:sz="6" w:space="0" w:color="BFBFBF" w:themeColor="background1" w:themeShade="BF"/>
              <w:bottom w:val="nil"/>
            </w:tcBorders>
          </w:tcPr>
          <w:p w14:paraId="64D0EB44" w14:textId="5C3D7C25" w:rsidR="003539BF" w:rsidRPr="0040310C" w:rsidRDefault="003539BF" w:rsidP="003539BF">
            <w:pPr>
              <w:spacing w:after="120"/>
              <w:rPr>
                <w:rFonts w:asciiTheme="minorHAnsi" w:eastAsia="Calibri" w:hAnsiTheme="minorHAnsi"/>
                <w:b w:val="0"/>
                <w:bCs/>
                <w:i/>
                <w:iCs/>
                <w:noProof/>
                <w:color w:val="000000" w:themeColor="text1"/>
                <w:sz w:val="22"/>
                <w:szCs w:val="22"/>
              </w:rPr>
            </w:pPr>
            <w:r w:rsidRPr="0040310C">
              <w:rPr>
                <w:rFonts w:asciiTheme="minorHAnsi" w:hAnsiTheme="minorHAnsi"/>
                <w:b w:val="0"/>
                <w:i/>
                <w:iCs/>
                <w:noProof/>
                <w:color w:val="000000" w:themeColor="text1"/>
                <w:sz w:val="22"/>
                <w:szCs w:val="22"/>
              </w:rPr>
              <w:t>Of which Special Instruments</w:t>
            </w:r>
            <w:r w:rsidRPr="0040310C">
              <w:rPr>
                <w:rFonts w:asciiTheme="minorHAnsi" w:hAnsiTheme="minorHAnsi"/>
                <w:b w:val="0"/>
                <w:i/>
                <w:noProof/>
                <w:color w:val="000000" w:themeColor="text1"/>
                <w:sz w:val="22"/>
                <w:szCs w:val="22"/>
              </w:rPr>
              <w:t>**</w:t>
            </w:r>
            <w:r w:rsidR="00E50A59">
              <w:rPr>
                <w:rFonts w:asciiTheme="minorHAnsi" w:hAnsiTheme="minorHAnsi"/>
                <w:b w:val="0"/>
                <w:i/>
                <w:noProof/>
                <w:color w:val="000000" w:themeColor="text1"/>
                <w:sz w:val="22"/>
                <w:szCs w:val="22"/>
              </w:rPr>
              <w:t>*</w:t>
            </w:r>
          </w:p>
        </w:tc>
        <w:tc>
          <w:tcPr>
            <w:tcW w:w="1077" w:type="dxa"/>
            <w:tcBorders>
              <w:top w:val="single" w:sz="6" w:space="0" w:color="BFBFBF" w:themeColor="background1" w:themeShade="BF"/>
              <w:bottom w:val="nil"/>
            </w:tcBorders>
            <w:vAlign w:val="center"/>
          </w:tcPr>
          <w:p w14:paraId="1E016BEE" w14:textId="73D02A45" w:rsidR="003539BF" w:rsidRPr="0040310C" w:rsidRDefault="00A824A7"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noProof/>
                <w:color w:val="000000" w:themeColor="text1"/>
                <w:sz w:val="22"/>
                <w:szCs w:val="22"/>
              </w:rPr>
            </w:pPr>
            <w:r>
              <w:rPr>
                <w:rFonts w:asciiTheme="minorHAnsi" w:hAnsiTheme="minorHAnsi"/>
                <w:i/>
                <w:noProof/>
                <w:color w:val="000000" w:themeColor="text1"/>
                <w:sz w:val="22"/>
                <w:szCs w:val="22"/>
              </w:rPr>
              <w:t>8</w:t>
            </w:r>
            <w:r w:rsidR="00F163FC" w:rsidRPr="0040310C">
              <w:rPr>
                <w:rFonts w:asciiTheme="minorHAnsi" w:hAnsiTheme="minorHAnsi"/>
                <w:i/>
                <w:noProof/>
                <w:color w:val="000000" w:themeColor="text1"/>
                <w:sz w:val="22"/>
                <w:szCs w:val="22"/>
              </w:rPr>
              <w:t>.</w:t>
            </w:r>
            <w:r>
              <w:rPr>
                <w:rFonts w:asciiTheme="minorHAnsi" w:hAnsiTheme="minorHAnsi"/>
                <w:i/>
                <w:noProof/>
                <w:color w:val="000000" w:themeColor="text1"/>
                <w:sz w:val="22"/>
                <w:szCs w:val="22"/>
              </w:rPr>
              <w:t>3</w:t>
            </w:r>
          </w:p>
        </w:tc>
        <w:tc>
          <w:tcPr>
            <w:tcW w:w="1077" w:type="dxa"/>
            <w:tcBorders>
              <w:top w:val="single" w:sz="6" w:space="0" w:color="BFBFBF" w:themeColor="background1" w:themeShade="BF"/>
              <w:bottom w:val="nil"/>
            </w:tcBorders>
            <w:vAlign w:val="center"/>
          </w:tcPr>
          <w:p w14:paraId="37964E8C" w14:textId="38254097" w:rsidR="003539BF" w:rsidRPr="0040310C" w:rsidRDefault="00F163FC"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noProof/>
                <w:color w:val="000000" w:themeColor="text1"/>
                <w:sz w:val="22"/>
                <w:szCs w:val="22"/>
              </w:rPr>
            </w:pPr>
            <w:r w:rsidRPr="0040310C">
              <w:rPr>
                <w:rFonts w:asciiTheme="minorHAnsi" w:hAnsiTheme="minorHAnsi"/>
                <w:i/>
                <w:iCs/>
                <w:noProof/>
                <w:color w:val="000000" w:themeColor="text1"/>
                <w:sz w:val="22"/>
                <w:szCs w:val="22"/>
              </w:rPr>
              <w:t>0.2</w:t>
            </w:r>
          </w:p>
        </w:tc>
        <w:tc>
          <w:tcPr>
            <w:tcW w:w="1077" w:type="dxa"/>
            <w:tcBorders>
              <w:top w:val="single" w:sz="6" w:space="0" w:color="BFBFBF" w:themeColor="background1" w:themeShade="BF"/>
              <w:bottom w:val="nil"/>
            </w:tcBorders>
            <w:vAlign w:val="center"/>
          </w:tcPr>
          <w:p w14:paraId="1C501678" w14:textId="082BBD65"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noProof/>
                <w:color w:val="000000" w:themeColor="text1"/>
                <w:sz w:val="22"/>
                <w:szCs w:val="22"/>
              </w:rPr>
            </w:pPr>
            <w:r w:rsidRPr="0040310C">
              <w:rPr>
                <w:rFonts w:asciiTheme="minorHAnsi" w:hAnsiTheme="minorHAnsi"/>
                <w:i/>
                <w:iCs/>
                <w:noProof/>
                <w:color w:val="000000" w:themeColor="text1"/>
                <w:sz w:val="22"/>
                <w:szCs w:val="22"/>
              </w:rPr>
              <w:t>0.</w:t>
            </w:r>
            <w:r w:rsidR="00916CD3" w:rsidRPr="0040310C">
              <w:rPr>
                <w:rFonts w:asciiTheme="minorHAnsi" w:hAnsiTheme="minorHAnsi"/>
                <w:i/>
                <w:iCs/>
                <w:noProof/>
                <w:color w:val="000000" w:themeColor="text1"/>
                <w:sz w:val="22"/>
                <w:szCs w:val="22"/>
              </w:rPr>
              <w:t>0</w:t>
            </w:r>
          </w:p>
        </w:tc>
        <w:tc>
          <w:tcPr>
            <w:tcW w:w="1077" w:type="dxa"/>
            <w:tcBorders>
              <w:top w:val="single" w:sz="6" w:space="0" w:color="BFBFBF" w:themeColor="background1" w:themeShade="BF"/>
              <w:bottom w:val="nil"/>
            </w:tcBorders>
            <w:vAlign w:val="center"/>
          </w:tcPr>
          <w:p w14:paraId="477AC99E" w14:textId="029D0FD3"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noProof/>
                <w:color w:val="000000" w:themeColor="text1"/>
                <w:sz w:val="22"/>
                <w:szCs w:val="22"/>
              </w:rPr>
            </w:pPr>
          </w:p>
        </w:tc>
        <w:tc>
          <w:tcPr>
            <w:tcW w:w="1077" w:type="dxa"/>
            <w:tcBorders>
              <w:top w:val="single" w:sz="6" w:space="0" w:color="BFBFBF" w:themeColor="background1" w:themeShade="BF"/>
              <w:bottom w:val="nil"/>
            </w:tcBorders>
            <w:vAlign w:val="center"/>
          </w:tcPr>
          <w:p w14:paraId="129CCC55" w14:textId="39F059F9"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i/>
                <w:iCs/>
                <w:noProof/>
                <w:color w:val="000000" w:themeColor="text1"/>
                <w:sz w:val="22"/>
                <w:szCs w:val="22"/>
              </w:rPr>
            </w:pPr>
          </w:p>
        </w:tc>
        <w:tc>
          <w:tcPr>
            <w:tcW w:w="1077" w:type="dxa"/>
            <w:tcBorders>
              <w:top w:val="single" w:sz="6" w:space="0" w:color="BFBFBF" w:themeColor="background1" w:themeShade="BF"/>
              <w:bottom w:val="nil"/>
            </w:tcBorders>
            <w:vAlign w:val="center"/>
          </w:tcPr>
          <w:p w14:paraId="4C958BF0" w14:textId="00836015" w:rsidR="003539BF" w:rsidRPr="00ED1BB1" w:rsidRDefault="00A824A7"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i/>
                <w:iCs/>
                <w:noProof/>
                <w:color w:val="245F95" w:themeColor="text2"/>
                <w:sz w:val="22"/>
                <w:szCs w:val="22"/>
              </w:rPr>
            </w:pPr>
            <w:r>
              <w:rPr>
                <w:rFonts w:asciiTheme="minorHAnsi" w:eastAsia="Calibri" w:hAnsiTheme="minorHAnsi"/>
                <w:b/>
                <w:i/>
                <w:noProof/>
                <w:color w:val="245F95" w:themeColor="text2"/>
                <w:sz w:val="22"/>
                <w:szCs w:val="22"/>
              </w:rPr>
              <w:t>8</w:t>
            </w:r>
            <w:r w:rsidR="003539BF" w:rsidRPr="00ED1BB1">
              <w:rPr>
                <w:rFonts w:asciiTheme="minorHAnsi" w:eastAsia="Calibri" w:hAnsiTheme="minorHAnsi"/>
                <w:b/>
                <w:i/>
                <w:noProof/>
                <w:color w:val="245F95" w:themeColor="text2"/>
                <w:sz w:val="22"/>
                <w:szCs w:val="22"/>
              </w:rPr>
              <w:t>.</w:t>
            </w:r>
            <w:r>
              <w:rPr>
                <w:rFonts w:asciiTheme="minorHAnsi" w:eastAsia="Calibri" w:hAnsiTheme="minorHAnsi"/>
                <w:b/>
                <w:i/>
                <w:noProof/>
                <w:color w:val="245F95" w:themeColor="text2"/>
                <w:sz w:val="22"/>
                <w:szCs w:val="22"/>
              </w:rPr>
              <w:t>5</w:t>
            </w:r>
          </w:p>
        </w:tc>
      </w:tr>
    </w:tbl>
    <w:p w14:paraId="7DE43EE3" w14:textId="7F19ECAE" w:rsidR="00E50A59" w:rsidRPr="00B41585" w:rsidRDefault="00E50A59" w:rsidP="00682537">
      <w:pPr>
        <w:rPr>
          <w:i/>
          <w:noProof/>
          <w:sz w:val="16"/>
          <w:szCs w:val="16"/>
        </w:rPr>
      </w:pPr>
      <w:r w:rsidRPr="00B41585">
        <w:rPr>
          <w:i/>
          <w:noProof/>
          <w:sz w:val="16"/>
          <w:szCs w:val="16"/>
        </w:rPr>
        <w:t>*</w:t>
      </w:r>
      <w:r w:rsidR="00E44C08" w:rsidRPr="00B41585">
        <w:rPr>
          <w:i/>
          <w:noProof/>
          <w:sz w:val="16"/>
          <w:szCs w:val="16"/>
        </w:rPr>
        <w:t xml:space="preserve"> In line with the draft budget</w:t>
      </w:r>
      <w:r w:rsidR="0036110D" w:rsidRPr="00B41585">
        <w:rPr>
          <w:i/>
          <w:noProof/>
          <w:sz w:val="16"/>
          <w:szCs w:val="16"/>
        </w:rPr>
        <w:t xml:space="preserve"> for 2025, including the Ukraine Reserve allocation and </w:t>
      </w:r>
      <w:r w:rsidR="002C370A" w:rsidRPr="00B41585">
        <w:rPr>
          <w:i/>
          <w:noProof/>
          <w:sz w:val="16"/>
          <w:szCs w:val="16"/>
        </w:rPr>
        <w:t>appropriations stemming from</w:t>
      </w:r>
      <w:r w:rsidR="0036110D" w:rsidRPr="00B41585">
        <w:rPr>
          <w:i/>
          <w:noProof/>
          <w:sz w:val="16"/>
          <w:szCs w:val="16"/>
        </w:rPr>
        <w:t xml:space="preserve"> Article 5 </w:t>
      </w:r>
      <w:r w:rsidR="002C370A" w:rsidRPr="00B41585">
        <w:rPr>
          <w:i/>
          <w:noProof/>
          <w:sz w:val="16"/>
          <w:szCs w:val="16"/>
        </w:rPr>
        <w:t>of the MFF Regulation and Article 15(3) of the Financial Regulation and Article 15(3) of the Financial Regulation</w:t>
      </w:r>
      <w:r w:rsidR="0036110D" w:rsidRPr="00B41585">
        <w:rPr>
          <w:i/>
          <w:noProof/>
          <w:sz w:val="16"/>
          <w:szCs w:val="16"/>
        </w:rPr>
        <w:t>.</w:t>
      </w:r>
      <w:r w:rsidR="009F53F0" w:rsidRPr="00B41585">
        <w:rPr>
          <w:i/>
          <w:noProof/>
          <w:sz w:val="16"/>
          <w:szCs w:val="16"/>
        </w:rPr>
        <w:t xml:space="preserve"> Unallocated margins are not included.</w:t>
      </w:r>
    </w:p>
    <w:p w14:paraId="4DAED337" w14:textId="25C81924" w:rsidR="0036110D" w:rsidRPr="00B41585" w:rsidRDefault="0036110D" w:rsidP="00682537">
      <w:pPr>
        <w:rPr>
          <w:i/>
          <w:noProof/>
          <w:sz w:val="16"/>
          <w:szCs w:val="16"/>
        </w:rPr>
      </w:pPr>
      <w:r w:rsidRPr="00B41585">
        <w:rPr>
          <w:i/>
          <w:noProof/>
          <w:sz w:val="16"/>
          <w:szCs w:val="16"/>
        </w:rPr>
        <w:t>** Includes the estimated level of payments for the Ukraine Reserve in 2025 only.</w:t>
      </w:r>
    </w:p>
    <w:p w14:paraId="1C8E939C" w14:textId="2DF6948F" w:rsidR="0049492C" w:rsidRPr="00B41585" w:rsidRDefault="0049492C" w:rsidP="00682537">
      <w:pPr>
        <w:rPr>
          <w:i/>
          <w:noProof/>
          <w:sz w:val="16"/>
          <w:szCs w:val="16"/>
        </w:rPr>
      </w:pPr>
      <w:r w:rsidRPr="00B41585">
        <w:rPr>
          <w:i/>
          <w:noProof/>
          <w:sz w:val="16"/>
          <w:szCs w:val="16"/>
        </w:rPr>
        <w:t>***</w:t>
      </w:r>
      <w:r w:rsidR="001E4049" w:rsidRPr="00B41585">
        <w:rPr>
          <w:i/>
          <w:noProof/>
          <w:sz w:val="16"/>
          <w:szCs w:val="16"/>
        </w:rPr>
        <w:t xml:space="preserve"> The amounts for special instruments cover the Solidarity and Emergency Aid Reserve, the European Globalisation Adjustment Fund, the Brexit Adjustment Reserve</w:t>
      </w:r>
      <w:r w:rsidR="001F011A" w:rsidRPr="00B41585">
        <w:rPr>
          <w:i/>
          <w:noProof/>
          <w:sz w:val="16"/>
          <w:szCs w:val="16"/>
        </w:rPr>
        <w:t>, the Ukraine Reserve,</w:t>
      </w:r>
      <w:r w:rsidR="00A824A7">
        <w:rPr>
          <w:i/>
          <w:noProof/>
          <w:sz w:val="16"/>
          <w:szCs w:val="16"/>
        </w:rPr>
        <w:t xml:space="preserve"> the EURI Instrument,</w:t>
      </w:r>
      <w:r w:rsidR="001E4049" w:rsidRPr="00B41585">
        <w:rPr>
          <w:i/>
          <w:noProof/>
          <w:sz w:val="16"/>
          <w:szCs w:val="16"/>
        </w:rPr>
        <w:t xml:space="preserve"> and the Flexibility Instrument. In the subsequent tables, the payments related to the mobilisations of the Flexibility Instrument</w:t>
      </w:r>
      <w:r w:rsidR="00A824A7">
        <w:rPr>
          <w:i/>
          <w:noProof/>
          <w:sz w:val="16"/>
          <w:szCs w:val="16"/>
        </w:rPr>
        <w:t xml:space="preserve"> and the EURI Instrument</w:t>
      </w:r>
      <w:r w:rsidR="001E4049" w:rsidRPr="00B41585">
        <w:rPr>
          <w:i/>
          <w:noProof/>
          <w:sz w:val="16"/>
          <w:szCs w:val="16"/>
        </w:rPr>
        <w:t xml:space="preserve"> are included within the respective headings</w:t>
      </w:r>
      <w:r w:rsidR="00A824A7">
        <w:rPr>
          <w:i/>
          <w:noProof/>
          <w:sz w:val="16"/>
          <w:szCs w:val="16"/>
        </w:rPr>
        <w:t>.</w:t>
      </w:r>
    </w:p>
    <w:p w14:paraId="79320A34" w14:textId="25530B46" w:rsidR="00861C1C" w:rsidRPr="00682537" w:rsidRDefault="003B6DC2" w:rsidP="00682537">
      <w:pPr>
        <w:rPr>
          <w:noProof/>
        </w:rPr>
      </w:pPr>
      <w:r w:rsidRPr="00682537">
        <w:rPr>
          <w:noProof/>
        </w:rPr>
        <w:br w:type="page"/>
      </w:r>
    </w:p>
    <w:p w14:paraId="0FBE5FFC" w14:textId="1387FCBF" w:rsidR="00861C1C" w:rsidRPr="009C6708" w:rsidRDefault="003B6DC2" w:rsidP="009C6708">
      <w:pPr>
        <w:pStyle w:val="Heading2"/>
        <w:rPr>
          <w:noProof/>
        </w:rPr>
      </w:pPr>
      <w:bookmarkStart w:id="77" w:name="_Toc167194519"/>
      <w:r w:rsidRPr="009C6708">
        <w:rPr>
          <w:noProof/>
        </w:rPr>
        <w:t xml:space="preserve">Table </w:t>
      </w:r>
      <w:r w:rsidR="00334655" w:rsidRPr="009C6708">
        <w:rPr>
          <w:noProof/>
        </w:rPr>
        <w:t>1</w:t>
      </w:r>
      <w:r w:rsidRPr="009C6708">
        <w:rPr>
          <w:noProof/>
        </w:rPr>
        <w:t>.2 – Payments in relation to the commitments of the 2021-2027 MFF</w:t>
      </w:r>
      <w:bookmarkEnd w:id="77"/>
    </w:p>
    <w:tbl>
      <w:tblPr>
        <w:tblStyle w:val="AMPR2021"/>
        <w:tblW w:w="5000" w:type="pct"/>
        <w:tblBorders>
          <w:top w:val="none" w:sz="0" w:space="0" w:color="auto"/>
          <w:bottom w:val="none" w:sz="0" w:space="0" w:color="auto"/>
          <w:insideH w:val="single" w:sz="6" w:space="0" w:color="BFBFBF" w:themeColor="background1" w:themeShade="BF"/>
          <w:insideV w:val="single" w:sz="6" w:space="0" w:color="BFBFBF" w:themeColor="background1" w:themeShade="BF"/>
        </w:tblBorders>
        <w:tblLayout w:type="fixed"/>
        <w:tblCellMar>
          <w:left w:w="85" w:type="dxa"/>
        </w:tblCellMar>
        <w:tblLook w:val="06A0" w:firstRow="1" w:lastRow="0" w:firstColumn="1" w:lastColumn="0" w:noHBand="1" w:noVBand="1"/>
      </w:tblPr>
      <w:tblGrid>
        <w:gridCol w:w="3062"/>
        <w:gridCol w:w="1122"/>
        <w:gridCol w:w="1123"/>
        <w:gridCol w:w="1123"/>
        <w:gridCol w:w="1123"/>
        <w:gridCol w:w="1123"/>
        <w:gridCol w:w="1121"/>
      </w:tblGrid>
      <w:tr w:rsidR="00A10B5A" w:rsidRPr="00A10B5A" w14:paraId="1CF6F3CB" w14:textId="77777777" w:rsidTr="004730C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3" w:type="pct"/>
          </w:tcPr>
          <w:p w14:paraId="1574FA07" w14:textId="77777777" w:rsidR="00B35585" w:rsidRPr="00A10B5A" w:rsidRDefault="00B35585" w:rsidP="00B35585">
            <w:pPr>
              <w:spacing w:after="120"/>
              <w:rPr>
                <w:rFonts w:eastAsia="Calibri"/>
                <w:b w:val="0"/>
                <w:bCs/>
                <w:noProof/>
                <w:sz w:val="22"/>
                <w:szCs w:val="22"/>
              </w:rPr>
            </w:pPr>
            <w:r w:rsidRPr="00A10B5A">
              <w:rPr>
                <w:rFonts w:eastAsia="Calibri"/>
                <w:noProof/>
                <w:sz w:val="22"/>
                <w:szCs w:val="22"/>
              </w:rPr>
              <w:t>MFF Heading</w:t>
            </w:r>
          </w:p>
        </w:tc>
        <w:tc>
          <w:tcPr>
            <w:tcW w:w="573" w:type="pct"/>
          </w:tcPr>
          <w:p w14:paraId="33BD4996" w14:textId="5A60EEC7" w:rsidR="00B35585" w:rsidRPr="00A10B5A" w:rsidRDefault="00B35585" w:rsidP="00B35585">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22"/>
              </w:rPr>
            </w:pPr>
            <w:r w:rsidRPr="00A10B5A">
              <w:rPr>
                <w:rFonts w:eastAsia="Calibri"/>
                <w:noProof/>
                <w:sz w:val="22"/>
                <w:szCs w:val="22"/>
              </w:rPr>
              <w:t>202</w:t>
            </w:r>
            <w:r w:rsidR="00C46B98" w:rsidRPr="00A10B5A">
              <w:rPr>
                <w:rFonts w:eastAsia="Calibri"/>
                <w:noProof/>
                <w:sz w:val="22"/>
                <w:szCs w:val="22"/>
              </w:rPr>
              <w:t>5</w:t>
            </w:r>
          </w:p>
        </w:tc>
        <w:tc>
          <w:tcPr>
            <w:tcW w:w="573" w:type="pct"/>
          </w:tcPr>
          <w:p w14:paraId="7FBCCDB7" w14:textId="53B537EF" w:rsidR="00B35585" w:rsidRPr="00A10B5A" w:rsidRDefault="00B35585" w:rsidP="00B35585">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22"/>
              </w:rPr>
            </w:pPr>
            <w:r w:rsidRPr="00A10B5A">
              <w:rPr>
                <w:rFonts w:eastAsia="Calibri"/>
                <w:noProof/>
                <w:sz w:val="22"/>
                <w:szCs w:val="22"/>
              </w:rPr>
              <w:t>202</w:t>
            </w:r>
            <w:r w:rsidR="00C46B98" w:rsidRPr="00A10B5A">
              <w:rPr>
                <w:rFonts w:eastAsia="Calibri"/>
                <w:noProof/>
                <w:sz w:val="22"/>
                <w:szCs w:val="22"/>
              </w:rPr>
              <w:t>6</w:t>
            </w:r>
          </w:p>
        </w:tc>
        <w:tc>
          <w:tcPr>
            <w:tcW w:w="573" w:type="pct"/>
          </w:tcPr>
          <w:p w14:paraId="092CD79A" w14:textId="6A2FBE63" w:rsidR="00B35585" w:rsidRPr="00A10B5A" w:rsidRDefault="00B35585" w:rsidP="00B35585">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22"/>
              </w:rPr>
            </w:pPr>
            <w:r w:rsidRPr="00A10B5A">
              <w:rPr>
                <w:rFonts w:eastAsia="Calibri"/>
                <w:noProof/>
                <w:sz w:val="22"/>
                <w:szCs w:val="22"/>
              </w:rPr>
              <w:t>202</w:t>
            </w:r>
            <w:r w:rsidR="00C46B98" w:rsidRPr="00A10B5A">
              <w:rPr>
                <w:rFonts w:eastAsia="Calibri"/>
                <w:noProof/>
                <w:sz w:val="22"/>
                <w:szCs w:val="22"/>
              </w:rPr>
              <w:t>7</w:t>
            </w:r>
          </w:p>
        </w:tc>
        <w:tc>
          <w:tcPr>
            <w:tcW w:w="573" w:type="pct"/>
          </w:tcPr>
          <w:p w14:paraId="1857D4A3" w14:textId="44A7D1C1" w:rsidR="00B35585" w:rsidRPr="00A10B5A" w:rsidRDefault="00B35585" w:rsidP="00B35585">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22"/>
              </w:rPr>
            </w:pPr>
            <w:r w:rsidRPr="00A10B5A">
              <w:rPr>
                <w:rFonts w:eastAsia="Calibri"/>
                <w:noProof/>
                <w:sz w:val="22"/>
                <w:szCs w:val="22"/>
              </w:rPr>
              <w:t>202</w:t>
            </w:r>
            <w:r w:rsidR="00C46B98" w:rsidRPr="00A10B5A">
              <w:rPr>
                <w:rFonts w:eastAsia="Calibri"/>
                <w:noProof/>
                <w:sz w:val="22"/>
                <w:szCs w:val="22"/>
              </w:rPr>
              <w:t>8</w:t>
            </w:r>
          </w:p>
        </w:tc>
        <w:tc>
          <w:tcPr>
            <w:tcW w:w="573" w:type="pct"/>
          </w:tcPr>
          <w:p w14:paraId="156891D6" w14:textId="7526A144" w:rsidR="00B35585" w:rsidRPr="00A10B5A" w:rsidRDefault="00B35585" w:rsidP="00B35585">
            <w:pPr>
              <w:spacing w:after="120"/>
              <w:cnfStyle w:val="100000000000" w:firstRow="1" w:lastRow="0" w:firstColumn="0" w:lastColumn="0" w:oddVBand="0" w:evenVBand="0" w:oddHBand="0" w:evenHBand="0" w:firstRowFirstColumn="0" w:firstRowLastColumn="0" w:lastRowFirstColumn="0" w:lastRowLastColumn="0"/>
              <w:rPr>
                <w:rFonts w:eastAsia="Calibri"/>
                <w:noProof/>
                <w:sz w:val="22"/>
                <w:szCs w:val="22"/>
              </w:rPr>
            </w:pPr>
            <w:r w:rsidRPr="00A10B5A">
              <w:rPr>
                <w:rFonts w:eastAsia="Calibri"/>
                <w:noProof/>
                <w:sz w:val="22"/>
                <w:szCs w:val="22"/>
              </w:rPr>
              <w:t>202</w:t>
            </w:r>
            <w:r w:rsidR="00C46B98" w:rsidRPr="00A10B5A">
              <w:rPr>
                <w:rFonts w:eastAsia="Calibri"/>
                <w:noProof/>
                <w:sz w:val="22"/>
                <w:szCs w:val="22"/>
              </w:rPr>
              <w:t>9</w:t>
            </w:r>
          </w:p>
        </w:tc>
        <w:tc>
          <w:tcPr>
            <w:tcW w:w="573" w:type="pct"/>
          </w:tcPr>
          <w:p w14:paraId="7C8532B3" w14:textId="77777777" w:rsidR="00B35585" w:rsidRPr="00A10B5A" w:rsidRDefault="00B35585" w:rsidP="00B35585">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22"/>
              </w:rPr>
            </w:pPr>
            <w:r w:rsidRPr="00A10B5A">
              <w:rPr>
                <w:rFonts w:eastAsia="Calibri"/>
                <w:noProof/>
                <w:sz w:val="22"/>
                <w:szCs w:val="22"/>
              </w:rPr>
              <w:t>Total</w:t>
            </w:r>
          </w:p>
        </w:tc>
      </w:tr>
      <w:tr w:rsidR="00A10B5A" w:rsidRPr="00A10B5A" w14:paraId="06E36101"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48F3627A" w14:textId="77777777" w:rsidR="00EE3626" w:rsidRPr="00A10B5A" w:rsidRDefault="00EE3626" w:rsidP="00EE3626">
            <w:pPr>
              <w:spacing w:after="120"/>
              <w:rPr>
                <w:rFonts w:eastAsia="Calibri"/>
                <w:bCs/>
                <w:noProof/>
                <w:color w:val="245F95" w:themeColor="text2"/>
                <w:sz w:val="22"/>
                <w:szCs w:val="22"/>
              </w:rPr>
            </w:pPr>
            <w:r w:rsidRPr="00A10B5A">
              <w:rPr>
                <w:rFonts w:eastAsia="Calibri"/>
                <w:bCs/>
                <w:noProof/>
                <w:color w:val="245F95" w:themeColor="text2"/>
                <w:sz w:val="22"/>
                <w:szCs w:val="22"/>
              </w:rPr>
              <w:t>1 Single Market, Innovation and Digital</w:t>
            </w:r>
          </w:p>
        </w:tc>
        <w:tc>
          <w:tcPr>
            <w:tcW w:w="573" w:type="pct"/>
            <w:vAlign w:val="center"/>
          </w:tcPr>
          <w:p w14:paraId="272E3619" w14:textId="4836C6FF" w:rsidR="00EE3626" w:rsidRPr="00A10B5A" w:rsidRDefault="0075355F"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1</w:t>
            </w:r>
            <w:r w:rsidR="00D34CAF" w:rsidRPr="00A10B5A">
              <w:rPr>
                <w:noProof/>
                <w:color w:val="000000" w:themeColor="text1"/>
                <w:sz w:val="22"/>
                <w:szCs w:val="22"/>
              </w:rPr>
              <w:t>7</w:t>
            </w:r>
            <w:r w:rsidRPr="00A10B5A">
              <w:rPr>
                <w:noProof/>
                <w:color w:val="000000" w:themeColor="text1"/>
                <w:sz w:val="22"/>
                <w:szCs w:val="22"/>
              </w:rPr>
              <w:t>.</w:t>
            </w:r>
            <w:r w:rsidR="00D34CAF" w:rsidRPr="00A10B5A">
              <w:rPr>
                <w:noProof/>
                <w:color w:val="000000" w:themeColor="text1"/>
                <w:sz w:val="22"/>
                <w:szCs w:val="22"/>
              </w:rPr>
              <w:t>7</w:t>
            </w:r>
          </w:p>
        </w:tc>
        <w:tc>
          <w:tcPr>
            <w:tcW w:w="573" w:type="pct"/>
            <w:vAlign w:val="center"/>
          </w:tcPr>
          <w:p w14:paraId="32DE1894" w14:textId="6A7D8BFA" w:rsidR="00EE3626" w:rsidRPr="00A10B5A" w:rsidRDefault="0075355F"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2</w:t>
            </w:r>
            <w:r w:rsidR="00D34CAF" w:rsidRPr="00A10B5A">
              <w:rPr>
                <w:noProof/>
                <w:color w:val="000000" w:themeColor="text1"/>
                <w:sz w:val="22"/>
                <w:szCs w:val="22"/>
              </w:rPr>
              <w:t>3</w:t>
            </w:r>
            <w:r w:rsidRPr="00A10B5A">
              <w:rPr>
                <w:noProof/>
                <w:color w:val="000000" w:themeColor="text1"/>
                <w:sz w:val="22"/>
                <w:szCs w:val="22"/>
              </w:rPr>
              <w:t>.</w:t>
            </w:r>
            <w:r w:rsidR="00EE7D15">
              <w:rPr>
                <w:noProof/>
                <w:color w:val="000000" w:themeColor="text1"/>
                <w:sz w:val="22"/>
                <w:szCs w:val="22"/>
              </w:rPr>
              <w:t>7</w:t>
            </w:r>
          </w:p>
        </w:tc>
        <w:tc>
          <w:tcPr>
            <w:tcW w:w="573" w:type="pct"/>
            <w:vAlign w:val="center"/>
          </w:tcPr>
          <w:p w14:paraId="0D61A1C9" w14:textId="789807B7" w:rsidR="00EE3626" w:rsidRPr="00A10B5A" w:rsidRDefault="00EE362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2</w:t>
            </w:r>
            <w:r w:rsidR="004B322A" w:rsidRPr="00A10B5A">
              <w:rPr>
                <w:noProof/>
                <w:color w:val="000000" w:themeColor="text1"/>
                <w:sz w:val="22"/>
                <w:szCs w:val="22"/>
              </w:rPr>
              <w:t>3</w:t>
            </w:r>
            <w:r w:rsidRPr="00A10B5A">
              <w:rPr>
                <w:noProof/>
                <w:color w:val="000000" w:themeColor="text1"/>
                <w:sz w:val="22"/>
                <w:szCs w:val="22"/>
              </w:rPr>
              <w:t>.</w:t>
            </w:r>
            <w:r w:rsidR="004B322A" w:rsidRPr="00A10B5A">
              <w:rPr>
                <w:noProof/>
                <w:color w:val="000000" w:themeColor="text1"/>
                <w:sz w:val="22"/>
                <w:szCs w:val="22"/>
              </w:rPr>
              <w:t>3</w:t>
            </w:r>
          </w:p>
        </w:tc>
        <w:tc>
          <w:tcPr>
            <w:tcW w:w="573" w:type="pct"/>
            <w:vAlign w:val="center"/>
          </w:tcPr>
          <w:p w14:paraId="75886273" w14:textId="7096EDA2" w:rsidR="00EE3626" w:rsidRPr="00A10B5A" w:rsidRDefault="00EE362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2</w:t>
            </w:r>
            <w:r w:rsidR="004B322A" w:rsidRPr="00A10B5A">
              <w:rPr>
                <w:noProof/>
                <w:color w:val="000000" w:themeColor="text1"/>
                <w:sz w:val="22"/>
                <w:szCs w:val="22"/>
              </w:rPr>
              <w:t>2</w:t>
            </w:r>
            <w:r w:rsidRPr="00A10B5A">
              <w:rPr>
                <w:noProof/>
                <w:color w:val="000000" w:themeColor="text1"/>
                <w:sz w:val="22"/>
                <w:szCs w:val="22"/>
              </w:rPr>
              <w:t>.</w:t>
            </w:r>
            <w:r w:rsidR="00EE7D15">
              <w:rPr>
                <w:noProof/>
                <w:color w:val="000000" w:themeColor="text1"/>
                <w:sz w:val="22"/>
                <w:szCs w:val="22"/>
              </w:rPr>
              <w:t>4</w:t>
            </w:r>
          </w:p>
        </w:tc>
        <w:tc>
          <w:tcPr>
            <w:tcW w:w="573" w:type="pct"/>
            <w:vAlign w:val="center"/>
          </w:tcPr>
          <w:p w14:paraId="4848F78B" w14:textId="09D4EFBA" w:rsidR="00EE3626" w:rsidRPr="00A10B5A" w:rsidRDefault="00EE362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sidRPr="00A10B5A">
              <w:rPr>
                <w:noProof/>
                <w:color w:val="000000" w:themeColor="text1"/>
                <w:sz w:val="22"/>
                <w:szCs w:val="22"/>
              </w:rPr>
              <w:t>1</w:t>
            </w:r>
            <w:r w:rsidR="00EE7D15">
              <w:rPr>
                <w:noProof/>
                <w:color w:val="000000" w:themeColor="text1"/>
                <w:sz w:val="22"/>
                <w:szCs w:val="22"/>
              </w:rPr>
              <w:t>6</w:t>
            </w:r>
            <w:r w:rsidRPr="00A10B5A">
              <w:rPr>
                <w:noProof/>
                <w:color w:val="000000" w:themeColor="text1"/>
                <w:sz w:val="22"/>
                <w:szCs w:val="22"/>
              </w:rPr>
              <w:t>.</w:t>
            </w:r>
            <w:r w:rsidR="00EE7D15">
              <w:rPr>
                <w:noProof/>
                <w:color w:val="000000" w:themeColor="text1"/>
                <w:sz w:val="22"/>
                <w:szCs w:val="22"/>
              </w:rPr>
              <w:t>9</w:t>
            </w:r>
          </w:p>
        </w:tc>
        <w:tc>
          <w:tcPr>
            <w:tcW w:w="573" w:type="pct"/>
            <w:vAlign w:val="center"/>
          </w:tcPr>
          <w:p w14:paraId="0C35CC18" w14:textId="6FFD68A0" w:rsidR="00EE3626" w:rsidRPr="00A10B5A" w:rsidRDefault="00EE362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sidRPr="00A10B5A">
              <w:rPr>
                <w:b/>
                <w:bCs/>
                <w:noProof/>
                <w:color w:val="245F95" w:themeColor="text2"/>
                <w:sz w:val="22"/>
                <w:szCs w:val="22"/>
              </w:rPr>
              <w:t>10</w:t>
            </w:r>
            <w:r w:rsidR="004B322A" w:rsidRPr="00A10B5A">
              <w:rPr>
                <w:b/>
                <w:bCs/>
                <w:noProof/>
                <w:color w:val="245F95" w:themeColor="text2"/>
                <w:sz w:val="22"/>
                <w:szCs w:val="22"/>
              </w:rPr>
              <w:t>4</w:t>
            </w:r>
            <w:r w:rsidRPr="00A10B5A">
              <w:rPr>
                <w:b/>
                <w:bCs/>
                <w:noProof/>
                <w:color w:val="245F95" w:themeColor="text2"/>
                <w:sz w:val="22"/>
                <w:szCs w:val="22"/>
              </w:rPr>
              <w:t>.</w:t>
            </w:r>
            <w:r w:rsidR="00EE7D15">
              <w:rPr>
                <w:b/>
                <w:noProof/>
                <w:color w:val="245F95" w:themeColor="text2"/>
                <w:sz w:val="22"/>
                <w:szCs w:val="22"/>
              </w:rPr>
              <w:t>0</w:t>
            </w:r>
          </w:p>
        </w:tc>
      </w:tr>
      <w:tr w:rsidR="00A10B5A" w:rsidRPr="00A10B5A" w14:paraId="47854F47"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5C0D2440" w14:textId="77777777" w:rsidR="00D212B3" w:rsidRPr="00A10B5A" w:rsidRDefault="00D212B3" w:rsidP="00D212B3">
            <w:pPr>
              <w:spacing w:after="120"/>
              <w:rPr>
                <w:rFonts w:eastAsia="Calibri"/>
                <w:bCs/>
                <w:noProof/>
                <w:color w:val="245F95" w:themeColor="text2"/>
                <w:sz w:val="22"/>
                <w:szCs w:val="22"/>
              </w:rPr>
            </w:pPr>
            <w:r w:rsidRPr="00A10B5A">
              <w:rPr>
                <w:rFonts w:eastAsia="Calibri"/>
                <w:bCs/>
                <w:noProof/>
                <w:color w:val="245F95" w:themeColor="text2"/>
                <w:sz w:val="22"/>
                <w:szCs w:val="22"/>
              </w:rPr>
              <w:t>2 Cohesion, Resilience and Values</w:t>
            </w:r>
          </w:p>
        </w:tc>
        <w:tc>
          <w:tcPr>
            <w:tcW w:w="573" w:type="pct"/>
            <w:vAlign w:val="center"/>
          </w:tcPr>
          <w:p w14:paraId="1E9D411D" w14:textId="2ADCE32E" w:rsidR="00D212B3" w:rsidRPr="00A10B5A" w:rsidRDefault="004A0C81"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4</w:t>
            </w:r>
            <w:r w:rsidR="00FC00AF" w:rsidRPr="00A10B5A">
              <w:rPr>
                <w:noProof/>
                <w:color w:val="000000" w:themeColor="text1"/>
                <w:sz w:val="22"/>
                <w:szCs w:val="22"/>
              </w:rPr>
              <w:t>0</w:t>
            </w:r>
            <w:r w:rsidRPr="00A10B5A">
              <w:rPr>
                <w:noProof/>
                <w:color w:val="000000" w:themeColor="text1"/>
                <w:sz w:val="22"/>
                <w:szCs w:val="22"/>
              </w:rPr>
              <w:t>.</w:t>
            </w:r>
            <w:r w:rsidR="00B944AC">
              <w:rPr>
                <w:noProof/>
                <w:color w:val="000000" w:themeColor="text1"/>
                <w:sz w:val="22"/>
                <w:szCs w:val="22"/>
              </w:rPr>
              <w:t>9</w:t>
            </w:r>
          </w:p>
        </w:tc>
        <w:tc>
          <w:tcPr>
            <w:tcW w:w="573" w:type="pct"/>
            <w:vAlign w:val="center"/>
          </w:tcPr>
          <w:p w14:paraId="11D7BA19" w14:textId="094F0256" w:rsidR="00D212B3" w:rsidRPr="00A10B5A" w:rsidRDefault="00FC00AF"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56</w:t>
            </w:r>
            <w:r w:rsidR="00D212B3" w:rsidRPr="00A10B5A">
              <w:rPr>
                <w:noProof/>
                <w:color w:val="000000" w:themeColor="text1"/>
                <w:sz w:val="22"/>
                <w:szCs w:val="22"/>
              </w:rPr>
              <w:t>.</w:t>
            </w:r>
            <w:r w:rsidRPr="00A10B5A">
              <w:rPr>
                <w:noProof/>
                <w:color w:val="000000" w:themeColor="text1"/>
                <w:sz w:val="22"/>
                <w:szCs w:val="22"/>
              </w:rPr>
              <w:t>8</w:t>
            </w:r>
          </w:p>
        </w:tc>
        <w:tc>
          <w:tcPr>
            <w:tcW w:w="573" w:type="pct"/>
            <w:vAlign w:val="center"/>
          </w:tcPr>
          <w:p w14:paraId="1C0B0C47" w14:textId="6006E25A" w:rsidR="00D212B3" w:rsidRPr="00A10B5A" w:rsidRDefault="0030205B"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7</w:t>
            </w:r>
            <w:r w:rsidR="00FC00AF" w:rsidRPr="00A10B5A">
              <w:rPr>
                <w:noProof/>
                <w:color w:val="000000" w:themeColor="text1"/>
                <w:sz w:val="22"/>
                <w:szCs w:val="22"/>
              </w:rPr>
              <w:t>0</w:t>
            </w:r>
            <w:r w:rsidR="00D212B3" w:rsidRPr="00A10B5A">
              <w:rPr>
                <w:noProof/>
                <w:color w:val="000000" w:themeColor="text1"/>
                <w:sz w:val="22"/>
                <w:szCs w:val="22"/>
              </w:rPr>
              <w:t>.</w:t>
            </w:r>
            <w:r w:rsidRPr="00A10B5A">
              <w:rPr>
                <w:noProof/>
                <w:color w:val="000000" w:themeColor="text1"/>
                <w:sz w:val="22"/>
                <w:szCs w:val="22"/>
              </w:rPr>
              <w:t>9</w:t>
            </w:r>
          </w:p>
        </w:tc>
        <w:tc>
          <w:tcPr>
            <w:tcW w:w="573" w:type="pct"/>
            <w:vAlign w:val="center"/>
          </w:tcPr>
          <w:p w14:paraId="6EE2C64C" w14:textId="770421EA" w:rsidR="00D212B3" w:rsidRPr="00A10B5A" w:rsidRDefault="0004056F"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79</w:t>
            </w:r>
            <w:r w:rsidR="00D212B3" w:rsidRPr="00A10B5A">
              <w:rPr>
                <w:noProof/>
                <w:color w:val="000000" w:themeColor="text1"/>
                <w:sz w:val="22"/>
                <w:szCs w:val="22"/>
              </w:rPr>
              <w:t>.</w:t>
            </w:r>
            <w:r w:rsidR="00B944AC">
              <w:rPr>
                <w:noProof/>
                <w:color w:val="000000" w:themeColor="text1"/>
                <w:sz w:val="22"/>
                <w:szCs w:val="22"/>
              </w:rPr>
              <w:t>4</w:t>
            </w:r>
          </w:p>
        </w:tc>
        <w:tc>
          <w:tcPr>
            <w:tcW w:w="573" w:type="pct"/>
            <w:vAlign w:val="center"/>
          </w:tcPr>
          <w:p w14:paraId="137F418C" w14:textId="749615C6" w:rsidR="00D212B3" w:rsidRPr="00A10B5A" w:rsidRDefault="007B0AE7"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sidRPr="00A10B5A">
              <w:rPr>
                <w:noProof/>
                <w:color w:val="000000" w:themeColor="text1"/>
                <w:sz w:val="22"/>
                <w:szCs w:val="22"/>
              </w:rPr>
              <w:t>7</w:t>
            </w:r>
            <w:r w:rsidR="0004056F" w:rsidRPr="00A10B5A">
              <w:rPr>
                <w:noProof/>
                <w:color w:val="000000" w:themeColor="text1"/>
                <w:sz w:val="22"/>
                <w:szCs w:val="22"/>
              </w:rPr>
              <w:t>4</w:t>
            </w:r>
            <w:r w:rsidR="00D212B3" w:rsidRPr="00A10B5A">
              <w:rPr>
                <w:noProof/>
                <w:color w:val="000000" w:themeColor="text1"/>
                <w:sz w:val="22"/>
                <w:szCs w:val="22"/>
              </w:rPr>
              <w:t>.</w:t>
            </w:r>
            <w:r w:rsidR="00B944AC">
              <w:rPr>
                <w:noProof/>
                <w:color w:val="000000" w:themeColor="text1"/>
                <w:sz w:val="22"/>
                <w:szCs w:val="22"/>
              </w:rPr>
              <w:t>6</w:t>
            </w:r>
          </w:p>
        </w:tc>
        <w:tc>
          <w:tcPr>
            <w:tcW w:w="573" w:type="pct"/>
            <w:vAlign w:val="center"/>
          </w:tcPr>
          <w:p w14:paraId="0CDE4EE5" w14:textId="3CCE523A" w:rsidR="00D212B3" w:rsidRPr="00A10B5A" w:rsidRDefault="00BF76ED"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sidRPr="00A10B5A">
              <w:rPr>
                <w:b/>
                <w:bCs/>
                <w:noProof/>
                <w:color w:val="245F95" w:themeColor="text2"/>
                <w:sz w:val="22"/>
                <w:szCs w:val="22"/>
              </w:rPr>
              <w:t>3</w:t>
            </w:r>
            <w:r w:rsidR="0004056F" w:rsidRPr="00A10B5A">
              <w:rPr>
                <w:b/>
                <w:bCs/>
                <w:noProof/>
                <w:color w:val="245F95" w:themeColor="text2"/>
                <w:sz w:val="22"/>
                <w:szCs w:val="22"/>
              </w:rPr>
              <w:t>22</w:t>
            </w:r>
            <w:r w:rsidR="00D212B3" w:rsidRPr="00A10B5A">
              <w:rPr>
                <w:b/>
                <w:bCs/>
                <w:noProof/>
                <w:color w:val="245F95" w:themeColor="text2"/>
                <w:sz w:val="22"/>
                <w:szCs w:val="22"/>
              </w:rPr>
              <w:t>.</w:t>
            </w:r>
            <w:r w:rsidR="00B944AC">
              <w:rPr>
                <w:b/>
                <w:bCs/>
                <w:noProof/>
                <w:color w:val="245F95" w:themeColor="text2"/>
                <w:sz w:val="22"/>
                <w:szCs w:val="22"/>
              </w:rPr>
              <w:t>6</w:t>
            </w:r>
          </w:p>
        </w:tc>
      </w:tr>
      <w:tr w:rsidR="00A10B5A" w:rsidRPr="00A10B5A" w14:paraId="0D40747B"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603F3773" w14:textId="77777777" w:rsidR="0071559B" w:rsidRPr="00A10B5A" w:rsidRDefault="0071559B" w:rsidP="00D16649">
            <w:pPr>
              <w:spacing w:after="120"/>
              <w:ind w:left="170"/>
              <w:rPr>
                <w:rFonts w:eastAsia="Calibri"/>
                <w:b w:val="0"/>
                <w:bCs/>
                <w:noProof/>
                <w:color w:val="245F95" w:themeColor="text2"/>
                <w:sz w:val="22"/>
                <w:szCs w:val="22"/>
              </w:rPr>
            </w:pPr>
            <w:r w:rsidRPr="00A10B5A">
              <w:rPr>
                <w:rFonts w:eastAsia="Calibri"/>
                <w:b w:val="0"/>
                <w:bCs/>
                <w:noProof/>
                <w:color w:val="245F95" w:themeColor="text2"/>
                <w:sz w:val="22"/>
                <w:szCs w:val="22"/>
              </w:rPr>
              <w:t>2.1 Economic, Social and territorial cohesion</w:t>
            </w:r>
          </w:p>
        </w:tc>
        <w:tc>
          <w:tcPr>
            <w:tcW w:w="573" w:type="pct"/>
            <w:vAlign w:val="center"/>
          </w:tcPr>
          <w:p w14:paraId="343EFA1F" w14:textId="23C975CE" w:rsidR="0071559B" w:rsidRPr="00A10B5A" w:rsidRDefault="004751BB" w:rsidP="0071559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29.6</w:t>
            </w:r>
          </w:p>
        </w:tc>
        <w:tc>
          <w:tcPr>
            <w:tcW w:w="573" w:type="pct"/>
            <w:vAlign w:val="center"/>
          </w:tcPr>
          <w:p w14:paraId="6F0E4137" w14:textId="4CBAC655" w:rsidR="0071559B" w:rsidRPr="00A10B5A" w:rsidRDefault="0032407C" w:rsidP="0071559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45</w:t>
            </w:r>
            <w:r w:rsidR="0071559B" w:rsidRPr="00A10B5A">
              <w:rPr>
                <w:noProof/>
                <w:color w:val="000000" w:themeColor="text1"/>
                <w:sz w:val="22"/>
                <w:szCs w:val="22"/>
              </w:rPr>
              <w:t>.</w:t>
            </w:r>
            <w:r w:rsidRPr="00A10B5A">
              <w:rPr>
                <w:noProof/>
                <w:color w:val="000000" w:themeColor="text1"/>
                <w:sz w:val="22"/>
                <w:szCs w:val="22"/>
              </w:rPr>
              <w:t>9</w:t>
            </w:r>
          </w:p>
        </w:tc>
        <w:tc>
          <w:tcPr>
            <w:tcW w:w="573" w:type="pct"/>
            <w:vAlign w:val="center"/>
          </w:tcPr>
          <w:p w14:paraId="10E8BF8A" w14:textId="792C8E5D" w:rsidR="0071559B" w:rsidRPr="00A10B5A" w:rsidRDefault="0071559B" w:rsidP="0071559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5</w:t>
            </w:r>
            <w:r w:rsidR="0032407C" w:rsidRPr="00A10B5A">
              <w:rPr>
                <w:noProof/>
                <w:color w:val="000000" w:themeColor="text1"/>
                <w:sz w:val="22"/>
                <w:szCs w:val="22"/>
              </w:rPr>
              <w:t>8</w:t>
            </w:r>
            <w:r w:rsidRPr="00A10B5A">
              <w:rPr>
                <w:noProof/>
                <w:color w:val="000000" w:themeColor="text1"/>
                <w:sz w:val="22"/>
                <w:szCs w:val="22"/>
              </w:rPr>
              <w:t>.</w:t>
            </w:r>
            <w:r w:rsidR="0032407C" w:rsidRPr="00A10B5A">
              <w:rPr>
                <w:noProof/>
                <w:color w:val="000000" w:themeColor="text1"/>
                <w:sz w:val="22"/>
                <w:szCs w:val="22"/>
              </w:rPr>
              <w:t>2</w:t>
            </w:r>
          </w:p>
        </w:tc>
        <w:tc>
          <w:tcPr>
            <w:tcW w:w="573" w:type="pct"/>
            <w:vAlign w:val="center"/>
          </w:tcPr>
          <w:p w14:paraId="4C08BB9E" w14:textId="02BCF499" w:rsidR="0071559B" w:rsidRPr="00A10B5A" w:rsidRDefault="009300C1" w:rsidP="0071559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rFonts w:eastAsia="Calibri"/>
                <w:noProof/>
                <w:color w:val="000000" w:themeColor="text1"/>
                <w:sz w:val="22"/>
                <w:szCs w:val="22"/>
              </w:rPr>
              <w:t>7</w:t>
            </w:r>
            <w:r w:rsidR="004311BD" w:rsidRPr="00A10B5A">
              <w:rPr>
                <w:rFonts w:eastAsia="Calibri"/>
                <w:noProof/>
                <w:color w:val="000000" w:themeColor="text1"/>
                <w:sz w:val="22"/>
                <w:szCs w:val="22"/>
              </w:rPr>
              <w:t>1</w:t>
            </w:r>
            <w:r w:rsidRPr="00A10B5A">
              <w:rPr>
                <w:rFonts w:eastAsia="Calibri"/>
                <w:noProof/>
                <w:color w:val="000000" w:themeColor="text1"/>
                <w:sz w:val="22"/>
                <w:szCs w:val="22"/>
              </w:rPr>
              <w:t>.</w:t>
            </w:r>
            <w:r w:rsidR="004311BD" w:rsidRPr="00A10B5A">
              <w:rPr>
                <w:rFonts w:eastAsia="Calibri"/>
                <w:noProof/>
                <w:color w:val="000000" w:themeColor="text1"/>
                <w:sz w:val="22"/>
                <w:szCs w:val="22"/>
              </w:rPr>
              <w:t>8</w:t>
            </w:r>
          </w:p>
        </w:tc>
        <w:tc>
          <w:tcPr>
            <w:tcW w:w="573" w:type="pct"/>
            <w:vAlign w:val="center"/>
          </w:tcPr>
          <w:p w14:paraId="0952F2D8" w14:textId="1E6A784F" w:rsidR="0071559B" w:rsidRPr="00A10B5A" w:rsidRDefault="0071559B" w:rsidP="0071559B">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sidRPr="00A10B5A">
              <w:rPr>
                <w:noProof/>
                <w:color w:val="000000" w:themeColor="text1"/>
                <w:sz w:val="22"/>
                <w:szCs w:val="22"/>
              </w:rPr>
              <w:t>7</w:t>
            </w:r>
            <w:r w:rsidR="004311BD" w:rsidRPr="00A10B5A">
              <w:rPr>
                <w:noProof/>
                <w:color w:val="000000" w:themeColor="text1"/>
                <w:sz w:val="22"/>
                <w:szCs w:val="22"/>
              </w:rPr>
              <w:t>2</w:t>
            </w:r>
            <w:r w:rsidRPr="00A10B5A">
              <w:rPr>
                <w:noProof/>
                <w:color w:val="000000" w:themeColor="text1"/>
                <w:sz w:val="22"/>
                <w:szCs w:val="22"/>
              </w:rPr>
              <w:t>.</w:t>
            </w:r>
            <w:r w:rsidR="004311BD" w:rsidRPr="00A10B5A">
              <w:rPr>
                <w:noProof/>
                <w:color w:val="000000" w:themeColor="text1"/>
                <w:sz w:val="22"/>
                <w:szCs w:val="22"/>
              </w:rPr>
              <w:t>2</w:t>
            </w:r>
          </w:p>
        </w:tc>
        <w:tc>
          <w:tcPr>
            <w:tcW w:w="573" w:type="pct"/>
            <w:vAlign w:val="center"/>
          </w:tcPr>
          <w:p w14:paraId="061275DE" w14:textId="6D052E52" w:rsidR="0071559B" w:rsidRPr="00A10B5A" w:rsidRDefault="0071559B" w:rsidP="0071559B">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sidRPr="00A10B5A">
              <w:rPr>
                <w:b/>
                <w:bCs/>
                <w:noProof/>
                <w:color w:val="245F95" w:themeColor="text2"/>
                <w:sz w:val="22"/>
                <w:szCs w:val="22"/>
              </w:rPr>
              <w:t>2</w:t>
            </w:r>
            <w:r w:rsidR="00D144C5" w:rsidRPr="00A10B5A">
              <w:rPr>
                <w:b/>
                <w:bCs/>
                <w:noProof/>
                <w:color w:val="245F95" w:themeColor="text2"/>
                <w:sz w:val="22"/>
                <w:szCs w:val="22"/>
              </w:rPr>
              <w:t>7</w:t>
            </w:r>
            <w:r w:rsidRPr="00A10B5A">
              <w:rPr>
                <w:b/>
                <w:bCs/>
                <w:noProof/>
                <w:color w:val="245F95" w:themeColor="text2"/>
                <w:sz w:val="22"/>
                <w:szCs w:val="22"/>
              </w:rPr>
              <w:t>7.</w:t>
            </w:r>
            <w:r w:rsidR="00D144C5" w:rsidRPr="00A10B5A">
              <w:rPr>
                <w:b/>
                <w:bCs/>
                <w:noProof/>
                <w:color w:val="245F95" w:themeColor="text2"/>
                <w:sz w:val="22"/>
                <w:szCs w:val="22"/>
              </w:rPr>
              <w:t>8</w:t>
            </w:r>
          </w:p>
        </w:tc>
      </w:tr>
      <w:tr w:rsidR="00A10B5A" w:rsidRPr="00A10B5A" w14:paraId="7CAF976F"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7CC15A50" w14:textId="77777777" w:rsidR="00B35585" w:rsidRPr="00A10B5A" w:rsidRDefault="00B35585" w:rsidP="00D16649">
            <w:pPr>
              <w:spacing w:after="120"/>
              <w:ind w:left="170"/>
              <w:rPr>
                <w:rFonts w:eastAsia="Calibri"/>
                <w:b w:val="0"/>
                <w:bCs/>
                <w:noProof/>
                <w:color w:val="245F95" w:themeColor="text2"/>
                <w:sz w:val="22"/>
                <w:szCs w:val="22"/>
              </w:rPr>
            </w:pPr>
            <w:r w:rsidRPr="00A10B5A">
              <w:rPr>
                <w:rFonts w:eastAsia="Calibri"/>
                <w:b w:val="0"/>
                <w:bCs/>
                <w:noProof/>
                <w:color w:val="245F95" w:themeColor="text2"/>
                <w:sz w:val="22"/>
                <w:szCs w:val="22"/>
              </w:rPr>
              <w:t>2.2 Resilience and Values</w:t>
            </w:r>
          </w:p>
        </w:tc>
        <w:tc>
          <w:tcPr>
            <w:tcW w:w="573" w:type="pct"/>
            <w:vAlign w:val="center"/>
          </w:tcPr>
          <w:p w14:paraId="7FF52CBA" w14:textId="52355A4E" w:rsidR="00B35585" w:rsidRPr="00A10B5A" w:rsidRDefault="00EE2A88"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rFonts w:eastAsia="Calibri"/>
                <w:noProof/>
                <w:color w:val="000000" w:themeColor="text1"/>
                <w:sz w:val="22"/>
                <w:szCs w:val="22"/>
              </w:rPr>
              <w:t>1</w:t>
            </w:r>
            <w:r w:rsidR="005B3226" w:rsidRPr="00A10B5A">
              <w:rPr>
                <w:rFonts w:eastAsia="Calibri"/>
                <w:noProof/>
                <w:color w:val="000000" w:themeColor="text1"/>
                <w:sz w:val="22"/>
                <w:szCs w:val="22"/>
              </w:rPr>
              <w:t>1</w:t>
            </w:r>
            <w:r w:rsidR="00677056" w:rsidRPr="00A10B5A">
              <w:rPr>
                <w:rFonts w:eastAsia="Calibri"/>
                <w:noProof/>
                <w:color w:val="000000" w:themeColor="text1"/>
                <w:sz w:val="22"/>
                <w:szCs w:val="22"/>
              </w:rPr>
              <w:t>.</w:t>
            </w:r>
            <w:r w:rsidR="00FF138A">
              <w:rPr>
                <w:rFonts w:eastAsia="Calibri"/>
                <w:noProof/>
                <w:color w:val="000000" w:themeColor="text1"/>
                <w:sz w:val="22"/>
                <w:szCs w:val="22"/>
              </w:rPr>
              <w:t>3</w:t>
            </w:r>
          </w:p>
        </w:tc>
        <w:tc>
          <w:tcPr>
            <w:tcW w:w="573" w:type="pct"/>
            <w:vAlign w:val="center"/>
          </w:tcPr>
          <w:p w14:paraId="7BC1C8D0" w14:textId="63D63701" w:rsidR="00B35585" w:rsidRPr="00A10B5A" w:rsidRDefault="00EE2A88"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rFonts w:eastAsia="Calibri"/>
                <w:noProof/>
                <w:color w:val="000000" w:themeColor="text1"/>
                <w:sz w:val="22"/>
                <w:szCs w:val="22"/>
              </w:rPr>
              <w:t>1</w:t>
            </w:r>
            <w:r w:rsidR="000E6E2D" w:rsidRPr="00A10B5A">
              <w:rPr>
                <w:rFonts w:eastAsia="Calibri"/>
                <w:noProof/>
                <w:color w:val="000000" w:themeColor="text1"/>
                <w:sz w:val="22"/>
                <w:szCs w:val="22"/>
              </w:rPr>
              <w:t>0</w:t>
            </w:r>
            <w:r w:rsidR="00B35585" w:rsidRPr="00A10B5A">
              <w:rPr>
                <w:rFonts w:eastAsia="Calibri"/>
                <w:noProof/>
                <w:color w:val="000000" w:themeColor="text1"/>
                <w:sz w:val="22"/>
                <w:szCs w:val="22"/>
              </w:rPr>
              <w:t>.</w:t>
            </w:r>
            <w:r w:rsidR="00FF138A">
              <w:rPr>
                <w:rFonts w:eastAsia="Calibri"/>
                <w:noProof/>
                <w:color w:val="000000" w:themeColor="text1"/>
                <w:sz w:val="22"/>
                <w:szCs w:val="22"/>
              </w:rPr>
              <w:t>9</w:t>
            </w:r>
          </w:p>
        </w:tc>
        <w:tc>
          <w:tcPr>
            <w:tcW w:w="573" w:type="pct"/>
            <w:vAlign w:val="center"/>
          </w:tcPr>
          <w:p w14:paraId="5441CD78" w14:textId="2C0904F2" w:rsidR="00B35585" w:rsidRPr="00A10B5A" w:rsidRDefault="00B35585"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rFonts w:eastAsia="Calibri"/>
                <w:noProof/>
                <w:color w:val="000000" w:themeColor="text1"/>
                <w:sz w:val="22"/>
                <w:szCs w:val="22"/>
              </w:rPr>
              <w:t>1</w:t>
            </w:r>
            <w:r w:rsidR="00E65D70" w:rsidRPr="00A10B5A">
              <w:rPr>
                <w:rFonts w:eastAsia="Calibri"/>
                <w:noProof/>
                <w:color w:val="000000" w:themeColor="text1"/>
                <w:sz w:val="22"/>
                <w:szCs w:val="22"/>
              </w:rPr>
              <w:t>2</w:t>
            </w:r>
            <w:r w:rsidRPr="00A10B5A">
              <w:rPr>
                <w:rFonts w:eastAsia="Calibri"/>
                <w:noProof/>
                <w:color w:val="000000" w:themeColor="text1"/>
                <w:sz w:val="22"/>
                <w:szCs w:val="22"/>
              </w:rPr>
              <w:t>.</w:t>
            </w:r>
            <w:r w:rsidR="00FF138A">
              <w:rPr>
                <w:rFonts w:eastAsia="Calibri"/>
                <w:noProof/>
                <w:color w:val="000000" w:themeColor="text1"/>
                <w:sz w:val="22"/>
                <w:szCs w:val="22"/>
              </w:rPr>
              <w:t>6</w:t>
            </w:r>
          </w:p>
        </w:tc>
        <w:tc>
          <w:tcPr>
            <w:tcW w:w="573" w:type="pct"/>
            <w:vAlign w:val="center"/>
          </w:tcPr>
          <w:p w14:paraId="7B7462CF" w14:textId="710F7ABF" w:rsidR="00B35585" w:rsidRPr="00A10B5A" w:rsidRDefault="00BF4EBB"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rFonts w:eastAsia="Calibri"/>
                <w:noProof/>
                <w:color w:val="000000" w:themeColor="text1"/>
                <w:sz w:val="22"/>
                <w:szCs w:val="22"/>
              </w:rPr>
              <w:t>7</w:t>
            </w:r>
            <w:r w:rsidR="00B35585" w:rsidRPr="00A10B5A">
              <w:rPr>
                <w:rFonts w:eastAsia="Calibri"/>
                <w:noProof/>
                <w:color w:val="000000" w:themeColor="text1"/>
                <w:sz w:val="22"/>
                <w:szCs w:val="22"/>
              </w:rPr>
              <w:t>.</w:t>
            </w:r>
            <w:r w:rsidR="00B944AC">
              <w:rPr>
                <w:rFonts w:eastAsia="Calibri"/>
                <w:noProof/>
                <w:color w:val="000000" w:themeColor="text1"/>
                <w:sz w:val="22"/>
                <w:szCs w:val="22"/>
              </w:rPr>
              <w:t>6</w:t>
            </w:r>
          </w:p>
        </w:tc>
        <w:tc>
          <w:tcPr>
            <w:tcW w:w="573" w:type="pct"/>
            <w:vAlign w:val="center"/>
          </w:tcPr>
          <w:p w14:paraId="6D1BCE12" w14:textId="1EF3E012" w:rsidR="00B35585" w:rsidRPr="00A10B5A" w:rsidRDefault="00A34D98"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sidRPr="00A10B5A">
              <w:rPr>
                <w:noProof/>
                <w:color w:val="000000" w:themeColor="text1"/>
                <w:sz w:val="22"/>
                <w:szCs w:val="22"/>
              </w:rPr>
              <w:t>2</w:t>
            </w:r>
            <w:r w:rsidR="00B35585" w:rsidRPr="00A10B5A">
              <w:rPr>
                <w:noProof/>
                <w:color w:val="000000" w:themeColor="text1"/>
                <w:sz w:val="22"/>
                <w:szCs w:val="22"/>
              </w:rPr>
              <w:t>.</w:t>
            </w:r>
            <w:r w:rsidR="000359A2" w:rsidRPr="00A10B5A">
              <w:rPr>
                <w:noProof/>
                <w:color w:val="000000" w:themeColor="text1"/>
                <w:sz w:val="22"/>
                <w:szCs w:val="22"/>
              </w:rPr>
              <w:t>4</w:t>
            </w:r>
          </w:p>
        </w:tc>
        <w:tc>
          <w:tcPr>
            <w:tcW w:w="573" w:type="pct"/>
            <w:vAlign w:val="center"/>
          </w:tcPr>
          <w:p w14:paraId="3AFFA6D2" w14:textId="79E4F27C" w:rsidR="00B35585" w:rsidRPr="00A10B5A" w:rsidRDefault="00B35585"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sidRPr="00A10B5A">
              <w:rPr>
                <w:b/>
                <w:bCs/>
                <w:noProof/>
                <w:color w:val="245F95" w:themeColor="text2"/>
                <w:sz w:val="22"/>
                <w:szCs w:val="22"/>
              </w:rPr>
              <w:t>4</w:t>
            </w:r>
            <w:r w:rsidR="00FA59D9" w:rsidRPr="00A10B5A">
              <w:rPr>
                <w:b/>
                <w:bCs/>
                <w:noProof/>
                <w:color w:val="245F95" w:themeColor="text2"/>
                <w:sz w:val="22"/>
                <w:szCs w:val="22"/>
              </w:rPr>
              <w:t>4</w:t>
            </w:r>
            <w:r w:rsidRPr="00A10B5A">
              <w:rPr>
                <w:b/>
                <w:bCs/>
                <w:noProof/>
                <w:color w:val="245F95" w:themeColor="text2"/>
                <w:sz w:val="22"/>
                <w:szCs w:val="22"/>
              </w:rPr>
              <w:t>.</w:t>
            </w:r>
            <w:r w:rsidR="00B944AC">
              <w:rPr>
                <w:b/>
                <w:bCs/>
                <w:noProof/>
                <w:color w:val="245F95" w:themeColor="text2"/>
                <w:sz w:val="22"/>
                <w:szCs w:val="22"/>
              </w:rPr>
              <w:t>8</w:t>
            </w:r>
          </w:p>
        </w:tc>
      </w:tr>
      <w:tr w:rsidR="00A10B5A" w:rsidRPr="00A10B5A" w14:paraId="668AF3D8"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775172A9" w14:textId="77777777" w:rsidR="00D212B3" w:rsidRPr="00A10B5A" w:rsidRDefault="00D212B3" w:rsidP="00D212B3">
            <w:pPr>
              <w:spacing w:after="120"/>
              <w:rPr>
                <w:rFonts w:eastAsia="Calibri"/>
                <w:bCs/>
                <w:noProof/>
                <w:color w:val="245F95" w:themeColor="text2"/>
                <w:sz w:val="22"/>
                <w:szCs w:val="22"/>
              </w:rPr>
            </w:pPr>
            <w:r w:rsidRPr="00A10B5A">
              <w:rPr>
                <w:rFonts w:eastAsia="Calibri"/>
                <w:bCs/>
                <w:noProof/>
                <w:color w:val="245F95" w:themeColor="text2"/>
                <w:sz w:val="22"/>
                <w:szCs w:val="22"/>
              </w:rPr>
              <w:t>3 Natural Resources and Environment</w:t>
            </w:r>
          </w:p>
        </w:tc>
        <w:tc>
          <w:tcPr>
            <w:tcW w:w="573" w:type="pct"/>
            <w:vAlign w:val="center"/>
          </w:tcPr>
          <w:p w14:paraId="03598C8B" w14:textId="231D41E3" w:rsidR="00D212B3" w:rsidRPr="00A10B5A" w:rsidRDefault="00CF544E"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5</w:t>
            </w:r>
            <w:r w:rsidR="00D11F31" w:rsidRPr="00A10B5A">
              <w:rPr>
                <w:noProof/>
                <w:color w:val="000000" w:themeColor="text1"/>
                <w:sz w:val="22"/>
                <w:szCs w:val="22"/>
              </w:rPr>
              <w:t>2</w:t>
            </w:r>
            <w:r w:rsidR="00D212B3" w:rsidRPr="00A10B5A">
              <w:rPr>
                <w:noProof/>
                <w:color w:val="000000" w:themeColor="text1"/>
                <w:sz w:val="22"/>
                <w:szCs w:val="22"/>
              </w:rPr>
              <w:t>.</w:t>
            </w:r>
            <w:r w:rsidR="00D11F31" w:rsidRPr="00A10B5A">
              <w:rPr>
                <w:noProof/>
                <w:color w:val="000000" w:themeColor="text1"/>
                <w:sz w:val="22"/>
                <w:szCs w:val="22"/>
              </w:rPr>
              <w:t>5</w:t>
            </w:r>
          </w:p>
        </w:tc>
        <w:tc>
          <w:tcPr>
            <w:tcW w:w="573" w:type="pct"/>
            <w:vAlign w:val="center"/>
          </w:tcPr>
          <w:p w14:paraId="1D716D7D" w14:textId="423E5837" w:rsidR="00D212B3" w:rsidRPr="00A10B5A" w:rsidRDefault="00863E69"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55</w:t>
            </w:r>
            <w:r w:rsidR="00D212B3" w:rsidRPr="00A10B5A">
              <w:rPr>
                <w:noProof/>
                <w:color w:val="000000" w:themeColor="text1"/>
                <w:sz w:val="22"/>
                <w:szCs w:val="22"/>
              </w:rPr>
              <w:t>.</w:t>
            </w:r>
            <w:r w:rsidRPr="00A10B5A">
              <w:rPr>
                <w:noProof/>
                <w:color w:val="000000" w:themeColor="text1"/>
                <w:sz w:val="22"/>
                <w:szCs w:val="22"/>
              </w:rPr>
              <w:t>7</w:t>
            </w:r>
          </w:p>
        </w:tc>
        <w:tc>
          <w:tcPr>
            <w:tcW w:w="573" w:type="pct"/>
            <w:vAlign w:val="center"/>
          </w:tcPr>
          <w:p w14:paraId="238228B5" w14:textId="557AB762" w:rsidR="00D212B3" w:rsidRPr="00A10B5A" w:rsidRDefault="005A2E41"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5</w:t>
            </w:r>
            <w:r w:rsidR="00863E69" w:rsidRPr="00A10B5A">
              <w:rPr>
                <w:noProof/>
                <w:color w:val="000000" w:themeColor="text1"/>
                <w:sz w:val="22"/>
                <w:szCs w:val="22"/>
              </w:rPr>
              <w:t>9</w:t>
            </w:r>
            <w:r w:rsidR="00D212B3" w:rsidRPr="00A10B5A">
              <w:rPr>
                <w:noProof/>
                <w:color w:val="000000" w:themeColor="text1"/>
                <w:sz w:val="22"/>
                <w:szCs w:val="22"/>
              </w:rPr>
              <w:t>.</w:t>
            </w:r>
            <w:r w:rsidR="00863E69" w:rsidRPr="00A10B5A">
              <w:rPr>
                <w:noProof/>
                <w:color w:val="000000" w:themeColor="text1"/>
                <w:sz w:val="22"/>
                <w:szCs w:val="22"/>
              </w:rPr>
              <w:t>5</w:t>
            </w:r>
          </w:p>
        </w:tc>
        <w:tc>
          <w:tcPr>
            <w:tcW w:w="573" w:type="pct"/>
            <w:vAlign w:val="center"/>
          </w:tcPr>
          <w:p w14:paraId="5360687E" w14:textId="6BFEF034" w:rsidR="00D212B3" w:rsidRPr="00A10B5A" w:rsidRDefault="00863E69"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17</w:t>
            </w:r>
            <w:r w:rsidR="00D212B3" w:rsidRPr="00A10B5A">
              <w:rPr>
                <w:noProof/>
                <w:color w:val="000000" w:themeColor="text1"/>
                <w:sz w:val="22"/>
                <w:szCs w:val="22"/>
              </w:rPr>
              <w:t>.</w:t>
            </w:r>
            <w:r w:rsidRPr="00A10B5A">
              <w:rPr>
                <w:noProof/>
                <w:color w:val="000000" w:themeColor="text1"/>
                <w:sz w:val="22"/>
                <w:szCs w:val="22"/>
              </w:rPr>
              <w:t>5</w:t>
            </w:r>
          </w:p>
        </w:tc>
        <w:tc>
          <w:tcPr>
            <w:tcW w:w="573" w:type="pct"/>
            <w:vAlign w:val="center"/>
          </w:tcPr>
          <w:p w14:paraId="4063E511" w14:textId="4CD4EE42" w:rsidR="00D212B3" w:rsidRPr="00A10B5A" w:rsidRDefault="00863E69"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sidRPr="00A10B5A">
              <w:rPr>
                <w:noProof/>
                <w:color w:val="000000" w:themeColor="text1"/>
                <w:sz w:val="22"/>
                <w:szCs w:val="22"/>
              </w:rPr>
              <w:t>14</w:t>
            </w:r>
            <w:r w:rsidR="00D212B3" w:rsidRPr="00A10B5A">
              <w:rPr>
                <w:noProof/>
                <w:color w:val="000000" w:themeColor="text1"/>
                <w:sz w:val="22"/>
                <w:szCs w:val="22"/>
              </w:rPr>
              <w:t>.</w:t>
            </w:r>
            <w:r w:rsidRPr="00A10B5A">
              <w:rPr>
                <w:noProof/>
                <w:color w:val="000000" w:themeColor="text1"/>
                <w:sz w:val="22"/>
                <w:szCs w:val="22"/>
              </w:rPr>
              <w:t>5</w:t>
            </w:r>
          </w:p>
        </w:tc>
        <w:tc>
          <w:tcPr>
            <w:tcW w:w="573" w:type="pct"/>
            <w:vAlign w:val="center"/>
          </w:tcPr>
          <w:p w14:paraId="34958137" w14:textId="42487854" w:rsidR="00D212B3" w:rsidRPr="00A10B5A" w:rsidRDefault="00652245"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sidRPr="00A10B5A">
              <w:rPr>
                <w:b/>
                <w:bCs/>
                <w:noProof/>
                <w:color w:val="245F95" w:themeColor="text2"/>
                <w:sz w:val="22"/>
                <w:szCs w:val="22"/>
              </w:rPr>
              <w:t>199</w:t>
            </w:r>
            <w:r w:rsidR="00D212B3" w:rsidRPr="00A10B5A">
              <w:rPr>
                <w:b/>
                <w:bCs/>
                <w:noProof/>
                <w:color w:val="245F95" w:themeColor="text2"/>
                <w:sz w:val="22"/>
                <w:szCs w:val="22"/>
              </w:rPr>
              <w:t>.</w:t>
            </w:r>
            <w:r w:rsidRPr="00A10B5A">
              <w:rPr>
                <w:b/>
                <w:bCs/>
                <w:noProof/>
                <w:color w:val="245F95" w:themeColor="text2"/>
                <w:sz w:val="22"/>
                <w:szCs w:val="22"/>
              </w:rPr>
              <w:t>7</w:t>
            </w:r>
          </w:p>
        </w:tc>
      </w:tr>
      <w:tr w:rsidR="00A10B5A" w:rsidRPr="00A10B5A" w14:paraId="784A411F"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7BB98FA4" w14:textId="77777777" w:rsidR="00BC65B0" w:rsidRPr="00A10B5A" w:rsidRDefault="00BC65B0" w:rsidP="00D16649">
            <w:pPr>
              <w:spacing w:after="120"/>
              <w:ind w:left="170"/>
              <w:rPr>
                <w:rFonts w:eastAsia="Calibri"/>
                <w:b w:val="0"/>
                <w:bCs/>
                <w:noProof/>
                <w:color w:val="245F95" w:themeColor="text2"/>
                <w:sz w:val="22"/>
                <w:szCs w:val="22"/>
              </w:rPr>
            </w:pPr>
            <w:r w:rsidRPr="00A10B5A">
              <w:rPr>
                <w:rFonts w:eastAsia="Calibri"/>
                <w:b w:val="0"/>
                <w:bCs/>
                <w:noProof/>
                <w:color w:val="245F95" w:themeColor="text2"/>
                <w:sz w:val="22"/>
                <w:szCs w:val="22"/>
              </w:rPr>
              <w:t>3.1 Market related expenditure and direct payments</w:t>
            </w:r>
          </w:p>
        </w:tc>
        <w:tc>
          <w:tcPr>
            <w:tcW w:w="573" w:type="pct"/>
            <w:vAlign w:val="center"/>
          </w:tcPr>
          <w:p w14:paraId="5C5E0110" w14:textId="4014ED85" w:rsidR="00BC65B0" w:rsidRPr="00A10B5A" w:rsidRDefault="00510715"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40.</w:t>
            </w:r>
            <w:r w:rsidR="008B7CB7" w:rsidRPr="00A10B5A">
              <w:rPr>
                <w:noProof/>
                <w:color w:val="000000" w:themeColor="text1"/>
                <w:sz w:val="22"/>
                <w:szCs w:val="22"/>
              </w:rPr>
              <w:t>6</w:t>
            </w:r>
          </w:p>
        </w:tc>
        <w:tc>
          <w:tcPr>
            <w:tcW w:w="573" w:type="pct"/>
            <w:vAlign w:val="center"/>
          </w:tcPr>
          <w:p w14:paraId="1D5BBC59" w14:textId="6B519ED8"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40.</w:t>
            </w:r>
            <w:r w:rsidR="008B7CB7" w:rsidRPr="00A10B5A">
              <w:rPr>
                <w:noProof/>
                <w:color w:val="000000" w:themeColor="text1"/>
                <w:sz w:val="22"/>
                <w:szCs w:val="22"/>
              </w:rPr>
              <w:t>5</w:t>
            </w:r>
          </w:p>
        </w:tc>
        <w:tc>
          <w:tcPr>
            <w:tcW w:w="573" w:type="pct"/>
            <w:vAlign w:val="center"/>
          </w:tcPr>
          <w:p w14:paraId="63556DA2" w14:textId="1DB287D6"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40.</w:t>
            </w:r>
            <w:r w:rsidR="008B7CB7" w:rsidRPr="00A10B5A">
              <w:rPr>
                <w:noProof/>
                <w:color w:val="000000" w:themeColor="text1"/>
                <w:sz w:val="22"/>
                <w:szCs w:val="22"/>
              </w:rPr>
              <w:t>5</w:t>
            </w:r>
          </w:p>
        </w:tc>
        <w:tc>
          <w:tcPr>
            <w:tcW w:w="573" w:type="pct"/>
            <w:vAlign w:val="center"/>
          </w:tcPr>
          <w:p w14:paraId="5F5BCEBE" w14:textId="4584FD7B"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p>
        </w:tc>
        <w:tc>
          <w:tcPr>
            <w:tcW w:w="573" w:type="pct"/>
            <w:vAlign w:val="center"/>
          </w:tcPr>
          <w:p w14:paraId="621F0361" w14:textId="6C1B5BBB"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p>
        </w:tc>
        <w:tc>
          <w:tcPr>
            <w:tcW w:w="573" w:type="pct"/>
            <w:vAlign w:val="center"/>
          </w:tcPr>
          <w:p w14:paraId="601748A1" w14:textId="62591293"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sidRPr="00A10B5A">
              <w:rPr>
                <w:b/>
                <w:bCs/>
                <w:noProof/>
                <w:color w:val="245F95" w:themeColor="text2"/>
                <w:sz w:val="22"/>
                <w:szCs w:val="22"/>
              </w:rPr>
              <w:t>1</w:t>
            </w:r>
            <w:r w:rsidR="00221937" w:rsidRPr="00A10B5A">
              <w:rPr>
                <w:b/>
                <w:bCs/>
                <w:noProof/>
                <w:color w:val="245F95" w:themeColor="text2"/>
                <w:sz w:val="22"/>
                <w:szCs w:val="22"/>
              </w:rPr>
              <w:t>2</w:t>
            </w:r>
            <w:r w:rsidR="008B7CB7" w:rsidRPr="00A10B5A">
              <w:rPr>
                <w:b/>
                <w:bCs/>
                <w:noProof/>
                <w:color w:val="245F95" w:themeColor="text2"/>
                <w:sz w:val="22"/>
                <w:szCs w:val="22"/>
              </w:rPr>
              <w:t>1</w:t>
            </w:r>
            <w:r w:rsidRPr="00A10B5A">
              <w:rPr>
                <w:b/>
                <w:bCs/>
                <w:noProof/>
                <w:color w:val="245F95" w:themeColor="text2"/>
                <w:sz w:val="22"/>
                <w:szCs w:val="22"/>
              </w:rPr>
              <w:t>.</w:t>
            </w:r>
            <w:r w:rsidR="008B7CB7" w:rsidRPr="00A10B5A">
              <w:rPr>
                <w:b/>
                <w:bCs/>
                <w:noProof/>
                <w:color w:val="245F95" w:themeColor="text2"/>
                <w:sz w:val="22"/>
                <w:szCs w:val="22"/>
              </w:rPr>
              <w:t>7</w:t>
            </w:r>
          </w:p>
        </w:tc>
      </w:tr>
      <w:tr w:rsidR="00A10B5A" w:rsidRPr="00A10B5A" w14:paraId="550EEA50"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53B12D09" w14:textId="77777777" w:rsidR="00BC65B0" w:rsidRPr="00A10B5A" w:rsidRDefault="00BC65B0" w:rsidP="00D16649">
            <w:pPr>
              <w:spacing w:after="120"/>
              <w:ind w:left="170"/>
              <w:rPr>
                <w:rFonts w:eastAsia="Calibri"/>
                <w:b w:val="0"/>
                <w:bCs/>
                <w:noProof/>
                <w:color w:val="245F95" w:themeColor="text2"/>
                <w:sz w:val="22"/>
                <w:szCs w:val="22"/>
              </w:rPr>
            </w:pPr>
            <w:r w:rsidRPr="00A10B5A">
              <w:rPr>
                <w:rFonts w:eastAsia="Calibri"/>
                <w:b w:val="0"/>
                <w:bCs/>
                <w:noProof/>
                <w:color w:val="245F95" w:themeColor="text2"/>
                <w:sz w:val="22"/>
                <w:szCs w:val="22"/>
              </w:rPr>
              <w:t>3.2 Other programmes of Natural Resources and Environment</w:t>
            </w:r>
          </w:p>
        </w:tc>
        <w:tc>
          <w:tcPr>
            <w:tcW w:w="573" w:type="pct"/>
            <w:vAlign w:val="center"/>
          </w:tcPr>
          <w:p w14:paraId="21352A73" w14:textId="4647DC81" w:rsidR="00BC65B0" w:rsidRPr="00A10B5A" w:rsidRDefault="004A6A5D"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11.9</w:t>
            </w:r>
          </w:p>
        </w:tc>
        <w:tc>
          <w:tcPr>
            <w:tcW w:w="573" w:type="pct"/>
            <w:vAlign w:val="center"/>
          </w:tcPr>
          <w:p w14:paraId="0FAA4FD4" w14:textId="30D85171" w:rsidR="00BC65B0" w:rsidRPr="00A10B5A" w:rsidRDefault="004A6A5D"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15</w:t>
            </w:r>
            <w:r w:rsidR="00BC65B0" w:rsidRPr="00A10B5A">
              <w:rPr>
                <w:noProof/>
                <w:color w:val="000000" w:themeColor="text1"/>
                <w:sz w:val="22"/>
                <w:szCs w:val="22"/>
              </w:rPr>
              <w:t>.</w:t>
            </w:r>
            <w:r w:rsidRPr="00A10B5A">
              <w:rPr>
                <w:noProof/>
                <w:color w:val="000000" w:themeColor="text1"/>
                <w:sz w:val="22"/>
                <w:szCs w:val="22"/>
              </w:rPr>
              <w:t>1</w:t>
            </w:r>
          </w:p>
        </w:tc>
        <w:tc>
          <w:tcPr>
            <w:tcW w:w="573" w:type="pct"/>
            <w:vAlign w:val="center"/>
          </w:tcPr>
          <w:p w14:paraId="13C52786" w14:textId="2006A074" w:rsidR="00BC65B0" w:rsidRPr="00A10B5A" w:rsidRDefault="00E106ED"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1</w:t>
            </w:r>
            <w:r w:rsidR="009B27D8" w:rsidRPr="00A10B5A">
              <w:rPr>
                <w:noProof/>
                <w:color w:val="000000" w:themeColor="text1"/>
                <w:sz w:val="22"/>
                <w:szCs w:val="22"/>
              </w:rPr>
              <w:t>9.0</w:t>
            </w:r>
          </w:p>
        </w:tc>
        <w:tc>
          <w:tcPr>
            <w:tcW w:w="573" w:type="pct"/>
            <w:vAlign w:val="center"/>
          </w:tcPr>
          <w:p w14:paraId="0D89F94E" w14:textId="11FBD005" w:rsidR="00BC65B0" w:rsidRPr="00A10B5A" w:rsidRDefault="00005B3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1</w:t>
            </w:r>
            <w:r w:rsidR="00E76219" w:rsidRPr="00A10B5A">
              <w:rPr>
                <w:noProof/>
                <w:color w:val="000000" w:themeColor="text1"/>
                <w:sz w:val="22"/>
                <w:szCs w:val="22"/>
              </w:rPr>
              <w:t>7</w:t>
            </w:r>
            <w:r w:rsidR="00BC65B0" w:rsidRPr="00A10B5A">
              <w:rPr>
                <w:noProof/>
                <w:color w:val="000000" w:themeColor="text1"/>
                <w:sz w:val="22"/>
                <w:szCs w:val="22"/>
              </w:rPr>
              <w:t>.</w:t>
            </w:r>
            <w:r w:rsidR="00E76219" w:rsidRPr="00A10B5A">
              <w:rPr>
                <w:noProof/>
                <w:color w:val="000000" w:themeColor="text1"/>
                <w:sz w:val="22"/>
                <w:szCs w:val="22"/>
              </w:rPr>
              <w:t>5</w:t>
            </w:r>
          </w:p>
        </w:tc>
        <w:tc>
          <w:tcPr>
            <w:tcW w:w="573" w:type="pct"/>
            <w:vAlign w:val="center"/>
          </w:tcPr>
          <w:p w14:paraId="6FCF0FD0" w14:textId="29AE8066" w:rsidR="00BC65B0" w:rsidRPr="00A10B5A" w:rsidRDefault="00005B3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sidRPr="00A10B5A">
              <w:rPr>
                <w:noProof/>
                <w:color w:val="000000" w:themeColor="text1"/>
                <w:sz w:val="22"/>
                <w:szCs w:val="22"/>
              </w:rPr>
              <w:t>1</w:t>
            </w:r>
            <w:r w:rsidR="00E76219" w:rsidRPr="00A10B5A">
              <w:rPr>
                <w:noProof/>
                <w:color w:val="000000" w:themeColor="text1"/>
                <w:sz w:val="22"/>
                <w:szCs w:val="22"/>
              </w:rPr>
              <w:t>4</w:t>
            </w:r>
            <w:r w:rsidR="00BC65B0" w:rsidRPr="00A10B5A">
              <w:rPr>
                <w:noProof/>
                <w:color w:val="000000" w:themeColor="text1"/>
                <w:sz w:val="22"/>
                <w:szCs w:val="22"/>
              </w:rPr>
              <w:t>.</w:t>
            </w:r>
            <w:r w:rsidR="00E76219" w:rsidRPr="00A10B5A">
              <w:rPr>
                <w:noProof/>
                <w:color w:val="000000" w:themeColor="text1"/>
                <w:sz w:val="22"/>
                <w:szCs w:val="22"/>
              </w:rPr>
              <w:t>5</w:t>
            </w:r>
          </w:p>
        </w:tc>
        <w:tc>
          <w:tcPr>
            <w:tcW w:w="573" w:type="pct"/>
            <w:vAlign w:val="center"/>
          </w:tcPr>
          <w:p w14:paraId="012DCC9A" w14:textId="62005DCF" w:rsidR="00BC65B0" w:rsidRPr="00A10B5A" w:rsidRDefault="00184813"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sidRPr="00A10B5A">
              <w:rPr>
                <w:b/>
                <w:bCs/>
                <w:noProof/>
                <w:color w:val="245F95" w:themeColor="text2"/>
                <w:sz w:val="22"/>
                <w:szCs w:val="22"/>
              </w:rPr>
              <w:t>78</w:t>
            </w:r>
            <w:r w:rsidR="00BC65B0" w:rsidRPr="00A10B5A">
              <w:rPr>
                <w:b/>
                <w:bCs/>
                <w:noProof/>
                <w:color w:val="245F95" w:themeColor="text2"/>
                <w:sz w:val="22"/>
                <w:szCs w:val="22"/>
              </w:rPr>
              <w:t>.</w:t>
            </w:r>
            <w:r w:rsidR="00CF179E" w:rsidRPr="00A10B5A">
              <w:rPr>
                <w:b/>
                <w:bCs/>
                <w:noProof/>
                <w:color w:val="245F95" w:themeColor="text2"/>
                <w:sz w:val="22"/>
                <w:szCs w:val="22"/>
              </w:rPr>
              <w:t>1</w:t>
            </w:r>
          </w:p>
        </w:tc>
      </w:tr>
      <w:tr w:rsidR="00A10B5A" w:rsidRPr="00A10B5A" w14:paraId="71A05873"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383FEC03" w14:textId="77777777" w:rsidR="004C07C6" w:rsidRPr="00A10B5A" w:rsidRDefault="004C07C6" w:rsidP="004C07C6">
            <w:pPr>
              <w:spacing w:after="120"/>
              <w:rPr>
                <w:rFonts w:eastAsia="Calibri"/>
                <w:bCs/>
                <w:noProof/>
                <w:color w:val="245F95" w:themeColor="text2"/>
                <w:sz w:val="22"/>
                <w:szCs w:val="22"/>
              </w:rPr>
            </w:pPr>
            <w:r w:rsidRPr="00A10B5A">
              <w:rPr>
                <w:rFonts w:eastAsia="Calibri"/>
                <w:bCs/>
                <w:noProof/>
                <w:color w:val="245F95" w:themeColor="text2"/>
                <w:sz w:val="22"/>
                <w:szCs w:val="22"/>
              </w:rPr>
              <w:t>4 Migration and Border Management</w:t>
            </w:r>
          </w:p>
        </w:tc>
        <w:tc>
          <w:tcPr>
            <w:tcW w:w="573" w:type="pct"/>
            <w:vAlign w:val="center"/>
          </w:tcPr>
          <w:p w14:paraId="544CAB94" w14:textId="5DB5F7BE" w:rsidR="004C07C6" w:rsidRPr="00A10B5A" w:rsidRDefault="000545C8"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szCs w:val="22"/>
              </w:rPr>
              <w:t>3</w:t>
            </w:r>
            <w:r w:rsidR="004C07C6" w:rsidRPr="00A10B5A">
              <w:rPr>
                <w:noProof/>
                <w:color w:val="000000" w:themeColor="text1"/>
                <w:sz w:val="22"/>
                <w:szCs w:val="22"/>
              </w:rPr>
              <w:t>.</w:t>
            </w:r>
            <w:r>
              <w:rPr>
                <w:noProof/>
                <w:color w:val="000000" w:themeColor="text1"/>
                <w:sz w:val="22"/>
                <w:szCs w:val="22"/>
              </w:rPr>
              <w:t>0</w:t>
            </w:r>
          </w:p>
        </w:tc>
        <w:tc>
          <w:tcPr>
            <w:tcW w:w="573" w:type="pct"/>
            <w:vAlign w:val="center"/>
          </w:tcPr>
          <w:p w14:paraId="1C5F1D17" w14:textId="5555E6E2" w:rsidR="004C07C6" w:rsidRPr="00A10B5A" w:rsidRDefault="004C07C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3.</w:t>
            </w:r>
            <w:r w:rsidR="00791ACC" w:rsidRPr="00A10B5A">
              <w:rPr>
                <w:noProof/>
                <w:color w:val="000000" w:themeColor="text1"/>
                <w:sz w:val="22"/>
                <w:szCs w:val="22"/>
              </w:rPr>
              <w:t>5</w:t>
            </w:r>
          </w:p>
        </w:tc>
        <w:tc>
          <w:tcPr>
            <w:tcW w:w="573" w:type="pct"/>
            <w:vAlign w:val="center"/>
          </w:tcPr>
          <w:p w14:paraId="07EBCA69" w14:textId="6E2030E7" w:rsidR="004C07C6" w:rsidRPr="00A10B5A" w:rsidRDefault="004C07C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4.</w:t>
            </w:r>
            <w:r w:rsidR="00791ACC" w:rsidRPr="00A10B5A">
              <w:rPr>
                <w:noProof/>
                <w:color w:val="000000" w:themeColor="text1"/>
                <w:sz w:val="22"/>
                <w:szCs w:val="22"/>
              </w:rPr>
              <w:t>0</w:t>
            </w:r>
          </w:p>
        </w:tc>
        <w:tc>
          <w:tcPr>
            <w:tcW w:w="573" w:type="pct"/>
            <w:vAlign w:val="center"/>
          </w:tcPr>
          <w:p w14:paraId="7BC0C375" w14:textId="303AFA30" w:rsidR="004C07C6" w:rsidRPr="00A10B5A" w:rsidRDefault="00791ACC"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4</w:t>
            </w:r>
            <w:r w:rsidR="004C07C6" w:rsidRPr="00A10B5A">
              <w:rPr>
                <w:noProof/>
                <w:color w:val="000000" w:themeColor="text1"/>
                <w:sz w:val="22"/>
                <w:szCs w:val="22"/>
              </w:rPr>
              <w:t>.</w:t>
            </w:r>
            <w:r w:rsidRPr="00A10B5A">
              <w:rPr>
                <w:noProof/>
                <w:color w:val="000000" w:themeColor="text1"/>
                <w:sz w:val="22"/>
                <w:szCs w:val="22"/>
              </w:rPr>
              <w:t>3</w:t>
            </w:r>
          </w:p>
        </w:tc>
        <w:tc>
          <w:tcPr>
            <w:tcW w:w="573" w:type="pct"/>
            <w:vAlign w:val="center"/>
          </w:tcPr>
          <w:p w14:paraId="535B5139" w14:textId="19A3CA3C" w:rsidR="004C07C6" w:rsidRPr="00A10B5A" w:rsidRDefault="004C07C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sidRPr="00A10B5A">
              <w:rPr>
                <w:noProof/>
                <w:color w:val="000000" w:themeColor="text1"/>
                <w:sz w:val="22"/>
                <w:szCs w:val="22"/>
              </w:rPr>
              <w:t>3.</w:t>
            </w:r>
            <w:r w:rsidR="003E7D34" w:rsidRPr="00A10B5A">
              <w:rPr>
                <w:noProof/>
                <w:color w:val="000000" w:themeColor="text1"/>
                <w:sz w:val="22"/>
                <w:szCs w:val="22"/>
              </w:rPr>
              <w:t>5</w:t>
            </w:r>
          </w:p>
        </w:tc>
        <w:tc>
          <w:tcPr>
            <w:tcW w:w="573" w:type="pct"/>
            <w:vAlign w:val="center"/>
          </w:tcPr>
          <w:p w14:paraId="2D174AE1" w14:textId="160EDE0C" w:rsidR="004C07C6" w:rsidRPr="00A10B5A" w:rsidRDefault="004C07C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sidRPr="00A10B5A">
              <w:rPr>
                <w:b/>
                <w:bCs/>
                <w:noProof/>
                <w:color w:val="245F95" w:themeColor="text2"/>
                <w:sz w:val="22"/>
                <w:szCs w:val="22"/>
              </w:rPr>
              <w:t>1</w:t>
            </w:r>
            <w:r w:rsidR="0081048B" w:rsidRPr="00A10B5A">
              <w:rPr>
                <w:b/>
                <w:bCs/>
                <w:noProof/>
                <w:color w:val="245F95" w:themeColor="text2"/>
                <w:sz w:val="22"/>
                <w:szCs w:val="22"/>
              </w:rPr>
              <w:t>8</w:t>
            </w:r>
            <w:r w:rsidRPr="00A10B5A">
              <w:rPr>
                <w:b/>
                <w:bCs/>
                <w:noProof/>
                <w:color w:val="245F95" w:themeColor="text2"/>
                <w:sz w:val="22"/>
                <w:szCs w:val="22"/>
              </w:rPr>
              <w:t>.</w:t>
            </w:r>
            <w:r w:rsidR="002575BD">
              <w:rPr>
                <w:b/>
                <w:noProof/>
                <w:color w:val="245F95" w:themeColor="text2"/>
                <w:sz w:val="22"/>
                <w:szCs w:val="22"/>
              </w:rPr>
              <w:t>2</w:t>
            </w:r>
          </w:p>
        </w:tc>
      </w:tr>
      <w:tr w:rsidR="00A10B5A" w:rsidRPr="00A10B5A" w14:paraId="6FDBB1E3"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2F6E3541" w14:textId="77777777" w:rsidR="004C07C6" w:rsidRPr="00A10B5A" w:rsidRDefault="004C07C6" w:rsidP="004C07C6">
            <w:pPr>
              <w:spacing w:after="120"/>
              <w:rPr>
                <w:rFonts w:eastAsia="Calibri"/>
                <w:bCs/>
                <w:noProof/>
                <w:color w:val="245F95" w:themeColor="text2"/>
                <w:sz w:val="22"/>
                <w:szCs w:val="22"/>
              </w:rPr>
            </w:pPr>
            <w:r w:rsidRPr="00A10B5A">
              <w:rPr>
                <w:rFonts w:eastAsia="Calibri"/>
                <w:bCs/>
                <w:noProof/>
                <w:color w:val="245F95" w:themeColor="text2"/>
                <w:sz w:val="22"/>
                <w:szCs w:val="22"/>
              </w:rPr>
              <w:t>5 Security and Defence</w:t>
            </w:r>
          </w:p>
        </w:tc>
        <w:tc>
          <w:tcPr>
            <w:tcW w:w="573" w:type="pct"/>
            <w:vAlign w:val="center"/>
          </w:tcPr>
          <w:p w14:paraId="71ADB416" w14:textId="03BA4738" w:rsidR="004C07C6" w:rsidRPr="00A10B5A" w:rsidRDefault="0081048B"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2</w:t>
            </w:r>
            <w:r w:rsidR="004C07C6" w:rsidRPr="00A10B5A">
              <w:rPr>
                <w:noProof/>
                <w:color w:val="000000" w:themeColor="text1"/>
                <w:sz w:val="22"/>
                <w:szCs w:val="22"/>
              </w:rPr>
              <w:t>.</w:t>
            </w:r>
            <w:r w:rsidR="003E7D34" w:rsidRPr="00A10B5A">
              <w:rPr>
                <w:noProof/>
                <w:color w:val="000000" w:themeColor="text1"/>
                <w:sz w:val="22"/>
                <w:szCs w:val="22"/>
              </w:rPr>
              <w:t>0</w:t>
            </w:r>
          </w:p>
        </w:tc>
        <w:tc>
          <w:tcPr>
            <w:tcW w:w="573" w:type="pct"/>
            <w:vAlign w:val="center"/>
          </w:tcPr>
          <w:p w14:paraId="2FE2AAF3" w14:textId="0FF23703" w:rsidR="004C07C6" w:rsidRPr="00A10B5A" w:rsidRDefault="0084453E"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2</w:t>
            </w:r>
            <w:r w:rsidR="004C07C6" w:rsidRPr="00A10B5A">
              <w:rPr>
                <w:noProof/>
                <w:color w:val="000000" w:themeColor="text1"/>
                <w:sz w:val="22"/>
                <w:szCs w:val="22"/>
              </w:rPr>
              <w:t>.</w:t>
            </w:r>
            <w:r w:rsidRPr="00A10B5A">
              <w:rPr>
                <w:noProof/>
                <w:color w:val="000000" w:themeColor="text1"/>
                <w:sz w:val="22"/>
                <w:szCs w:val="22"/>
              </w:rPr>
              <w:t>7</w:t>
            </w:r>
          </w:p>
        </w:tc>
        <w:tc>
          <w:tcPr>
            <w:tcW w:w="573" w:type="pct"/>
            <w:vAlign w:val="center"/>
          </w:tcPr>
          <w:p w14:paraId="25C508F7" w14:textId="42B1B0B8" w:rsidR="004C07C6" w:rsidRPr="00A10B5A" w:rsidRDefault="004C07C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2.</w:t>
            </w:r>
            <w:r w:rsidR="0084453E" w:rsidRPr="00A10B5A">
              <w:rPr>
                <w:noProof/>
                <w:color w:val="000000" w:themeColor="text1"/>
                <w:sz w:val="22"/>
                <w:szCs w:val="22"/>
              </w:rPr>
              <w:t>5</w:t>
            </w:r>
          </w:p>
        </w:tc>
        <w:tc>
          <w:tcPr>
            <w:tcW w:w="573" w:type="pct"/>
            <w:vAlign w:val="center"/>
          </w:tcPr>
          <w:p w14:paraId="12F5B9A9" w14:textId="72A7137E" w:rsidR="004C07C6" w:rsidRPr="00A10B5A" w:rsidRDefault="004C07C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2.</w:t>
            </w:r>
            <w:r w:rsidR="004642B1" w:rsidRPr="00A10B5A">
              <w:rPr>
                <w:noProof/>
                <w:color w:val="000000" w:themeColor="text1"/>
                <w:sz w:val="22"/>
                <w:szCs w:val="22"/>
              </w:rPr>
              <w:t>5</w:t>
            </w:r>
          </w:p>
        </w:tc>
        <w:tc>
          <w:tcPr>
            <w:tcW w:w="573" w:type="pct"/>
            <w:vAlign w:val="center"/>
          </w:tcPr>
          <w:p w14:paraId="00E6733B" w14:textId="3AE3A1D8" w:rsidR="004C07C6" w:rsidRPr="00A10B5A" w:rsidRDefault="00D40708"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sidRPr="00A10B5A">
              <w:rPr>
                <w:noProof/>
                <w:color w:val="000000" w:themeColor="text1"/>
                <w:sz w:val="22"/>
                <w:szCs w:val="22"/>
              </w:rPr>
              <w:t>1.</w:t>
            </w:r>
            <w:r w:rsidR="004642B1" w:rsidRPr="00A10B5A">
              <w:rPr>
                <w:noProof/>
                <w:color w:val="000000" w:themeColor="text1"/>
                <w:sz w:val="22"/>
                <w:szCs w:val="22"/>
              </w:rPr>
              <w:t>8</w:t>
            </w:r>
          </w:p>
        </w:tc>
        <w:tc>
          <w:tcPr>
            <w:tcW w:w="573" w:type="pct"/>
            <w:vAlign w:val="center"/>
          </w:tcPr>
          <w:p w14:paraId="77E03845" w14:textId="5BD9A2F2" w:rsidR="004C07C6" w:rsidRPr="00A10B5A" w:rsidRDefault="004C07C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sidRPr="00A10B5A">
              <w:rPr>
                <w:b/>
                <w:bCs/>
                <w:noProof/>
                <w:color w:val="245F95" w:themeColor="text2"/>
                <w:sz w:val="22"/>
                <w:szCs w:val="22"/>
              </w:rPr>
              <w:t>1</w:t>
            </w:r>
            <w:r w:rsidR="005D01E1" w:rsidRPr="00A10B5A">
              <w:rPr>
                <w:b/>
                <w:bCs/>
                <w:noProof/>
                <w:color w:val="245F95" w:themeColor="text2"/>
                <w:sz w:val="22"/>
                <w:szCs w:val="22"/>
              </w:rPr>
              <w:t>1</w:t>
            </w:r>
            <w:r w:rsidRPr="00A10B5A">
              <w:rPr>
                <w:b/>
                <w:bCs/>
                <w:noProof/>
                <w:color w:val="245F95" w:themeColor="text2"/>
                <w:sz w:val="22"/>
                <w:szCs w:val="22"/>
              </w:rPr>
              <w:t>.</w:t>
            </w:r>
            <w:r w:rsidR="005D01E1" w:rsidRPr="00A10B5A">
              <w:rPr>
                <w:b/>
                <w:bCs/>
                <w:noProof/>
                <w:color w:val="245F95" w:themeColor="text2"/>
                <w:sz w:val="22"/>
                <w:szCs w:val="22"/>
              </w:rPr>
              <w:t>5</w:t>
            </w:r>
          </w:p>
        </w:tc>
      </w:tr>
      <w:tr w:rsidR="00A10B5A" w:rsidRPr="00A10B5A" w14:paraId="52FABBBE"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5A44575C" w14:textId="77777777" w:rsidR="004C07C6" w:rsidRPr="00A10B5A" w:rsidRDefault="004C07C6" w:rsidP="004C07C6">
            <w:pPr>
              <w:spacing w:after="120"/>
              <w:rPr>
                <w:rFonts w:eastAsia="Calibri"/>
                <w:bCs/>
                <w:noProof/>
                <w:color w:val="245F95" w:themeColor="text2"/>
                <w:sz w:val="22"/>
                <w:szCs w:val="22"/>
              </w:rPr>
            </w:pPr>
            <w:r w:rsidRPr="00A10B5A">
              <w:rPr>
                <w:rFonts w:eastAsia="Calibri"/>
                <w:bCs/>
                <w:noProof/>
                <w:color w:val="245F95" w:themeColor="text2"/>
                <w:sz w:val="22"/>
                <w:szCs w:val="22"/>
              </w:rPr>
              <w:t>6 Neighbourhood and the World</w:t>
            </w:r>
          </w:p>
        </w:tc>
        <w:tc>
          <w:tcPr>
            <w:tcW w:w="573" w:type="pct"/>
            <w:vAlign w:val="center"/>
          </w:tcPr>
          <w:p w14:paraId="28433AB3" w14:textId="5F793FE6" w:rsidR="004C07C6" w:rsidRPr="00A10B5A" w:rsidRDefault="00832251"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szCs w:val="22"/>
              </w:rPr>
              <w:t>1</w:t>
            </w:r>
            <w:r w:rsidR="00FB0F9A">
              <w:rPr>
                <w:noProof/>
                <w:color w:val="000000" w:themeColor="text1"/>
                <w:sz w:val="22"/>
                <w:szCs w:val="22"/>
              </w:rPr>
              <w:t>2</w:t>
            </w:r>
            <w:r w:rsidR="004C07C6" w:rsidRPr="00A10B5A">
              <w:rPr>
                <w:noProof/>
                <w:color w:val="000000" w:themeColor="text1"/>
                <w:sz w:val="22"/>
                <w:szCs w:val="22"/>
              </w:rPr>
              <w:t>.</w:t>
            </w:r>
            <w:r w:rsidR="00FB0F9A">
              <w:rPr>
                <w:noProof/>
                <w:color w:val="000000" w:themeColor="text1"/>
                <w:sz w:val="22"/>
                <w:szCs w:val="22"/>
              </w:rPr>
              <w:t>7</w:t>
            </w:r>
          </w:p>
        </w:tc>
        <w:tc>
          <w:tcPr>
            <w:tcW w:w="573" w:type="pct"/>
            <w:vAlign w:val="center"/>
          </w:tcPr>
          <w:p w14:paraId="362FA53E" w14:textId="303A1A7A" w:rsidR="004C07C6" w:rsidRPr="00A10B5A" w:rsidRDefault="000D4F3B"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1</w:t>
            </w:r>
            <w:r w:rsidR="00832251">
              <w:rPr>
                <w:noProof/>
                <w:color w:val="000000" w:themeColor="text1"/>
                <w:sz w:val="22"/>
                <w:szCs w:val="22"/>
              </w:rPr>
              <w:t>7</w:t>
            </w:r>
            <w:r w:rsidRPr="00A10B5A">
              <w:rPr>
                <w:noProof/>
                <w:color w:val="000000" w:themeColor="text1"/>
                <w:sz w:val="22"/>
                <w:szCs w:val="22"/>
              </w:rPr>
              <w:t>.</w:t>
            </w:r>
            <w:r w:rsidR="002120BF">
              <w:rPr>
                <w:noProof/>
                <w:color w:val="000000" w:themeColor="text1"/>
                <w:sz w:val="22"/>
                <w:szCs w:val="22"/>
              </w:rPr>
              <w:t>6</w:t>
            </w:r>
          </w:p>
        </w:tc>
        <w:tc>
          <w:tcPr>
            <w:tcW w:w="573" w:type="pct"/>
            <w:vAlign w:val="center"/>
          </w:tcPr>
          <w:p w14:paraId="5CE3088C" w14:textId="3AFCF490" w:rsidR="004C07C6" w:rsidRPr="00A10B5A" w:rsidRDefault="000D4F3B"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1</w:t>
            </w:r>
            <w:r w:rsidR="0066755D">
              <w:rPr>
                <w:noProof/>
                <w:color w:val="000000" w:themeColor="text1"/>
                <w:sz w:val="22"/>
                <w:szCs w:val="22"/>
              </w:rPr>
              <w:t>9</w:t>
            </w:r>
            <w:r w:rsidR="004C07C6" w:rsidRPr="00A10B5A">
              <w:rPr>
                <w:noProof/>
                <w:color w:val="000000" w:themeColor="text1"/>
                <w:sz w:val="22"/>
                <w:szCs w:val="22"/>
              </w:rPr>
              <w:t>.</w:t>
            </w:r>
            <w:r w:rsidR="002120BF">
              <w:rPr>
                <w:noProof/>
                <w:color w:val="000000" w:themeColor="text1"/>
                <w:sz w:val="22"/>
                <w:szCs w:val="22"/>
              </w:rPr>
              <w:t>8</w:t>
            </w:r>
          </w:p>
        </w:tc>
        <w:tc>
          <w:tcPr>
            <w:tcW w:w="573" w:type="pct"/>
            <w:vAlign w:val="center"/>
          </w:tcPr>
          <w:p w14:paraId="0CCBD893" w14:textId="17BBC3F2" w:rsidR="004C07C6" w:rsidRPr="00A10B5A" w:rsidRDefault="004C07C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1</w:t>
            </w:r>
            <w:r w:rsidR="0066755D">
              <w:rPr>
                <w:noProof/>
                <w:color w:val="000000" w:themeColor="text1"/>
                <w:sz w:val="22"/>
                <w:szCs w:val="22"/>
              </w:rPr>
              <w:t>7</w:t>
            </w:r>
            <w:r w:rsidRPr="00A10B5A">
              <w:rPr>
                <w:noProof/>
                <w:color w:val="000000" w:themeColor="text1"/>
                <w:sz w:val="22"/>
                <w:szCs w:val="22"/>
              </w:rPr>
              <w:t>.</w:t>
            </w:r>
            <w:r w:rsidR="0066755D">
              <w:rPr>
                <w:noProof/>
                <w:color w:val="000000" w:themeColor="text1"/>
                <w:sz w:val="22"/>
                <w:szCs w:val="22"/>
              </w:rPr>
              <w:t>3</w:t>
            </w:r>
          </w:p>
        </w:tc>
        <w:tc>
          <w:tcPr>
            <w:tcW w:w="573" w:type="pct"/>
            <w:vAlign w:val="center"/>
          </w:tcPr>
          <w:p w14:paraId="444AEF29" w14:textId="2D3E2FA5" w:rsidR="004C07C6" w:rsidRPr="00A10B5A" w:rsidRDefault="00141993"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Pr>
                <w:noProof/>
                <w:color w:val="000000" w:themeColor="text1"/>
                <w:sz w:val="22"/>
                <w:szCs w:val="22"/>
              </w:rPr>
              <w:t>1</w:t>
            </w:r>
            <w:r w:rsidR="0066755D">
              <w:rPr>
                <w:noProof/>
                <w:color w:val="000000" w:themeColor="text1"/>
                <w:sz w:val="22"/>
                <w:szCs w:val="22"/>
              </w:rPr>
              <w:t>1</w:t>
            </w:r>
            <w:r w:rsidR="004C07C6" w:rsidRPr="00A10B5A">
              <w:rPr>
                <w:noProof/>
                <w:color w:val="000000" w:themeColor="text1"/>
                <w:sz w:val="22"/>
                <w:szCs w:val="22"/>
              </w:rPr>
              <w:t>.</w:t>
            </w:r>
            <w:r w:rsidR="002120BF">
              <w:rPr>
                <w:noProof/>
                <w:color w:val="000000" w:themeColor="text1"/>
                <w:sz w:val="22"/>
                <w:szCs w:val="22"/>
              </w:rPr>
              <w:t>6</w:t>
            </w:r>
          </w:p>
        </w:tc>
        <w:tc>
          <w:tcPr>
            <w:tcW w:w="573" w:type="pct"/>
            <w:vAlign w:val="center"/>
          </w:tcPr>
          <w:p w14:paraId="03404098" w14:textId="49B4363A" w:rsidR="004C07C6" w:rsidRPr="00A10B5A" w:rsidRDefault="00FB647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Pr>
                <w:b/>
                <w:noProof/>
                <w:color w:val="245F95" w:themeColor="text2"/>
                <w:sz w:val="22"/>
                <w:szCs w:val="22"/>
              </w:rPr>
              <w:t>7</w:t>
            </w:r>
            <w:r w:rsidR="002120BF">
              <w:rPr>
                <w:b/>
                <w:noProof/>
                <w:color w:val="245F95" w:themeColor="text2"/>
                <w:sz w:val="22"/>
                <w:szCs w:val="22"/>
              </w:rPr>
              <w:t>9</w:t>
            </w:r>
            <w:r w:rsidR="004C07C6" w:rsidRPr="00A10B5A">
              <w:rPr>
                <w:b/>
                <w:bCs/>
                <w:noProof/>
                <w:color w:val="245F95" w:themeColor="text2"/>
                <w:sz w:val="22"/>
                <w:szCs w:val="22"/>
              </w:rPr>
              <w:t>.</w:t>
            </w:r>
            <w:r w:rsidR="002120BF">
              <w:rPr>
                <w:b/>
                <w:bCs/>
                <w:noProof/>
                <w:color w:val="245F95" w:themeColor="text2"/>
                <w:sz w:val="22"/>
                <w:szCs w:val="22"/>
              </w:rPr>
              <w:t>0</w:t>
            </w:r>
          </w:p>
        </w:tc>
      </w:tr>
      <w:tr w:rsidR="00A10B5A" w:rsidRPr="00A10B5A" w14:paraId="20E5E4C6"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78014E86" w14:textId="77777777" w:rsidR="00BC65B0" w:rsidRPr="00A10B5A" w:rsidRDefault="00BC65B0" w:rsidP="00BC65B0">
            <w:pPr>
              <w:spacing w:after="120"/>
              <w:rPr>
                <w:rFonts w:eastAsia="Calibri"/>
                <w:bCs/>
                <w:noProof/>
                <w:color w:val="245F95" w:themeColor="text2"/>
                <w:sz w:val="22"/>
                <w:szCs w:val="22"/>
              </w:rPr>
            </w:pPr>
            <w:r w:rsidRPr="00A10B5A">
              <w:rPr>
                <w:rFonts w:eastAsia="Calibri"/>
                <w:bCs/>
                <w:noProof/>
                <w:color w:val="245F95" w:themeColor="text2"/>
                <w:sz w:val="22"/>
                <w:szCs w:val="22"/>
              </w:rPr>
              <w:t>7 European Public Administration</w:t>
            </w:r>
          </w:p>
        </w:tc>
        <w:tc>
          <w:tcPr>
            <w:tcW w:w="573" w:type="pct"/>
            <w:vAlign w:val="center"/>
          </w:tcPr>
          <w:p w14:paraId="4142CC5D" w14:textId="149C6474" w:rsidR="00BC65B0" w:rsidRPr="00A10B5A" w:rsidRDefault="00BC4ADA"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1</w:t>
            </w:r>
            <w:r w:rsidR="00B23F30" w:rsidRPr="00A10B5A">
              <w:rPr>
                <w:noProof/>
                <w:color w:val="000000" w:themeColor="text1"/>
                <w:sz w:val="22"/>
                <w:szCs w:val="22"/>
              </w:rPr>
              <w:t>2</w:t>
            </w:r>
            <w:r w:rsidRPr="00A10B5A">
              <w:rPr>
                <w:noProof/>
                <w:color w:val="000000" w:themeColor="text1"/>
                <w:sz w:val="22"/>
                <w:szCs w:val="22"/>
              </w:rPr>
              <w:t>.</w:t>
            </w:r>
            <w:r w:rsidR="00B23F30" w:rsidRPr="00A10B5A">
              <w:rPr>
                <w:noProof/>
                <w:color w:val="000000" w:themeColor="text1"/>
                <w:sz w:val="22"/>
                <w:szCs w:val="22"/>
              </w:rPr>
              <w:t>6</w:t>
            </w:r>
          </w:p>
        </w:tc>
        <w:tc>
          <w:tcPr>
            <w:tcW w:w="573" w:type="pct"/>
            <w:vAlign w:val="center"/>
          </w:tcPr>
          <w:p w14:paraId="3AA6DB5C" w14:textId="17186DC7"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1</w:t>
            </w:r>
            <w:r w:rsidR="00FB6476">
              <w:rPr>
                <w:noProof/>
                <w:color w:val="000000" w:themeColor="text1"/>
                <w:sz w:val="22"/>
                <w:szCs w:val="22"/>
              </w:rPr>
              <w:t>3</w:t>
            </w:r>
            <w:r w:rsidRPr="00A10B5A">
              <w:rPr>
                <w:noProof/>
                <w:color w:val="000000" w:themeColor="text1"/>
                <w:sz w:val="22"/>
                <w:szCs w:val="22"/>
              </w:rPr>
              <w:t>.</w:t>
            </w:r>
            <w:r w:rsidR="00FB6476">
              <w:rPr>
                <w:noProof/>
                <w:color w:val="000000" w:themeColor="text1"/>
                <w:sz w:val="22"/>
                <w:szCs w:val="22"/>
              </w:rPr>
              <w:t>1</w:t>
            </w:r>
          </w:p>
        </w:tc>
        <w:tc>
          <w:tcPr>
            <w:tcW w:w="573" w:type="pct"/>
            <w:vAlign w:val="center"/>
          </w:tcPr>
          <w:p w14:paraId="2E3A2E84" w14:textId="68E6DCEE"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A10B5A">
              <w:rPr>
                <w:noProof/>
                <w:color w:val="000000" w:themeColor="text1"/>
                <w:sz w:val="22"/>
                <w:szCs w:val="22"/>
              </w:rPr>
              <w:t>1</w:t>
            </w:r>
            <w:r w:rsidR="00E566DF" w:rsidRPr="00A10B5A">
              <w:rPr>
                <w:noProof/>
                <w:color w:val="000000" w:themeColor="text1"/>
                <w:sz w:val="22"/>
                <w:szCs w:val="22"/>
              </w:rPr>
              <w:t>3</w:t>
            </w:r>
            <w:r w:rsidRPr="00A10B5A">
              <w:rPr>
                <w:noProof/>
                <w:color w:val="000000" w:themeColor="text1"/>
                <w:sz w:val="22"/>
                <w:szCs w:val="22"/>
              </w:rPr>
              <w:t>.</w:t>
            </w:r>
            <w:r w:rsidR="00FB6476">
              <w:rPr>
                <w:noProof/>
                <w:color w:val="000000" w:themeColor="text1"/>
                <w:sz w:val="22"/>
                <w:szCs w:val="22"/>
              </w:rPr>
              <w:t>5</w:t>
            </w:r>
          </w:p>
        </w:tc>
        <w:tc>
          <w:tcPr>
            <w:tcW w:w="573" w:type="pct"/>
            <w:vAlign w:val="center"/>
          </w:tcPr>
          <w:p w14:paraId="09174C7B" w14:textId="5BAB7EA0"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p>
        </w:tc>
        <w:tc>
          <w:tcPr>
            <w:tcW w:w="573" w:type="pct"/>
            <w:vAlign w:val="center"/>
          </w:tcPr>
          <w:p w14:paraId="6AEDD656" w14:textId="568D6604"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p>
        </w:tc>
        <w:tc>
          <w:tcPr>
            <w:tcW w:w="573" w:type="pct"/>
            <w:vAlign w:val="center"/>
          </w:tcPr>
          <w:p w14:paraId="5DDDCBF2" w14:textId="0D2EF11F" w:rsidR="00BC65B0" w:rsidRPr="00A10B5A" w:rsidRDefault="0093005A"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sidRPr="00A10B5A">
              <w:rPr>
                <w:b/>
                <w:noProof/>
                <w:color w:val="245F95" w:themeColor="text2"/>
                <w:sz w:val="22"/>
                <w:szCs w:val="22"/>
              </w:rPr>
              <w:t>3</w:t>
            </w:r>
            <w:r w:rsidR="002432C3">
              <w:rPr>
                <w:b/>
                <w:noProof/>
                <w:color w:val="245F95" w:themeColor="text2"/>
                <w:sz w:val="22"/>
                <w:szCs w:val="22"/>
              </w:rPr>
              <w:t>9</w:t>
            </w:r>
            <w:r w:rsidR="00BC65B0" w:rsidRPr="00A10B5A">
              <w:rPr>
                <w:b/>
                <w:noProof/>
                <w:color w:val="245F95" w:themeColor="text2"/>
                <w:sz w:val="22"/>
                <w:szCs w:val="22"/>
              </w:rPr>
              <w:t>.</w:t>
            </w:r>
            <w:r w:rsidR="004A3418">
              <w:rPr>
                <w:b/>
                <w:noProof/>
                <w:color w:val="245F95" w:themeColor="text2"/>
                <w:sz w:val="22"/>
                <w:szCs w:val="22"/>
              </w:rPr>
              <w:t>3</w:t>
            </w:r>
          </w:p>
        </w:tc>
      </w:tr>
      <w:tr w:rsidR="00A10B5A" w:rsidRPr="00A10B5A" w14:paraId="67BD657C"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2E863BF3" w14:textId="77777777" w:rsidR="00BC65B0" w:rsidRPr="00A10B5A" w:rsidRDefault="00BC65B0" w:rsidP="00BC65B0">
            <w:pPr>
              <w:spacing w:after="120"/>
              <w:rPr>
                <w:rFonts w:eastAsia="Calibri"/>
                <w:bCs/>
                <w:noProof/>
                <w:color w:val="245F95" w:themeColor="text2"/>
                <w:sz w:val="22"/>
                <w:szCs w:val="22"/>
              </w:rPr>
            </w:pPr>
            <w:r w:rsidRPr="00A10B5A">
              <w:rPr>
                <w:rFonts w:eastAsia="Calibri"/>
                <w:bCs/>
                <w:noProof/>
                <w:color w:val="245F95" w:themeColor="text2"/>
                <w:sz w:val="22"/>
                <w:szCs w:val="22"/>
              </w:rPr>
              <w:t>Special Instruments</w:t>
            </w:r>
          </w:p>
        </w:tc>
        <w:tc>
          <w:tcPr>
            <w:tcW w:w="573" w:type="pct"/>
            <w:vAlign w:val="center"/>
          </w:tcPr>
          <w:p w14:paraId="6F19D910" w14:textId="5BF45CA3" w:rsidR="00BC65B0" w:rsidRPr="00A10B5A" w:rsidRDefault="004A3418"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rFonts w:eastAsia="Calibri"/>
                <w:noProof/>
                <w:color w:val="000000" w:themeColor="text1"/>
                <w:sz w:val="22"/>
                <w:szCs w:val="22"/>
              </w:rPr>
              <w:t>5.6</w:t>
            </w:r>
          </w:p>
        </w:tc>
        <w:tc>
          <w:tcPr>
            <w:tcW w:w="573" w:type="pct"/>
            <w:vAlign w:val="center"/>
          </w:tcPr>
          <w:p w14:paraId="4DA933D2" w14:textId="21991EA6"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p>
        </w:tc>
        <w:tc>
          <w:tcPr>
            <w:tcW w:w="573" w:type="pct"/>
            <w:vAlign w:val="center"/>
          </w:tcPr>
          <w:p w14:paraId="6F35E69D" w14:textId="77777777"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p>
        </w:tc>
        <w:tc>
          <w:tcPr>
            <w:tcW w:w="573" w:type="pct"/>
            <w:vAlign w:val="center"/>
          </w:tcPr>
          <w:p w14:paraId="01DD0163" w14:textId="77777777"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p>
        </w:tc>
        <w:tc>
          <w:tcPr>
            <w:tcW w:w="573" w:type="pct"/>
            <w:vAlign w:val="center"/>
          </w:tcPr>
          <w:p w14:paraId="5D734AF3" w14:textId="77777777"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p>
        </w:tc>
        <w:tc>
          <w:tcPr>
            <w:tcW w:w="573" w:type="pct"/>
            <w:vAlign w:val="center"/>
          </w:tcPr>
          <w:p w14:paraId="168AD942" w14:textId="76BA7B31" w:rsidR="00BC65B0" w:rsidRPr="00A10B5A" w:rsidRDefault="00886068"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Pr>
                <w:b/>
                <w:bCs/>
                <w:noProof/>
                <w:color w:val="245F95" w:themeColor="text2"/>
                <w:sz w:val="22"/>
                <w:szCs w:val="22"/>
              </w:rPr>
              <w:t>5.6</w:t>
            </w:r>
          </w:p>
        </w:tc>
      </w:tr>
      <w:tr w:rsidR="0033502C" w:rsidRPr="0033502C" w14:paraId="6A0EBD92"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shd w:val="clear" w:color="auto" w:fill="FCE1D9" w:themeFill="accent2" w:themeFillTint="33"/>
          </w:tcPr>
          <w:p w14:paraId="67EB32D7" w14:textId="77777777" w:rsidR="00B35585" w:rsidRPr="0033502C" w:rsidRDefault="00B35585" w:rsidP="00B35585">
            <w:pPr>
              <w:spacing w:after="120"/>
              <w:rPr>
                <w:noProof/>
                <w:color w:val="245F95" w:themeColor="text2"/>
                <w:sz w:val="22"/>
                <w:szCs w:val="22"/>
              </w:rPr>
            </w:pPr>
            <w:r w:rsidRPr="0033502C">
              <w:rPr>
                <w:rFonts w:eastAsia="Calibri"/>
                <w:noProof/>
                <w:color w:val="245F95" w:themeColor="text2"/>
                <w:sz w:val="22"/>
                <w:szCs w:val="22"/>
              </w:rPr>
              <w:t>Total</w:t>
            </w:r>
          </w:p>
        </w:tc>
        <w:tc>
          <w:tcPr>
            <w:tcW w:w="573" w:type="pct"/>
            <w:shd w:val="clear" w:color="auto" w:fill="FCE1D9" w:themeFill="accent2" w:themeFillTint="33"/>
            <w:vAlign w:val="center"/>
          </w:tcPr>
          <w:p w14:paraId="38EED371" w14:textId="5CE4F4DF" w:rsidR="00B35585" w:rsidRPr="0033502C" w:rsidRDefault="002432C3"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noProof/>
                <w:color w:val="245F95" w:themeColor="text2"/>
                <w:sz w:val="22"/>
                <w:szCs w:val="22"/>
              </w:rPr>
            </w:pPr>
            <w:r>
              <w:rPr>
                <w:b/>
                <w:noProof/>
                <w:color w:val="245F95" w:themeColor="text2"/>
                <w:sz w:val="22"/>
                <w:szCs w:val="22"/>
              </w:rPr>
              <w:t>14</w:t>
            </w:r>
            <w:r w:rsidR="00886068">
              <w:rPr>
                <w:b/>
                <w:noProof/>
                <w:color w:val="245F95" w:themeColor="text2"/>
                <w:sz w:val="22"/>
                <w:szCs w:val="22"/>
              </w:rPr>
              <w:t>6</w:t>
            </w:r>
            <w:r>
              <w:rPr>
                <w:b/>
                <w:noProof/>
                <w:color w:val="245F95" w:themeColor="text2"/>
                <w:sz w:val="22"/>
                <w:szCs w:val="22"/>
              </w:rPr>
              <w:t>.</w:t>
            </w:r>
            <w:r w:rsidR="00886068">
              <w:rPr>
                <w:b/>
                <w:noProof/>
                <w:color w:val="245F95" w:themeColor="text2"/>
                <w:sz w:val="22"/>
                <w:szCs w:val="22"/>
              </w:rPr>
              <w:t>9</w:t>
            </w:r>
          </w:p>
        </w:tc>
        <w:tc>
          <w:tcPr>
            <w:tcW w:w="573" w:type="pct"/>
            <w:shd w:val="clear" w:color="auto" w:fill="FCE1D9" w:themeFill="accent2" w:themeFillTint="33"/>
            <w:vAlign w:val="center"/>
          </w:tcPr>
          <w:p w14:paraId="3D327656" w14:textId="570C7923" w:rsidR="00B35585" w:rsidRPr="0033502C" w:rsidRDefault="00733563"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noProof/>
                <w:color w:val="245F95" w:themeColor="text2"/>
                <w:sz w:val="22"/>
                <w:szCs w:val="22"/>
              </w:rPr>
            </w:pPr>
            <w:r w:rsidRPr="0033502C">
              <w:rPr>
                <w:b/>
                <w:noProof/>
                <w:color w:val="245F95" w:themeColor="text2"/>
                <w:sz w:val="22"/>
                <w:szCs w:val="22"/>
              </w:rPr>
              <w:t>1</w:t>
            </w:r>
            <w:r w:rsidR="000B557F" w:rsidRPr="0033502C">
              <w:rPr>
                <w:b/>
                <w:noProof/>
                <w:color w:val="245F95" w:themeColor="text2"/>
                <w:sz w:val="22"/>
                <w:szCs w:val="22"/>
              </w:rPr>
              <w:t>7</w:t>
            </w:r>
            <w:r w:rsidR="002D4917">
              <w:rPr>
                <w:b/>
                <w:noProof/>
                <w:color w:val="245F95" w:themeColor="text2"/>
                <w:sz w:val="22"/>
                <w:szCs w:val="22"/>
              </w:rPr>
              <w:t>3</w:t>
            </w:r>
            <w:r w:rsidRPr="0033502C">
              <w:rPr>
                <w:b/>
                <w:noProof/>
                <w:color w:val="245F95" w:themeColor="text2"/>
                <w:sz w:val="22"/>
                <w:szCs w:val="22"/>
              </w:rPr>
              <w:t>.</w:t>
            </w:r>
            <w:r w:rsidR="002120BF">
              <w:rPr>
                <w:b/>
                <w:noProof/>
                <w:color w:val="245F95" w:themeColor="text2"/>
                <w:sz w:val="22"/>
                <w:szCs w:val="22"/>
              </w:rPr>
              <w:t>2</w:t>
            </w:r>
          </w:p>
        </w:tc>
        <w:tc>
          <w:tcPr>
            <w:tcW w:w="573" w:type="pct"/>
            <w:shd w:val="clear" w:color="auto" w:fill="FCE1D9" w:themeFill="accent2" w:themeFillTint="33"/>
            <w:vAlign w:val="center"/>
          </w:tcPr>
          <w:p w14:paraId="53F28461" w14:textId="77059F81" w:rsidR="00B35585" w:rsidRPr="0033502C" w:rsidRDefault="00733563"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noProof/>
                <w:color w:val="245F95" w:themeColor="text2"/>
                <w:sz w:val="22"/>
                <w:szCs w:val="22"/>
              </w:rPr>
            </w:pPr>
            <w:r w:rsidRPr="0033502C">
              <w:rPr>
                <w:b/>
                <w:noProof/>
                <w:color w:val="245F95" w:themeColor="text2"/>
                <w:sz w:val="22"/>
                <w:szCs w:val="22"/>
              </w:rPr>
              <w:t>1</w:t>
            </w:r>
            <w:r w:rsidR="000B557F" w:rsidRPr="0033502C">
              <w:rPr>
                <w:b/>
                <w:noProof/>
                <w:color w:val="245F95" w:themeColor="text2"/>
                <w:sz w:val="22"/>
                <w:szCs w:val="22"/>
              </w:rPr>
              <w:t>9</w:t>
            </w:r>
            <w:r w:rsidR="002D4917">
              <w:rPr>
                <w:b/>
                <w:noProof/>
                <w:color w:val="245F95" w:themeColor="text2"/>
                <w:sz w:val="22"/>
                <w:szCs w:val="22"/>
              </w:rPr>
              <w:t>3</w:t>
            </w:r>
            <w:r w:rsidRPr="0033502C">
              <w:rPr>
                <w:b/>
                <w:noProof/>
                <w:color w:val="245F95" w:themeColor="text2"/>
                <w:sz w:val="22"/>
                <w:szCs w:val="22"/>
              </w:rPr>
              <w:t>.</w:t>
            </w:r>
            <w:r w:rsidR="002120BF">
              <w:rPr>
                <w:b/>
                <w:noProof/>
                <w:color w:val="245F95" w:themeColor="text2"/>
                <w:sz w:val="22"/>
                <w:szCs w:val="22"/>
              </w:rPr>
              <w:t>4</w:t>
            </w:r>
          </w:p>
        </w:tc>
        <w:tc>
          <w:tcPr>
            <w:tcW w:w="573" w:type="pct"/>
            <w:shd w:val="clear" w:color="auto" w:fill="FCE1D9" w:themeFill="accent2" w:themeFillTint="33"/>
            <w:vAlign w:val="center"/>
          </w:tcPr>
          <w:p w14:paraId="19CD4D7D" w14:textId="1D0C1207" w:rsidR="00B35585" w:rsidRPr="0033502C" w:rsidRDefault="00733563"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noProof/>
                <w:color w:val="245F95" w:themeColor="text2"/>
                <w:sz w:val="22"/>
                <w:szCs w:val="22"/>
              </w:rPr>
            </w:pPr>
            <w:r w:rsidRPr="0033502C">
              <w:rPr>
                <w:b/>
                <w:noProof/>
                <w:color w:val="245F95" w:themeColor="text2"/>
                <w:sz w:val="22"/>
                <w:szCs w:val="22"/>
              </w:rPr>
              <w:t>1</w:t>
            </w:r>
            <w:r w:rsidR="000B557F" w:rsidRPr="0033502C">
              <w:rPr>
                <w:b/>
                <w:noProof/>
                <w:color w:val="245F95" w:themeColor="text2"/>
                <w:sz w:val="22"/>
                <w:szCs w:val="22"/>
              </w:rPr>
              <w:t>4</w:t>
            </w:r>
            <w:r w:rsidR="002D4917">
              <w:rPr>
                <w:b/>
                <w:noProof/>
                <w:color w:val="245F95" w:themeColor="text2"/>
                <w:sz w:val="22"/>
                <w:szCs w:val="22"/>
              </w:rPr>
              <w:t>3</w:t>
            </w:r>
            <w:r w:rsidRPr="0033502C">
              <w:rPr>
                <w:b/>
                <w:noProof/>
                <w:color w:val="245F95" w:themeColor="text2"/>
                <w:sz w:val="22"/>
                <w:szCs w:val="22"/>
              </w:rPr>
              <w:t>.</w:t>
            </w:r>
            <w:r w:rsidR="002D4917">
              <w:rPr>
                <w:b/>
                <w:noProof/>
                <w:color w:val="245F95" w:themeColor="text2"/>
                <w:sz w:val="22"/>
                <w:szCs w:val="22"/>
              </w:rPr>
              <w:t>4</w:t>
            </w:r>
          </w:p>
        </w:tc>
        <w:tc>
          <w:tcPr>
            <w:tcW w:w="573" w:type="pct"/>
            <w:shd w:val="clear" w:color="auto" w:fill="FCE1D9" w:themeFill="accent2" w:themeFillTint="33"/>
            <w:vAlign w:val="center"/>
          </w:tcPr>
          <w:p w14:paraId="70FD23B7" w14:textId="53A982D4" w:rsidR="00B35585" w:rsidRPr="0033502C" w:rsidRDefault="00527524"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noProof/>
                <w:color w:val="245F95" w:themeColor="text2"/>
                <w:sz w:val="22"/>
                <w:szCs w:val="22"/>
              </w:rPr>
            </w:pPr>
            <w:r w:rsidRPr="0033502C">
              <w:rPr>
                <w:b/>
                <w:noProof/>
                <w:color w:val="245F95" w:themeColor="text2"/>
                <w:sz w:val="22"/>
                <w:szCs w:val="22"/>
              </w:rPr>
              <w:t>1</w:t>
            </w:r>
            <w:r w:rsidR="00886068">
              <w:rPr>
                <w:b/>
                <w:noProof/>
                <w:color w:val="245F95" w:themeColor="text2"/>
                <w:sz w:val="22"/>
                <w:szCs w:val="22"/>
              </w:rPr>
              <w:t>2</w:t>
            </w:r>
            <w:r w:rsidR="002120BF">
              <w:rPr>
                <w:b/>
                <w:noProof/>
                <w:color w:val="245F95" w:themeColor="text2"/>
                <w:sz w:val="22"/>
                <w:szCs w:val="22"/>
              </w:rPr>
              <w:t>2</w:t>
            </w:r>
            <w:r w:rsidRPr="0033502C">
              <w:rPr>
                <w:b/>
                <w:noProof/>
                <w:color w:val="245F95" w:themeColor="text2"/>
                <w:sz w:val="22"/>
                <w:szCs w:val="22"/>
              </w:rPr>
              <w:t>.</w:t>
            </w:r>
            <w:r w:rsidR="002120BF">
              <w:rPr>
                <w:b/>
                <w:noProof/>
                <w:color w:val="245F95" w:themeColor="text2"/>
                <w:sz w:val="22"/>
                <w:szCs w:val="22"/>
              </w:rPr>
              <w:t>9</w:t>
            </w:r>
          </w:p>
        </w:tc>
        <w:tc>
          <w:tcPr>
            <w:tcW w:w="573" w:type="pct"/>
            <w:shd w:val="clear" w:color="auto" w:fill="FCE1D9" w:themeFill="accent2" w:themeFillTint="33"/>
            <w:vAlign w:val="center"/>
          </w:tcPr>
          <w:p w14:paraId="74227C7D" w14:textId="710542FE" w:rsidR="00B35585" w:rsidRPr="0033502C" w:rsidRDefault="00365A4C"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noProof/>
                <w:color w:val="245F95" w:themeColor="text2"/>
                <w:sz w:val="22"/>
                <w:szCs w:val="22"/>
              </w:rPr>
            </w:pPr>
            <w:r w:rsidRPr="00A10B5A">
              <w:rPr>
                <w:b/>
                <w:noProof/>
                <w:color w:val="245F95" w:themeColor="text2"/>
                <w:sz w:val="22"/>
                <w:szCs w:val="22"/>
              </w:rPr>
              <w:t>7</w:t>
            </w:r>
            <w:r w:rsidR="00E44C08">
              <w:rPr>
                <w:b/>
                <w:noProof/>
                <w:color w:val="245F95" w:themeColor="text2"/>
                <w:sz w:val="22"/>
                <w:szCs w:val="22"/>
              </w:rPr>
              <w:t>7</w:t>
            </w:r>
            <w:r w:rsidR="002D4917">
              <w:rPr>
                <w:b/>
                <w:noProof/>
                <w:color w:val="245F95" w:themeColor="text2"/>
                <w:sz w:val="22"/>
                <w:szCs w:val="22"/>
              </w:rPr>
              <w:t>9</w:t>
            </w:r>
            <w:r w:rsidRPr="00A10B5A">
              <w:rPr>
                <w:b/>
                <w:noProof/>
                <w:color w:val="245F95" w:themeColor="text2"/>
                <w:sz w:val="22"/>
                <w:szCs w:val="22"/>
              </w:rPr>
              <w:t>.</w:t>
            </w:r>
            <w:r w:rsidR="002120BF">
              <w:rPr>
                <w:b/>
                <w:noProof/>
                <w:color w:val="245F95" w:themeColor="text2"/>
                <w:sz w:val="22"/>
                <w:szCs w:val="22"/>
              </w:rPr>
              <w:t>9</w:t>
            </w:r>
          </w:p>
        </w:tc>
      </w:tr>
    </w:tbl>
    <w:p w14:paraId="528B751C" w14:textId="77777777" w:rsidR="00861C1C" w:rsidRPr="00682537" w:rsidRDefault="003B6DC2" w:rsidP="00682537">
      <w:pPr>
        <w:rPr>
          <w:noProof/>
        </w:rPr>
      </w:pPr>
      <w:r w:rsidRPr="00682537">
        <w:rPr>
          <w:noProof/>
        </w:rPr>
        <w:br w:type="page"/>
      </w:r>
    </w:p>
    <w:p w14:paraId="4B18A2AA" w14:textId="78F382FA" w:rsidR="00861C1C" w:rsidRPr="00390EB1" w:rsidRDefault="003B6DC2" w:rsidP="009C6708">
      <w:pPr>
        <w:pStyle w:val="Heading2"/>
        <w:rPr>
          <w:noProof/>
        </w:rPr>
      </w:pPr>
      <w:bookmarkStart w:id="78" w:name="_Toc167194520"/>
      <w:r w:rsidRPr="00390EB1">
        <w:rPr>
          <w:noProof/>
        </w:rPr>
        <w:t xml:space="preserve">Table </w:t>
      </w:r>
      <w:r w:rsidR="00334655">
        <w:rPr>
          <w:noProof/>
        </w:rPr>
        <w:t>1</w:t>
      </w:r>
      <w:r w:rsidRPr="00390EB1">
        <w:rPr>
          <w:noProof/>
        </w:rPr>
        <w:t>.3 – Payments for the completion of pre-2021 commitments</w:t>
      </w:r>
      <w:bookmarkEnd w:id="78"/>
    </w:p>
    <w:tbl>
      <w:tblPr>
        <w:tblStyle w:val="AMPR2021"/>
        <w:tblW w:w="0" w:type="auto"/>
        <w:tblBorders>
          <w:top w:val="none" w:sz="0" w:space="0" w:color="auto"/>
          <w:bottom w:val="none" w:sz="0" w:space="0" w:color="auto"/>
          <w:insideH w:val="single" w:sz="6" w:space="0" w:color="BFBFBF" w:themeColor="background1" w:themeShade="BF"/>
          <w:insideV w:val="single" w:sz="6" w:space="0" w:color="BFBFBF" w:themeColor="background1" w:themeShade="BF"/>
        </w:tblBorders>
        <w:tblLook w:val="06A0" w:firstRow="1" w:lastRow="0" w:firstColumn="1" w:lastColumn="0" w:noHBand="1" w:noVBand="1"/>
      </w:tblPr>
      <w:tblGrid>
        <w:gridCol w:w="4032"/>
        <w:gridCol w:w="964"/>
        <w:gridCol w:w="965"/>
        <w:gridCol w:w="965"/>
        <w:gridCol w:w="964"/>
        <w:gridCol w:w="965"/>
        <w:gridCol w:w="965"/>
      </w:tblGrid>
      <w:tr w:rsidR="004B40E7" w:rsidRPr="00FA0773" w14:paraId="436066E2" w14:textId="77777777" w:rsidTr="00FA077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32" w:type="dxa"/>
          </w:tcPr>
          <w:p w14:paraId="0B253864" w14:textId="77777777" w:rsidR="004B40E7" w:rsidRPr="00FA0773" w:rsidRDefault="004B40E7">
            <w:pPr>
              <w:rPr>
                <w:rFonts w:eastAsia="Calibri"/>
                <w:b w:val="0"/>
                <w:bCs/>
                <w:noProof/>
                <w:sz w:val="22"/>
                <w:szCs w:val="18"/>
              </w:rPr>
            </w:pPr>
            <w:r w:rsidRPr="00FA0773">
              <w:rPr>
                <w:rFonts w:eastAsia="Calibri"/>
                <w:noProof/>
                <w:sz w:val="22"/>
                <w:szCs w:val="18"/>
              </w:rPr>
              <w:t>MFF Heading</w:t>
            </w:r>
          </w:p>
        </w:tc>
        <w:tc>
          <w:tcPr>
            <w:tcW w:w="964" w:type="dxa"/>
          </w:tcPr>
          <w:p w14:paraId="1271DF43" w14:textId="2DDC4F3C" w:rsidR="004B40E7" w:rsidRPr="00FA0773" w:rsidRDefault="004B40E7">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FA0773">
              <w:rPr>
                <w:rFonts w:eastAsia="Calibri"/>
                <w:noProof/>
                <w:sz w:val="22"/>
                <w:szCs w:val="18"/>
              </w:rPr>
              <w:t>202</w:t>
            </w:r>
            <w:r w:rsidR="00646E3B" w:rsidRPr="00FA0773">
              <w:rPr>
                <w:rFonts w:eastAsia="Calibri"/>
                <w:noProof/>
                <w:sz w:val="22"/>
                <w:szCs w:val="18"/>
              </w:rPr>
              <w:t>5</w:t>
            </w:r>
          </w:p>
        </w:tc>
        <w:tc>
          <w:tcPr>
            <w:tcW w:w="965" w:type="dxa"/>
          </w:tcPr>
          <w:p w14:paraId="358EC4CA" w14:textId="2D39A98F" w:rsidR="004B40E7" w:rsidRPr="00FA0773" w:rsidRDefault="004B40E7">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FA0773">
              <w:rPr>
                <w:rFonts w:eastAsia="Calibri"/>
                <w:noProof/>
                <w:sz w:val="22"/>
                <w:szCs w:val="18"/>
              </w:rPr>
              <w:t>202</w:t>
            </w:r>
            <w:r w:rsidR="00646E3B" w:rsidRPr="00FA0773">
              <w:rPr>
                <w:rFonts w:eastAsia="Calibri"/>
                <w:noProof/>
                <w:sz w:val="22"/>
                <w:szCs w:val="18"/>
              </w:rPr>
              <w:t>6</w:t>
            </w:r>
          </w:p>
        </w:tc>
        <w:tc>
          <w:tcPr>
            <w:tcW w:w="965" w:type="dxa"/>
          </w:tcPr>
          <w:p w14:paraId="41203CBE" w14:textId="182A8BAC" w:rsidR="004B40E7" w:rsidRPr="00FA0773" w:rsidRDefault="004B40E7">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FA0773">
              <w:rPr>
                <w:rFonts w:eastAsia="Calibri"/>
                <w:noProof/>
                <w:sz w:val="22"/>
                <w:szCs w:val="18"/>
              </w:rPr>
              <w:t>202</w:t>
            </w:r>
            <w:r w:rsidR="00646E3B" w:rsidRPr="00FA0773">
              <w:rPr>
                <w:rFonts w:eastAsia="Calibri"/>
                <w:noProof/>
                <w:sz w:val="22"/>
                <w:szCs w:val="18"/>
              </w:rPr>
              <w:t>7</w:t>
            </w:r>
          </w:p>
        </w:tc>
        <w:tc>
          <w:tcPr>
            <w:tcW w:w="964" w:type="dxa"/>
          </w:tcPr>
          <w:p w14:paraId="0CC72A2E" w14:textId="333D0C38" w:rsidR="004B40E7" w:rsidRPr="00FA0773" w:rsidRDefault="004B40E7">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FA0773">
              <w:rPr>
                <w:rFonts w:eastAsia="Calibri"/>
                <w:noProof/>
                <w:sz w:val="22"/>
                <w:szCs w:val="18"/>
              </w:rPr>
              <w:t>202</w:t>
            </w:r>
            <w:r w:rsidR="00646E3B" w:rsidRPr="00FA0773">
              <w:rPr>
                <w:rFonts w:eastAsia="Calibri"/>
                <w:noProof/>
                <w:sz w:val="22"/>
                <w:szCs w:val="18"/>
              </w:rPr>
              <w:t>8</w:t>
            </w:r>
          </w:p>
        </w:tc>
        <w:tc>
          <w:tcPr>
            <w:tcW w:w="965" w:type="dxa"/>
          </w:tcPr>
          <w:p w14:paraId="50B4787E" w14:textId="480A85CD" w:rsidR="004B40E7" w:rsidRPr="00FA0773" w:rsidRDefault="004B40E7">
            <w:pPr>
              <w:cnfStyle w:val="100000000000" w:firstRow="1" w:lastRow="0" w:firstColumn="0" w:lastColumn="0" w:oddVBand="0" w:evenVBand="0" w:oddHBand="0" w:evenHBand="0" w:firstRowFirstColumn="0" w:firstRowLastColumn="0" w:lastRowFirstColumn="0" w:lastRowLastColumn="0"/>
              <w:rPr>
                <w:rFonts w:eastAsia="Calibri"/>
                <w:noProof/>
                <w:sz w:val="22"/>
                <w:szCs w:val="18"/>
              </w:rPr>
            </w:pPr>
            <w:r w:rsidRPr="00FA0773">
              <w:rPr>
                <w:rFonts w:eastAsia="Calibri"/>
                <w:noProof/>
                <w:sz w:val="22"/>
                <w:szCs w:val="18"/>
              </w:rPr>
              <w:t>202</w:t>
            </w:r>
            <w:r w:rsidR="00646E3B" w:rsidRPr="00FA0773">
              <w:rPr>
                <w:rFonts w:eastAsia="Calibri"/>
                <w:noProof/>
                <w:sz w:val="22"/>
                <w:szCs w:val="18"/>
              </w:rPr>
              <w:t>9</w:t>
            </w:r>
          </w:p>
        </w:tc>
        <w:tc>
          <w:tcPr>
            <w:tcW w:w="965" w:type="dxa"/>
          </w:tcPr>
          <w:p w14:paraId="4FA9E26E" w14:textId="449985F2" w:rsidR="004B40E7" w:rsidRPr="00FA0773" w:rsidRDefault="004B40E7">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FA0773">
              <w:rPr>
                <w:rFonts w:eastAsia="Calibri"/>
                <w:noProof/>
                <w:sz w:val="22"/>
                <w:szCs w:val="18"/>
              </w:rPr>
              <w:t>Total</w:t>
            </w:r>
          </w:p>
        </w:tc>
      </w:tr>
      <w:tr w:rsidR="00B91E21" w:rsidRPr="00FA0773" w14:paraId="7865842B"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6457CC88" w14:textId="77777777" w:rsidR="004B40E7" w:rsidRPr="00FA0773" w:rsidRDefault="004B40E7">
            <w:pPr>
              <w:spacing w:after="120"/>
              <w:rPr>
                <w:rFonts w:eastAsia="Calibri"/>
                <w:bCs/>
                <w:noProof/>
                <w:color w:val="245F95" w:themeColor="text2"/>
                <w:sz w:val="22"/>
                <w:szCs w:val="18"/>
              </w:rPr>
            </w:pPr>
            <w:r w:rsidRPr="00FA0773">
              <w:rPr>
                <w:rFonts w:eastAsia="Calibri"/>
                <w:noProof/>
                <w:color w:val="245F95" w:themeColor="text2"/>
                <w:sz w:val="22"/>
                <w:szCs w:val="18"/>
              </w:rPr>
              <w:t>1 Single Market, Innovation and Digital</w:t>
            </w:r>
          </w:p>
        </w:tc>
        <w:tc>
          <w:tcPr>
            <w:tcW w:w="964" w:type="dxa"/>
            <w:shd w:val="clear" w:color="auto" w:fill="auto"/>
            <w:vAlign w:val="center"/>
          </w:tcPr>
          <w:p w14:paraId="37E54A7A" w14:textId="56BBF1EC" w:rsidR="004B40E7" w:rsidRPr="00FA0773" w:rsidRDefault="0023129E"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2</w:t>
            </w:r>
            <w:r w:rsidR="00445BC5" w:rsidRPr="00FA0773">
              <w:rPr>
                <w:rFonts w:eastAsia="Calibri"/>
                <w:bCs/>
                <w:noProof/>
                <w:sz w:val="22"/>
                <w:szCs w:val="18"/>
              </w:rPr>
              <w:t>.7</w:t>
            </w:r>
          </w:p>
        </w:tc>
        <w:tc>
          <w:tcPr>
            <w:tcW w:w="965" w:type="dxa"/>
            <w:shd w:val="clear" w:color="auto" w:fill="auto"/>
            <w:vAlign w:val="center"/>
          </w:tcPr>
          <w:p w14:paraId="7266F326" w14:textId="4E7EBF5D" w:rsidR="004B40E7" w:rsidRPr="00FA0773" w:rsidRDefault="0023129E"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2</w:t>
            </w:r>
            <w:r w:rsidR="004B40E7" w:rsidRPr="00FA0773">
              <w:rPr>
                <w:rFonts w:eastAsia="Calibri"/>
                <w:bCs/>
                <w:noProof/>
                <w:sz w:val="22"/>
                <w:szCs w:val="18"/>
              </w:rPr>
              <w:t>.</w:t>
            </w:r>
            <w:r w:rsidRPr="00FA0773">
              <w:rPr>
                <w:rFonts w:eastAsia="Calibri"/>
                <w:bCs/>
                <w:noProof/>
                <w:sz w:val="22"/>
                <w:szCs w:val="18"/>
              </w:rPr>
              <w:t>2</w:t>
            </w:r>
          </w:p>
        </w:tc>
        <w:tc>
          <w:tcPr>
            <w:tcW w:w="965" w:type="dxa"/>
            <w:shd w:val="clear" w:color="auto" w:fill="auto"/>
            <w:vAlign w:val="center"/>
          </w:tcPr>
          <w:p w14:paraId="728AE7EC" w14:textId="26B236F8" w:rsidR="004B40E7" w:rsidRPr="00FA0773" w:rsidRDefault="0023129E"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1</w:t>
            </w:r>
            <w:r w:rsidR="004B40E7" w:rsidRPr="00FA0773">
              <w:rPr>
                <w:rFonts w:eastAsia="Calibri"/>
                <w:bCs/>
                <w:noProof/>
                <w:sz w:val="22"/>
                <w:szCs w:val="18"/>
              </w:rPr>
              <w:t>.</w:t>
            </w:r>
            <w:r w:rsidRPr="00FA0773">
              <w:rPr>
                <w:rFonts w:eastAsia="Calibri"/>
                <w:bCs/>
                <w:noProof/>
                <w:sz w:val="22"/>
                <w:szCs w:val="18"/>
              </w:rPr>
              <w:t>2</w:t>
            </w:r>
          </w:p>
        </w:tc>
        <w:tc>
          <w:tcPr>
            <w:tcW w:w="964" w:type="dxa"/>
            <w:shd w:val="clear" w:color="auto" w:fill="auto"/>
            <w:vAlign w:val="center"/>
          </w:tcPr>
          <w:p w14:paraId="55F030F5" w14:textId="24AF757C" w:rsidR="004B40E7" w:rsidRPr="00FA0773" w:rsidRDefault="0023129E"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w:t>
            </w:r>
            <w:r w:rsidR="004B40E7" w:rsidRPr="00FA0773">
              <w:rPr>
                <w:rFonts w:eastAsia="Calibri"/>
                <w:bCs/>
                <w:noProof/>
                <w:sz w:val="22"/>
                <w:szCs w:val="18"/>
              </w:rPr>
              <w:t>.</w:t>
            </w:r>
            <w:r w:rsidR="00A90E90" w:rsidRPr="00FA0773">
              <w:rPr>
                <w:rFonts w:eastAsia="Calibri"/>
                <w:bCs/>
                <w:noProof/>
                <w:sz w:val="22"/>
                <w:szCs w:val="18"/>
              </w:rPr>
              <w:t>6</w:t>
            </w:r>
          </w:p>
        </w:tc>
        <w:tc>
          <w:tcPr>
            <w:tcW w:w="965" w:type="dxa"/>
            <w:vAlign w:val="center"/>
          </w:tcPr>
          <w:p w14:paraId="4A7FBF3C" w14:textId="7A3AD31C" w:rsidR="004B40E7" w:rsidRPr="00FA0773" w:rsidRDefault="007F2B1E"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w:t>
            </w:r>
            <w:r w:rsidR="00A90E90" w:rsidRPr="00FA0773">
              <w:rPr>
                <w:rFonts w:eastAsia="Calibri"/>
                <w:bCs/>
                <w:noProof/>
                <w:sz w:val="22"/>
                <w:szCs w:val="18"/>
              </w:rPr>
              <w:t>2</w:t>
            </w:r>
          </w:p>
        </w:tc>
        <w:tc>
          <w:tcPr>
            <w:tcW w:w="965" w:type="dxa"/>
            <w:shd w:val="clear" w:color="auto" w:fill="auto"/>
            <w:vAlign w:val="center"/>
          </w:tcPr>
          <w:p w14:paraId="7A931A51" w14:textId="718D58D6" w:rsidR="004B40E7" w:rsidRPr="00FA0773" w:rsidRDefault="00A90E90"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sidRPr="00FA0773">
              <w:rPr>
                <w:rFonts w:eastAsia="Calibri"/>
                <w:b/>
                <w:bCs/>
                <w:noProof/>
                <w:color w:val="245F95" w:themeColor="text2"/>
                <w:sz w:val="22"/>
                <w:szCs w:val="18"/>
              </w:rPr>
              <w:t>7</w:t>
            </w:r>
            <w:r w:rsidR="004B40E7" w:rsidRPr="00FA0773">
              <w:rPr>
                <w:rFonts w:eastAsia="Calibri"/>
                <w:b/>
                <w:bCs/>
                <w:noProof/>
                <w:color w:val="245F95" w:themeColor="text2"/>
                <w:sz w:val="22"/>
                <w:szCs w:val="18"/>
              </w:rPr>
              <w:t>.</w:t>
            </w:r>
            <w:r w:rsidRPr="00FA0773">
              <w:rPr>
                <w:rFonts w:eastAsia="Calibri"/>
                <w:b/>
                <w:bCs/>
                <w:noProof/>
                <w:color w:val="245F95" w:themeColor="text2"/>
                <w:sz w:val="22"/>
                <w:szCs w:val="18"/>
              </w:rPr>
              <w:t>0</w:t>
            </w:r>
          </w:p>
        </w:tc>
      </w:tr>
      <w:tr w:rsidR="004B40E7" w:rsidRPr="00FA0773" w14:paraId="44CDA9C9"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698C5171" w14:textId="77777777" w:rsidR="004B40E7" w:rsidRPr="00FA0773" w:rsidRDefault="004B40E7">
            <w:pPr>
              <w:spacing w:after="120"/>
              <w:rPr>
                <w:rFonts w:eastAsia="Calibri"/>
                <w:bCs/>
                <w:noProof/>
                <w:color w:val="245F95" w:themeColor="text2"/>
                <w:sz w:val="22"/>
                <w:szCs w:val="18"/>
              </w:rPr>
            </w:pPr>
            <w:r w:rsidRPr="00FA0773">
              <w:rPr>
                <w:rFonts w:eastAsia="Calibri"/>
                <w:noProof/>
                <w:color w:val="245F95" w:themeColor="text2"/>
                <w:sz w:val="22"/>
                <w:szCs w:val="18"/>
              </w:rPr>
              <w:t>2 Cohesion, Resilience and Values</w:t>
            </w:r>
          </w:p>
        </w:tc>
        <w:tc>
          <w:tcPr>
            <w:tcW w:w="964" w:type="dxa"/>
            <w:shd w:val="clear" w:color="auto" w:fill="auto"/>
            <w:vAlign w:val="center"/>
          </w:tcPr>
          <w:p w14:paraId="48DCA427" w14:textId="35C71B98" w:rsidR="004B40E7" w:rsidRPr="00FA0773" w:rsidRDefault="003C7F0C"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w:t>
            </w:r>
            <w:r w:rsidR="004B40E7" w:rsidRPr="00FA0773">
              <w:rPr>
                <w:rFonts w:eastAsia="Calibri"/>
                <w:bCs/>
                <w:noProof/>
                <w:sz w:val="22"/>
                <w:szCs w:val="18"/>
              </w:rPr>
              <w:t>.</w:t>
            </w:r>
            <w:r w:rsidR="009046E5" w:rsidRPr="00FA0773">
              <w:rPr>
                <w:rFonts w:eastAsia="Calibri"/>
                <w:bCs/>
                <w:noProof/>
                <w:sz w:val="22"/>
                <w:szCs w:val="18"/>
              </w:rPr>
              <w:t>7</w:t>
            </w:r>
          </w:p>
        </w:tc>
        <w:tc>
          <w:tcPr>
            <w:tcW w:w="965" w:type="dxa"/>
            <w:shd w:val="clear" w:color="auto" w:fill="auto"/>
            <w:vAlign w:val="center"/>
          </w:tcPr>
          <w:p w14:paraId="53924375" w14:textId="729F1B5F"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1.</w:t>
            </w:r>
            <w:r w:rsidR="003C7F0C" w:rsidRPr="00FA0773">
              <w:rPr>
                <w:rFonts w:eastAsia="Calibri"/>
                <w:bCs/>
                <w:noProof/>
                <w:sz w:val="22"/>
                <w:szCs w:val="18"/>
              </w:rPr>
              <w:t>7</w:t>
            </w:r>
          </w:p>
        </w:tc>
        <w:tc>
          <w:tcPr>
            <w:tcW w:w="965" w:type="dxa"/>
            <w:shd w:val="clear" w:color="auto" w:fill="auto"/>
            <w:vAlign w:val="center"/>
          </w:tcPr>
          <w:p w14:paraId="2D32D0CC" w14:textId="6C951225" w:rsidR="004B40E7" w:rsidRPr="00FA0773" w:rsidRDefault="00A12675"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w:t>
            </w:r>
            <w:r w:rsidR="004B40E7" w:rsidRPr="00FA0773">
              <w:rPr>
                <w:rFonts w:eastAsia="Calibri"/>
                <w:bCs/>
                <w:noProof/>
                <w:sz w:val="22"/>
                <w:szCs w:val="18"/>
              </w:rPr>
              <w:t>.</w:t>
            </w:r>
            <w:r w:rsidRPr="00FA0773">
              <w:rPr>
                <w:rFonts w:eastAsia="Calibri"/>
                <w:bCs/>
                <w:noProof/>
                <w:sz w:val="22"/>
                <w:szCs w:val="18"/>
              </w:rPr>
              <w:t>7</w:t>
            </w:r>
          </w:p>
        </w:tc>
        <w:tc>
          <w:tcPr>
            <w:tcW w:w="964" w:type="dxa"/>
            <w:shd w:val="clear" w:color="auto" w:fill="auto"/>
            <w:vAlign w:val="center"/>
          </w:tcPr>
          <w:p w14:paraId="1180EE2A" w14:textId="2DE5FF1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w:t>
            </w:r>
            <w:r w:rsidR="00A12675" w:rsidRPr="00FA0773">
              <w:rPr>
                <w:rFonts w:eastAsia="Calibri"/>
                <w:bCs/>
                <w:noProof/>
                <w:sz w:val="22"/>
                <w:szCs w:val="18"/>
              </w:rPr>
              <w:t>0</w:t>
            </w:r>
          </w:p>
        </w:tc>
        <w:tc>
          <w:tcPr>
            <w:tcW w:w="965" w:type="dxa"/>
            <w:vAlign w:val="center"/>
          </w:tcPr>
          <w:p w14:paraId="2C3CF5AC"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shd w:val="clear" w:color="auto" w:fill="auto"/>
            <w:vAlign w:val="center"/>
          </w:tcPr>
          <w:p w14:paraId="1A3D82BF" w14:textId="4468ADA0" w:rsidR="004B40E7" w:rsidRPr="00FA0773" w:rsidRDefault="00A12675"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sidRPr="00FA0773">
              <w:rPr>
                <w:rFonts w:eastAsia="Calibri"/>
                <w:b/>
                <w:bCs/>
                <w:noProof/>
                <w:color w:val="245F95" w:themeColor="text2"/>
                <w:sz w:val="22"/>
                <w:szCs w:val="18"/>
              </w:rPr>
              <w:t>3</w:t>
            </w:r>
            <w:r w:rsidR="004B40E7" w:rsidRPr="00FA0773">
              <w:rPr>
                <w:rFonts w:eastAsia="Calibri"/>
                <w:b/>
                <w:bCs/>
                <w:noProof/>
                <w:color w:val="245F95" w:themeColor="text2"/>
                <w:sz w:val="22"/>
                <w:szCs w:val="18"/>
              </w:rPr>
              <w:t>.</w:t>
            </w:r>
            <w:r w:rsidR="001104FB" w:rsidRPr="00FA0773">
              <w:rPr>
                <w:rFonts w:eastAsia="Calibri"/>
                <w:b/>
                <w:bCs/>
                <w:noProof/>
                <w:color w:val="245F95" w:themeColor="text2"/>
                <w:sz w:val="22"/>
                <w:szCs w:val="18"/>
              </w:rPr>
              <w:t>1</w:t>
            </w:r>
          </w:p>
        </w:tc>
      </w:tr>
      <w:tr w:rsidR="004B40E7" w:rsidRPr="00FA0773" w14:paraId="1A125161"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20F75A0A" w14:textId="77777777" w:rsidR="004B40E7" w:rsidRPr="00FA0773" w:rsidRDefault="004B40E7" w:rsidP="00D16649">
            <w:pPr>
              <w:spacing w:after="120"/>
              <w:ind w:left="170"/>
              <w:rPr>
                <w:rFonts w:eastAsia="Calibri"/>
                <w:b w:val="0"/>
                <w:bCs/>
                <w:noProof/>
                <w:color w:val="245F95" w:themeColor="text2"/>
                <w:sz w:val="22"/>
                <w:szCs w:val="18"/>
              </w:rPr>
            </w:pPr>
            <w:r w:rsidRPr="00FA0773">
              <w:rPr>
                <w:rFonts w:eastAsia="Calibri"/>
                <w:b w:val="0"/>
                <w:bCs/>
                <w:noProof/>
                <w:color w:val="245F95" w:themeColor="text2"/>
                <w:sz w:val="22"/>
                <w:szCs w:val="18"/>
              </w:rPr>
              <w:t>2.1 Economic, Social and territorial cohesion</w:t>
            </w:r>
          </w:p>
        </w:tc>
        <w:tc>
          <w:tcPr>
            <w:tcW w:w="964" w:type="dxa"/>
            <w:shd w:val="clear" w:color="auto" w:fill="auto"/>
            <w:vAlign w:val="center"/>
          </w:tcPr>
          <w:p w14:paraId="3375922F" w14:textId="01F75867" w:rsidR="004B40E7" w:rsidRPr="00FA0773" w:rsidRDefault="6B212AFA" w:rsidP="7EE18D7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22"/>
              </w:rPr>
            </w:pPr>
            <w:r w:rsidRPr="00FA0773">
              <w:rPr>
                <w:rFonts w:eastAsia="Calibri"/>
                <w:noProof/>
                <w:sz w:val="22"/>
                <w:szCs w:val="22"/>
              </w:rPr>
              <w:t>0</w:t>
            </w:r>
            <w:r w:rsidR="2C289088" w:rsidRPr="00FA0773">
              <w:rPr>
                <w:rFonts w:eastAsia="Calibri"/>
                <w:noProof/>
                <w:sz w:val="22"/>
                <w:szCs w:val="22"/>
              </w:rPr>
              <w:t>.</w:t>
            </w:r>
            <w:r w:rsidR="00773F89">
              <w:rPr>
                <w:rFonts w:eastAsia="Calibri"/>
                <w:noProof/>
                <w:sz w:val="22"/>
                <w:szCs w:val="22"/>
              </w:rPr>
              <w:t>7</w:t>
            </w:r>
          </w:p>
        </w:tc>
        <w:tc>
          <w:tcPr>
            <w:tcW w:w="965" w:type="dxa"/>
            <w:shd w:val="clear" w:color="auto" w:fill="auto"/>
            <w:vAlign w:val="center"/>
          </w:tcPr>
          <w:p w14:paraId="4075F68E" w14:textId="55177128"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1.</w:t>
            </w:r>
            <w:r w:rsidR="00D90B75" w:rsidRPr="00FA0773">
              <w:rPr>
                <w:rFonts w:eastAsia="Calibri"/>
                <w:bCs/>
                <w:noProof/>
                <w:sz w:val="22"/>
                <w:szCs w:val="18"/>
              </w:rPr>
              <w:t>7</w:t>
            </w:r>
          </w:p>
        </w:tc>
        <w:tc>
          <w:tcPr>
            <w:tcW w:w="965" w:type="dxa"/>
            <w:shd w:val="clear" w:color="auto" w:fill="auto"/>
            <w:vAlign w:val="center"/>
          </w:tcPr>
          <w:p w14:paraId="08808B7E" w14:textId="2B92EB45" w:rsidR="004B40E7" w:rsidRPr="00FA0773" w:rsidRDefault="00D90B75"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w:t>
            </w:r>
            <w:r w:rsidR="001D2728" w:rsidRPr="00FA0773">
              <w:rPr>
                <w:rFonts w:eastAsia="Calibri"/>
                <w:bCs/>
                <w:noProof/>
                <w:sz w:val="22"/>
                <w:szCs w:val="18"/>
              </w:rPr>
              <w:t>.</w:t>
            </w:r>
            <w:r w:rsidRPr="00FA0773">
              <w:rPr>
                <w:rFonts w:eastAsia="Calibri"/>
                <w:bCs/>
                <w:noProof/>
                <w:sz w:val="22"/>
                <w:szCs w:val="18"/>
              </w:rPr>
              <w:t>7</w:t>
            </w:r>
          </w:p>
        </w:tc>
        <w:tc>
          <w:tcPr>
            <w:tcW w:w="964" w:type="dxa"/>
            <w:shd w:val="clear" w:color="auto" w:fill="auto"/>
            <w:vAlign w:val="center"/>
          </w:tcPr>
          <w:p w14:paraId="46741573" w14:textId="223E7D05"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vAlign w:val="center"/>
          </w:tcPr>
          <w:p w14:paraId="79B5CCD1"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shd w:val="clear" w:color="auto" w:fill="auto"/>
            <w:vAlign w:val="center"/>
          </w:tcPr>
          <w:p w14:paraId="6E67AADA" w14:textId="41882575" w:rsidR="004B40E7" w:rsidRPr="00FA0773" w:rsidRDefault="5329F14B" w:rsidP="7EE18D7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sidRPr="00FA0773">
              <w:rPr>
                <w:rFonts w:eastAsia="Calibri"/>
                <w:b/>
                <w:bCs/>
                <w:noProof/>
                <w:color w:val="245F95" w:themeColor="text2"/>
                <w:sz w:val="22"/>
                <w:szCs w:val="22"/>
              </w:rPr>
              <w:t>3</w:t>
            </w:r>
            <w:r w:rsidR="2C289088" w:rsidRPr="00FA0773">
              <w:rPr>
                <w:rFonts w:eastAsia="Calibri"/>
                <w:b/>
                <w:bCs/>
                <w:noProof/>
                <w:color w:val="245F95" w:themeColor="text2"/>
                <w:sz w:val="22"/>
                <w:szCs w:val="22"/>
              </w:rPr>
              <w:t>.</w:t>
            </w:r>
            <w:r w:rsidRPr="00FA0773">
              <w:rPr>
                <w:rFonts w:eastAsia="Calibri"/>
                <w:b/>
                <w:bCs/>
                <w:noProof/>
                <w:color w:val="245F95" w:themeColor="text2"/>
                <w:sz w:val="22"/>
                <w:szCs w:val="22"/>
              </w:rPr>
              <w:t>0</w:t>
            </w:r>
          </w:p>
        </w:tc>
      </w:tr>
      <w:tr w:rsidR="004B40E7" w:rsidRPr="00FA0773" w14:paraId="7C5E6D79"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4BC8A42B" w14:textId="77777777" w:rsidR="004B40E7" w:rsidRPr="00FA0773" w:rsidRDefault="004B40E7" w:rsidP="00D16649">
            <w:pPr>
              <w:spacing w:after="120"/>
              <w:ind w:left="170"/>
              <w:rPr>
                <w:rFonts w:eastAsia="Calibri"/>
                <w:b w:val="0"/>
                <w:bCs/>
                <w:noProof/>
                <w:color w:val="245F95" w:themeColor="text2"/>
                <w:sz w:val="22"/>
                <w:szCs w:val="18"/>
              </w:rPr>
            </w:pPr>
            <w:r w:rsidRPr="00FA0773">
              <w:rPr>
                <w:rFonts w:eastAsia="Calibri"/>
                <w:b w:val="0"/>
                <w:bCs/>
                <w:noProof/>
                <w:color w:val="245F95" w:themeColor="text2"/>
                <w:sz w:val="22"/>
                <w:szCs w:val="18"/>
              </w:rPr>
              <w:t>2.2 Resilience and Values</w:t>
            </w:r>
          </w:p>
        </w:tc>
        <w:tc>
          <w:tcPr>
            <w:tcW w:w="964" w:type="dxa"/>
            <w:shd w:val="clear" w:color="auto" w:fill="auto"/>
            <w:vAlign w:val="center"/>
          </w:tcPr>
          <w:p w14:paraId="4DDC4CA6" w14:textId="0B188021" w:rsidR="004B40E7" w:rsidRPr="00FA0773" w:rsidRDefault="00A5031D"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0.0</w:t>
            </w:r>
          </w:p>
        </w:tc>
        <w:tc>
          <w:tcPr>
            <w:tcW w:w="965" w:type="dxa"/>
            <w:shd w:val="clear" w:color="auto" w:fill="auto"/>
            <w:vAlign w:val="center"/>
          </w:tcPr>
          <w:p w14:paraId="1775553F" w14:textId="5C71DA7A" w:rsidR="004B40E7" w:rsidRPr="00FA0773" w:rsidRDefault="00A5031D"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0.0</w:t>
            </w:r>
          </w:p>
        </w:tc>
        <w:tc>
          <w:tcPr>
            <w:tcW w:w="965" w:type="dxa"/>
            <w:shd w:val="clear" w:color="auto" w:fill="auto"/>
            <w:vAlign w:val="center"/>
          </w:tcPr>
          <w:p w14:paraId="0B541CAB" w14:textId="46BE0049" w:rsidR="004B40E7" w:rsidRPr="00FA0773" w:rsidRDefault="00A5031D"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0.0</w:t>
            </w:r>
          </w:p>
        </w:tc>
        <w:tc>
          <w:tcPr>
            <w:tcW w:w="964" w:type="dxa"/>
            <w:shd w:val="clear" w:color="auto" w:fill="auto"/>
            <w:vAlign w:val="center"/>
          </w:tcPr>
          <w:p w14:paraId="34DC8A3D" w14:textId="0DB21C70" w:rsidR="004B40E7" w:rsidRPr="00FA0773" w:rsidRDefault="00773F89"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rFonts w:eastAsia="Calibri"/>
                <w:bCs/>
                <w:noProof/>
                <w:sz w:val="22"/>
                <w:szCs w:val="18"/>
              </w:rPr>
              <w:t>0.0</w:t>
            </w:r>
          </w:p>
        </w:tc>
        <w:tc>
          <w:tcPr>
            <w:tcW w:w="965" w:type="dxa"/>
            <w:vAlign w:val="center"/>
          </w:tcPr>
          <w:p w14:paraId="3ACEE825"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shd w:val="clear" w:color="auto" w:fill="auto"/>
            <w:vAlign w:val="center"/>
          </w:tcPr>
          <w:p w14:paraId="0BB00FE5" w14:textId="5453C2C0"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sidRPr="00FA0773">
              <w:rPr>
                <w:rFonts w:eastAsia="Calibri"/>
                <w:b/>
                <w:bCs/>
                <w:noProof/>
                <w:color w:val="245F95" w:themeColor="text2"/>
                <w:sz w:val="22"/>
                <w:szCs w:val="18"/>
              </w:rPr>
              <w:t>0.</w:t>
            </w:r>
            <w:r w:rsidR="000F6403" w:rsidRPr="00FA0773">
              <w:rPr>
                <w:rFonts w:eastAsia="Calibri"/>
                <w:b/>
                <w:bCs/>
                <w:noProof/>
                <w:color w:val="245F95" w:themeColor="text2"/>
                <w:sz w:val="22"/>
                <w:szCs w:val="18"/>
              </w:rPr>
              <w:t>1</w:t>
            </w:r>
          </w:p>
        </w:tc>
      </w:tr>
      <w:tr w:rsidR="00D56216" w:rsidRPr="00FA0773" w14:paraId="31FB0AFA"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4D9ABE61" w14:textId="77777777" w:rsidR="00D56216" w:rsidRPr="00FA0773" w:rsidRDefault="00D56216" w:rsidP="00D56216">
            <w:pPr>
              <w:spacing w:after="120"/>
              <w:rPr>
                <w:rFonts w:eastAsia="Calibri"/>
                <w:bCs/>
                <w:noProof/>
                <w:color w:val="245F95" w:themeColor="text2"/>
                <w:sz w:val="22"/>
                <w:szCs w:val="18"/>
              </w:rPr>
            </w:pPr>
            <w:r w:rsidRPr="00FA0773">
              <w:rPr>
                <w:rFonts w:eastAsia="Calibri"/>
                <w:noProof/>
                <w:color w:val="245F95" w:themeColor="text2"/>
                <w:sz w:val="22"/>
                <w:szCs w:val="18"/>
              </w:rPr>
              <w:t>3 Natural Resources and Environment</w:t>
            </w:r>
          </w:p>
        </w:tc>
        <w:tc>
          <w:tcPr>
            <w:tcW w:w="964" w:type="dxa"/>
            <w:shd w:val="clear" w:color="auto" w:fill="auto"/>
            <w:vAlign w:val="center"/>
          </w:tcPr>
          <w:p w14:paraId="76EF4E1A" w14:textId="6873C186" w:rsidR="00D56216" w:rsidRPr="00FA0773" w:rsidRDefault="00D56216" w:rsidP="00D5621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0.2</w:t>
            </w:r>
          </w:p>
        </w:tc>
        <w:tc>
          <w:tcPr>
            <w:tcW w:w="965" w:type="dxa"/>
            <w:shd w:val="clear" w:color="auto" w:fill="auto"/>
            <w:vAlign w:val="center"/>
          </w:tcPr>
          <w:p w14:paraId="559437E6" w14:textId="56AFDB17" w:rsidR="00D56216" w:rsidRPr="00FA0773" w:rsidRDefault="00D56216" w:rsidP="00D5621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6.0</w:t>
            </w:r>
          </w:p>
        </w:tc>
        <w:tc>
          <w:tcPr>
            <w:tcW w:w="965" w:type="dxa"/>
            <w:shd w:val="clear" w:color="auto" w:fill="auto"/>
            <w:vAlign w:val="center"/>
          </w:tcPr>
          <w:p w14:paraId="32316785" w14:textId="2870D7A7" w:rsidR="00D56216" w:rsidRPr="00FA0773" w:rsidRDefault="00D56216" w:rsidP="00D5621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0.3</w:t>
            </w:r>
          </w:p>
        </w:tc>
        <w:tc>
          <w:tcPr>
            <w:tcW w:w="964" w:type="dxa"/>
            <w:shd w:val="clear" w:color="auto" w:fill="auto"/>
            <w:vAlign w:val="center"/>
          </w:tcPr>
          <w:p w14:paraId="2C5D218C" w14:textId="0C3D8105" w:rsidR="00D56216" w:rsidRPr="00FA0773" w:rsidRDefault="00D56216" w:rsidP="00D5621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0.1</w:t>
            </w:r>
          </w:p>
        </w:tc>
        <w:tc>
          <w:tcPr>
            <w:tcW w:w="965" w:type="dxa"/>
            <w:vAlign w:val="center"/>
          </w:tcPr>
          <w:p w14:paraId="6C434EA6" w14:textId="3088CAF2" w:rsidR="00D56216" w:rsidRPr="00FA0773" w:rsidRDefault="00D56216" w:rsidP="00D5621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0.1</w:t>
            </w:r>
          </w:p>
        </w:tc>
        <w:tc>
          <w:tcPr>
            <w:tcW w:w="965" w:type="dxa"/>
            <w:shd w:val="clear" w:color="auto" w:fill="auto"/>
            <w:vAlign w:val="center"/>
          </w:tcPr>
          <w:p w14:paraId="0BDCD599" w14:textId="14B84236" w:rsidR="00D56216" w:rsidRPr="00FA0773" w:rsidRDefault="00D56216" w:rsidP="00D5621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sidRPr="00FA0773">
              <w:rPr>
                <w:rFonts w:eastAsia="Calibri"/>
                <w:b/>
                <w:bCs/>
                <w:noProof/>
                <w:color w:val="245F95" w:themeColor="text2"/>
                <w:sz w:val="22"/>
                <w:szCs w:val="18"/>
              </w:rPr>
              <w:t>6.7</w:t>
            </w:r>
          </w:p>
        </w:tc>
      </w:tr>
      <w:tr w:rsidR="004B40E7" w:rsidRPr="00FA0773" w14:paraId="08AA612C"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06E0DBBC" w14:textId="1A53A219" w:rsidR="004B40E7" w:rsidRPr="00FA0773" w:rsidRDefault="004B40E7" w:rsidP="00D16649">
            <w:pPr>
              <w:ind w:left="170"/>
              <w:rPr>
                <w:rFonts w:eastAsia="Calibri"/>
                <w:b w:val="0"/>
                <w:bCs/>
                <w:noProof/>
                <w:color w:val="245F95" w:themeColor="text2"/>
                <w:sz w:val="22"/>
                <w:szCs w:val="18"/>
              </w:rPr>
            </w:pPr>
            <w:r w:rsidRPr="00FA0773">
              <w:rPr>
                <w:rFonts w:eastAsia="Calibri"/>
                <w:b w:val="0"/>
                <w:bCs/>
                <w:noProof/>
                <w:color w:val="245F95" w:themeColor="text2"/>
                <w:sz w:val="22"/>
                <w:szCs w:val="18"/>
              </w:rPr>
              <w:t>3.1 Market related expenditure and direct payments</w:t>
            </w:r>
          </w:p>
        </w:tc>
        <w:tc>
          <w:tcPr>
            <w:tcW w:w="964" w:type="dxa"/>
            <w:shd w:val="clear" w:color="auto" w:fill="auto"/>
            <w:vAlign w:val="center"/>
          </w:tcPr>
          <w:p w14:paraId="58864605" w14:textId="33F66386"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shd w:val="clear" w:color="auto" w:fill="auto"/>
            <w:vAlign w:val="center"/>
          </w:tcPr>
          <w:p w14:paraId="323922EE"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shd w:val="clear" w:color="auto" w:fill="auto"/>
            <w:vAlign w:val="center"/>
          </w:tcPr>
          <w:p w14:paraId="54FDDAA1"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4" w:type="dxa"/>
            <w:shd w:val="clear" w:color="auto" w:fill="auto"/>
            <w:vAlign w:val="center"/>
          </w:tcPr>
          <w:p w14:paraId="29B927FC"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vAlign w:val="center"/>
          </w:tcPr>
          <w:p w14:paraId="0529A335"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shd w:val="clear" w:color="auto" w:fill="auto"/>
            <w:vAlign w:val="center"/>
          </w:tcPr>
          <w:p w14:paraId="3F3FABB0" w14:textId="0E54E8E5"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245F95" w:themeColor="text2"/>
                <w:sz w:val="22"/>
                <w:szCs w:val="18"/>
              </w:rPr>
            </w:pPr>
          </w:p>
        </w:tc>
      </w:tr>
      <w:tr w:rsidR="003516CF" w:rsidRPr="00FA0773" w14:paraId="3AE80AEF"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0B5E8D7C" w14:textId="2C203B08" w:rsidR="003516CF" w:rsidRPr="00FA0773" w:rsidRDefault="003516CF" w:rsidP="00D16649">
            <w:pPr>
              <w:ind w:left="170"/>
              <w:rPr>
                <w:rFonts w:eastAsia="Calibri"/>
                <w:b w:val="0"/>
                <w:bCs/>
                <w:noProof/>
                <w:color w:val="245F95" w:themeColor="text2"/>
                <w:sz w:val="22"/>
                <w:szCs w:val="18"/>
              </w:rPr>
            </w:pPr>
            <w:r w:rsidRPr="00FA0773">
              <w:rPr>
                <w:rFonts w:eastAsia="Calibri"/>
                <w:b w:val="0"/>
                <w:bCs/>
                <w:noProof/>
                <w:color w:val="245F95" w:themeColor="text2"/>
                <w:sz w:val="22"/>
                <w:szCs w:val="18"/>
              </w:rPr>
              <w:t>3.2 Other programmes of Natural Resources and Environment</w:t>
            </w:r>
          </w:p>
        </w:tc>
        <w:tc>
          <w:tcPr>
            <w:tcW w:w="964" w:type="dxa"/>
            <w:shd w:val="clear" w:color="auto" w:fill="auto"/>
            <w:vAlign w:val="center"/>
          </w:tcPr>
          <w:p w14:paraId="08448633" w14:textId="4B95E18B" w:rsidR="003516CF" w:rsidRPr="00FA0773" w:rsidRDefault="00046419"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w:t>
            </w:r>
            <w:r w:rsidR="003516CF" w:rsidRPr="00FA0773">
              <w:rPr>
                <w:rFonts w:eastAsia="Calibri"/>
                <w:bCs/>
                <w:noProof/>
                <w:sz w:val="22"/>
                <w:szCs w:val="18"/>
              </w:rPr>
              <w:t>.</w:t>
            </w:r>
            <w:r w:rsidRPr="00FA0773">
              <w:rPr>
                <w:rFonts w:eastAsia="Calibri"/>
                <w:bCs/>
                <w:noProof/>
                <w:sz w:val="22"/>
                <w:szCs w:val="18"/>
              </w:rPr>
              <w:t>2</w:t>
            </w:r>
          </w:p>
        </w:tc>
        <w:tc>
          <w:tcPr>
            <w:tcW w:w="965" w:type="dxa"/>
            <w:shd w:val="clear" w:color="auto" w:fill="auto"/>
            <w:vAlign w:val="center"/>
          </w:tcPr>
          <w:p w14:paraId="47DD137D" w14:textId="29843544" w:rsidR="003516CF" w:rsidRPr="00FA0773" w:rsidRDefault="00FB6C6F"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6</w:t>
            </w:r>
            <w:r w:rsidR="007528BC" w:rsidRPr="00FA0773">
              <w:rPr>
                <w:rFonts w:eastAsia="Calibri"/>
                <w:bCs/>
                <w:noProof/>
                <w:sz w:val="22"/>
                <w:szCs w:val="18"/>
              </w:rPr>
              <w:t>.0</w:t>
            </w:r>
          </w:p>
        </w:tc>
        <w:tc>
          <w:tcPr>
            <w:tcW w:w="965" w:type="dxa"/>
            <w:shd w:val="clear" w:color="auto" w:fill="auto"/>
            <w:vAlign w:val="center"/>
          </w:tcPr>
          <w:p w14:paraId="07418EC3" w14:textId="3428B6A3" w:rsidR="003516CF" w:rsidRPr="00FA0773" w:rsidRDefault="003516CF"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w:t>
            </w:r>
            <w:r w:rsidR="00FB6C6F" w:rsidRPr="00FA0773">
              <w:rPr>
                <w:rFonts w:eastAsia="Calibri"/>
                <w:bCs/>
                <w:noProof/>
                <w:sz w:val="22"/>
                <w:szCs w:val="18"/>
              </w:rPr>
              <w:t>3</w:t>
            </w:r>
          </w:p>
        </w:tc>
        <w:tc>
          <w:tcPr>
            <w:tcW w:w="964" w:type="dxa"/>
            <w:shd w:val="clear" w:color="auto" w:fill="auto"/>
            <w:vAlign w:val="center"/>
          </w:tcPr>
          <w:p w14:paraId="790E74FA" w14:textId="205DB5E4" w:rsidR="003516CF" w:rsidRPr="00FA0773" w:rsidRDefault="003516CF"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0.1</w:t>
            </w:r>
          </w:p>
        </w:tc>
        <w:tc>
          <w:tcPr>
            <w:tcW w:w="965" w:type="dxa"/>
            <w:vAlign w:val="center"/>
          </w:tcPr>
          <w:p w14:paraId="3BDE64B0" w14:textId="2D8CE135" w:rsidR="003516CF" w:rsidRPr="00FA0773" w:rsidRDefault="003516CF"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0.1</w:t>
            </w:r>
          </w:p>
        </w:tc>
        <w:tc>
          <w:tcPr>
            <w:tcW w:w="965" w:type="dxa"/>
            <w:shd w:val="clear" w:color="auto" w:fill="auto"/>
            <w:vAlign w:val="center"/>
          </w:tcPr>
          <w:p w14:paraId="3AAA861E" w14:textId="2407469A" w:rsidR="003516CF" w:rsidRPr="00FA0773" w:rsidRDefault="00165115"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sidRPr="00FA0773">
              <w:rPr>
                <w:rFonts w:eastAsia="Calibri"/>
                <w:b/>
                <w:bCs/>
                <w:noProof/>
                <w:color w:val="245F95" w:themeColor="text2"/>
                <w:sz w:val="22"/>
                <w:szCs w:val="18"/>
              </w:rPr>
              <w:t>6</w:t>
            </w:r>
            <w:r w:rsidR="00B515A8" w:rsidRPr="00FA0773">
              <w:rPr>
                <w:rFonts w:eastAsia="Calibri"/>
                <w:b/>
                <w:bCs/>
                <w:noProof/>
                <w:color w:val="245F95" w:themeColor="text2"/>
                <w:sz w:val="22"/>
                <w:szCs w:val="18"/>
              </w:rPr>
              <w:t>.7</w:t>
            </w:r>
          </w:p>
        </w:tc>
      </w:tr>
      <w:tr w:rsidR="004B40E7" w:rsidRPr="00FA0773" w14:paraId="055A6AEB"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72F84B16" w14:textId="77777777" w:rsidR="004B40E7" w:rsidRPr="00FA0773" w:rsidRDefault="004B40E7">
            <w:pPr>
              <w:spacing w:after="120"/>
              <w:rPr>
                <w:rFonts w:eastAsia="Calibri"/>
                <w:bCs/>
                <w:noProof/>
                <w:color w:val="245F95" w:themeColor="text2"/>
                <w:sz w:val="22"/>
                <w:szCs w:val="18"/>
              </w:rPr>
            </w:pPr>
            <w:r w:rsidRPr="00FA0773">
              <w:rPr>
                <w:rFonts w:eastAsia="Calibri"/>
                <w:noProof/>
                <w:color w:val="245F95" w:themeColor="text2"/>
                <w:sz w:val="22"/>
                <w:szCs w:val="18"/>
              </w:rPr>
              <w:t>4 Migration and Border Management</w:t>
            </w:r>
          </w:p>
        </w:tc>
        <w:tc>
          <w:tcPr>
            <w:tcW w:w="964" w:type="dxa"/>
            <w:shd w:val="clear" w:color="auto" w:fill="auto"/>
            <w:vAlign w:val="center"/>
          </w:tcPr>
          <w:p w14:paraId="647190B8" w14:textId="132A1DA1"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w:t>
            </w:r>
            <w:r w:rsidR="0096297D" w:rsidRPr="00FA0773">
              <w:rPr>
                <w:rFonts w:eastAsia="Calibri"/>
                <w:bCs/>
                <w:noProof/>
                <w:sz w:val="22"/>
                <w:szCs w:val="18"/>
              </w:rPr>
              <w:t>3</w:t>
            </w:r>
          </w:p>
        </w:tc>
        <w:tc>
          <w:tcPr>
            <w:tcW w:w="965" w:type="dxa"/>
            <w:shd w:val="clear" w:color="auto" w:fill="auto"/>
            <w:vAlign w:val="center"/>
          </w:tcPr>
          <w:p w14:paraId="73C9D688" w14:textId="51BF6295"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w:t>
            </w:r>
            <w:r w:rsidR="0096297D" w:rsidRPr="00FA0773">
              <w:rPr>
                <w:rFonts w:eastAsia="Calibri"/>
                <w:bCs/>
                <w:noProof/>
                <w:sz w:val="22"/>
                <w:szCs w:val="18"/>
              </w:rPr>
              <w:t>2</w:t>
            </w:r>
          </w:p>
        </w:tc>
        <w:tc>
          <w:tcPr>
            <w:tcW w:w="965" w:type="dxa"/>
            <w:shd w:val="clear" w:color="auto" w:fill="auto"/>
            <w:vAlign w:val="center"/>
          </w:tcPr>
          <w:p w14:paraId="21380AA1" w14:textId="5C0873B0" w:rsidR="004B40E7" w:rsidRPr="00FA0773" w:rsidRDefault="0096297D"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0.1</w:t>
            </w:r>
          </w:p>
        </w:tc>
        <w:tc>
          <w:tcPr>
            <w:tcW w:w="964" w:type="dxa"/>
            <w:shd w:val="clear" w:color="auto" w:fill="auto"/>
            <w:vAlign w:val="center"/>
          </w:tcPr>
          <w:p w14:paraId="7DFC99A0" w14:textId="09A1BDAD"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vAlign w:val="center"/>
          </w:tcPr>
          <w:p w14:paraId="32216F83"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shd w:val="clear" w:color="auto" w:fill="auto"/>
            <w:vAlign w:val="center"/>
          </w:tcPr>
          <w:p w14:paraId="5E9E98D7" w14:textId="4AA0EB9B" w:rsidR="004B40E7" w:rsidRPr="00FA0773" w:rsidRDefault="003B04DD"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sidRPr="00FA0773">
              <w:rPr>
                <w:rFonts w:eastAsia="Calibri"/>
                <w:b/>
                <w:bCs/>
                <w:noProof/>
                <w:color w:val="245F95" w:themeColor="text2"/>
                <w:sz w:val="22"/>
                <w:szCs w:val="18"/>
              </w:rPr>
              <w:t>0</w:t>
            </w:r>
            <w:r w:rsidR="004B40E7" w:rsidRPr="00FA0773">
              <w:rPr>
                <w:rFonts w:eastAsia="Calibri"/>
                <w:b/>
                <w:bCs/>
                <w:noProof/>
                <w:color w:val="245F95" w:themeColor="text2"/>
                <w:sz w:val="22"/>
                <w:szCs w:val="18"/>
              </w:rPr>
              <w:t>.</w:t>
            </w:r>
            <w:r w:rsidRPr="00FA0773">
              <w:rPr>
                <w:rFonts w:eastAsia="Calibri"/>
                <w:b/>
                <w:bCs/>
                <w:noProof/>
                <w:color w:val="245F95" w:themeColor="text2"/>
                <w:sz w:val="22"/>
                <w:szCs w:val="18"/>
              </w:rPr>
              <w:t>5</w:t>
            </w:r>
          </w:p>
        </w:tc>
      </w:tr>
      <w:tr w:rsidR="004B40E7" w:rsidRPr="00FA0773" w14:paraId="256AAF93"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78C461AE" w14:textId="77777777" w:rsidR="004B40E7" w:rsidRPr="00FA0773" w:rsidRDefault="004B40E7">
            <w:pPr>
              <w:spacing w:after="120"/>
              <w:rPr>
                <w:rFonts w:eastAsia="Calibri"/>
                <w:bCs/>
                <w:noProof/>
                <w:color w:val="245F95" w:themeColor="text2"/>
                <w:sz w:val="22"/>
                <w:szCs w:val="18"/>
              </w:rPr>
            </w:pPr>
            <w:r w:rsidRPr="00FA0773">
              <w:rPr>
                <w:rFonts w:eastAsia="Calibri"/>
                <w:noProof/>
                <w:color w:val="245F95" w:themeColor="text2"/>
                <w:sz w:val="22"/>
                <w:szCs w:val="18"/>
              </w:rPr>
              <w:t>5 Security and Defence</w:t>
            </w:r>
          </w:p>
        </w:tc>
        <w:tc>
          <w:tcPr>
            <w:tcW w:w="964" w:type="dxa"/>
            <w:shd w:val="clear" w:color="auto" w:fill="auto"/>
            <w:vAlign w:val="center"/>
          </w:tcPr>
          <w:p w14:paraId="7055969E"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0.2</w:t>
            </w:r>
          </w:p>
        </w:tc>
        <w:tc>
          <w:tcPr>
            <w:tcW w:w="965" w:type="dxa"/>
            <w:shd w:val="clear" w:color="auto" w:fill="auto"/>
            <w:vAlign w:val="center"/>
          </w:tcPr>
          <w:p w14:paraId="1E801580" w14:textId="1A7B83A2"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w:t>
            </w:r>
            <w:r w:rsidR="007A4976" w:rsidRPr="00FA0773">
              <w:rPr>
                <w:rFonts w:eastAsia="Calibri"/>
                <w:bCs/>
                <w:noProof/>
                <w:sz w:val="22"/>
                <w:szCs w:val="18"/>
              </w:rPr>
              <w:t>1</w:t>
            </w:r>
          </w:p>
        </w:tc>
        <w:tc>
          <w:tcPr>
            <w:tcW w:w="965" w:type="dxa"/>
            <w:shd w:val="clear" w:color="auto" w:fill="auto"/>
            <w:vAlign w:val="center"/>
          </w:tcPr>
          <w:p w14:paraId="32C58AC5"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0.1</w:t>
            </w:r>
          </w:p>
        </w:tc>
        <w:tc>
          <w:tcPr>
            <w:tcW w:w="964" w:type="dxa"/>
            <w:shd w:val="clear" w:color="auto" w:fill="auto"/>
            <w:vAlign w:val="center"/>
          </w:tcPr>
          <w:p w14:paraId="5F69750A" w14:textId="0F75AE07" w:rsidR="004B40E7" w:rsidRPr="00FA0773" w:rsidRDefault="003516CF"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w:t>
            </w:r>
            <w:r w:rsidR="006D2067" w:rsidRPr="00FA0773">
              <w:rPr>
                <w:rFonts w:eastAsia="Calibri"/>
                <w:bCs/>
                <w:noProof/>
                <w:sz w:val="22"/>
                <w:szCs w:val="18"/>
              </w:rPr>
              <w:t>0</w:t>
            </w:r>
          </w:p>
        </w:tc>
        <w:tc>
          <w:tcPr>
            <w:tcW w:w="965" w:type="dxa"/>
            <w:vAlign w:val="center"/>
          </w:tcPr>
          <w:p w14:paraId="1C846857"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shd w:val="clear" w:color="auto" w:fill="auto"/>
            <w:vAlign w:val="center"/>
          </w:tcPr>
          <w:p w14:paraId="6BBBF9CA" w14:textId="50E1BAD8"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sidRPr="00FA0773">
              <w:rPr>
                <w:rFonts w:eastAsia="Calibri"/>
                <w:b/>
                <w:bCs/>
                <w:noProof/>
                <w:color w:val="245F95" w:themeColor="text2"/>
                <w:sz w:val="22"/>
                <w:szCs w:val="18"/>
              </w:rPr>
              <w:t>0.</w:t>
            </w:r>
            <w:r w:rsidR="006D2067" w:rsidRPr="00FA0773">
              <w:rPr>
                <w:rFonts w:eastAsia="Calibri"/>
                <w:b/>
                <w:bCs/>
                <w:noProof/>
                <w:color w:val="245F95" w:themeColor="text2"/>
                <w:sz w:val="22"/>
                <w:szCs w:val="18"/>
              </w:rPr>
              <w:t>4</w:t>
            </w:r>
          </w:p>
        </w:tc>
      </w:tr>
      <w:tr w:rsidR="004B40E7" w:rsidRPr="00FA0773" w14:paraId="7CAD225E"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08DE512E" w14:textId="77777777" w:rsidR="004B40E7" w:rsidRPr="00FA0773" w:rsidRDefault="004B40E7">
            <w:pPr>
              <w:spacing w:after="120"/>
              <w:rPr>
                <w:rFonts w:eastAsia="Calibri"/>
                <w:bCs/>
                <w:noProof/>
                <w:color w:val="245F95" w:themeColor="text2"/>
                <w:sz w:val="22"/>
                <w:szCs w:val="18"/>
              </w:rPr>
            </w:pPr>
            <w:r w:rsidRPr="00FA0773">
              <w:rPr>
                <w:rFonts w:eastAsia="Calibri"/>
                <w:noProof/>
                <w:color w:val="245F95" w:themeColor="text2"/>
                <w:sz w:val="22"/>
                <w:szCs w:val="18"/>
              </w:rPr>
              <w:t>6 Neighbourhood and the World</w:t>
            </w:r>
          </w:p>
        </w:tc>
        <w:tc>
          <w:tcPr>
            <w:tcW w:w="964" w:type="dxa"/>
            <w:shd w:val="clear" w:color="auto" w:fill="auto"/>
            <w:vAlign w:val="center"/>
          </w:tcPr>
          <w:p w14:paraId="5FD802B9" w14:textId="7BA7D3C8" w:rsidR="004B40E7" w:rsidRPr="00FA0773" w:rsidRDefault="00EB356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rFonts w:eastAsia="Calibri"/>
                <w:bCs/>
                <w:noProof/>
                <w:sz w:val="22"/>
                <w:szCs w:val="18"/>
              </w:rPr>
              <w:t>1</w:t>
            </w:r>
            <w:r w:rsidR="004B40E7" w:rsidRPr="00FA0773">
              <w:rPr>
                <w:rFonts w:eastAsia="Calibri"/>
                <w:bCs/>
                <w:noProof/>
                <w:sz w:val="22"/>
                <w:szCs w:val="18"/>
              </w:rPr>
              <w:t>.</w:t>
            </w:r>
            <w:r>
              <w:rPr>
                <w:rFonts w:eastAsia="Calibri"/>
                <w:bCs/>
                <w:noProof/>
                <w:sz w:val="22"/>
                <w:szCs w:val="18"/>
              </w:rPr>
              <w:t>7</w:t>
            </w:r>
          </w:p>
        </w:tc>
        <w:tc>
          <w:tcPr>
            <w:tcW w:w="965" w:type="dxa"/>
            <w:shd w:val="clear" w:color="auto" w:fill="auto"/>
            <w:vAlign w:val="center"/>
          </w:tcPr>
          <w:p w14:paraId="7CED51EA" w14:textId="4AAB787D" w:rsidR="004B40E7" w:rsidRPr="00FA0773" w:rsidRDefault="00EB356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rFonts w:eastAsia="Calibri"/>
                <w:bCs/>
                <w:noProof/>
                <w:sz w:val="22"/>
                <w:szCs w:val="18"/>
              </w:rPr>
              <w:t>2</w:t>
            </w:r>
            <w:r w:rsidR="004B40E7" w:rsidRPr="00FA0773">
              <w:rPr>
                <w:rFonts w:eastAsia="Calibri"/>
                <w:bCs/>
                <w:noProof/>
                <w:sz w:val="22"/>
                <w:szCs w:val="18"/>
              </w:rPr>
              <w:t>.</w:t>
            </w:r>
            <w:r>
              <w:rPr>
                <w:rFonts w:eastAsia="Calibri"/>
                <w:bCs/>
                <w:noProof/>
                <w:sz w:val="22"/>
                <w:szCs w:val="18"/>
              </w:rPr>
              <w:t>1</w:t>
            </w:r>
          </w:p>
        </w:tc>
        <w:tc>
          <w:tcPr>
            <w:tcW w:w="965" w:type="dxa"/>
            <w:shd w:val="clear" w:color="auto" w:fill="auto"/>
            <w:vAlign w:val="center"/>
          </w:tcPr>
          <w:p w14:paraId="376C6EA0" w14:textId="6850C61D" w:rsidR="004B40E7" w:rsidRPr="00FA0773" w:rsidRDefault="00EB356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rFonts w:eastAsia="Calibri"/>
                <w:bCs/>
                <w:noProof/>
                <w:sz w:val="22"/>
                <w:szCs w:val="18"/>
              </w:rPr>
              <w:t>2</w:t>
            </w:r>
            <w:r w:rsidR="004B40E7" w:rsidRPr="00FA0773">
              <w:rPr>
                <w:rFonts w:eastAsia="Calibri"/>
                <w:bCs/>
                <w:noProof/>
                <w:sz w:val="22"/>
                <w:szCs w:val="18"/>
              </w:rPr>
              <w:t>.</w:t>
            </w:r>
            <w:r>
              <w:rPr>
                <w:rFonts w:eastAsia="Calibri"/>
                <w:bCs/>
                <w:noProof/>
                <w:sz w:val="22"/>
                <w:szCs w:val="18"/>
              </w:rPr>
              <w:t>0</w:t>
            </w:r>
          </w:p>
        </w:tc>
        <w:tc>
          <w:tcPr>
            <w:tcW w:w="964" w:type="dxa"/>
            <w:shd w:val="clear" w:color="auto" w:fill="auto"/>
            <w:vAlign w:val="center"/>
          </w:tcPr>
          <w:p w14:paraId="55DCCA43" w14:textId="7DCD429D" w:rsidR="004B40E7" w:rsidRPr="00FA0773" w:rsidRDefault="000E333B"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w:t>
            </w:r>
            <w:r w:rsidR="004B40E7" w:rsidRPr="00FA0773">
              <w:rPr>
                <w:rFonts w:eastAsia="Calibri"/>
                <w:bCs/>
                <w:noProof/>
                <w:sz w:val="22"/>
                <w:szCs w:val="18"/>
              </w:rPr>
              <w:t>.</w:t>
            </w:r>
            <w:r w:rsidR="00EB3567">
              <w:rPr>
                <w:rFonts w:eastAsia="Calibri"/>
                <w:bCs/>
                <w:noProof/>
                <w:sz w:val="22"/>
                <w:szCs w:val="18"/>
              </w:rPr>
              <w:t>6</w:t>
            </w:r>
          </w:p>
        </w:tc>
        <w:tc>
          <w:tcPr>
            <w:tcW w:w="965" w:type="dxa"/>
            <w:vAlign w:val="center"/>
          </w:tcPr>
          <w:p w14:paraId="596F23F5" w14:textId="17E36D5E" w:rsidR="004B40E7" w:rsidRPr="00FA0773" w:rsidRDefault="00E77270"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sidRPr="00FA0773">
              <w:rPr>
                <w:rFonts w:eastAsia="Calibri"/>
                <w:bCs/>
                <w:noProof/>
                <w:sz w:val="22"/>
                <w:szCs w:val="18"/>
              </w:rPr>
              <w:t>0.</w:t>
            </w:r>
            <w:r w:rsidR="000E333B" w:rsidRPr="00FA0773">
              <w:rPr>
                <w:rFonts w:eastAsia="Calibri"/>
                <w:bCs/>
                <w:noProof/>
                <w:sz w:val="22"/>
                <w:szCs w:val="18"/>
              </w:rPr>
              <w:t>1</w:t>
            </w:r>
          </w:p>
        </w:tc>
        <w:tc>
          <w:tcPr>
            <w:tcW w:w="965" w:type="dxa"/>
            <w:shd w:val="clear" w:color="auto" w:fill="auto"/>
            <w:vAlign w:val="center"/>
          </w:tcPr>
          <w:p w14:paraId="124859E3" w14:textId="701CE05B" w:rsidR="004B40E7" w:rsidRPr="00FA0773" w:rsidRDefault="00EB356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Pr>
                <w:rFonts w:eastAsia="Calibri"/>
                <w:b/>
                <w:bCs/>
                <w:noProof/>
                <w:color w:val="245F95" w:themeColor="text2"/>
                <w:sz w:val="22"/>
                <w:szCs w:val="18"/>
              </w:rPr>
              <w:t>6</w:t>
            </w:r>
            <w:r w:rsidR="004B40E7" w:rsidRPr="00FA0773">
              <w:rPr>
                <w:rFonts w:eastAsia="Calibri"/>
                <w:b/>
                <w:bCs/>
                <w:noProof/>
                <w:color w:val="245F95" w:themeColor="text2"/>
                <w:sz w:val="22"/>
                <w:szCs w:val="18"/>
              </w:rPr>
              <w:t>.</w:t>
            </w:r>
            <w:r>
              <w:rPr>
                <w:rFonts w:eastAsia="Calibri"/>
                <w:b/>
                <w:bCs/>
                <w:noProof/>
                <w:color w:val="245F95" w:themeColor="text2"/>
                <w:sz w:val="22"/>
                <w:szCs w:val="18"/>
              </w:rPr>
              <w:t>5</w:t>
            </w:r>
          </w:p>
        </w:tc>
      </w:tr>
      <w:tr w:rsidR="00FA0773" w:rsidRPr="00FA0773" w14:paraId="405CFA2C" w14:textId="77777777" w:rsidTr="00FA0773">
        <w:trPr>
          <w:trHeight w:val="465"/>
        </w:trPr>
        <w:tc>
          <w:tcPr>
            <w:cnfStyle w:val="001000000000" w:firstRow="0" w:lastRow="0" w:firstColumn="1" w:lastColumn="0" w:oddVBand="0" w:evenVBand="0" w:oddHBand="0" w:evenHBand="0" w:firstRowFirstColumn="0" w:firstRowLastColumn="0" w:lastRowFirstColumn="0" w:lastRowLastColumn="0"/>
            <w:tcW w:w="4032" w:type="dxa"/>
            <w:shd w:val="clear" w:color="auto" w:fill="FCE1D9" w:themeFill="accent2" w:themeFillTint="33"/>
          </w:tcPr>
          <w:p w14:paraId="190C663D" w14:textId="77777777" w:rsidR="004B40E7" w:rsidRPr="00FA0773" w:rsidRDefault="004B40E7">
            <w:pPr>
              <w:spacing w:after="120"/>
              <w:rPr>
                <w:rFonts w:eastAsia="Calibri"/>
                <w:noProof/>
                <w:color w:val="245F95" w:themeColor="text2"/>
                <w:sz w:val="22"/>
                <w:szCs w:val="18"/>
              </w:rPr>
            </w:pPr>
            <w:r w:rsidRPr="00FA0773">
              <w:rPr>
                <w:rFonts w:eastAsia="Calibri"/>
                <w:noProof/>
                <w:color w:val="245F95" w:themeColor="text2"/>
                <w:sz w:val="22"/>
                <w:szCs w:val="18"/>
              </w:rPr>
              <w:t>Total</w:t>
            </w:r>
          </w:p>
        </w:tc>
        <w:tc>
          <w:tcPr>
            <w:tcW w:w="964" w:type="dxa"/>
            <w:shd w:val="clear" w:color="auto" w:fill="FCE1D9" w:themeFill="accent2" w:themeFillTint="33"/>
            <w:vAlign w:val="center"/>
          </w:tcPr>
          <w:p w14:paraId="1D8F5E4D" w14:textId="1ED7EA03" w:rsidR="004B40E7" w:rsidRPr="00FA0773" w:rsidRDefault="006643AB"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Pr>
                <w:rFonts w:eastAsia="Calibri"/>
                <w:b/>
                <w:bCs/>
                <w:noProof/>
                <w:color w:val="245F95" w:themeColor="text2"/>
                <w:sz w:val="22"/>
                <w:szCs w:val="18"/>
              </w:rPr>
              <w:t>5</w:t>
            </w:r>
            <w:r w:rsidR="004B40E7" w:rsidRPr="00FA0773">
              <w:rPr>
                <w:rFonts w:eastAsia="Calibri"/>
                <w:b/>
                <w:bCs/>
                <w:noProof/>
                <w:color w:val="245F95" w:themeColor="text2"/>
                <w:sz w:val="22"/>
                <w:szCs w:val="18"/>
              </w:rPr>
              <w:t>.</w:t>
            </w:r>
            <w:r w:rsidR="00A34EA8" w:rsidRPr="00FA0773">
              <w:rPr>
                <w:rFonts w:eastAsia="Calibri"/>
                <w:b/>
                <w:bCs/>
                <w:noProof/>
                <w:color w:val="245F95" w:themeColor="text2"/>
                <w:sz w:val="22"/>
                <w:szCs w:val="18"/>
              </w:rPr>
              <w:t>7</w:t>
            </w:r>
          </w:p>
        </w:tc>
        <w:tc>
          <w:tcPr>
            <w:tcW w:w="965" w:type="dxa"/>
            <w:shd w:val="clear" w:color="auto" w:fill="FCE1D9" w:themeFill="accent2" w:themeFillTint="33"/>
            <w:vAlign w:val="center"/>
          </w:tcPr>
          <w:p w14:paraId="202171FD" w14:textId="0C41E35C" w:rsidR="004B40E7" w:rsidRPr="00FA0773" w:rsidRDefault="00A34EA8"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sidRPr="00FA0773">
              <w:rPr>
                <w:rFonts w:eastAsia="Calibri"/>
                <w:b/>
                <w:bCs/>
                <w:noProof/>
                <w:color w:val="245F95" w:themeColor="text2"/>
                <w:sz w:val="22"/>
                <w:szCs w:val="18"/>
              </w:rPr>
              <w:t>1</w:t>
            </w:r>
            <w:r w:rsidR="006643AB">
              <w:rPr>
                <w:rFonts w:eastAsia="Calibri"/>
                <w:b/>
                <w:bCs/>
                <w:noProof/>
                <w:color w:val="245F95" w:themeColor="text2"/>
                <w:sz w:val="22"/>
                <w:szCs w:val="18"/>
              </w:rPr>
              <w:t>2</w:t>
            </w:r>
            <w:r w:rsidR="004B40E7" w:rsidRPr="00FA0773">
              <w:rPr>
                <w:rFonts w:eastAsia="Calibri"/>
                <w:b/>
                <w:bCs/>
                <w:noProof/>
                <w:color w:val="245F95" w:themeColor="text2"/>
                <w:sz w:val="22"/>
                <w:szCs w:val="18"/>
              </w:rPr>
              <w:t>.</w:t>
            </w:r>
            <w:r w:rsidR="006643AB">
              <w:rPr>
                <w:rFonts w:eastAsia="Calibri"/>
                <w:b/>
                <w:bCs/>
                <w:noProof/>
                <w:color w:val="245F95" w:themeColor="text2"/>
                <w:sz w:val="22"/>
                <w:szCs w:val="18"/>
              </w:rPr>
              <w:t>4</w:t>
            </w:r>
          </w:p>
        </w:tc>
        <w:tc>
          <w:tcPr>
            <w:tcW w:w="965" w:type="dxa"/>
            <w:shd w:val="clear" w:color="auto" w:fill="FCE1D9" w:themeFill="accent2" w:themeFillTint="33"/>
            <w:vAlign w:val="center"/>
          </w:tcPr>
          <w:p w14:paraId="3E1EAB5C" w14:textId="51DC5B8C" w:rsidR="004B40E7" w:rsidRPr="00FA0773" w:rsidRDefault="006643AB"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Pr>
                <w:rFonts w:eastAsia="Calibri"/>
                <w:b/>
                <w:bCs/>
                <w:noProof/>
                <w:color w:val="245F95" w:themeColor="text2"/>
                <w:sz w:val="22"/>
                <w:szCs w:val="18"/>
              </w:rPr>
              <w:t>4</w:t>
            </w:r>
            <w:r w:rsidR="004B40E7" w:rsidRPr="00FA0773">
              <w:rPr>
                <w:rFonts w:eastAsia="Calibri"/>
                <w:b/>
                <w:bCs/>
                <w:noProof/>
                <w:color w:val="245F95" w:themeColor="text2"/>
                <w:sz w:val="22"/>
                <w:szCs w:val="18"/>
              </w:rPr>
              <w:t>.</w:t>
            </w:r>
            <w:r>
              <w:rPr>
                <w:rFonts w:eastAsia="Calibri"/>
                <w:b/>
                <w:bCs/>
                <w:noProof/>
                <w:color w:val="245F95" w:themeColor="text2"/>
                <w:sz w:val="22"/>
                <w:szCs w:val="18"/>
              </w:rPr>
              <w:t>4</w:t>
            </w:r>
          </w:p>
        </w:tc>
        <w:tc>
          <w:tcPr>
            <w:tcW w:w="964" w:type="dxa"/>
            <w:shd w:val="clear" w:color="auto" w:fill="FCE1D9" w:themeFill="accent2" w:themeFillTint="33"/>
            <w:vAlign w:val="center"/>
          </w:tcPr>
          <w:p w14:paraId="39A0C7F5" w14:textId="0DB0FC21" w:rsidR="004B40E7" w:rsidRPr="00FA0773" w:rsidRDefault="00E06B8A"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sidRPr="00FA0773">
              <w:rPr>
                <w:rFonts w:eastAsia="Calibri"/>
                <w:b/>
                <w:bCs/>
                <w:noProof/>
                <w:color w:val="245F95" w:themeColor="text2"/>
                <w:sz w:val="22"/>
                <w:szCs w:val="18"/>
              </w:rPr>
              <w:t>1</w:t>
            </w:r>
            <w:r w:rsidR="004B40E7" w:rsidRPr="00FA0773">
              <w:rPr>
                <w:rFonts w:eastAsia="Calibri"/>
                <w:b/>
                <w:bCs/>
                <w:noProof/>
                <w:color w:val="245F95" w:themeColor="text2"/>
                <w:sz w:val="22"/>
                <w:szCs w:val="18"/>
              </w:rPr>
              <w:t>.</w:t>
            </w:r>
            <w:r w:rsidR="006643AB">
              <w:rPr>
                <w:rFonts w:eastAsia="Calibri"/>
                <w:b/>
                <w:bCs/>
                <w:noProof/>
                <w:color w:val="245F95" w:themeColor="text2"/>
                <w:sz w:val="22"/>
                <w:szCs w:val="18"/>
              </w:rPr>
              <w:t>3</w:t>
            </w:r>
          </w:p>
        </w:tc>
        <w:tc>
          <w:tcPr>
            <w:tcW w:w="965" w:type="dxa"/>
            <w:shd w:val="clear" w:color="auto" w:fill="FCE1D9" w:themeFill="accent2" w:themeFillTint="33"/>
            <w:vAlign w:val="center"/>
          </w:tcPr>
          <w:p w14:paraId="3083A14A" w14:textId="01E21C50" w:rsidR="004B40E7" w:rsidRPr="00FA0773" w:rsidRDefault="00E06B8A"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18"/>
              </w:rPr>
            </w:pPr>
            <w:r w:rsidRPr="00FA0773">
              <w:rPr>
                <w:rFonts w:eastAsia="Calibri"/>
                <w:b/>
                <w:bCs/>
                <w:noProof/>
                <w:color w:val="245F95" w:themeColor="text2"/>
                <w:sz w:val="22"/>
                <w:szCs w:val="18"/>
              </w:rPr>
              <w:t>0</w:t>
            </w:r>
            <w:r w:rsidR="00AF5D28" w:rsidRPr="00FA0773">
              <w:rPr>
                <w:rFonts w:eastAsia="Calibri"/>
                <w:b/>
                <w:bCs/>
                <w:noProof/>
                <w:color w:val="245F95" w:themeColor="text2"/>
                <w:sz w:val="22"/>
                <w:szCs w:val="18"/>
              </w:rPr>
              <w:t>.</w:t>
            </w:r>
            <w:r w:rsidRPr="00FA0773">
              <w:rPr>
                <w:rFonts w:eastAsia="Calibri"/>
                <w:b/>
                <w:bCs/>
                <w:noProof/>
                <w:color w:val="245F95" w:themeColor="text2"/>
                <w:sz w:val="22"/>
                <w:szCs w:val="18"/>
              </w:rPr>
              <w:t>4</w:t>
            </w:r>
          </w:p>
        </w:tc>
        <w:tc>
          <w:tcPr>
            <w:tcW w:w="965" w:type="dxa"/>
            <w:shd w:val="clear" w:color="auto" w:fill="FCE1D9" w:themeFill="accent2" w:themeFillTint="33"/>
            <w:vAlign w:val="center"/>
          </w:tcPr>
          <w:p w14:paraId="6823CC2E" w14:textId="59C5318A" w:rsidR="004B40E7" w:rsidRPr="00FA0773" w:rsidRDefault="00D6433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sidRPr="00FA0773">
              <w:rPr>
                <w:rFonts w:eastAsia="Calibri"/>
                <w:b/>
                <w:bCs/>
                <w:noProof/>
                <w:color w:val="245F95" w:themeColor="text2"/>
                <w:sz w:val="22"/>
                <w:szCs w:val="18"/>
              </w:rPr>
              <w:t>2</w:t>
            </w:r>
            <w:r w:rsidR="006643AB">
              <w:rPr>
                <w:rFonts w:eastAsia="Calibri"/>
                <w:b/>
                <w:bCs/>
                <w:noProof/>
                <w:color w:val="245F95" w:themeColor="text2"/>
                <w:sz w:val="22"/>
                <w:szCs w:val="18"/>
              </w:rPr>
              <w:t>4</w:t>
            </w:r>
            <w:r w:rsidR="004B40E7" w:rsidRPr="00FA0773">
              <w:rPr>
                <w:rFonts w:eastAsia="Calibri"/>
                <w:b/>
                <w:bCs/>
                <w:noProof/>
                <w:color w:val="245F95" w:themeColor="text2"/>
                <w:sz w:val="22"/>
                <w:szCs w:val="18"/>
              </w:rPr>
              <w:t>.</w:t>
            </w:r>
            <w:r w:rsidRPr="00FA0773">
              <w:rPr>
                <w:rFonts w:eastAsia="Calibri"/>
                <w:b/>
                <w:bCs/>
                <w:noProof/>
                <w:color w:val="245F95" w:themeColor="text2"/>
                <w:sz w:val="22"/>
                <w:szCs w:val="18"/>
              </w:rPr>
              <w:t>3</w:t>
            </w:r>
          </w:p>
        </w:tc>
      </w:tr>
    </w:tbl>
    <w:p w14:paraId="50BEDDEC" w14:textId="77777777" w:rsidR="00861C1C" w:rsidRPr="00682537" w:rsidRDefault="003B6DC2" w:rsidP="00682537">
      <w:pPr>
        <w:rPr>
          <w:noProof/>
        </w:rPr>
      </w:pPr>
      <w:r w:rsidRPr="00682537">
        <w:rPr>
          <w:noProof/>
        </w:rPr>
        <w:br w:type="page"/>
      </w:r>
    </w:p>
    <w:p w14:paraId="45547C87" w14:textId="7103CFAC" w:rsidR="00861C1C" w:rsidRPr="00390EB1" w:rsidRDefault="2A67BF04" w:rsidP="009C6708">
      <w:pPr>
        <w:pStyle w:val="Heading2"/>
        <w:rPr>
          <w:noProof/>
        </w:rPr>
      </w:pPr>
      <w:bookmarkStart w:id="79" w:name="_Toc167194521"/>
      <w:r w:rsidRPr="00390EB1">
        <w:rPr>
          <w:noProof/>
        </w:rPr>
        <w:t xml:space="preserve">Table 2 – Forecast </w:t>
      </w:r>
      <w:r w:rsidR="00E104DE">
        <w:rPr>
          <w:noProof/>
        </w:rPr>
        <w:t>decommitments</w:t>
      </w:r>
      <w:r w:rsidR="61DE3F31" w:rsidRPr="00390EB1">
        <w:rPr>
          <w:noProof/>
        </w:rPr>
        <w:t xml:space="preserve"> 202</w:t>
      </w:r>
      <w:r w:rsidR="000C3FEB">
        <w:rPr>
          <w:noProof/>
        </w:rPr>
        <w:t>5</w:t>
      </w:r>
      <w:r w:rsidR="61DE3F31" w:rsidRPr="00390EB1">
        <w:rPr>
          <w:noProof/>
        </w:rPr>
        <w:t>-2027</w:t>
      </w:r>
      <w:bookmarkEnd w:id="79"/>
    </w:p>
    <w:tbl>
      <w:tblPr>
        <w:tblStyle w:val="AMPR2021"/>
        <w:tblW w:w="0" w:type="auto"/>
        <w:tblBorders>
          <w:top w:val="none" w:sz="0" w:space="0" w:color="auto"/>
          <w:insideH w:val="single" w:sz="6" w:space="0" w:color="BFBFBF" w:themeColor="background1" w:themeShade="BF"/>
          <w:insideV w:val="single" w:sz="6" w:space="0" w:color="BFBFBF" w:themeColor="background1" w:themeShade="BF"/>
        </w:tblBorders>
        <w:tblLayout w:type="fixed"/>
        <w:tblLook w:val="06A0" w:firstRow="1" w:lastRow="0" w:firstColumn="1" w:lastColumn="0" w:noHBand="1" w:noVBand="1"/>
      </w:tblPr>
      <w:tblGrid>
        <w:gridCol w:w="5102"/>
        <w:gridCol w:w="1529"/>
        <w:gridCol w:w="1559"/>
        <w:gridCol w:w="1559"/>
      </w:tblGrid>
      <w:tr w:rsidR="00861C1C" w:rsidRPr="007130AF" w14:paraId="0C5AD426" w14:textId="77777777" w:rsidTr="00CD66D5">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102" w:type="dxa"/>
          </w:tcPr>
          <w:p w14:paraId="553A200F" w14:textId="77777777" w:rsidR="00861C1C" w:rsidRPr="007130AF" w:rsidRDefault="003B6DC2">
            <w:pPr>
              <w:rPr>
                <w:rFonts w:eastAsia="Calibri"/>
                <w:b w:val="0"/>
                <w:bCs/>
                <w:noProof/>
                <w:sz w:val="22"/>
                <w:szCs w:val="22"/>
              </w:rPr>
            </w:pPr>
            <w:r w:rsidRPr="007130AF">
              <w:rPr>
                <w:rFonts w:eastAsia="Calibri"/>
                <w:noProof/>
                <w:sz w:val="22"/>
                <w:szCs w:val="22"/>
              </w:rPr>
              <w:t>MFF Heading</w:t>
            </w:r>
          </w:p>
        </w:tc>
        <w:tc>
          <w:tcPr>
            <w:tcW w:w="1529" w:type="dxa"/>
          </w:tcPr>
          <w:p w14:paraId="31ECB132" w14:textId="77777777" w:rsidR="00861C1C" w:rsidRPr="007130AF" w:rsidRDefault="003B6DC2">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22"/>
              </w:rPr>
            </w:pPr>
            <w:r w:rsidRPr="007130AF">
              <w:rPr>
                <w:rFonts w:eastAsia="Calibri"/>
                <w:noProof/>
                <w:sz w:val="22"/>
                <w:szCs w:val="22"/>
              </w:rPr>
              <w:t>Completion</w:t>
            </w:r>
          </w:p>
        </w:tc>
        <w:tc>
          <w:tcPr>
            <w:tcW w:w="1559" w:type="dxa"/>
          </w:tcPr>
          <w:p w14:paraId="6056AB85" w14:textId="77777777" w:rsidR="00861C1C" w:rsidRPr="007130AF" w:rsidRDefault="003B6DC2">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22"/>
              </w:rPr>
            </w:pPr>
            <w:r w:rsidRPr="007130AF">
              <w:rPr>
                <w:rFonts w:eastAsia="Calibri"/>
                <w:noProof/>
                <w:sz w:val="22"/>
                <w:szCs w:val="22"/>
              </w:rPr>
              <w:t>MFF</w:t>
            </w:r>
          </w:p>
        </w:tc>
        <w:tc>
          <w:tcPr>
            <w:tcW w:w="1559" w:type="dxa"/>
          </w:tcPr>
          <w:p w14:paraId="77FEFDC8" w14:textId="77777777" w:rsidR="00861C1C" w:rsidRPr="007130AF" w:rsidRDefault="003B6DC2">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22"/>
              </w:rPr>
            </w:pPr>
            <w:r w:rsidRPr="007130AF">
              <w:rPr>
                <w:rFonts w:eastAsia="Calibri"/>
                <w:noProof/>
                <w:sz w:val="22"/>
                <w:szCs w:val="22"/>
              </w:rPr>
              <w:t>Total</w:t>
            </w:r>
          </w:p>
        </w:tc>
      </w:tr>
      <w:tr w:rsidR="00CD66D5" w:rsidRPr="007130AF" w14:paraId="29CAC9CD"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13897E43" w14:textId="77777777" w:rsidR="00861C1C" w:rsidRPr="007130AF" w:rsidRDefault="003B6DC2">
            <w:pPr>
              <w:spacing w:after="120"/>
              <w:rPr>
                <w:rFonts w:eastAsia="Calibri"/>
                <w:b w:val="0"/>
                <w:bCs/>
                <w:noProof/>
                <w:color w:val="245F95" w:themeColor="text2"/>
                <w:sz w:val="22"/>
                <w:szCs w:val="22"/>
              </w:rPr>
            </w:pPr>
            <w:r w:rsidRPr="007130AF">
              <w:rPr>
                <w:rFonts w:eastAsia="Calibri"/>
                <w:noProof/>
                <w:color w:val="245F95" w:themeColor="text2"/>
                <w:sz w:val="22"/>
                <w:szCs w:val="22"/>
              </w:rPr>
              <w:t>1 Single Market, Innovation and Digital</w:t>
            </w:r>
          </w:p>
        </w:tc>
        <w:tc>
          <w:tcPr>
            <w:tcW w:w="1529" w:type="dxa"/>
            <w:vAlign w:val="center"/>
          </w:tcPr>
          <w:p w14:paraId="1CBD9C9F" w14:textId="7D0A53C5" w:rsidR="00861C1C" w:rsidRPr="007130AF" w:rsidRDefault="489EC7FC"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7130AF">
              <w:rPr>
                <w:rFonts w:eastAsia="Calibri"/>
                <w:noProof/>
                <w:color w:val="000000" w:themeColor="text1"/>
                <w:sz w:val="22"/>
                <w:szCs w:val="22"/>
              </w:rPr>
              <w:t>0.</w:t>
            </w:r>
            <w:r w:rsidR="009E36C8">
              <w:rPr>
                <w:rFonts w:eastAsia="Calibri"/>
                <w:noProof/>
                <w:color w:val="000000" w:themeColor="text1"/>
                <w:sz w:val="22"/>
                <w:szCs w:val="22"/>
              </w:rPr>
              <w:t>5</w:t>
            </w:r>
          </w:p>
        </w:tc>
        <w:tc>
          <w:tcPr>
            <w:tcW w:w="1559" w:type="dxa"/>
            <w:vAlign w:val="center"/>
          </w:tcPr>
          <w:p w14:paraId="312E2FCB" w14:textId="3142F02D" w:rsidR="00861C1C" w:rsidRPr="007130AF" w:rsidRDefault="00FD70A5"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7130AF">
              <w:rPr>
                <w:rFonts w:eastAsia="Calibri"/>
                <w:noProof/>
                <w:color w:val="000000" w:themeColor="text1"/>
                <w:sz w:val="22"/>
                <w:szCs w:val="22"/>
              </w:rPr>
              <w:t>0</w:t>
            </w:r>
            <w:r w:rsidR="6375D7F3" w:rsidRPr="007130AF">
              <w:rPr>
                <w:rFonts w:eastAsia="Calibri"/>
                <w:noProof/>
                <w:color w:val="000000" w:themeColor="text1"/>
                <w:sz w:val="22"/>
                <w:szCs w:val="22"/>
              </w:rPr>
              <w:t>.</w:t>
            </w:r>
            <w:r w:rsidR="00646C49" w:rsidRPr="007130AF">
              <w:rPr>
                <w:rFonts w:eastAsia="Calibri"/>
                <w:noProof/>
                <w:color w:val="000000" w:themeColor="text1"/>
                <w:sz w:val="22"/>
                <w:szCs w:val="22"/>
              </w:rPr>
              <w:t>7</w:t>
            </w:r>
          </w:p>
        </w:tc>
        <w:tc>
          <w:tcPr>
            <w:tcW w:w="1559" w:type="dxa"/>
            <w:vAlign w:val="center"/>
          </w:tcPr>
          <w:p w14:paraId="53EC42C8" w14:textId="00D73E41" w:rsidR="00861C1C" w:rsidRPr="007130AF" w:rsidRDefault="00FD70A5"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sidRPr="007130AF">
              <w:rPr>
                <w:rFonts w:eastAsia="Calibri"/>
                <w:b/>
                <w:bCs/>
                <w:noProof/>
                <w:color w:val="245F95" w:themeColor="text2"/>
                <w:sz w:val="22"/>
                <w:szCs w:val="22"/>
              </w:rPr>
              <w:t>1</w:t>
            </w:r>
            <w:r w:rsidR="489EC7FC" w:rsidRPr="007130AF">
              <w:rPr>
                <w:rFonts w:eastAsia="Calibri"/>
                <w:b/>
                <w:bCs/>
                <w:noProof/>
                <w:color w:val="245F95" w:themeColor="text2"/>
                <w:sz w:val="22"/>
                <w:szCs w:val="22"/>
              </w:rPr>
              <w:t>.</w:t>
            </w:r>
            <w:r w:rsidR="00646C49" w:rsidRPr="007130AF">
              <w:rPr>
                <w:rFonts w:eastAsia="Calibri"/>
                <w:b/>
                <w:bCs/>
                <w:noProof/>
                <w:color w:val="245F95" w:themeColor="text2"/>
                <w:sz w:val="22"/>
                <w:szCs w:val="22"/>
              </w:rPr>
              <w:t>1</w:t>
            </w:r>
          </w:p>
        </w:tc>
      </w:tr>
      <w:tr w:rsidR="00CD66D5" w:rsidRPr="007130AF" w14:paraId="0B3921F3"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63AC7A76" w14:textId="77777777" w:rsidR="00861C1C" w:rsidRPr="007130AF" w:rsidRDefault="003B6DC2">
            <w:pPr>
              <w:spacing w:after="120"/>
              <w:rPr>
                <w:rFonts w:eastAsia="Calibri"/>
                <w:b w:val="0"/>
                <w:bCs/>
                <w:noProof/>
                <w:color w:val="245F95" w:themeColor="text2"/>
                <w:sz w:val="22"/>
                <w:szCs w:val="22"/>
              </w:rPr>
            </w:pPr>
            <w:r w:rsidRPr="007130AF">
              <w:rPr>
                <w:rFonts w:eastAsia="Calibri"/>
                <w:noProof/>
                <w:color w:val="245F95" w:themeColor="text2"/>
                <w:sz w:val="22"/>
                <w:szCs w:val="22"/>
              </w:rPr>
              <w:t>2 Cohesion, Resilience and Values</w:t>
            </w:r>
          </w:p>
        </w:tc>
        <w:tc>
          <w:tcPr>
            <w:tcW w:w="1529" w:type="dxa"/>
            <w:vAlign w:val="center"/>
          </w:tcPr>
          <w:p w14:paraId="6AE2FB86" w14:textId="51F56249" w:rsidR="00861C1C" w:rsidRPr="007130AF" w:rsidRDefault="00C60750"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7130AF">
              <w:rPr>
                <w:rFonts w:eastAsia="Calibri"/>
                <w:noProof/>
                <w:color w:val="000000" w:themeColor="text1"/>
                <w:sz w:val="22"/>
                <w:szCs w:val="22"/>
              </w:rPr>
              <w:t>1</w:t>
            </w:r>
            <w:r w:rsidR="4309F860" w:rsidRPr="007130AF">
              <w:rPr>
                <w:rFonts w:eastAsia="Calibri"/>
                <w:noProof/>
                <w:color w:val="000000" w:themeColor="text1"/>
                <w:sz w:val="22"/>
                <w:szCs w:val="22"/>
              </w:rPr>
              <w:t>.</w:t>
            </w:r>
            <w:r w:rsidR="006C2BD3">
              <w:rPr>
                <w:rFonts w:eastAsia="Calibri"/>
                <w:noProof/>
                <w:color w:val="000000" w:themeColor="text1"/>
                <w:sz w:val="22"/>
                <w:szCs w:val="22"/>
              </w:rPr>
              <w:t>2</w:t>
            </w:r>
          </w:p>
        </w:tc>
        <w:tc>
          <w:tcPr>
            <w:tcW w:w="1559" w:type="dxa"/>
            <w:vAlign w:val="center"/>
          </w:tcPr>
          <w:p w14:paraId="20D82AC9" w14:textId="5B75A5B1" w:rsidR="00861C1C" w:rsidRPr="007130AF" w:rsidRDefault="003F5E38"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7130AF">
              <w:rPr>
                <w:rFonts w:eastAsia="Calibri"/>
                <w:noProof/>
                <w:color w:val="000000" w:themeColor="text1"/>
                <w:sz w:val="22"/>
                <w:szCs w:val="22"/>
              </w:rPr>
              <w:t>3</w:t>
            </w:r>
            <w:r w:rsidR="6375D7F3" w:rsidRPr="007130AF">
              <w:rPr>
                <w:rFonts w:eastAsia="Calibri"/>
                <w:noProof/>
                <w:color w:val="000000" w:themeColor="text1"/>
                <w:sz w:val="22"/>
                <w:szCs w:val="22"/>
              </w:rPr>
              <w:t>.</w:t>
            </w:r>
            <w:r w:rsidR="003F0005" w:rsidRPr="007130AF">
              <w:rPr>
                <w:rFonts w:eastAsia="Calibri"/>
                <w:noProof/>
                <w:color w:val="000000" w:themeColor="text1"/>
                <w:sz w:val="22"/>
                <w:szCs w:val="22"/>
              </w:rPr>
              <w:t>1</w:t>
            </w:r>
          </w:p>
        </w:tc>
        <w:tc>
          <w:tcPr>
            <w:tcW w:w="1559" w:type="dxa"/>
            <w:vAlign w:val="center"/>
          </w:tcPr>
          <w:p w14:paraId="1FEE121A" w14:textId="4DC85F43" w:rsidR="00861C1C" w:rsidRPr="007130AF" w:rsidRDefault="003F5E38"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sidRPr="007130AF">
              <w:rPr>
                <w:rFonts w:eastAsia="Calibri"/>
                <w:b/>
                <w:bCs/>
                <w:noProof/>
                <w:color w:val="245F95" w:themeColor="text2"/>
                <w:sz w:val="22"/>
                <w:szCs w:val="22"/>
              </w:rPr>
              <w:t>4</w:t>
            </w:r>
            <w:r w:rsidR="2F82D95D" w:rsidRPr="007130AF">
              <w:rPr>
                <w:rFonts w:eastAsia="Calibri"/>
                <w:b/>
                <w:bCs/>
                <w:noProof/>
                <w:color w:val="245F95" w:themeColor="text2"/>
                <w:sz w:val="22"/>
                <w:szCs w:val="22"/>
              </w:rPr>
              <w:t>.</w:t>
            </w:r>
            <w:r w:rsidR="006C2BD3">
              <w:rPr>
                <w:rFonts w:eastAsia="Calibri"/>
                <w:b/>
                <w:bCs/>
                <w:noProof/>
                <w:color w:val="245F95" w:themeColor="text2"/>
                <w:sz w:val="22"/>
                <w:szCs w:val="22"/>
              </w:rPr>
              <w:t>3</w:t>
            </w:r>
          </w:p>
        </w:tc>
      </w:tr>
      <w:tr w:rsidR="00CD66D5" w:rsidRPr="007130AF" w14:paraId="321D33B5"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29D82B17" w14:textId="77777777" w:rsidR="00861C1C" w:rsidRPr="007130AF" w:rsidRDefault="2A67BF04" w:rsidP="00CD66D5">
            <w:pPr>
              <w:spacing w:after="120"/>
              <w:ind w:left="170"/>
              <w:rPr>
                <w:rFonts w:eastAsia="Calibri"/>
                <w:b w:val="0"/>
                <w:bCs/>
                <w:noProof/>
                <w:color w:val="245F95" w:themeColor="text2"/>
                <w:sz w:val="22"/>
                <w:szCs w:val="22"/>
              </w:rPr>
            </w:pPr>
            <w:r w:rsidRPr="007130AF">
              <w:rPr>
                <w:rFonts w:eastAsia="Calibri"/>
                <w:b w:val="0"/>
                <w:bCs/>
                <w:noProof/>
                <w:color w:val="245F95" w:themeColor="text2"/>
                <w:sz w:val="22"/>
                <w:szCs w:val="22"/>
              </w:rPr>
              <w:t>2.1 Economic, Social and territorial cohesion</w:t>
            </w:r>
          </w:p>
        </w:tc>
        <w:tc>
          <w:tcPr>
            <w:tcW w:w="1529" w:type="dxa"/>
            <w:vAlign w:val="center"/>
          </w:tcPr>
          <w:p w14:paraId="64F9D397" w14:textId="44133ADD" w:rsidR="00861C1C" w:rsidRPr="007130AF" w:rsidRDefault="00147D5C" w:rsidP="2EBD885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000000" w:themeColor="text1"/>
                <w:sz w:val="22"/>
                <w:szCs w:val="22"/>
              </w:rPr>
            </w:pPr>
            <w:r>
              <w:rPr>
                <w:rFonts w:eastAsia="Calibri"/>
                <w:bCs/>
                <w:noProof/>
                <w:color w:val="000000" w:themeColor="text1"/>
                <w:sz w:val="22"/>
                <w:szCs w:val="22"/>
              </w:rPr>
              <w:t>1</w:t>
            </w:r>
            <w:r w:rsidR="777A3B24" w:rsidRPr="007130AF">
              <w:rPr>
                <w:rFonts w:eastAsia="Calibri"/>
                <w:bCs/>
                <w:noProof/>
                <w:color w:val="000000" w:themeColor="text1"/>
                <w:sz w:val="22"/>
                <w:szCs w:val="22"/>
              </w:rPr>
              <w:t>.</w:t>
            </w:r>
            <w:r>
              <w:rPr>
                <w:rFonts w:eastAsia="Calibri"/>
                <w:bCs/>
                <w:noProof/>
                <w:color w:val="000000" w:themeColor="text1"/>
                <w:sz w:val="22"/>
                <w:szCs w:val="22"/>
              </w:rPr>
              <w:t>0</w:t>
            </w:r>
          </w:p>
        </w:tc>
        <w:tc>
          <w:tcPr>
            <w:tcW w:w="1559" w:type="dxa"/>
            <w:vAlign w:val="center"/>
          </w:tcPr>
          <w:p w14:paraId="5F373792" w14:textId="07CB1350" w:rsidR="00861C1C" w:rsidRPr="007130AF" w:rsidRDefault="2F82D95D"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000000" w:themeColor="text1"/>
                <w:sz w:val="22"/>
                <w:szCs w:val="22"/>
              </w:rPr>
            </w:pPr>
            <w:r w:rsidRPr="007130AF">
              <w:rPr>
                <w:rFonts w:eastAsia="Calibri"/>
                <w:bCs/>
                <w:noProof/>
                <w:color w:val="000000" w:themeColor="text1"/>
                <w:sz w:val="22"/>
                <w:szCs w:val="22"/>
              </w:rPr>
              <w:t>2</w:t>
            </w:r>
            <w:r w:rsidR="414BBE21" w:rsidRPr="007130AF">
              <w:rPr>
                <w:rFonts w:eastAsia="Calibri"/>
                <w:bCs/>
                <w:noProof/>
                <w:color w:val="000000" w:themeColor="text1"/>
                <w:sz w:val="22"/>
                <w:szCs w:val="22"/>
              </w:rPr>
              <w:t>.</w:t>
            </w:r>
            <w:r w:rsidR="004E3A55" w:rsidRPr="007130AF">
              <w:rPr>
                <w:rFonts w:eastAsia="Calibri"/>
                <w:bCs/>
                <w:noProof/>
                <w:color w:val="000000" w:themeColor="text1"/>
                <w:sz w:val="22"/>
                <w:szCs w:val="22"/>
              </w:rPr>
              <w:t>7</w:t>
            </w:r>
          </w:p>
        </w:tc>
        <w:tc>
          <w:tcPr>
            <w:tcW w:w="1559" w:type="dxa"/>
            <w:vAlign w:val="center"/>
          </w:tcPr>
          <w:p w14:paraId="645BD592" w14:textId="30C6046E" w:rsidR="00861C1C" w:rsidRPr="007130AF" w:rsidRDefault="00C60750"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245F95" w:themeColor="text2"/>
                <w:sz w:val="22"/>
                <w:szCs w:val="22"/>
              </w:rPr>
            </w:pPr>
            <w:r w:rsidRPr="007130AF">
              <w:rPr>
                <w:rFonts w:eastAsia="Calibri"/>
                <w:bCs/>
                <w:noProof/>
                <w:color w:val="245F95" w:themeColor="text2"/>
                <w:sz w:val="22"/>
                <w:szCs w:val="22"/>
              </w:rPr>
              <w:t>3</w:t>
            </w:r>
            <w:r w:rsidR="414BBE21" w:rsidRPr="007130AF">
              <w:rPr>
                <w:rFonts w:eastAsia="Calibri"/>
                <w:bCs/>
                <w:noProof/>
                <w:color w:val="245F95" w:themeColor="text2"/>
                <w:sz w:val="22"/>
                <w:szCs w:val="22"/>
              </w:rPr>
              <w:t>.</w:t>
            </w:r>
            <w:r w:rsidR="00147D5C">
              <w:rPr>
                <w:rFonts w:eastAsia="Calibri"/>
                <w:bCs/>
                <w:noProof/>
                <w:color w:val="245F95" w:themeColor="text2"/>
                <w:sz w:val="22"/>
                <w:szCs w:val="22"/>
              </w:rPr>
              <w:t>7</w:t>
            </w:r>
          </w:p>
        </w:tc>
      </w:tr>
      <w:tr w:rsidR="00CD66D5" w:rsidRPr="007130AF" w14:paraId="25BD1C8E"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25556F49" w14:textId="77777777" w:rsidR="00861C1C" w:rsidRPr="007130AF" w:rsidRDefault="003B6DC2" w:rsidP="00CD66D5">
            <w:pPr>
              <w:spacing w:after="120"/>
              <w:ind w:left="170"/>
              <w:rPr>
                <w:rFonts w:eastAsia="Calibri"/>
                <w:b w:val="0"/>
                <w:bCs/>
                <w:noProof/>
                <w:color w:val="245F95" w:themeColor="text2"/>
                <w:sz w:val="22"/>
                <w:szCs w:val="22"/>
              </w:rPr>
            </w:pPr>
            <w:r w:rsidRPr="007130AF">
              <w:rPr>
                <w:rFonts w:eastAsia="Calibri"/>
                <w:b w:val="0"/>
                <w:bCs/>
                <w:noProof/>
                <w:color w:val="245F95" w:themeColor="text2"/>
                <w:sz w:val="22"/>
                <w:szCs w:val="22"/>
              </w:rPr>
              <w:t>2.2 Resilience and Values</w:t>
            </w:r>
          </w:p>
        </w:tc>
        <w:tc>
          <w:tcPr>
            <w:tcW w:w="1529" w:type="dxa"/>
            <w:vAlign w:val="center"/>
          </w:tcPr>
          <w:p w14:paraId="599B16C3" w14:textId="71AE00C4" w:rsidR="00861C1C" w:rsidRPr="007130AF" w:rsidRDefault="66545B3C"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000000" w:themeColor="text1"/>
                <w:sz w:val="22"/>
                <w:szCs w:val="22"/>
              </w:rPr>
            </w:pPr>
            <w:r w:rsidRPr="007130AF">
              <w:rPr>
                <w:rFonts w:eastAsia="Calibri"/>
                <w:bCs/>
                <w:noProof/>
                <w:color w:val="000000" w:themeColor="text1"/>
                <w:sz w:val="22"/>
                <w:szCs w:val="22"/>
              </w:rPr>
              <w:t>0.2</w:t>
            </w:r>
          </w:p>
        </w:tc>
        <w:tc>
          <w:tcPr>
            <w:tcW w:w="1559" w:type="dxa"/>
            <w:vAlign w:val="center"/>
          </w:tcPr>
          <w:p w14:paraId="2DC52F7A" w14:textId="37A4C920" w:rsidR="00861C1C" w:rsidRPr="007130AF" w:rsidRDefault="6375D7F3"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000000" w:themeColor="text1"/>
                <w:sz w:val="22"/>
                <w:szCs w:val="22"/>
              </w:rPr>
            </w:pPr>
            <w:r w:rsidRPr="007130AF">
              <w:rPr>
                <w:rFonts w:eastAsia="Calibri"/>
                <w:bCs/>
                <w:noProof/>
                <w:color w:val="000000" w:themeColor="text1"/>
                <w:sz w:val="22"/>
                <w:szCs w:val="22"/>
              </w:rPr>
              <w:t>0.</w:t>
            </w:r>
            <w:r w:rsidR="00147D5C">
              <w:rPr>
                <w:rFonts w:eastAsia="Calibri"/>
                <w:bCs/>
                <w:noProof/>
                <w:color w:val="000000" w:themeColor="text1"/>
                <w:sz w:val="22"/>
                <w:szCs w:val="22"/>
              </w:rPr>
              <w:t>4</w:t>
            </w:r>
          </w:p>
        </w:tc>
        <w:tc>
          <w:tcPr>
            <w:tcW w:w="1559" w:type="dxa"/>
            <w:vAlign w:val="center"/>
          </w:tcPr>
          <w:p w14:paraId="00BB1FBC" w14:textId="157560C0" w:rsidR="00861C1C" w:rsidRPr="007130AF" w:rsidRDefault="6375D7F3"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245F95" w:themeColor="text2"/>
                <w:sz w:val="22"/>
                <w:szCs w:val="22"/>
              </w:rPr>
            </w:pPr>
            <w:r w:rsidRPr="007130AF">
              <w:rPr>
                <w:rFonts w:eastAsia="Calibri"/>
                <w:bCs/>
                <w:noProof/>
                <w:color w:val="245F95" w:themeColor="text2"/>
                <w:sz w:val="22"/>
                <w:szCs w:val="22"/>
              </w:rPr>
              <w:t>0.</w:t>
            </w:r>
            <w:r w:rsidR="00F27703" w:rsidRPr="007130AF">
              <w:rPr>
                <w:rFonts w:eastAsia="Calibri"/>
                <w:bCs/>
                <w:noProof/>
                <w:color w:val="245F95" w:themeColor="text2"/>
                <w:sz w:val="22"/>
                <w:szCs w:val="22"/>
              </w:rPr>
              <w:t>5</w:t>
            </w:r>
          </w:p>
        </w:tc>
      </w:tr>
      <w:tr w:rsidR="00CD66D5" w:rsidRPr="007130AF" w14:paraId="2589BF42"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62FD4256" w14:textId="77777777" w:rsidR="00861C1C" w:rsidRPr="007130AF" w:rsidRDefault="003B6DC2">
            <w:pPr>
              <w:spacing w:after="120"/>
              <w:rPr>
                <w:rFonts w:eastAsia="Calibri"/>
                <w:b w:val="0"/>
                <w:bCs/>
                <w:noProof/>
                <w:color w:val="245F95" w:themeColor="text2"/>
                <w:sz w:val="22"/>
                <w:szCs w:val="22"/>
              </w:rPr>
            </w:pPr>
            <w:r w:rsidRPr="007130AF">
              <w:rPr>
                <w:rFonts w:eastAsia="Calibri"/>
                <w:noProof/>
                <w:color w:val="245F95" w:themeColor="text2"/>
                <w:sz w:val="22"/>
                <w:szCs w:val="22"/>
              </w:rPr>
              <w:t>3 Natural Resources and Environment</w:t>
            </w:r>
          </w:p>
        </w:tc>
        <w:tc>
          <w:tcPr>
            <w:tcW w:w="1529" w:type="dxa"/>
            <w:vAlign w:val="center"/>
          </w:tcPr>
          <w:p w14:paraId="28E6BEEA" w14:textId="451E80EE" w:rsidR="00861C1C" w:rsidRPr="007130AF" w:rsidRDefault="007C197E"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7130AF">
              <w:rPr>
                <w:rFonts w:eastAsia="Calibri"/>
                <w:noProof/>
                <w:color w:val="000000" w:themeColor="text1"/>
                <w:sz w:val="22"/>
                <w:szCs w:val="22"/>
              </w:rPr>
              <w:t>2.7</w:t>
            </w:r>
          </w:p>
        </w:tc>
        <w:tc>
          <w:tcPr>
            <w:tcW w:w="1559" w:type="dxa"/>
            <w:vAlign w:val="center"/>
          </w:tcPr>
          <w:p w14:paraId="3736D4C0" w14:textId="3E44FB29" w:rsidR="00861C1C" w:rsidRPr="007130AF" w:rsidRDefault="55E43B5C" w:rsidP="7A10ECD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7130AF">
              <w:rPr>
                <w:rFonts w:eastAsia="Calibri"/>
                <w:noProof/>
                <w:color w:val="000000" w:themeColor="text1"/>
                <w:sz w:val="22"/>
                <w:szCs w:val="22"/>
              </w:rPr>
              <w:t>0.</w:t>
            </w:r>
            <w:r w:rsidR="00901AD8" w:rsidRPr="007130AF">
              <w:rPr>
                <w:rFonts w:eastAsia="Calibri"/>
                <w:noProof/>
                <w:color w:val="000000" w:themeColor="text1"/>
                <w:sz w:val="22"/>
                <w:szCs w:val="22"/>
              </w:rPr>
              <w:t>1</w:t>
            </w:r>
          </w:p>
        </w:tc>
        <w:tc>
          <w:tcPr>
            <w:tcW w:w="1559" w:type="dxa"/>
            <w:vAlign w:val="center"/>
          </w:tcPr>
          <w:p w14:paraId="4D8C9700" w14:textId="194A0399" w:rsidR="00861C1C" w:rsidRPr="007130AF" w:rsidRDefault="00901AD8"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sidRPr="007130AF">
              <w:rPr>
                <w:rFonts w:eastAsia="Calibri"/>
                <w:b/>
                <w:bCs/>
                <w:noProof/>
                <w:color w:val="245F95" w:themeColor="text2"/>
                <w:sz w:val="22"/>
                <w:szCs w:val="22"/>
              </w:rPr>
              <w:t>2</w:t>
            </w:r>
            <w:r w:rsidR="0389906F" w:rsidRPr="007130AF">
              <w:rPr>
                <w:rFonts w:eastAsia="Calibri"/>
                <w:b/>
                <w:bCs/>
                <w:noProof/>
                <w:color w:val="245F95" w:themeColor="text2"/>
                <w:sz w:val="22"/>
                <w:szCs w:val="22"/>
              </w:rPr>
              <w:t>.</w:t>
            </w:r>
            <w:r w:rsidRPr="007130AF">
              <w:rPr>
                <w:rFonts w:eastAsia="Calibri"/>
                <w:b/>
                <w:bCs/>
                <w:noProof/>
                <w:color w:val="245F95" w:themeColor="text2"/>
                <w:sz w:val="22"/>
                <w:szCs w:val="22"/>
              </w:rPr>
              <w:t>7</w:t>
            </w:r>
          </w:p>
        </w:tc>
      </w:tr>
      <w:tr w:rsidR="00CD66D5" w:rsidRPr="007130AF" w14:paraId="0F5177EB"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307AFBCD" w14:textId="77777777" w:rsidR="00861C1C" w:rsidRPr="007130AF" w:rsidRDefault="003B6DC2" w:rsidP="00CD66D5">
            <w:pPr>
              <w:spacing w:after="120"/>
              <w:ind w:left="170"/>
              <w:rPr>
                <w:rFonts w:eastAsia="Calibri"/>
                <w:b w:val="0"/>
                <w:bCs/>
                <w:noProof/>
                <w:color w:val="245F95" w:themeColor="text2"/>
                <w:sz w:val="22"/>
                <w:szCs w:val="22"/>
              </w:rPr>
            </w:pPr>
            <w:r w:rsidRPr="007130AF">
              <w:rPr>
                <w:rFonts w:eastAsia="Calibri"/>
                <w:b w:val="0"/>
                <w:bCs/>
                <w:noProof/>
                <w:color w:val="245F95" w:themeColor="text2"/>
                <w:sz w:val="22"/>
                <w:szCs w:val="22"/>
              </w:rPr>
              <w:t>3.2 Other programmes of Natural Resources and Environment</w:t>
            </w:r>
          </w:p>
        </w:tc>
        <w:tc>
          <w:tcPr>
            <w:tcW w:w="1529" w:type="dxa"/>
            <w:vAlign w:val="center"/>
          </w:tcPr>
          <w:p w14:paraId="791AC37B" w14:textId="077DAB5F" w:rsidR="00861C1C" w:rsidRPr="007130AF" w:rsidRDefault="00A46D5B"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000000" w:themeColor="text1"/>
                <w:sz w:val="22"/>
                <w:szCs w:val="22"/>
              </w:rPr>
            </w:pPr>
            <w:r w:rsidRPr="007130AF">
              <w:rPr>
                <w:rFonts w:eastAsia="Calibri"/>
                <w:bCs/>
                <w:noProof/>
                <w:color w:val="000000" w:themeColor="text1"/>
                <w:sz w:val="22"/>
                <w:szCs w:val="22"/>
              </w:rPr>
              <w:t>2</w:t>
            </w:r>
            <w:r w:rsidR="66545B3C" w:rsidRPr="007130AF">
              <w:rPr>
                <w:rFonts w:eastAsia="Calibri"/>
                <w:bCs/>
                <w:noProof/>
                <w:color w:val="000000" w:themeColor="text1"/>
                <w:sz w:val="22"/>
                <w:szCs w:val="22"/>
              </w:rPr>
              <w:t>.</w:t>
            </w:r>
            <w:r w:rsidRPr="007130AF">
              <w:rPr>
                <w:rFonts w:eastAsia="Calibri"/>
                <w:bCs/>
                <w:noProof/>
                <w:color w:val="000000" w:themeColor="text1"/>
                <w:sz w:val="22"/>
                <w:szCs w:val="22"/>
              </w:rPr>
              <w:t>7</w:t>
            </w:r>
          </w:p>
        </w:tc>
        <w:tc>
          <w:tcPr>
            <w:tcW w:w="1559" w:type="dxa"/>
            <w:vAlign w:val="center"/>
          </w:tcPr>
          <w:p w14:paraId="12CA47FD" w14:textId="2D9387B4" w:rsidR="00861C1C" w:rsidRPr="007130AF" w:rsidRDefault="55E43B5C" w:rsidP="7A10ECD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000000" w:themeColor="text1"/>
                <w:sz w:val="22"/>
                <w:szCs w:val="22"/>
              </w:rPr>
            </w:pPr>
            <w:r w:rsidRPr="007130AF">
              <w:rPr>
                <w:rFonts w:eastAsia="Calibri"/>
                <w:bCs/>
                <w:noProof/>
                <w:color w:val="000000" w:themeColor="text1"/>
                <w:sz w:val="22"/>
                <w:szCs w:val="22"/>
              </w:rPr>
              <w:t>0.</w:t>
            </w:r>
            <w:r w:rsidR="00A46D5B" w:rsidRPr="007130AF">
              <w:rPr>
                <w:rFonts w:eastAsia="Calibri"/>
                <w:bCs/>
                <w:noProof/>
                <w:color w:val="000000" w:themeColor="text1"/>
                <w:sz w:val="22"/>
                <w:szCs w:val="22"/>
              </w:rPr>
              <w:t>1</w:t>
            </w:r>
          </w:p>
        </w:tc>
        <w:tc>
          <w:tcPr>
            <w:tcW w:w="1559" w:type="dxa"/>
            <w:vAlign w:val="center"/>
          </w:tcPr>
          <w:p w14:paraId="75386396" w14:textId="143791A2" w:rsidR="00861C1C" w:rsidRPr="007130AF" w:rsidRDefault="00A46D5B"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245F95" w:themeColor="text2"/>
                <w:sz w:val="22"/>
                <w:szCs w:val="22"/>
              </w:rPr>
            </w:pPr>
            <w:r w:rsidRPr="007130AF">
              <w:rPr>
                <w:rFonts w:eastAsia="Calibri"/>
                <w:bCs/>
                <w:noProof/>
                <w:color w:val="245F95" w:themeColor="text2"/>
                <w:sz w:val="22"/>
                <w:szCs w:val="22"/>
              </w:rPr>
              <w:t>2</w:t>
            </w:r>
            <w:r w:rsidR="6375D7F3" w:rsidRPr="007130AF">
              <w:rPr>
                <w:rFonts w:eastAsia="Calibri"/>
                <w:bCs/>
                <w:noProof/>
                <w:color w:val="245F95" w:themeColor="text2"/>
                <w:sz w:val="22"/>
                <w:szCs w:val="22"/>
              </w:rPr>
              <w:t>.</w:t>
            </w:r>
            <w:r w:rsidRPr="007130AF">
              <w:rPr>
                <w:rFonts w:eastAsia="Calibri"/>
                <w:bCs/>
                <w:noProof/>
                <w:color w:val="245F95" w:themeColor="text2"/>
                <w:sz w:val="22"/>
                <w:szCs w:val="22"/>
              </w:rPr>
              <w:t>7</w:t>
            </w:r>
          </w:p>
        </w:tc>
      </w:tr>
      <w:tr w:rsidR="00CD66D5" w:rsidRPr="007130AF" w14:paraId="5AA64EC4"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437220C0" w14:textId="77777777" w:rsidR="00861C1C" w:rsidRPr="007130AF" w:rsidRDefault="003B6DC2">
            <w:pPr>
              <w:spacing w:after="120"/>
              <w:rPr>
                <w:rFonts w:eastAsia="Calibri"/>
                <w:b w:val="0"/>
                <w:bCs/>
                <w:noProof/>
                <w:color w:val="245F95" w:themeColor="text2"/>
                <w:sz w:val="22"/>
                <w:szCs w:val="22"/>
              </w:rPr>
            </w:pPr>
            <w:r w:rsidRPr="007130AF">
              <w:rPr>
                <w:rFonts w:eastAsia="Calibri"/>
                <w:noProof/>
                <w:color w:val="245F95" w:themeColor="text2"/>
                <w:sz w:val="22"/>
                <w:szCs w:val="22"/>
              </w:rPr>
              <w:t>4 Migration and Border Management</w:t>
            </w:r>
          </w:p>
        </w:tc>
        <w:tc>
          <w:tcPr>
            <w:tcW w:w="1529" w:type="dxa"/>
            <w:vAlign w:val="center"/>
          </w:tcPr>
          <w:p w14:paraId="0C5F504D" w14:textId="531BD95E" w:rsidR="00861C1C" w:rsidRPr="007130AF" w:rsidRDefault="0389906F"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7130AF">
              <w:rPr>
                <w:rFonts w:eastAsia="Calibri"/>
                <w:noProof/>
                <w:color w:val="000000" w:themeColor="text1"/>
                <w:sz w:val="22"/>
                <w:szCs w:val="22"/>
              </w:rPr>
              <w:t>0.</w:t>
            </w:r>
            <w:r w:rsidR="008F00B3" w:rsidRPr="007130AF">
              <w:rPr>
                <w:rFonts w:eastAsia="Calibri"/>
                <w:noProof/>
                <w:color w:val="000000" w:themeColor="text1"/>
                <w:sz w:val="22"/>
                <w:szCs w:val="22"/>
              </w:rPr>
              <w:t>3</w:t>
            </w:r>
          </w:p>
        </w:tc>
        <w:tc>
          <w:tcPr>
            <w:tcW w:w="1559" w:type="dxa"/>
            <w:vAlign w:val="center"/>
          </w:tcPr>
          <w:p w14:paraId="3F9858B0" w14:textId="6C48FEE9" w:rsidR="00861C1C" w:rsidRPr="007130AF" w:rsidRDefault="6375D7F3"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7130AF">
              <w:rPr>
                <w:rFonts w:eastAsia="Calibri"/>
                <w:noProof/>
                <w:color w:val="000000" w:themeColor="text1"/>
                <w:sz w:val="22"/>
                <w:szCs w:val="22"/>
              </w:rPr>
              <w:t>0.</w:t>
            </w:r>
            <w:r w:rsidR="008F00B3" w:rsidRPr="007130AF">
              <w:rPr>
                <w:rFonts w:eastAsia="Calibri"/>
                <w:noProof/>
                <w:color w:val="000000" w:themeColor="text1"/>
                <w:sz w:val="22"/>
                <w:szCs w:val="22"/>
              </w:rPr>
              <w:t>1</w:t>
            </w:r>
          </w:p>
        </w:tc>
        <w:tc>
          <w:tcPr>
            <w:tcW w:w="1559" w:type="dxa"/>
            <w:vAlign w:val="center"/>
          </w:tcPr>
          <w:p w14:paraId="528F330D" w14:textId="6827D483" w:rsidR="00861C1C" w:rsidRPr="007130AF" w:rsidRDefault="6375D7F3"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sidRPr="007130AF">
              <w:rPr>
                <w:rFonts w:eastAsia="Calibri"/>
                <w:b/>
                <w:bCs/>
                <w:noProof/>
                <w:color w:val="245F95" w:themeColor="text2"/>
                <w:sz w:val="22"/>
                <w:szCs w:val="22"/>
              </w:rPr>
              <w:t>0.</w:t>
            </w:r>
            <w:r w:rsidR="00D13D01" w:rsidRPr="007130AF">
              <w:rPr>
                <w:rFonts w:eastAsia="Calibri"/>
                <w:b/>
                <w:bCs/>
                <w:noProof/>
                <w:color w:val="245F95" w:themeColor="text2"/>
                <w:sz w:val="22"/>
                <w:szCs w:val="22"/>
              </w:rPr>
              <w:t>4</w:t>
            </w:r>
          </w:p>
        </w:tc>
      </w:tr>
      <w:tr w:rsidR="00CD66D5" w:rsidRPr="007130AF" w14:paraId="3104574E"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39289543" w14:textId="77777777" w:rsidR="00861C1C" w:rsidRPr="007130AF" w:rsidRDefault="003B6DC2">
            <w:pPr>
              <w:spacing w:after="120"/>
              <w:rPr>
                <w:rFonts w:eastAsia="Calibri"/>
                <w:b w:val="0"/>
                <w:bCs/>
                <w:noProof/>
                <w:color w:val="245F95" w:themeColor="text2"/>
                <w:sz w:val="22"/>
                <w:szCs w:val="22"/>
              </w:rPr>
            </w:pPr>
            <w:r w:rsidRPr="007130AF">
              <w:rPr>
                <w:rFonts w:eastAsia="Calibri"/>
                <w:noProof/>
                <w:color w:val="245F95" w:themeColor="text2"/>
                <w:sz w:val="22"/>
                <w:szCs w:val="22"/>
              </w:rPr>
              <w:t>5 Security and Defence</w:t>
            </w:r>
          </w:p>
        </w:tc>
        <w:tc>
          <w:tcPr>
            <w:tcW w:w="1529" w:type="dxa"/>
            <w:vAlign w:val="center"/>
          </w:tcPr>
          <w:p w14:paraId="64F2FFEF" w14:textId="545E2EAF" w:rsidR="00861C1C" w:rsidRPr="007130AF" w:rsidRDefault="00861C1C"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p>
        </w:tc>
        <w:tc>
          <w:tcPr>
            <w:tcW w:w="1559" w:type="dxa"/>
            <w:vAlign w:val="center"/>
          </w:tcPr>
          <w:p w14:paraId="5951506F" w14:textId="674B0E91" w:rsidR="00861C1C" w:rsidRPr="007130AF" w:rsidRDefault="0389906F"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7130AF">
              <w:rPr>
                <w:rFonts w:eastAsia="Calibri"/>
                <w:noProof/>
                <w:color w:val="000000" w:themeColor="text1"/>
                <w:sz w:val="22"/>
                <w:szCs w:val="22"/>
              </w:rPr>
              <w:t>0.</w:t>
            </w:r>
            <w:r w:rsidR="00BA23B6" w:rsidRPr="007130AF">
              <w:rPr>
                <w:rFonts w:eastAsia="Calibri"/>
                <w:noProof/>
                <w:color w:val="000000" w:themeColor="text1"/>
                <w:sz w:val="22"/>
                <w:szCs w:val="22"/>
              </w:rPr>
              <w:t>0</w:t>
            </w:r>
          </w:p>
        </w:tc>
        <w:tc>
          <w:tcPr>
            <w:tcW w:w="1559" w:type="dxa"/>
            <w:vAlign w:val="center"/>
          </w:tcPr>
          <w:p w14:paraId="1F879FA6" w14:textId="227FB114" w:rsidR="00861C1C" w:rsidRPr="007130AF" w:rsidRDefault="643693B4"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sidRPr="007130AF">
              <w:rPr>
                <w:rFonts w:eastAsia="Calibri"/>
                <w:b/>
                <w:bCs/>
                <w:noProof/>
                <w:color w:val="245F95" w:themeColor="text2"/>
                <w:sz w:val="22"/>
                <w:szCs w:val="22"/>
              </w:rPr>
              <w:t>0.</w:t>
            </w:r>
            <w:r w:rsidR="00BA23B6" w:rsidRPr="007130AF">
              <w:rPr>
                <w:rFonts w:eastAsia="Calibri"/>
                <w:b/>
                <w:bCs/>
                <w:noProof/>
                <w:color w:val="245F95" w:themeColor="text2"/>
                <w:sz w:val="22"/>
                <w:szCs w:val="22"/>
              </w:rPr>
              <w:t>0</w:t>
            </w:r>
          </w:p>
        </w:tc>
      </w:tr>
      <w:tr w:rsidR="00CD66D5" w:rsidRPr="007130AF" w14:paraId="2CD70082"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Borders>
              <w:bottom w:val="single" w:sz="6" w:space="0" w:color="BFBFBF" w:themeColor="background1" w:themeShade="BF"/>
            </w:tcBorders>
          </w:tcPr>
          <w:p w14:paraId="0E96276D" w14:textId="77777777" w:rsidR="00861C1C" w:rsidRPr="007130AF" w:rsidRDefault="003B6DC2">
            <w:pPr>
              <w:spacing w:after="120"/>
              <w:rPr>
                <w:rFonts w:eastAsia="Calibri"/>
                <w:b w:val="0"/>
                <w:bCs/>
                <w:noProof/>
                <w:color w:val="245F95" w:themeColor="text2"/>
                <w:sz w:val="22"/>
                <w:szCs w:val="22"/>
              </w:rPr>
            </w:pPr>
            <w:r w:rsidRPr="007130AF">
              <w:rPr>
                <w:rFonts w:eastAsia="Calibri"/>
                <w:noProof/>
                <w:color w:val="245F95" w:themeColor="text2"/>
                <w:sz w:val="22"/>
                <w:szCs w:val="22"/>
              </w:rPr>
              <w:t>6 Neighbourhood and the World</w:t>
            </w:r>
          </w:p>
        </w:tc>
        <w:tc>
          <w:tcPr>
            <w:tcW w:w="1529" w:type="dxa"/>
            <w:tcBorders>
              <w:bottom w:val="single" w:sz="6" w:space="0" w:color="BFBFBF" w:themeColor="background1" w:themeShade="BF"/>
            </w:tcBorders>
            <w:vAlign w:val="center"/>
          </w:tcPr>
          <w:p w14:paraId="31733D24" w14:textId="47C4B04F" w:rsidR="00861C1C" w:rsidRPr="007130AF" w:rsidRDefault="643693B4"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7130AF">
              <w:rPr>
                <w:rFonts w:eastAsia="Calibri"/>
                <w:noProof/>
                <w:color w:val="000000" w:themeColor="text1"/>
                <w:sz w:val="22"/>
                <w:szCs w:val="22"/>
              </w:rPr>
              <w:t>0.</w:t>
            </w:r>
            <w:r w:rsidR="009E36C8">
              <w:rPr>
                <w:rFonts w:eastAsia="Calibri"/>
                <w:noProof/>
                <w:color w:val="000000" w:themeColor="text1"/>
                <w:sz w:val="22"/>
                <w:szCs w:val="22"/>
              </w:rPr>
              <w:t>1</w:t>
            </w:r>
          </w:p>
        </w:tc>
        <w:tc>
          <w:tcPr>
            <w:tcW w:w="1559" w:type="dxa"/>
            <w:tcBorders>
              <w:bottom w:val="single" w:sz="6" w:space="0" w:color="BFBFBF" w:themeColor="background1" w:themeShade="BF"/>
            </w:tcBorders>
            <w:vAlign w:val="center"/>
          </w:tcPr>
          <w:p w14:paraId="2CFD5EED" w14:textId="10DF6C4F" w:rsidR="00861C1C" w:rsidRPr="007130AF" w:rsidRDefault="6375D7F3"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sidRPr="007130AF">
              <w:rPr>
                <w:rFonts w:eastAsia="Calibri"/>
                <w:noProof/>
                <w:color w:val="000000" w:themeColor="text1"/>
                <w:sz w:val="22"/>
                <w:szCs w:val="22"/>
              </w:rPr>
              <w:t>0.</w:t>
            </w:r>
            <w:r w:rsidR="00BA23B6" w:rsidRPr="007130AF">
              <w:rPr>
                <w:rFonts w:eastAsia="Calibri"/>
                <w:noProof/>
                <w:color w:val="000000" w:themeColor="text1"/>
                <w:sz w:val="22"/>
                <w:szCs w:val="22"/>
              </w:rPr>
              <w:t>1</w:t>
            </w:r>
          </w:p>
        </w:tc>
        <w:tc>
          <w:tcPr>
            <w:tcW w:w="1559" w:type="dxa"/>
            <w:tcBorders>
              <w:bottom w:val="single" w:sz="6" w:space="0" w:color="BFBFBF" w:themeColor="background1" w:themeShade="BF"/>
            </w:tcBorders>
            <w:vAlign w:val="center"/>
          </w:tcPr>
          <w:p w14:paraId="0F2F8391" w14:textId="1EFE1DFD" w:rsidR="00861C1C" w:rsidRPr="007130AF" w:rsidRDefault="6375D7F3"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sidRPr="007130AF">
              <w:rPr>
                <w:rFonts w:eastAsia="Calibri"/>
                <w:b/>
                <w:bCs/>
                <w:noProof/>
                <w:color w:val="245F95" w:themeColor="text2"/>
                <w:sz w:val="22"/>
                <w:szCs w:val="22"/>
              </w:rPr>
              <w:t>0.</w:t>
            </w:r>
            <w:r w:rsidR="006469AE">
              <w:rPr>
                <w:rFonts w:eastAsia="Calibri"/>
                <w:b/>
                <w:bCs/>
                <w:noProof/>
                <w:color w:val="245F95" w:themeColor="text2"/>
                <w:sz w:val="22"/>
                <w:szCs w:val="22"/>
              </w:rPr>
              <w:t>2</w:t>
            </w:r>
          </w:p>
        </w:tc>
      </w:tr>
      <w:tr w:rsidR="00CD66D5" w:rsidRPr="007130AF" w14:paraId="26F229FD"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BFBFBF" w:themeColor="background1" w:themeShade="BF"/>
              <w:bottom w:val="nil"/>
            </w:tcBorders>
            <w:shd w:val="clear" w:color="auto" w:fill="FCE1D9" w:themeFill="accent2" w:themeFillTint="33"/>
          </w:tcPr>
          <w:p w14:paraId="4F3B42DB" w14:textId="77777777" w:rsidR="00861C1C" w:rsidRPr="007130AF" w:rsidRDefault="003B6DC2">
            <w:pPr>
              <w:spacing w:after="120"/>
              <w:rPr>
                <w:noProof/>
                <w:color w:val="245F95" w:themeColor="text2"/>
                <w:sz w:val="22"/>
                <w:szCs w:val="22"/>
              </w:rPr>
            </w:pPr>
            <w:r w:rsidRPr="007130AF">
              <w:rPr>
                <w:rFonts w:eastAsia="Calibri"/>
                <w:noProof/>
                <w:color w:val="245F95" w:themeColor="text2"/>
                <w:sz w:val="22"/>
                <w:szCs w:val="22"/>
              </w:rPr>
              <w:t>Total</w:t>
            </w:r>
          </w:p>
        </w:tc>
        <w:tc>
          <w:tcPr>
            <w:tcW w:w="1529" w:type="dxa"/>
            <w:tcBorders>
              <w:top w:val="single" w:sz="6" w:space="0" w:color="BFBFBF" w:themeColor="background1" w:themeShade="BF"/>
              <w:bottom w:val="nil"/>
            </w:tcBorders>
            <w:shd w:val="clear" w:color="auto" w:fill="FCE1D9" w:themeFill="accent2" w:themeFillTint="33"/>
            <w:vAlign w:val="center"/>
          </w:tcPr>
          <w:p w14:paraId="2F80BE46" w14:textId="5FAC9ED0" w:rsidR="00861C1C" w:rsidRPr="007130AF" w:rsidRDefault="00543C23"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sidRPr="007130AF">
              <w:rPr>
                <w:rFonts w:eastAsia="Calibri"/>
                <w:b/>
                <w:bCs/>
                <w:noProof/>
                <w:color w:val="245F95" w:themeColor="text2"/>
                <w:sz w:val="22"/>
                <w:szCs w:val="22"/>
              </w:rPr>
              <w:t>4</w:t>
            </w:r>
            <w:r w:rsidR="2E296F4C" w:rsidRPr="007130AF">
              <w:rPr>
                <w:rFonts w:eastAsia="Calibri"/>
                <w:b/>
                <w:bCs/>
                <w:noProof/>
                <w:color w:val="245F95" w:themeColor="text2"/>
                <w:sz w:val="22"/>
                <w:szCs w:val="22"/>
              </w:rPr>
              <w:t>.</w:t>
            </w:r>
            <w:r w:rsidR="00147D5C">
              <w:rPr>
                <w:rFonts w:eastAsia="Calibri"/>
                <w:b/>
                <w:bCs/>
                <w:noProof/>
                <w:color w:val="245F95" w:themeColor="text2"/>
                <w:sz w:val="22"/>
                <w:szCs w:val="22"/>
              </w:rPr>
              <w:t>7</w:t>
            </w:r>
          </w:p>
        </w:tc>
        <w:tc>
          <w:tcPr>
            <w:tcW w:w="1559" w:type="dxa"/>
            <w:tcBorders>
              <w:top w:val="single" w:sz="6" w:space="0" w:color="BFBFBF" w:themeColor="background1" w:themeShade="BF"/>
              <w:bottom w:val="nil"/>
            </w:tcBorders>
            <w:shd w:val="clear" w:color="auto" w:fill="FCE1D9" w:themeFill="accent2" w:themeFillTint="33"/>
            <w:vAlign w:val="center"/>
          </w:tcPr>
          <w:p w14:paraId="791060CA" w14:textId="7C5582C7" w:rsidR="00861C1C" w:rsidRPr="007130AF" w:rsidRDefault="26247BD1"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sidRPr="007130AF">
              <w:rPr>
                <w:rFonts w:eastAsia="Calibri"/>
                <w:b/>
                <w:bCs/>
                <w:noProof/>
                <w:color w:val="245F95" w:themeColor="text2"/>
                <w:sz w:val="22"/>
                <w:szCs w:val="22"/>
              </w:rPr>
              <w:t>4.</w:t>
            </w:r>
            <w:r w:rsidR="009E36C8">
              <w:rPr>
                <w:rFonts w:eastAsia="Calibri"/>
                <w:b/>
                <w:bCs/>
                <w:noProof/>
                <w:color w:val="245F95" w:themeColor="text2"/>
                <w:sz w:val="22"/>
                <w:szCs w:val="22"/>
              </w:rPr>
              <w:t>1</w:t>
            </w:r>
          </w:p>
        </w:tc>
        <w:tc>
          <w:tcPr>
            <w:tcW w:w="1559" w:type="dxa"/>
            <w:tcBorders>
              <w:top w:val="single" w:sz="6" w:space="0" w:color="BFBFBF" w:themeColor="background1" w:themeShade="BF"/>
              <w:bottom w:val="nil"/>
            </w:tcBorders>
            <w:shd w:val="clear" w:color="auto" w:fill="FCE1D9" w:themeFill="accent2" w:themeFillTint="33"/>
            <w:vAlign w:val="center"/>
          </w:tcPr>
          <w:p w14:paraId="045E0BAA" w14:textId="7786F7BD" w:rsidR="00861C1C" w:rsidRPr="007130AF" w:rsidRDefault="00543C23"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sidRPr="007130AF">
              <w:rPr>
                <w:rFonts w:eastAsia="Calibri"/>
                <w:b/>
                <w:bCs/>
                <w:noProof/>
                <w:color w:val="245F95" w:themeColor="text2"/>
                <w:sz w:val="22"/>
                <w:szCs w:val="22"/>
              </w:rPr>
              <w:t>8</w:t>
            </w:r>
            <w:r w:rsidR="2E296F4C" w:rsidRPr="007130AF">
              <w:rPr>
                <w:rFonts w:eastAsia="Calibri"/>
                <w:b/>
                <w:bCs/>
                <w:noProof/>
                <w:color w:val="245F95" w:themeColor="text2"/>
                <w:sz w:val="22"/>
                <w:szCs w:val="22"/>
              </w:rPr>
              <w:t>.</w:t>
            </w:r>
            <w:r w:rsidR="00147D5C">
              <w:rPr>
                <w:rFonts w:eastAsia="Calibri"/>
                <w:b/>
                <w:bCs/>
                <w:noProof/>
                <w:color w:val="245F95" w:themeColor="text2"/>
                <w:sz w:val="22"/>
                <w:szCs w:val="22"/>
              </w:rPr>
              <w:t>8</w:t>
            </w:r>
          </w:p>
        </w:tc>
      </w:tr>
    </w:tbl>
    <w:p w14:paraId="33418F59" w14:textId="0FDAF9C9" w:rsidR="00861C1C" w:rsidRPr="00682537" w:rsidRDefault="00861C1C" w:rsidP="00682537">
      <w:pPr>
        <w:rPr>
          <w:noProof/>
        </w:rPr>
      </w:pPr>
    </w:p>
    <w:p w14:paraId="75252B43" w14:textId="479946E5" w:rsidR="00861C1C" w:rsidRPr="0050317D" w:rsidRDefault="00CA78F1" w:rsidP="009C6708">
      <w:pPr>
        <w:pStyle w:val="Heading2"/>
        <w:rPr>
          <w:noProof/>
          <w:lang w:val="en-US"/>
        </w:rPr>
      </w:pPr>
      <w:bookmarkStart w:id="80" w:name="_Toc167194522"/>
      <w:r w:rsidRPr="0050317D">
        <w:rPr>
          <w:noProof/>
          <w:lang w:val="en-US"/>
        </w:rPr>
        <w:t>Table 3 – Long-term forecast of outflows for NextGenerationEU</w:t>
      </w:r>
      <w:bookmarkEnd w:id="80"/>
    </w:p>
    <w:tbl>
      <w:tblPr>
        <w:tblStyle w:val="AMPR2021"/>
        <w:tblW w:w="5000" w:type="pct"/>
        <w:tblBorders>
          <w:top w:val="none" w:sz="0" w:space="0" w:color="auto"/>
          <w:bottom w:val="none" w:sz="0" w:space="0" w:color="auto"/>
          <w:insideH w:val="single" w:sz="6" w:space="0" w:color="BFBFBF" w:themeColor="background1" w:themeShade="BF"/>
          <w:insideV w:val="single" w:sz="6" w:space="0" w:color="BFBFBF" w:themeColor="background1" w:themeShade="BF"/>
        </w:tblBorders>
        <w:tblCellMar>
          <w:right w:w="170" w:type="dxa"/>
        </w:tblCellMar>
        <w:tblLook w:val="06A0" w:firstRow="1" w:lastRow="0" w:firstColumn="1" w:lastColumn="0" w:noHBand="1" w:noVBand="1"/>
      </w:tblPr>
      <w:tblGrid>
        <w:gridCol w:w="5198"/>
        <w:gridCol w:w="1172"/>
        <w:gridCol w:w="1172"/>
        <w:gridCol w:w="1172"/>
        <w:gridCol w:w="1168"/>
      </w:tblGrid>
      <w:tr w:rsidR="006063A7" w:rsidRPr="007130AF" w14:paraId="134DE056"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tcPr>
          <w:p w14:paraId="3ABE8FF2" w14:textId="77777777" w:rsidR="006063A7" w:rsidRPr="007130AF" w:rsidRDefault="006063A7">
            <w:pPr>
              <w:spacing w:line="264" w:lineRule="auto"/>
              <w:rPr>
                <w:rFonts w:asciiTheme="minorHAnsi" w:eastAsia="Calibri" w:hAnsiTheme="minorHAnsi"/>
                <w:noProof/>
                <w:sz w:val="22"/>
                <w:szCs w:val="22"/>
              </w:rPr>
            </w:pPr>
            <w:r w:rsidRPr="007130AF">
              <w:rPr>
                <w:rFonts w:asciiTheme="minorHAnsi" w:eastAsia="Calibri" w:hAnsiTheme="minorHAnsi"/>
                <w:noProof/>
                <w:sz w:val="22"/>
                <w:szCs w:val="22"/>
              </w:rPr>
              <w:t>Programme</w:t>
            </w:r>
          </w:p>
        </w:tc>
        <w:tc>
          <w:tcPr>
            <w:tcW w:w="0" w:type="pct"/>
            <w:vAlign w:val="center"/>
          </w:tcPr>
          <w:p w14:paraId="3BA51300" w14:textId="77777777" w:rsidR="006063A7" w:rsidRPr="007130AF" w:rsidRDefault="006063A7">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eastAsia="Calibri" w:hAnsiTheme="minorHAnsi"/>
                <w:noProof/>
                <w:sz w:val="22"/>
                <w:szCs w:val="22"/>
              </w:rPr>
              <w:t>2025</w:t>
            </w:r>
          </w:p>
        </w:tc>
        <w:tc>
          <w:tcPr>
            <w:tcW w:w="0" w:type="pct"/>
            <w:vAlign w:val="center"/>
          </w:tcPr>
          <w:p w14:paraId="46D6C9E8" w14:textId="77777777" w:rsidR="006063A7" w:rsidRPr="007130AF" w:rsidRDefault="006063A7">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eastAsia="Calibri" w:hAnsiTheme="minorHAnsi"/>
                <w:noProof/>
                <w:sz w:val="22"/>
                <w:szCs w:val="22"/>
              </w:rPr>
              <w:t>2026</w:t>
            </w:r>
          </w:p>
        </w:tc>
        <w:tc>
          <w:tcPr>
            <w:tcW w:w="0" w:type="pct"/>
            <w:vAlign w:val="center"/>
          </w:tcPr>
          <w:p w14:paraId="390C9A21" w14:textId="77777777" w:rsidR="006063A7" w:rsidRPr="007130AF" w:rsidRDefault="006063A7">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eastAsia="Calibri" w:hAnsiTheme="minorHAnsi"/>
                <w:noProof/>
                <w:sz w:val="22"/>
                <w:szCs w:val="22"/>
              </w:rPr>
              <w:t>2027</w:t>
            </w:r>
          </w:p>
        </w:tc>
        <w:tc>
          <w:tcPr>
            <w:tcW w:w="0" w:type="pct"/>
            <w:vAlign w:val="center"/>
          </w:tcPr>
          <w:p w14:paraId="3381BD74" w14:textId="77777777" w:rsidR="006063A7" w:rsidRPr="007130AF" w:rsidRDefault="006063A7">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eastAsia="Calibri" w:hAnsiTheme="minorHAnsi"/>
                <w:noProof/>
                <w:sz w:val="22"/>
                <w:szCs w:val="22"/>
              </w:rPr>
              <w:t>Total</w:t>
            </w:r>
          </w:p>
        </w:tc>
      </w:tr>
      <w:tr w:rsidR="006063A7" w:rsidRPr="007130AF" w14:paraId="1CE506BE" w14:textId="77777777">
        <w:trPr>
          <w:trHeight w:val="300"/>
        </w:trPr>
        <w:tc>
          <w:tcPr>
            <w:cnfStyle w:val="001000000000" w:firstRow="0" w:lastRow="0" w:firstColumn="1" w:lastColumn="0" w:oddVBand="0" w:evenVBand="0" w:oddHBand="0" w:evenHBand="0" w:firstRowFirstColumn="0" w:firstRowLastColumn="0" w:lastRowFirstColumn="0" w:lastRowLastColumn="0"/>
            <w:tcW w:w="2630" w:type="pct"/>
          </w:tcPr>
          <w:p w14:paraId="341F5A6C" w14:textId="77777777" w:rsidR="006063A7" w:rsidRPr="007130AF" w:rsidRDefault="006063A7" w:rsidP="008F34F9">
            <w:pPr>
              <w:spacing w:after="120"/>
              <w:rPr>
                <w:rFonts w:asciiTheme="minorHAnsi" w:eastAsia="Calibri" w:hAnsiTheme="minorHAnsi"/>
                <w:b w:val="0"/>
                <w:bCs/>
                <w:noProof/>
                <w:color w:val="245F95" w:themeColor="text2"/>
                <w:sz w:val="22"/>
                <w:szCs w:val="22"/>
              </w:rPr>
            </w:pPr>
            <w:r w:rsidRPr="007130AF">
              <w:rPr>
                <w:rFonts w:asciiTheme="minorHAnsi" w:eastAsia="Calibri" w:hAnsiTheme="minorHAnsi"/>
                <w:noProof/>
                <w:color w:val="245F95" w:themeColor="text2"/>
                <w:sz w:val="22"/>
                <w:szCs w:val="22"/>
              </w:rPr>
              <w:t>Horizon Europe</w:t>
            </w:r>
          </w:p>
        </w:tc>
        <w:tc>
          <w:tcPr>
            <w:tcW w:w="593" w:type="pct"/>
            <w:shd w:val="clear" w:color="auto" w:fill="auto"/>
            <w:vAlign w:val="center"/>
          </w:tcPr>
          <w:p w14:paraId="31DCA33F"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0.7</w:t>
            </w:r>
          </w:p>
        </w:tc>
        <w:tc>
          <w:tcPr>
            <w:tcW w:w="593" w:type="pct"/>
            <w:shd w:val="clear" w:color="auto" w:fill="auto"/>
            <w:vAlign w:val="center"/>
          </w:tcPr>
          <w:p w14:paraId="786F82B2"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0.2</w:t>
            </w:r>
          </w:p>
        </w:tc>
        <w:tc>
          <w:tcPr>
            <w:tcW w:w="593" w:type="pct"/>
            <w:shd w:val="clear" w:color="auto" w:fill="auto"/>
            <w:vAlign w:val="center"/>
          </w:tcPr>
          <w:p w14:paraId="68F5EC8F"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0.0</w:t>
            </w:r>
          </w:p>
        </w:tc>
        <w:tc>
          <w:tcPr>
            <w:tcW w:w="591" w:type="pct"/>
            <w:shd w:val="clear" w:color="auto" w:fill="auto"/>
            <w:vAlign w:val="center"/>
          </w:tcPr>
          <w:p w14:paraId="3D811A91" w14:textId="77777777" w:rsidR="006063A7" w:rsidRPr="0050317D"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245F95" w:themeColor="text2"/>
                <w:sz w:val="22"/>
              </w:rPr>
            </w:pPr>
            <w:r w:rsidRPr="0050317D">
              <w:rPr>
                <w:rFonts w:asciiTheme="minorHAnsi" w:hAnsiTheme="minorHAnsi"/>
                <w:b/>
                <w:noProof/>
                <w:color w:val="245F95" w:themeColor="text2"/>
                <w:sz w:val="22"/>
              </w:rPr>
              <w:t>0.</w:t>
            </w:r>
            <w:r w:rsidRPr="007130AF">
              <w:rPr>
                <w:rFonts w:asciiTheme="minorHAnsi" w:hAnsiTheme="minorHAnsi" w:cs="Calibri"/>
                <w:b/>
                <w:bCs/>
                <w:noProof/>
                <w:color w:val="245F95" w:themeColor="text2"/>
                <w:sz w:val="22"/>
                <w:szCs w:val="22"/>
              </w:rPr>
              <w:t>9</w:t>
            </w:r>
          </w:p>
        </w:tc>
      </w:tr>
      <w:tr w:rsidR="006063A7" w:rsidRPr="007130AF" w14:paraId="7558199B" w14:textId="77777777">
        <w:trPr>
          <w:trHeight w:val="300"/>
        </w:trPr>
        <w:tc>
          <w:tcPr>
            <w:cnfStyle w:val="001000000000" w:firstRow="0" w:lastRow="0" w:firstColumn="1" w:lastColumn="0" w:oddVBand="0" w:evenVBand="0" w:oddHBand="0" w:evenHBand="0" w:firstRowFirstColumn="0" w:firstRowLastColumn="0" w:lastRowFirstColumn="0" w:lastRowLastColumn="0"/>
            <w:tcW w:w="2630" w:type="pct"/>
          </w:tcPr>
          <w:p w14:paraId="04F7BAB3" w14:textId="77777777" w:rsidR="006063A7" w:rsidRPr="007130AF" w:rsidRDefault="006063A7" w:rsidP="008F34F9">
            <w:pPr>
              <w:spacing w:after="120"/>
              <w:rPr>
                <w:rFonts w:asciiTheme="minorHAnsi" w:eastAsia="Calibri" w:hAnsiTheme="minorHAnsi"/>
                <w:b w:val="0"/>
                <w:noProof/>
                <w:color w:val="245F95" w:themeColor="text2"/>
                <w:sz w:val="22"/>
                <w:szCs w:val="22"/>
              </w:rPr>
            </w:pPr>
            <w:r w:rsidRPr="007130AF">
              <w:rPr>
                <w:rFonts w:asciiTheme="minorHAnsi" w:eastAsia="Calibri" w:hAnsiTheme="minorHAnsi"/>
                <w:noProof/>
                <w:color w:val="245F95" w:themeColor="text2"/>
                <w:sz w:val="22"/>
                <w:szCs w:val="22"/>
              </w:rPr>
              <w:t xml:space="preserve">InvestEU </w:t>
            </w:r>
          </w:p>
        </w:tc>
        <w:tc>
          <w:tcPr>
            <w:tcW w:w="593" w:type="pct"/>
            <w:shd w:val="clear" w:color="auto" w:fill="auto"/>
            <w:vAlign w:val="center"/>
          </w:tcPr>
          <w:p w14:paraId="2EC20626"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1.0</w:t>
            </w:r>
          </w:p>
        </w:tc>
        <w:tc>
          <w:tcPr>
            <w:tcW w:w="593" w:type="pct"/>
            <w:shd w:val="clear" w:color="auto" w:fill="auto"/>
            <w:vAlign w:val="center"/>
          </w:tcPr>
          <w:p w14:paraId="64729E38"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1.2</w:t>
            </w:r>
          </w:p>
        </w:tc>
        <w:tc>
          <w:tcPr>
            <w:tcW w:w="593" w:type="pct"/>
            <w:shd w:val="clear" w:color="auto" w:fill="auto"/>
            <w:vAlign w:val="center"/>
          </w:tcPr>
          <w:p w14:paraId="1C2CAFF3"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0.0</w:t>
            </w:r>
          </w:p>
        </w:tc>
        <w:tc>
          <w:tcPr>
            <w:tcW w:w="591" w:type="pct"/>
            <w:shd w:val="clear" w:color="auto" w:fill="auto"/>
            <w:vAlign w:val="center"/>
          </w:tcPr>
          <w:p w14:paraId="7966BC70"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color w:val="245F95" w:themeColor="text2"/>
                <w:sz w:val="22"/>
                <w:szCs w:val="22"/>
              </w:rPr>
            </w:pPr>
            <w:r w:rsidRPr="007130AF">
              <w:rPr>
                <w:rFonts w:asciiTheme="minorHAnsi" w:hAnsiTheme="minorHAnsi" w:cs="Calibri"/>
                <w:b/>
                <w:bCs/>
                <w:noProof/>
                <w:color w:val="245F95" w:themeColor="text2"/>
                <w:sz w:val="22"/>
                <w:szCs w:val="22"/>
              </w:rPr>
              <w:t>2.2</w:t>
            </w:r>
          </w:p>
        </w:tc>
      </w:tr>
      <w:tr w:rsidR="006063A7" w:rsidRPr="007130AF" w14:paraId="06927FDB" w14:textId="77777777">
        <w:trPr>
          <w:trHeight w:val="300"/>
        </w:trPr>
        <w:tc>
          <w:tcPr>
            <w:cnfStyle w:val="001000000000" w:firstRow="0" w:lastRow="0" w:firstColumn="1" w:lastColumn="0" w:oddVBand="0" w:evenVBand="0" w:oddHBand="0" w:evenHBand="0" w:firstRowFirstColumn="0" w:firstRowLastColumn="0" w:lastRowFirstColumn="0" w:lastRowLastColumn="0"/>
            <w:tcW w:w="2630" w:type="pct"/>
          </w:tcPr>
          <w:p w14:paraId="4143CD58" w14:textId="77777777" w:rsidR="006063A7" w:rsidRPr="007130AF" w:rsidRDefault="006063A7" w:rsidP="008F34F9">
            <w:pPr>
              <w:spacing w:after="120"/>
              <w:rPr>
                <w:rFonts w:asciiTheme="minorHAnsi" w:eastAsia="Calibri" w:hAnsiTheme="minorHAnsi"/>
                <w:b w:val="0"/>
                <w:bCs/>
                <w:noProof/>
                <w:color w:val="245F95" w:themeColor="text2"/>
                <w:sz w:val="22"/>
                <w:szCs w:val="22"/>
              </w:rPr>
            </w:pPr>
            <w:r w:rsidRPr="007130AF">
              <w:rPr>
                <w:rFonts w:asciiTheme="minorHAnsi" w:eastAsia="Calibri" w:hAnsiTheme="minorHAnsi"/>
                <w:noProof/>
                <w:color w:val="245F95" w:themeColor="text2"/>
                <w:sz w:val="22"/>
                <w:szCs w:val="22"/>
              </w:rPr>
              <w:t>European Regional Development Fund (ERDF)</w:t>
            </w:r>
          </w:p>
        </w:tc>
        <w:tc>
          <w:tcPr>
            <w:tcW w:w="593" w:type="pct"/>
            <w:shd w:val="clear" w:color="auto" w:fill="auto"/>
            <w:vAlign w:val="center"/>
          </w:tcPr>
          <w:p w14:paraId="61299071"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2.0</w:t>
            </w:r>
          </w:p>
        </w:tc>
        <w:tc>
          <w:tcPr>
            <w:tcW w:w="593" w:type="pct"/>
            <w:shd w:val="clear" w:color="auto" w:fill="auto"/>
            <w:vAlign w:val="center"/>
          </w:tcPr>
          <w:p w14:paraId="12973956"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0.0</w:t>
            </w:r>
          </w:p>
        </w:tc>
        <w:tc>
          <w:tcPr>
            <w:tcW w:w="593" w:type="pct"/>
            <w:shd w:val="clear" w:color="auto" w:fill="auto"/>
            <w:vAlign w:val="center"/>
          </w:tcPr>
          <w:p w14:paraId="4E7F5C80"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0.0</w:t>
            </w:r>
          </w:p>
        </w:tc>
        <w:tc>
          <w:tcPr>
            <w:tcW w:w="591" w:type="pct"/>
            <w:shd w:val="clear" w:color="auto" w:fill="auto"/>
            <w:vAlign w:val="center"/>
          </w:tcPr>
          <w:p w14:paraId="070C868D" w14:textId="77777777" w:rsidR="006063A7" w:rsidRPr="0050317D"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245F95" w:themeColor="text2"/>
                <w:sz w:val="22"/>
              </w:rPr>
            </w:pPr>
            <w:r w:rsidRPr="007130AF">
              <w:rPr>
                <w:rFonts w:asciiTheme="minorHAnsi" w:hAnsiTheme="minorHAnsi" w:cs="Calibri"/>
                <w:b/>
                <w:bCs/>
                <w:noProof/>
                <w:color w:val="245F95" w:themeColor="text2"/>
                <w:sz w:val="22"/>
                <w:szCs w:val="22"/>
              </w:rPr>
              <w:t>2</w:t>
            </w:r>
            <w:r w:rsidRPr="0050317D">
              <w:rPr>
                <w:rFonts w:asciiTheme="minorHAnsi" w:hAnsiTheme="minorHAnsi"/>
                <w:b/>
                <w:noProof/>
                <w:color w:val="245F95" w:themeColor="text2"/>
                <w:sz w:val="22"/>
              </w:rPr>
              <w:t>.0</w:t>
            </w:r>
          </w:p>
        </w:tc>
      </w:tr>
      <w:tr w:rsidR="006063A7" w:rsidRPr="007130AF" w14:paraId="6CFB0F3A" w14:textId="77777777">
        <w:trPr>
          <w:trHeight w:val="300"/>
        </w:trPr>
        <w:tc>
          <w:tcPr>
            <w:cnfStyle w:val="001000000000" w:firstRow="0" w:lastRow="0" w:firstColumn="1" w:lastColumn="0" w:oddVBand="0" w:evenVBand="0" w:oddHBand="0" w:evenHBand="0" w:firstRowFirstColumn="0" w:firstRowLastColumn="0" w:lastRowFirstColumn="0" w:lastRowLastColumn="0"/>
            <w:tcW w:w="2630" w:type="pct"/>
          </w:tcPr>
          <w:p w14:paraId="7EA5AD84" w14:textId="77777777" w:rsidR="006063A7" w:rsidRPr="007130AF" w:rsidRDefault="006063A7" w:rsidP="00476B76">
            <w:pPr>
              <w:spacing w:after="120"/>
              <w:rPr>
                <w:rFonts w:asciiTheme="minorHAnsi" w:eastAsia="Calibri" w:hAnsiTheme="minorHAnsi"/>
                <w:b w:val="0"/>
                <w:noProof/>
                <w:color w:val="245F95" w:themeColor="text2"/>
                <w:sz w:val="22"/>
                <w:szCs w:val="22"/>
              </w:rPr>
            </w:pPr>
            <w:r w:rsidRPr="007130AF">
              <w:rPr>
                <w:rFonts w:asciiTheme="minorHAnsi" w:eastAsia="Calibri" w:hAnsiTheme="minorHAnsi"/>
                <w:noProof/>
                <w:color w:val="245F95" w:themeColor="text2"/>
                <w:sz w:val="22"/>
                <w:szCs w:val="22"/>
              </w:rPr>
              <w:t>European Social Fund (ESF)</w:t>
            </w:r>
          </w:p>
        </w:tc>
        <w:tc>
          <w:tcPr>
            <w:tcW w:w="593" w:type="pct"/>
            <w:shd w:val="clear" w:color="auto" w:fill="auto"/>
            <w:vAlign w:val="center"/>
          </w:tcPr>
          <w:p w14:paraId="34FE98C4"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0.4</w:t>
            </w:r>
          </w:p>
        </w:tc>
        <w:tc>
          <w:tcPr>
            <w:tcW w:w="593" w:type="pct"/>
            <w:shd w:val="clear" w:color="auto" w:fill="auto"/>
            <w:vAlign w:val="center"/>
          </w:tcPr>
          <w:p w14:paraId="26375BC4"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0.0</w:t>
            </w:r>
          </w:p>
        </w:tc>
        <w:tc>
          <w:tcPr>
            <w:tcW w:w="593" w:type="pct"/>
            <w:shd w:val="clear" w:color="auto" w:fill="auto"/>
            <w:vAlign w:val="center"/>
          </w:tcPr>
          <w:p w14:paraId="34C82966"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0.0</w:t>
            </w:r>
          </w:p>
        </w:tc>
        <w:tc>
          <w:tcPr>
            <w:tcW w:w="591" w:type="pct"/>
            <w:shd w:val="clear" w:color="auto" w:fill="auto"/>
            <w:vAlign w:val="center"/>
          </w:tcPr>
          <w:p w14:paraId="7DE8F48F"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color w:val="245F95" w:themeColor="text2"/>
                <w:sz w:val="22"/>
                <w:szCs w:val="22"/>
              </w:rPr>
            </w:pPr>
            <w:r w:rsidRPr="007130AF">
              <w:rPr>
                <w:rFonts w:asciiTheme="minorHAnsi" w:hAnsiTheme="minorHAnsi" w:cs="Calibri"/>
                <w:b/>
                <w:bCs/>
                <w:noProof/>
                <w:color w:val="245F95" w:themeColor="text2"/>
                <w:sz w:val="22"/>
                <w:szCs w:val="22"/>
              </w:rPr>
              <w:t>0.</w:t>
            </w:r>
            <w:r w:rsidRPr="007130AF">
              <w:rPr>
                <w:rFonts w:asciiTheme="minorHAnsi" w:hAnsiTheme="minorHAnsi" w:cs="Calibri"/>
                <w:b/>
                <w:noProof/>
                <w:color w:val="245F95" w:themeColor="text2"/>
                <w:sz w:val="22"/>
                <w:szCs w:val="22"/>
              </w:rPr>
              <w:t>4</w:t>
            </w:r>
          </w:p>
        </w:tc>
      </w:tr>
      <w:tr w:rsidR="006063A7" w:rsidRPr="007130AF" w14:paraId="7F646E14" w14:textId="77777777">
        <w:trPr>
          <w:trHeight w:val="300"/>
        </w:trPr>
        <w:tc>
          <w:tcPr>
            <w:cnfStyle w:val="001000000000" w:firstRow="0" w:lastRow="0" w:firstColumn="1" w:lastColumn="0" w:oddVBand="0" w:evenVBand="0" w:oddHBand="0" w:evenHBand="0" w:firstRowFirstColumn="0" w:firstRowLastColumn="0" w:lastRowFirstColumn="0" w:lastRowLastColumn="0"/>
            <w:tcW w:w="2630" w:type="pct"/>
          </w:tcPr>
          <w:p w14:paraId="108BF4FD" w14:textId="77777777" w:rsidR="006063A7" w:rsidRPr="007130AF" w:rsidRDefault="006063A7" w:rsidP="008F34F9">
            <w:pPr>
              <w:spacing w:after="120"/>
              <w:rPr>
                <w:rFonts w:asciiTheme="minorHAnsi" w:eastAsia="Calibri" w:hAnsiTheme="minorHAnsi"/>
                <w:b w:val="0"/>
                <w:noProof/>
                <w:color w:val="245F95" w:themeColor="text2"/>
                <w:sz w:val="22"/>
                <w:szCs w:val="22"/>
              </w:rPr>
            </w:pPr>
            <w:r w:rsidRPr="007130AF">
              <w:rPr>
                <w:rFonts w:asciiTheme="minorHAnsi" w:eastAsia="Calibri" w:hAnsiTheme="minorHAnsi"/>
                <w:noProof/>
                <w:color w:val="245F95" w:themeColor="text2"/>
                <w:sz w:val="22"/>
                <w:szCs w:val="22"/>
              </w:rPr>
              <w:t>European Recovery and Resilience Facility</w:t>
            </w:r>
          </w:p>
        </w:tc>
        <w:tc>
          <w:tcPr>
            <w:tcW w:w="593" w:type="pct"/>
            <w:shd w:val="clear" w:color="auto" w:fill="auto"/>
            <w:vAlign w:val="center"/>
          </w:tcPr>
          <w:p w14:paraId="6442535E"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noProof/>
                <w:color w:val="000000" w:themeColor="text1"/>
                <w:sz w:val="22"/>
                <w:szCs w:val="22"/>
              </w:rPr>
            </w:pPr>
            <w:r w:rsidRPr="007130AF">
              <w:rPr>
                <w:rFonts w:asciiTheme="minorHAnsi" w:hAnsiTheme="minorHAnsi" w:cs="Calibri"/>
                <w:noProof/>
                <w:color w:val="000000" w:themeColor="text1"/>
                <w:sz w:val="22"/>
                <w:szCs w:val="22"/>
              </w:rPr>
              <w:t>64.9</w:t>
            </w:r>
          </w:p>
        </w:tc>
        <w:tc>
          <w:tcPr>
            <w:tcW w:w="593" w:type="pct"/>
            <w:shd w:val="clear" w:color="auto" w:fill="auto"/>
            <w:vAlign w:val="center"/>
          </w:tcPr>
          <w:p w14:paraId="5F852599"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noProof/>
                <w:color w:val="000000" w:themeColor="text1"/>
                <w:sz w:val="22"/>
                <w:szCs w:val="22"/>
              </w:rPr>
            </w:pPr>
            <w:r w:rsidRPr="007130AF">
              <w:rPr>
                <w:rFonts w:asciiTheme="minorHAnsi" w:hAnsiTheme="minorHAnsi" w:cs="Calibri"/>
                <w:noProof/>
                <w:color w:val="000000" w:themeColor="text1"/>
                <w:sz w:val="22"/>
                <w:szCs w:val="22"/>
              </w:rPr>
              <w:t>70.1</w:t>
            </w:r>
          </w:p>
        </w:tc>
        <w:tc>
          <w:tcPr>
            <w:tcW w:w="593" w:type="pct"/>
            <w:shd w:val="clear" w:color="auto" w:fill="auto"/>
            <w:vAlign w:val="center"/>
          </w:tcPr>
          <w:p w14:paraId="1200405E"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0.0</w:t>
            </w:r>
          </w:p>
        </w:tc>
        <w:tc>
          <w:tcPr>
            <w:tcW w:w="591" w:type="pct"/>
            <w:shd w:val="clear" w:color="auto" w:fill="auto"/>
            <w:vAlign w:val="center"/>
          </w:tcPr>
          <w:p w14:paraId="2EB20B33"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noProof/>
                <w:color w:val="245F95" w:themeColor="text2"/>
                <w:sz w:val="22"/>
                <w:szCs w:val="22"/>
              </w:rPr>
            </w:pPr>
            <w:r w:rsidRPr="007130AF">
              <w:rPr>
                <w:rFonts w:asciiTheme="minorHAnsi" w:hAnsiTheme="minorHAnsi" w:cs="Calibri"/>
                <w:b/>
                <w:bCs/>
                <w:noProof/>
                <w:color w:val="245F95" w:themeColor="text2"/>
                <w:sz w:val="22"/>
                <w:szCs w:val="22"/>
              </w:rPr>
              <w:t>135.</w:t>
            </w:r>
            <w:r w:rsidRPr="007130AF">
              <w:rPr>
                <w:rFonts w:asciiTheme="minorHAnsi" w:hAnsiTheme="minorHAnsi" w:cs="Calibri"/>
                <w:b/>
                <w:noProof/>
                <w:color w:val="245F95" w:themeColor="text2"/>
                <w:sz w:val="22"/>
                <w:szCs w:val="22"/>
              </w:rPr>
              <w:t>0</w:t>
            </w:r>
          </w:p>
        </w:tc>
      </w:tr>
      <w:tr w:rsidR="006063A7" w:rsidRPr="007130AF" w14:paraId="118B2CB9" w14:textId="77777777">
        <w:trPr>
          <w:trHeight w:val="300"/>
        </w:trPr>
        <w:tc>
          <w:tcPr>
            <w:cnfStyle w:val="001000000000" w:firstRow="0" w:lastRow="0" w:firstColumn="1" w:lastColumn="0" w:oddVBand="0" w:evenVBand="0" w:oddHBand="0" w:evenHBand="0" w:firstRowFirstColumn="0" w:firstRowLastColumn="0" w:lastRowFirstColumn="0" w:lastRowLastColumn="0"/>
            <w:tcW w:w="2630" w:type="pct"/>
          </w:tcPr>
          <w:p w14:paraId="18B1DB44" w14:textId="77777777" w:rsidR="006063A7" w:rsidRPr="007130AF" w:rsidRDefault="006063A7" w:rsidP="008F34F9">
            <w:pPr>
              <w:spacing w:after="120"/>
              <w:rPr>
                <w:rFonts w:asciiTheme="minorHAnsi" w:eastAsia="Calibri" w:hAnsiTheme="minorHAnsi"/>
                <w:b w:val="0"/>
                <w:noProof/>
                <w:color w:val="245F95" w:themeColor="text2"/>
                <w:sz w:val="22"/>
                <w:szCs w:val="22"/>
              </w:rPr>
            </w:pPr>
            <w:r w:rsidRPr="007130AF">
              <w:rPr>
                <w:rFonts w:asciiTheme="minorHAnsi" w:eastAsia="Calibri" w:hAnsiTheme="minorHAnsi"/>
                <w:noProof/>
                <w:color w:val="245F95" w:themeColor="text2"/>
                <w:sz w:val="22"/>
                <w:szCs w:val="22"/>
              </w:rPr>
              <w:t>Union Civil Protection Mechanism (RescEU)</w:t>
            </w:r>
          </w:p>
        </w:tc>
        <w:tc>
          <w:tcPr>
            <w:tcW w:w="593" w:type="pct"/>
            <w:shd w:val="clear" w:color="auto" w:fill="auto"/>
            <w:vAlign w:val="center"/>
          </w:tcPr>
          <w:p w14:paraId="7A35915F"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0.2</w:t>
            </w:r>
          </w:p>
        </w:tc>
        <w:tc>
          <w:tcPr>
            <w:tcW w:w="593" w:type="pct"/>
            <w:shd w:val="clear" w:color="auto" w:fill="auto"/>
            <w:vAlign w:val="center"/>
          </w:tcPr>
          <w:p w14:paraId="7416E943"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0.5</w:t>
            </w:r>
          </w:p>
        </w:tc>
        <w:tc>
          <w:tcPr>
            <w:tcW w:w="593" w:type="pct"/>
            <w:shd w:val="clear" w:color="auto" w:fill="auto"/>
            <w:vAlign w:val="center"/>
          </w:tcPr>
          <w:p w14:paraId="2DFFA401"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0.0</w:t>
            </w:r>
          </w:p>
        </w:tc>
        <w:tc>
          <w:tcPr>
            <w:tcW w:w="591" w:type="pct"/>
            <w:shd w:val="clear" w:color="auto" w:fill="auto"/>
            <w:vAlign w:val="center"/>
          </w:tcPr>
          <w:p w14:paraId="43438D29"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color w:val="245F95" w:themeColor="text2"/>
                <w:sz w:val="22"/>
                <w:szCs w:val="22"/>
              </w:rPr>
            </w:pPr>
            <w:r w:rsidRPr="007130AF">
              <w:rPr>
                <w:rFonts w:asciiTheme="minorHAnsi" w:hAnsiTheme="minorHAnsi" w:cs="Calibri"/>
                <w:b/>
                <w:bCs/>
                <w:noProof/>
                <w:color w:val="245F95" w:themeColor="text2"/>
                <w:sz w:val="22"/>
                <w:szCs w:val="22"/>
              </w:rPr>
              <w:t>0.7</w:t>
            </w:r>
          </w:p>
        </w:tc>
      </w:tr>
      <w:tr w:rsidR="006063A7" w:rsidRPr="007130AF" w14:paraId="74AF07E2" w14:textId="77777777">
        <w:trPr>
          <w:trHeight w:val="300"/>
        </w:trPr>
        <w:tc>
          <w:tcPr>
            <w:cnfStyle w:val="001000000000" w:firstRow="0" w:lastRow="0" w:firstColumn="1" w:lastColumn="0" w:oddVBand="0" w:evenVBand="0" w:oddHBand="0" w:evenHBand="0" w:firstRowFirstColumn="0" w:firstRowLastColumn="0" w:lastRowFirstColumn="0" w:lastRowLastColumn="0"/>
            <w:tcW w:w="2630" w:type="pct"/>
          </w:tcPr>
          <w:p w14:paraId="143E2F5F" w14:textId="77777777" w:rsidR="006063A7" w:rsidRPr="007130AF" w:rsidRDefault="006063A7" w:rsidP="008F34F9">
            <w:pPr>
              <w:spacing w:after="120"/>
              <w:rPr>
                <w:rFonts w:asciiTheme="minorHAnsi" w:eastAsia="Calibri" w:hAnsiTheme="minorHAnsi"/>
                <w:b w:val="0"/>
                <w:bCs/>
                <w:noProof/>
                <w:color w:val="245F95" w:themeColor="text2"/>
                <w:sz w:val="22"/>
                <w:szCs w:val="22"/>
              </w:rPr>
            </w:pPr>
            <w:r w:rsidRPr="007130AF">
              <w:rPr>
                <w:rFonts w:asciiTheme="minorHAnsi" w:eastAsia="Calibri" w:hAnsiTheme="minorHAnsi"/>
                <w:noProof/>
                <w:color w:val="245F95" w:themeColor="text2"/>
                <w:sz w:val="22"/>
                <w:szCs w:val="22"/>
              </w:rPr>
              <w:t>European Agricultural Fund for Rural Development (EAFRD)</w:t>
            </w:r>
          </w:p>
        </w:tc>
        <w:tc>
          <w:tcPr>
            <w:tcW w:w="593" w:type="pct"/>
            <w:shd w:val="clear" w:color="auto" w:fill="auto"/>
            <w:vAlign w:val="center"/>
          </w:tcPr>
          <w:p w14:paraId="30ABFC9F"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1.8</w:t>
            </w:r>
          </w:p>
        </w:tc>
        <w:tc>
          <w:tcPr>
            <w:tcW w:w="593" w:type="pct"/>
            <w:shd w:val="clear" w:color="auto" w:fill="auto"/>
            <w:vAlign w:val="center"/>
          </w:tcPr>
          <w:p w14:paraId="51072093"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1.3</w:t>
            </w:r>
          </w:p>
        </w:tc>
        <w:tc>
          <w:tcPr>
            <w:tcW w:w="593" w:type="pct"/>
            <w:shd w:val="clear" w:color="auto" w:fill="auto"/>
            <w:vAlign w:val="center"/>
          </w:tcPr>
          <w:p w14:paraId="197985D1"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0.0</w:t>
            </w:r>
          </w:p>
        </w:tc>
        <w:tc>
          <w:tcPr>
            <w:tcW w:w="591" w:type="pct"/>
            <w:shd w:val="clear" w:color="auto" w:fill="auto"/>
            <w:vAlign w:val="center"/>
          </w:tcPr>
          <w:p w14:paraId="660F514E"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color w:val="245F95" w:themeColor="text2"/>
                <w:sz w:val="22"/>
                <w:szCs w:val="22"/>
              </w:rPr>
            </w:pPr>
            <w:r w:rsidRPr="007130AF">
              <w:rPr>
                <w:rFonts w:asciiTheme="minorHAnsi" w:hAnsiTheme="minorHAnsi" w:cs="Calibri"/>
                <w:b/>
                <w:bCs/>
                <w:noProof/>
                <w:color w:val="245F95" w:themeColor="text2"/>
                <w:sz w:val="22"/>
                <w:szCs w:val="22"/>
              </w:rPr>
              <w:t>3.1</w:t>
            </w:r>
          </w:p>
        </w:tc>
      </w:tr>
      <w:tr w:rsidR="006063A7" w:rsidRPr="007130AF" w14:paraId="00796615" w14:textId="77777777">
        <w:trPr>
          <w:trHeight w:val="300"/>
        </w:trPr>
        <w:tc>
          <w:tcPr>
            <w:cnfStyle w:val="001000000000" w:firstRow="0" w:lastRow="0" w:firstColumn="1" w:lastColumn="0" w:oddVBand="0" w:evenVBand="0" w:oddHBand="0" w:evenHBand="0" w:firstRowFirstColumn="0" w:firstRowLastColumn="0" w:lastRowFirstColumn="0" w:lastRowLastColumn="0"/>
            <w:tcW w:w="2630" w:type="pct"/>
          </w:tcPr>
          <w:p w14:paraId="574BA74A" w14:textId="77777777" w:rsidR="006063A7" w:rsidRPr="007130AF" w:rsidRDefault="006063A7" w:rsidP="008F34F9">
            <w:pPr>
              <w:spacing w:after="120"/>
              <w:rPr>
                <w:rFonts w:asciiTheme="minorHAnsi" w:eastAsia="Calibri" w:hAnsiTheme="minorHAnsi"/>
                <w:b w:val="0"/>
                <w:bCs/>
                <w:noProof/>
                <w:color w:val="245F95" w:themeColor="text2"/>
                <w:sz w:val="22"/>
                <w:szCs w:val="22"/>
              </w:rPr>
            </w:pPr>
            <w:r w:rsidRPr="007130AF">
              <w:rPr>
                <w:rFonts w:asciiTheme="minorHAnsi" w:eastAsia="Calibri" w:hAnsiTheme="minorHAnsi"/>
                <w:noProof/>
                <w:color w:val="245F95" w:themeColor="text2"/>
                <w:sz w:val="22"/>
                <w:szCs w:val="22"/>
              </w:rPr>
              <w:t>Just Transition Fund</w:t>
            </w:r>
          </w:p>
        </w:tc>
        <w:tc>
          <w:tcPr>
            <w:tcW w:w="593" w:type="pct"/>
            <w:shd w:val="clear" w:color="auto" w:fill="auto"/>
            <w:vAlign w:val="center"/>
          </w:tcPr>
          <w:p w14:paraId="0C5DAE62"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1.3</w:t>
            </w:r>
          </w:p>
        </w:tc>
        <w:tc>
          <w:tcPr>
            <w:tcW w:w="593" w:type="pct"/>
            <w:shd w:val="clear" w:color="auto" w:fill="auto"/>
            <w:vAlign w:val="center"/>
          </w:tcPr>
          <w:p w14:paraId="00F799AE"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2.6</w:t>
            </w:r>
          </w:p>
        </w:tc>
        <w:tc>
          <w:tcPr>
            <w:tcW w:w="593" w:type="pct"/>
            <w:shd w:val="clear" w:color="auto" w:fill="auto"/>
            <w:vAlign w:val="center"/>
          </w:tcPr>
          <w:p w14:paraId="35CF64E7"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sidRPr="007130AF">
              <w:rPr>
                <w:rFonts w:asciiTheme="minorHAnsi" w:hAnsiTheme="minorHAnsi" w:cs="Calibri"/>
                <w:noProof/>
                <w:color w:val="000000"/>
                <w:sz w:val="22"/>
                <w:szCs w:val="22"/>
              </w:rPr>
              <w:t>0.0</w:t>
            </w:r>
          </w:p>
        </w:tc>
        <w:tc>
          <w:tcPr>
            <w:tcW w:w="591" w:type="pct"/>
            <w:shd w:val="clear" w:color="auto" w:fill="auto"/>
            <w:vAlign w:val="center"/>
          </w:tcPr>
          <w:p w14:paraId="705ED0B3"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color w:val="245F95" w:themeColor="text2"/>
                <w:sz w:val="22"/>
                <w:szCs w:val="22"/>
              </w:rPr>
            </w:pPr>
            <w:r w:rsidRPr="007130AF">
              <w:rPr>
                <w:rFonts w:asciiTheme="minorHAnsi" w:hAnsiTheme="minorHAnsi" w:cs="Calibri"/>
                <w:b/>
                <w:bCs/>
                <w:noProof/>
                <w:color w:val="245F95" w:themeColor="text2"/>
                <w:sz w:val="22"/>
                <w:szCs w:val="22"/>
              </w:rPr>
              <w:t>3.9</w:t>
            </w:r>
          </w:p>
        </w:tc>
      </w:tr>
      <w:tr w:rsidR="006063A7" w:rsidRPr="007130AF" w14:paraId="5E623F59" w14:textId="77777777">
        <w:trPr>
          <w:trHeight w:val="300"/>
        </w:trPr>
        <w:tc>
          <w:tcPr>
            <w:cnfStyle w:val="001000000000" w:firstRow="0" w:lastRow="0" w:firstColumn="1" w:lastColumn="0" w:oddVBand="0" w:evenVBand="0" w:oddHBand="0" w:evenHBand="0" w:firstRowFirstColumn="0" w:firstRowLastColumn="0" w:lastRowFirstColumn="0" w:lastRowLastColumn="0"/>
            <w:tcW w:w="2630" w:type="pct"/>
            <w:shd w:val="clear" w:color="auto" w:fill="FCE1D9" w:themeFill="accent2" w:themeFillTint="33"/>
          </w:tcPr>
          <w:p w14:paraId="7D7EA521" w14:textId="77777777" w:rsidR="006063A7" w:rsidRPr="007130AF" w:rsidRDefault="006063A7" w:rsidP="008F34F9">
            <w:pPr>
              <w:spacing w:after="120"/>
              <w:rPr>
                <w:rFonts w:asciiTheme="minorHAnsi" w:eastAsia="Calibri" w:hAnsiTheme="minorHAnsi"/>
                <w:noProof/>
                <w:color w:val="245F95" w:themeColor="text2"/>
                <w:sz w:val="22"/>
                <w:szCs w:val="22"/>
              </w:rPr>
            </w:pPr>
            <w:r w:rsidRPr="007130AF">
              <w:rPr>
                <w:rFonts w:asciiTheme="minorHAnsi" w:eastAsia="Calibri" w:hAnsiTheme="minorHAnsi"/>
                <w:noProof/>
                <w:color w:val="245F95" w:themeColor="text2"/>
                <w:sz w:val="22"/>
                <w:szCs w:val="22"/>
              </w:rPr>
              <w:t>Total</w:t>
            </w:r>
          </w:p>
        </w:tc>
        <w:tc>
          <w:tcPr>
            <w:tcW w:w="593" w:type="pct"/>
            <w:shd w:val="clear" w:color="auto" w:fill="FCE1D9" w:themeFill="accent2" w:themeFillTint="33"/>
            <w:vAlign w:val="center"/>
          </w:tcPr>
          <w:p w14:paraId="7E91D82C"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245F95" w:themeColor="text2"/>
                <w:sz w:val="22"/>
                <w:szCs w:val="22"/>
              </w:rPr>
            </w:pPr>
            <w:r w:rsidRPr="007130AF">
              <w:rPr>
                <w:rFonts w:asciiTheme="minorHAnsi" w:hAnsiTheme="minorHAnsi" w:cs="Calibri"/>
                <w:b/>
                <w:bCs/>
                <w:noProof/>
                <w:color w:val="245F95" w:themeColor="text2"/>
                <w:sz w:val="22"/>
                <w:szCs w:val="22"/>
              </w:rPr>
              <w:t>7</w:t>
            </w:r>
            <w:r>
              <w:rPr>
                <w:rFonts w:asciiTheme="minorHAnsi" w:hAnsiTheme="minorHAnsi" w:cs="Calibri"/>
                <w:b/>
                <w:bCs/>
                <w:noProof/>
                <w:color w:val="245F95" w:themeColor="text2"/>
                <w:sz w:val="22"/>
                <w:szCs w:val="22"/>
              </w:rPr>
              <w:t>2</w:t>
            </w:r>
            <w:r w:rsidRPr="007130AF">
              <w:rPr>
                <w:rFonts w:asciiTheme="minorHAnsi" w:hAnsiTheme="minorHAnsi" w:cs="Calibri"/>
                <w:b/>
                <w:bCs/>
                <w:noProof/>
                <w:color w:val="245F95" w:themeColor="text2"/>
                <w:sz w:val="22"/>
                <w:szCs w:val="22"/>
              </w:rPr>
              <w:t>.4</w:t>
            </w:r>
          </w:p>
        </w:tc>
        <w:tc>
          <w:tcPr>
            <w:tcW w:w="593" w:type="pct"/>
            <w:shd w:val="clear" w:color="auto" w:fill="FCE1D9" w:themeFill="accent2" w:themeFillTint="33"/>
            <w:vAlign w:val="center"/>
          </w:tcPr>
          <w:p w14:paraId="3C1F137C"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245F95" w:themeColor="text2"/>
                <w:sz w:val="22"/>
                <w:szCs w:val="22"/>
              </w:rPr>
            </w:pPr>
            <w:r w:rsidRPr="007130AF">
              <w:rPr>
                <w:rFonts w:asciiTheme="minorHAnsi" w:hAnsiTheme="minorHAnsi" w:cs="Calibri"/>
                <w:b/>
                <w:noProof/>
                <w:color w:val="245F95" w:themeColor="text2"/>
                <w:sz w:val="22"/>
                <w:szCs w:val="22"/>
              </w:rPr>
              <w:t>7</w:t>
            </w:r>
            <w:r>
              <w:rPr>
                <w:rFonts w:asciiTheme="minorHAnsi" w:hAnsiTheme="minorHAnsi" w:cs="Calibri"/>
                <w:b/>
                <w:noProof/>
                <w:color w:val="245F95" w:themeColor="text2"/>
                <w:sz w:val="22"/>
                <w:szCs w:val="22"/>
              </w:rPr>
              <w:t>5</w:t>
            </w:r>
            <w:r w:rsidRPr="007130AF">
              <w:rPr>
                <w:rFonts w:asciiTheme="minorHAnsi" w:hAnsiTheme="minorHAnsi" w:cs="Calibri"/>
                <w:b/>
                <w:noProof/>
                <w:color w:val="245F95" w:themeColor="text2"/>
                <w:sz w:val="22"/>
                <w:szCs w:val="22"/>
              </w:rPr>
              <w:t>.</w:t>
            </w:r>
            <w:r>
              <w:rPr>
                <w:rFonts w:asciiTheme="minorHAnsi" w:hAnsiTheme="minorHAnsi" w:cs="Calibri"/>
                <w:b/>
                <w:noProof/>
                <w:color w:val="245F95" w:themeColor="text2"/>
                <w:sz w:val="22"/>
                <w:szCs w:val="22"/>
              </w:rPr>
              <w:t>8</w:t>
            </w:r>
          </w:p>
        </w:tc>
        <w:tc>
          <w:tcPr>
            <w:tcW w:w="593" w:type="pct"/>
            <w:shd w:val="clear" w:color="auto" w:fill="FCE1D9" w:themeFill="accent2" w:themeFillTint="33"/>
            <w:vAlign w:val="center"/>
          </w:tcPr>
          <w:p w14:paraId="0F3B4D7F"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245F95" w:themeColor="text2"/>
                <w:sz w:val="22"/>
                <w:szCs w:val="22"/>
              </w:rPr>
            </w:pPr>
            <w:r w:rsidRPr="007130AF">
              <w:rPr>
                <w:rFonts w:asciiTheme="minorHAnsi" w:hAnsiTheme="minorHAnsi" w:cs="Calibri"/>
                <w:b/>
                <w:bCs/>
                <w:noProof/>
                <w:color w:val="245F95" w:themeColor="text2"/>
                <w:sz w:val="22"/>
                <w:szCs w:val="22"/>
              </w:rPr>
              <w:t>0.0</w:t>
            </w:r>
          </w:p>
        </w:tc>
        <w:tc>
          <w:tcPr>
            <w:tcW w:w="591" w:type="pct"/>
            <w:shd w:val="clear" w:color="auto" w:fill="FCE1D9" w:themeFill="accent2" w:themeFillTint="33"/>
            <w:vAlign w:val="center"/>
          </w:tcPr>
          <w:p w14:paraId="7118C59E"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noProof/>
                <w:color w:val="245F95" w:themeColor="text2"/>
                <w:sz w:val="22"/>
                <w:szCs w:val="22"/>
              </w:rPr>
            </w:pPr>
            <w:r w:rsidRPr="007130AF">
              <w:rPr>
                <w:rFonts w:asciiTheme="minorHAnsi" w:hAnsiTheme="minorHAnsi" w:cs="Calibri"/>
                <w:b/>
                <w:bCs/>
                <w:noProof/>
                <w:color w:val="245F95" w:themeColor="text2"/>
                <w:sz w:val="22"/>
                <w:szCs w:val="22"/>
              </w:rPr>
              <w:t>148.1</w:t>
            </w:r>
          </w:p>
        </w:tc>
      </w:tr>
    </w:tbl>
    <w:p w14:paraId="51EBA2CC" w14:textId="77777777" w:rsidR="00E438BB" w:rsidRPr="00390EB1" w:rsidRDefault="00E438BB">
      <w:pPr>
        <w:rPr>
          <w:noProof/>
        </w:rPr>
        <w:sectPr w:rsidR="00E438BB" w:rsidRPr="00390EB1">
          <w:headerReference w:type="even" r:id="rId30"/>
          <w:headerReference w:type="default" r:id="rId31"/>
          <w:footerReference w:type="even" r:id="rId32"/>
          <w:footerReference w:type="default" r:id="rId33"/>
          <w:headerReference w:type="first" r:id="rId34"/>
          <w:footerReference w:type="first" r:id="rId35"/>
          <w:pgSz w:w="11906" w:h="16838"/>
          <w:pgMar w:top="1321" w:right="1151" w:bottom="1440" w:left="1151" w:header="720" w:footer="720" w:gutter="0"/>
          <w:cols w:space="720"/>
          <w:docGrid w:linePitch="326"/>
        </w:sectPr>
      </w:pPr>
    </w:p>
    <w:p w14:paraId="18A2CCB3" w14:textId="6B041342" w:rsidR="00861C1C" w:rsidRPr="00682537" w:rsidRDefault="2A67BF04" w:rsidP="00682537">
      <w:pPr>
        <w:pStyle w:val="Heading2"/>
        <w:rPr>
          <w:noProof/>
        </w:rPr>
      </w:pPr>
      <w:bookmarkStart w:id="81" w:name="_Toc167194523"/>
      <w:r w:rsidRPr="00390EB1">
        <w:rPr>
          <w:noProof/>
        </w:rPr>
        <w:t>Table 4 – Change in the total outstanding commitments from 202</w:t>
      </w:r>
      <w:r w:rsidR="00EE5939">
        <w:rPr>
          <w:noProof/>
        </w:rPr>
        <w:t>5</w:t>
      </w:r>
      <w:r w:rsidRPr="00390EB1">
        <w:rPr>
          <w:noProof/>
        </w:rPr>
        <w:t xml:space="preserve"> to 202</w:t>
      </w:r>
      <w:r w:rsidR="003A358D">
        <w:rPr>
          <w:noProof/>
        </w:rPr>
        <w:t>7</w:t>
      </w:r>
      <w:bookmarkEnd w:id="81"/>
    </w:p>
    <w:tbl>
      <w:tblPr>
        <w:tblStyle w:val="AMPR2021"/>
        <w:tblpPr w:leftFromText="180" w:rightFromText="180" w:vertAnchor="text" w:horzAnchor="margin" w:tblpY="108"/>
        <w:tblW w:w="5000" w:type="pct"/>
        <w:tblBorders>
          <w:top w:val="none" w:sz="0" w:space="0" w:color="auto"/>
          <w:bottom w:val="none" w:sz="0" w:space="0" w:color="auto"/>
          <w:insideH w:val="single" w:sz="6" w:space="0" w:color="BFBFBF" w:themeColor="background1" w:themeShade="BF"/>
          <w:insideV w:val="single" w:sz="6" w:space="0" w:color="BFBFBF" w:themeColor="background1" w:themeShade="BF"/>
        </w:tblBorders>
        <w:tblLook w:val="06A0" w:firstRow="1" w:lastRow="0" w:firstColumn="1" w:lastColumn="0" w:noHBand="1" w:noVBand="1"/>
      </w:tblPr>
      <w:tblGrid>
        <w:gridCol w:w="1096"/>
        <w:gridCol w:w="1811"/>
        <w:gridCol w:w="1687"/>
        <w:gridCol w:w="1832"/>
        <w:gridCol w:w="1849"/>
        <w:gridCol w:w="1545"/>
      </w:tblGrid>
      <w:tr w:rsidR="002D223B" w:rsidRPr="00390EB1" w14:paraId="7696446C" w14:textId="77777777" w:rsidTr="00A61FE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4" w:type="pct"/>
          </w:tcPr>
          <w:p w14:paraId="141A98F2" w14:textId="77777777" w:rsidR="002D223B" w:rsidRPr="00390EB1" w:rsidRDefault="002D223B" w:rsidP="002D223B">
            <w:pPr>
              <w:rPr>
                <w:rFonts w:eastAsia="Calibri"/>
                <w:noProof/>
                <w:sz w:val="22"/>
                <w:szCs w:val="18"/>
              </w:rPr>
            </w:pPr>
            <w:r w:rsidRPr="00390EB1">
              <w:rPr>
                <w:rFonts w:eastAsia="Calibri"/>
                <w:noProof/>
                <w:sz w:val="22"/>
                <w:szCs w:val="18"/>
              </w:rPr>
              <w:t>Source</w:t>
            </w:r>
          </w:p>
        </w:tc>
        <w:tc>
          <w:tcPr>
            <w:tcW w:w="948" w:type="pct"/>
          </w:tcPr>
          <w:p w14:paraId="5B6A35FB" w14:textId="77777777" w:rsidR="002D223B" w:rsidRPr="00390EB1" w:rsidRDefault="002D223B" w:rsidP="002D223B">
            <w:pPr>
              <w:cnfStyle w:val="100000000000" w:firstRow="1" w:lastRow="0" w:firstColumn="0" w:lastColumn="0" w:oddVBand="0" w:evenVBand="0" w:oddHBand="0" w:evenHBand="0" w:firstRowFirstColumn="0" w:firstRowLastColumn="0" w:lastRowFirstColumn="0" w:lastRowLastColumn="0"/>
              <w:rPr>
                <w:rFonts w:eastAsia="Calibri"/>
                <w:b w:val="0"/>
                <w:noProof/>
                <w:sz w:val="22"/>
                <w:szCs w:val="22"/>
              </w:rPr>
            </w:pPr>
            <w:r w:rsidRPr="00390EB1">
              <w:rPr>
                <w:rFonts w:eastAsia="Calibri"/>
                <w:noProof/>
                <w:sz w:val="22"/>
                <w:szCs w:val="22"/>
              </w:rPr>
              <w:t>RAL start-202</w:t>
            </w:r>
            <w:r>
              <w:rPr>
                <w:rFonts w:eastAsia="Calibri"/>
                <w:noProof/>
                <w:sz w:val="22"/>
                <w:szCs w:val="22"/>
              </w:rPr>
              <w:t>5</w:t>
            </w:r>
            <w:r w:rsidRPr="00390EB1">
              <w:rPr>
                <w:rFonts w:eastAsia="Calibri"/>
                <w:noProof/>
                <w:sz w:val="22"/>
                <w:szCs w:val="22"/>
              </w:rPr>
              <w:t xml:space="preserve"> (estimate)*</w:t>
            </w:r>
          </w:p>
        </w:tc>
        <w:tc>
          <w:tcPr>
            <w:tcW w:w="885" w:type="pct"/>
          </w:tcPr>
          <w:p w14:paraId="14A5D59F" w14:textId="77777777" w:rsidR="002D223B" w:rsidRPr="00390EB1" w:rsidRDefault="002D223B" w:rsidP="002D223B">
            <w:pPr>
              <w:cnfStyle w:val="100000000000" w:firstRow="1" w:lastRow="0" w:firstColumn="0" w:lastColumn="0" w:oddVBand="0" w:evenVBand="0" w:oddHBand="0" w:evenHBand="0" w:firstRowFirstColumn="0" w:firstRowLastColumn="0" w:lastRowFirstColumn="0" w:lastRowLastColumn="0"/>
              <w:rPr>
                <w:rFonts w:eastAsia="Calibri"/>
                <w:noProof/>
                <w:sz w:val="22"/>
                <w:szCs w:val="22"/>
              </w:rPr>
            </w:pPr>
            <w:r w:rsidRPr="00390EB1">
              <w:rPr>
                <w:rFonts w:eastAsia="Calibri"/>
                <w:noProof/>
                <w:sz w:val="22"/>
                <w:szCs w:val="22"/>
              </w:rPr>
              <w:t>Commitments 202</w:t>
            </w:r>
            <w:r>
              <w:rPr>
                <w:rFonts w:eastAsia="Calibri"/>
                <w:noProof/>
                <w:sz w:val="22"/>
                <w:szCs w:val="22"/>
              </w:rPr>
              <w:t>5</w:t>
            </w:r>
            <w:r w:rsidRPr="00390EB1">
              <w:rPr>
                <w:rFonts w:eastAsia="Calibri"/>
                <w:noProof/>
                <w:sz w:val="22"/>
                <w:szCs w:val="22"/>
              </w:rPr>
              <w:t>-2027</w:t>
            </w:r>
          </w:p>
        </w:tc>
        <w:tc>
          <w:tcPr>
            <w:tcW w:w="959" w:type="pct"/>
          </w:tcPr>
          <w:p w14:paraId="3900FCC5" w14:textId="77777777" w:rsidR="002D223B" w:rsidRPr="00390EB1" w:rsidRDefault="002D223B" w:rsidP="002D223B">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sidRPr="00390EB1">
              <w:rPr>
                <w:rFonts w:eastAsia="Calibri"/>
                <w:noProof/>
                <w:sz w:val="22"/>
                <w:szCs w:val="18"/>
              </w:rPr>
              <w:t>Payments 202</w:t>
            </w:r>
            <w:r>
              <w:rPr>
                <w:rFonts w:eastAsia="Calibri"/>
                <w:noProof/>
                <w:sz w:val="22"/>
                <w:szCs w:val="18"/>
              </w:rPr>
              <w:t>5</w:t>
            </w:r>
            <w:r w:rsidRPr="00390EB1">
              <w:rPr>
                <w:rFonts w:eastAsia="Calibri"/>
                <w:noProof/>
                <w:sz w:val="22"/>
                <w:szCs w:val="18"/>
              </w:rPr>
              <w:t>-202</w:t>
            </w:r>
            <w:r>
              <w:rPr>
                <w:rFonts w:eastAsia="Calibri"/>
                <w:noProof/>
                <w:sz w:val="22"/>
                <w:szCs w:val="18"/>
              </w:rPr>
              <w:t>7</w:t>
            </w:r>
          </w:p>
        </w:tc>
        <w:tc>
          <w:tcPr>
            <w:tcW w:w="811" w:type="pct"/>
          </w:tcPr>
          <w:p w14:paraId="75EDDA65" w14:textId="77777777" w:rsidR="002D223B" w:rsidRPr="00390EB1" w:rsidRDefault="002D223B" w:rsidP="002D223B">
            <w:pPr>
              <w:cnfStyle w:val="100000000000" w:firstRow="1" w:lastRow="0" w:firstColumn="0" w:lastColumn="0" w:oddVBand="0" w:evenVBand="0" w:oddHBand="0" w:evenHBand="0" w:firstRowFirstColumn="0" w:firstRowLastColumn="0" w:lastRowFirstColumn="0" w:lastRowLastColumn="0"/>
              <w:rPr>
                <w:rFonts w:eastAsia="Calibri"/>
                <w:b w:val="0"/>
                <w:noProof/>
                <w:sz w:val="22"/>
                <w:szCs w:val="22"/>
              </w:rPr>
            </w:pPr>
            <w:r w:rsidRPr="00390EB1">
              <w:rPr>
                <w:rFonts w:eastAsia="Calibri"/>
                <w:noProof/>
                <w:sz w:val="22"/>
                <w:szCs w:val="22"/>
              </w:rPr>
              <w:t>Decommitments 202</w:t>
            </w:r>
            <w:r>
              <w:rPr>
                <w:rFonts w:eastAsia="Calibri"/>
                <w:noProof/>
                <w:sz w:val="22"/>
                <w:szCs w:val="22"/>
              </w:rPr>
              <w:t>5</w:t>
            </w:r>
            <w:r w:rsidRPr="00390EB1">
              <w:rPr>
                <w:rFonts w:eastAsia="Calibri"/>
                <w:noProof/>
                <w:sz w:val="22"/>
                <w:szCs w:val="22"/>
              </w:rPr>
              <w:t>-2027</w:t>
            </w:r>
          </w:p>
        </w:tc>
        <w:tc>
          <w:tcPr>
            <w:tcW w:w="812" w:type="pct"/>
          </w:tcPr>
          <w:p w14:paraId="40E043CF" w14:textId="77777777" w:rsidR="002D223B" w:rsidRPr="00390EB1" w:rsidRDefault="002D223B" w:rsidP="002D223B">
            <w:pPr>
              <w:cnfStyle w:val="100000000000" w:firstRow="1" w:lastRow="0" w:firstColumn="0" w:lastColumn="0" w:oddVBand="0" w:evenVBand="0" w:oddHBand="0" w:evenHBand="0" w:firstRowFirstColumn="0" w:firstRowLastColumn="0" w:lastRowFirstColumn="0" w:lastRowLastColumn="0"/>
              <w:rPr>
                <w:rFonts w:eastAsia="Calibri"/>
                <w:noProof/>
                <w:sz w:val="22"/>
                <w:szCs w:val="22"/>
              </w:rPr>
            </w:pPr>
            <w:r w:rsidRPr="00390EB1">
              <w:rPr>
                <w:rFonts w:eastAsia="Calibri"/>
                <w:noProof/>
                <w:sz w:val="22"/>
                <w:szCs w:val="22"/>
              </w:rPr>
              <w:t>RAL end-202</w:t>
            </w:r>
            <w:r>
              <w:rPr>
                <w:rFonts w:eastAsia="Calibri"/>
                <w:noProof/>
                <w:sz w:val="22"/>
                <w:szCs w:val="22"/>
              </w:rPr>
              <w:t>7</w:t>
            </w:r>
          </w:p>
        </w:tc>
      </w:tr>
      <w:tr w:rsidR="002D223B" w:rsidRPr="00390EB1" w14:paraId="4DAE745F" w14:textId="77777777" w:rsidTr="00A61FEB">
        <w:trPr>
          <w:trHeight w:val="454"/>
        </w:trPr>
        <w:tc>
          <w:tcPr>
            <w:cnfStyle w:val="001000000000" w:firstRow="0" w:lastRow="0" w:firstColumn="1" w:lastColumn="0" w:oddVBand="0" w:evenVBand="0" w:oddHBand="0" w:evenHBand="0" w:firstRowFirstColumn="0" w:firstRowLastColumn="0" w:lastRowFirstColumn="0" w:lastRowLastColumn="0"/>
            <w:tcW w:w="584" w:type="pct"/>
          </w:tcPr>
          <w:p w14:paraId="7DCBD678" w14:textId="77777777" w:rsidR="002D223B" w:rsidRPr="007C4C2C" w:rsidRDefault="002D223B" w:rsidP="002D223B">
            <w:pPr>
              <w:rPr>
                <w:rFonts w:eastAsia="Calibri"/>
                <w:noProof/>
                <w:color w:val="245F95" w:themeColor="text2"/>
                <w:sz w:val="22"/>
                <w:szCs w:val="18"/>
              </w:rPr>
            </w:pPr>
            <w:r w:rsidRPr="007C4C2C">
              <w:rPr>
                <w:rFonts w:eastAsia="Calibri"/>
                <w:noProof/>
                <w:color w:val="245F95" w:themeColor="text2"/>
                <w:sz w:val="22"/>
                <w:szCs w:val="18"/>
              </w:rPr>
              <w:t xml:space="preserve">MFF </w:t>
            </w:r>
          </w:p>
        </w:tc>
        <w:tc>
          <w:tcPr>
            <w:tcW w:w="948" w:type="pct"/>
            <w:vAlign w:val="bottom"/>
          </w:tcPr>
          <w:p w14:paraId="0FEFC7E3" w14:textId="53D16339"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rFonts w:eastAsia="Calibri"/>
                <w:bCs/>
                <w:noProof/>
                <w:sz w:val="22"/>
                <w:szCs w:val="18"/>
              </w:rPr>
              <w:t>3</w:t>
            </w:r>
            <w:r w:rsidR="00DF6CFA">
              <w:rPr>
                <w:rFonts w:eastAsia="Calibri"/>
                <w:bCs/>
                <w:noProof/>
                <w:sz w:val="22"/>
                <w:szCs w:val="18"/>
              </w:rPr>
              <w:t>25</w:t>
            </w:r>
            <w:r>
              <w:rPr>
                <w:rFonts w:eastAsia="Calibri"/>
                <w:bCs/>
                <w:noProof/>
                <w:sz w:val="22"/>
                <w:szCs w:val="18"/>
              </w:rPr>
              <w:t>.8</w:t>
            </w:r>
          </w:p>
        </w:tc>
        <w:tc>
          <w:tcPr>
            <w:tcW w:w="885" w:type="pct"/>
            <w:vAlign w:val="bottom"/>
          </w:tcPr>
          <w:p w14:paraId="7CD4008A" w14:textId="22D86091"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rFonts w:eastAsia="Calibri"/>
                <w:bCs/>
                <w:noProof/>
                <w:sz w:val="22"/>
                <w:szCs w:val="18"/>
              </w:rPr>
              <w:t>5</w:t>
            </w:r>
            <w:r w:rsidR="00DF6CFA">
              <w:rPr>
                <w:rFonts w:eastAsia="Calibri"/>
                <w:bCs/>
                <w:noProof/>
                <w:sz w:val="22"/>
                <w:szCs w:val="18"/>
              </w:rPr>
              <w:t>83</w:t>
            </w:r>
            <w:r>
              <w:rPr>
                <w:rFonts w:eastAsia="Calibri"/>
                <w:bCs/>
                <w:noProof/>
                <w:sz w:val="22"/>
                <w:szCs w:val="18"/>
              </w:rPr>
              <w:t>.</w:t>
            </w:r>
            <w:r w:rsidR="00886176">
              <w:rPr>
                <w:rFonts w:eastAsia="Calibri"/>
                <w:bCs/>
                <w:noProof/>
                <w:sz w:val="22"/>
                <w:szCs w:val="18"/>
              </w:rPr>
              <w:t>3</w:t>
            </w:r>
          </w:p>
        </w:tc>
        <w:tc>
          <w:tcPr>
            <w:tcW w:w="959" w:type="pct"/>
            <w:vAlign w:val="bottom"/>
          </w:tcPr>
          <w:p w14:paraId="6C25AD5C" w14:textId="193DD593"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22"/>
              </w:rPr>
            </w:pPr>
            <w:r>
              <w:rPr>
                <w:rFonts w:eastAsia="Calibri"/>
                <w:noProof/>
                <w:sz w:val="22"/>
                <w:szCs w:val="22"/>
              </w:rPr>
              <w:t>5</w:t>
            </w:r>
            <w:r w:rsidR="00886176">
              <w:rPr>
                <w:rFonts w:eastAsia="Calibri"/>
                <w:noProof/>
                <w:sz w:val="22"/>
                <w:szCs w:val="22"/>
              </w:rPr>
              <w:t>3</w:t>
            </w:r>
            <w:r w:rsidR="00411C4C">
              <w:rPr>
                <w:rFonts w:eastAsia="Calibri"/>
                <w:noProof/>
                <w:sz w:val="22"/>
                <w:szCs w:val="22"/>
              </w:rPr>
              <w:t>5</w:t>
            </w:r>
            <w:r w:rsidRPr="00390EB1">
              <w:rPr>
                <w:rFonts w:eastAsia="Calibri"/>
                <w:noProof/>
                <w:sz w:val="22"/>
                <w:szCs w:val="22"/>
              </w:rPr>
              <w:t>.</w:t>
            </w:r>
            <w:r w:rsidR="002120BF">
              <w:rPr>
                <w:rFonts w:eastAsia="Calibri"/>
                <w:noProof/>
                <w:sz w:val="22"/>
                <w:szCs w:val="22"/>
              </w:rPr>
              <w:t>6</w:t>
            </w:r>
          </w:p>
        </w:tc>
        <w:tc>
          <w:tcPr>
            <w:tcW w:w="811" w:type="pct"/>
            <w:vAlign w:val="bottom"/>
          </w:tcPr>
          <w:p w14:paraId="7C788CBE" w14:textId="3C33248B"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22"/>
              </w:rPr>
            </w:pPr>
            <w:r>
              <w:rPr>
                <w:rFonts w:eastAsia="Calibri"/>
                <w:noProof/>
                <w:sz w:val="22"/>
                <w:szCs w:val="22"/>
              </w:rPr>
              <w:t>8</w:t>
            </w:r>
            <w:r w:rsidRPr="00390EB1">
              <w:rPr>
                <w:rFonts w:eastAsia="Calibri"/>
                <w:noProof/>
                <w:sz w:val="22"/>
                <w:szCs w:val="22"/>
              </w:rPr>
              <w:t>.</w:t>
            </w:r>
            <w:r w:rsidR="00411C4C">
              <w:rPr>
                <w:rFonts w:eastAsia="Calibri"/>
                <w:noProof/>
                <w:sz w:val="22"/>
                <w:szCs w:val="22"/>
              </w:rPr>
              <w:t>8</w:t>
            </w:r>
          </w:p>
        </w:tc>
        <w:tc>
          <w:tcPr>
            <w:tcW w:w="812" w:type="pct"/>
            <w:vAlign w:val="bottom"/>
          </w:tcPr>
          <w:p w14:paraId="37BC4BA3" w14:textId="76CFC361" w:rsidR="002D223B" w:rsidRPr="00390EB1" w:rsidRDefault="00AB21AC"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22"/>
              </w:rPr>
            </w:pPr>
            <w:r>
              <w:rPr>
                <w:rFonts w:eastAsia="Calibri"/>
                <w:noProof/>
                <w:sz w:val="22"/>
                <w:szCs w:val="22"/>
              </w:rPr>
              <w:t>36</w:t>
            </w:r>
            <w:r w:rsidR="002120BF">
              <w:rPr>
                <w:rFonts w:eastAsia="Calibri"/>
                <w:noProof/>
                <w:sz w:val="22"/>
                <w:szCs w:val="22"/>
              </w:rPr>
              <w:t>4</w:t>
            </w:r>
            <w:r w:rsidR="002D223B" w:rsidRPr="00390EB1">
              <w:rPr>
                <w:rFonts w:eastAsia="Calibri"/>
                <w:noProof/>
                <w:sz w:val="22"/>
                <w:szCs w:val="22"/>
              </w:rPr>
              <w:t>.</w:t>
            </w:r>
            <w:r w:rsidR="002120BF">
              <w:rPr>
                <w:rFonts w:eastAsia="Calibri"/>
                <w:noProof/>
                <w:sz w:val="22"/>
                <w:szCs w:val="22"/>
              </w:rPr>
              <w:t>7</w:t>
            </w:r>
          </w:p>
        </w:tc>
      </w:tr>
      <w:tr w:rsidR="002D223B" w:rsidRPr="00390EB1" w14:paraId="272C14B4" w14:textId="77777777" w:rsidTr="00A61FEB">
        <w:trPr>
          <w:trHeight w:val="454"/>
        </w:trPr>
        <w:tc>
          <w:tcPr>
            <w:cnfStyle w:val="001000000000" w:firstRow="0" w:lastRow="0" w:firstColumn="1" w:lastColumn="0" w:oddVBand="0" w:evenVBand="0" w:oddHBand="0" w:evenHBand="0" w:firstRowFirstColumn="0" w:firstRowLastColumn="0" w:lastRowFirstColumn="0" w:lastRowLastColumn="0"/>
            <w:tcW w:w="584" w:type="pct"/>
          </w:tcPr>
          <w:p w14:paraId="38B33748" w14:textId="77777777" w:rsidR="002D223B" w:rsidRPr="007C4C2C" w:rsidRDefault="002D223B" w:rsidP="002D223B">
            <w:pPr>
              <w:rPr>
                <w:rFonts w:eastAsia="Calibri"/>
                <w:noProof/>
                <w:color w:val="245F95" w:themeColor="text2"/>
                <w:sz w:val="22"/>
                <w:szCs w:val="18"/>
              </w:rPr>
            </w:pPr>
            <w:r w:rsidRPr="007C4C2C">
              <w:rPr>
                <w:rFonts w:eastAsia="Calibri"/>
                <w:noProof/>
                <w:color w:val="245F95" w:themeColor="text2"/>
                <w:sz w:val="22"/>
                <w:szCs w:val="18"/>
              </w:rPr>
              <w:t xml:space="preserve">NGEU </w:t>
            </w:r>
          </w:p>
        </w:tc>
        <w:tc>
          <w:tcPr>
            <w:tcW w:w="948" w:type="pct"/>
            <w:vAlign w:val="bottom"/>
          </w:tcPr>
          <w:p w14:paraId="4E5C85AB" w14:textId="77777777"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rFonts w:eastAsia="Calibri"/>
                <w:noProof/>
                <w:sz w:val="22"/>
                <w:szCs w:val="18"/>
              </w:rPr>
              <w:t>148.0</w:t>
            </w:r>
          </w:p>
        </w:tc>
        <w:tc>
          <w:tcPr>
            <w:tcW w:w="885" w:type="pct"/>
            <w:vAlign w:val="bottom"/>
          </w:tcPr>
          <w:p w14:paraId="4E80DA05" w14:textId="77777777"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rFonts w:eastAsia="Calibri"/>
                <w:noProof/>
                <w:sz w:val="22"/>
                <w:szCs w:val="18"/>
              </w:rPr>
              <w:t>0.1</w:t>
            </w:r>
          </w:p>
        </w:tc>
        <w:tc>
          <w:tcPr>
            <w:tcW w:w="959" w:type="pct"/>
            <w:vAlign w:val="bottom"/>
          </w:tcPr>
          <w:p w14:paraId="4038D70B" w14:textId="77777777"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rFonts w:eastAsia="Calibri"/>
                <w:noProof/>
                <w:sz w:val="22"/>
                <w:szCs w:val="18"/>
              </w:rPr>
              <w:t>148.1</w:t>
            </w:r>
          </w:p>
        </w:tc>
        <w:tc>
          <w:tcPr>
            <w:tcW w:w="811" w:type="pct"/>
            <w:vAlign w:val="bottom"/>
          </w:tcPr>
          <w:p w14:paraId="5F9EAA0B" w14:textId="77777777"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p>
        </w:tc>
        <w:tc>
          <w:tcPr>
            <w:tcW w:w="812" w:type="pct"/>
            <w:vAlign w:val="bottom"/>
          </w:tcPr>
          <w:p w14:paraId="64EE5B29" w14:textId="77777777"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p>
        </w:tc>
      </w:tr>
      <w:tr w:rsidR="002D223B" w:rsidRPr="00390EB1" w14:paraId="677F038C" w14:textId="77777777" w:rsidTr="00A61FEB">
        <w:trPr>
          <w:trHeight w:val="454"/>
        </w:trPr>
        <w:tc>
          <w:tcPr>
            <w:cnfStyle w:val="001000000000" w:firstRow="0" w:lastRow="0" w:firstColumn="1" w:lastColumn="0" w:oddVBand="0" w:evenVBand="0" w:oddHBand="0" w:evenHBand="0" w:firstRowFirstColumn="0" w:firstRowLastColumn="0" w:lastRowFirstColumn="0" w:lastRowLastColumn="0"/>
            <w:tcW w:w="584" w:type="pct"/>
            <w:shd w:val="clear" w:color="auto" w:fill="FCE1D9" w:themeFill="accent2" w:themeFillTint="33"/>
          </w:tcPr>
          <w:p w14:paraId="61230AF1" w14:textId="77777777" w:rsidR="002D223B" w:rsidRPr="007C4C2C" w:rsidRDefault="002D223B" w:rsidP="002D223B">
            <w:pPr>
              <w:rPr>
                <w:rFonts w:eastAsia="Calibri"/>
                <w:noProof/>
                <w:color w:val="245F95" w:themeColor="text2"/>
                <w:sz w:val="22"/>
                <w:szCs w:val="18"/>
              </w:rPr>
            </w:pPr>
            <w:r w:rsidRPr="007C4C2C">
              <w:rPr>
                <w:rFonts w:eastAsia="Calibri"/>
                <w:noProof/>
                <w:color w:val="245F95" w:themeColor="text2"/>
                <w:sz w:val="22"/>
                <w:szCs w:val="18"/>
              </w:rPr>
              <w:t>Total</w:t>
            </w:r>
          </w:p>
        </w:tc>
        <w:tc>
          <w:tcPr>
            <w:tcW w:w="948" w:type="pct"/>
            <w:shd w:val="clear" w:color="auto" w:fill="FCE1D9" w:themeFill="accent2" w:themeFillTint="33"/>
            <w:vAlign w:val="bottom"/>
          </w:tcPr>
          <w:p w14:paraId="18679951" w14:textId="45513B27"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rFonts w:eastAsia="Calibri"/>
                <w:b/>
                <w:noProof/>
                <w:sz w:val="22"/>
                <w:szCs w:val="18"/>
              </w:rPr>
              <w:t>4</w:t>
            </w:r>
            <w:r w:rsidR="00FC6B58">
              <w:rPr>
                <w:rFonts w:eastAsia="Calibri"/>
                <w:b/>
                <w:noProof/>
                <w:sz w:val="22"/>
                <w:szCs w:val="18"/>
              </w:rPr>
              <w:t>7</w:t>
            </w:r>
            <w:r w:rsidR="00886176">
              <w:rPr>
                <w:rFonts w:eastAsia="Calibri"/>
                <w:b/>
                <w:noProof/>
                <w:sz w:val="22"/>
                <w:szCs w:val="18"/>
              </w:rPr>
              <w:t>3</w:t>
            </w:r>
            <w:r>
              <w:rPr>
                <w:rFonts w:eastAsia="Calibri"/>
                <w:b/>
                <w:noProof/>
                <w:sz w:val="22"/>
                <w:szCs w:val="18"/>
              </w:rPr>
              <w:t>.</w:t>
            </w:r>
            <w:r w:rsidR="00886176">
              <w:rPr>
                <w:rFonts w:eastAsia="Calibri"/>
                <w:b/>
                <w:noProof/>
                <w:sz w:val="22"/>
                <w:szCs w:val="18"/>
              </w:rPr>
              <w:t>9</w:t>
            </w:r>
          </w:p>
        </w:tc>
        <w:tc>
          <w:tcPr>
            <w:tcW w:w="885" w:type="pct"/>
            <w:shd w:val="clear" w:color="auto" w:fill="FCE1D9" w:themeFill="accent2" w:themeFillTint="33"/>
            <w:vAlign w:val="bottom"/>
          </w:tcPr>
          <w:p w14:paraId="59718321" w14:textId="5BC43F74"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rFonts w:eastAsia="Calibri"/>
                <w:b/>
                <w:noProof/>
                <w:sz w:val="22"/>
                <w:szCs w:val="18"/>
              </w:rPr>
              <w:t>5</w:t>
            </w:r>
            <w:r w:rsidR="00886176">
              <w:rPr>
                <w:rFonts w:eastAsia="Calibri"/>
                <w:b/>
                <w:noProof/>
                <w:sz w:val="22"/>
                <w:szCs w:val="18"/>
              </w:rPr>
              <w:t>83</w:t>
            </w:r>
            <w:r>
              <w:rPr>
                <w:rFonts w:eastAsia="Calibri"/>
                <w:b/>
                <w:noProof/>
                <w:sz w:val="22"/>
                <w:szCs w:val="18"/>
              </w:rPr>
              <w:t>.</w:t>
            </w:r>
            <w:r w:rsidR="00886176">
              <w:rPr>
                <w:rFonts w:eastAsia="Calibri"/>
                <w:b/>
                <w:noProof/>
                <w:sz w:val="22"/>
                <w:szCs w:val="18"/>
              </w:rPr>
              <w:t>4</w:t>
            </w:r>
          </w:p>
        </w:tc>
        <w:tc>
          <w:tcPr>
            <w:tcW w:w="959" w:type="pct"/>
            <w:shd w:val="clear" w:color="auto" w:fill="FCE1D9" w:themeFill="accent2" w:themeFillTint="33"/>
            <w:vAlign w:val="bottom"/>
          </w:tcPr>
          <w:p w14:paraId="72C0667F" w14:textId="32B9CA50"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sz w:val="22"/>
                <w:szCs w:val="22"/>
              </w:rPr>
            </w:pPr>
            <w:r>
              <w:rPr>
                <w:rFonts w:eastAsia="Calibri"/>
                <w:b/>
                <w:bCs/>
                <w:noProof/>
                <w:sz w:val="22"/>
                <w:szCs w:val="22"/>
              </w:rPr>
              <w:t>6</w:t>
            </w:r>
            <w:r w:rsidR="00886176">
              <w:rPr>
                <w:rFonts w:eastAsia="Calibri"/>
                <w:b/>
                <w:bCs/>
                <w:noProof/>
                <w:sz w:val="22"/>
                <w:szCs w:val="22"/>
              </w:rPr>
              <w:t>8</w:t>
            </w:r>
            <w:r w:rsidR="00DC7273">
              <w:rPr>
                <w:rFonts w:eastAsia="Calibri"/>
                <w:b/>
                <w:bCs/>
                <w:noProof/>
                <w:sz w:val="22"/>
                <w:szCs w:val="22"/>
              </w:rPr>
              <w:t>3</w:t>
            </w:r>
            <w:r>
              <w:rPr>
                <w:rFonts w:eastAsia="Calibri"/>
                <w:b/>
                <w:bCs/>
                <w:noProof/>
                <w:sz w:val="22"/>
                <w:szCs w:val="22"/>
              </w:rPr>
              <w:t>.</w:t>
            </w:r>
            <w:r w:rsidR="002120BF">
              <w:rPr>
                <w:rFonts w:eastAsia="Calibri"/>
                <w:b/>
                <w:bCs/>
                <w:noProof/>
                <w:sz w:val="22"/>
                <w:szCs w:val="22"/>
              </w:rPr>
              <w:t>8</w:t>
            </w:r>
          </w:p>
        </w:tc>
        <w:tc>
          <w:tcPr>
            <w:tcW w:w="811" w:type="pct"/>
            <w:shd w:val="clear" w:color="auto" w:fill="FCE1D9" w:themeFill="accent2" w:themeFillTint="33"/>
            <w:vAlign w:val="bottom"/>
          </w:tcPr>
          <w:p w14:paraId="5A290A59" w14:textId="68D6EB5C"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sz w:val="22"/>
                <w:szCs w:val="22"/>
              </w:rPr>
            </w:pPr>
            <w:r>
              <w:rPr>
                <w:rFonts w:eastAsia="Calibri"/>
                <w:b/>
                <w:bCs/>
                <w:noProof/>
                <w:sz w:val="22"/>
                <w:szCs w:val="22"/>
              </w:rPr>
              <w:t>8.</w:t>
            </w:r>
            <w:r w:rsidR="00DC7273">
              <w:rPr>
                <w:rFonts w:eastAsia="Calibri"/>
                <w:b/>
                <w:bCs/>
                <w:noProof/>
                <w:sz w:val="22"/>
                <w:szCs w:val="22"/>
              </w:rPr>
              <w:t>8</w:t>
            </w:r>
          </w:p>
        </w:tc>
        <w:tc>
          <w:tcPr>
            <w:tcW w:w="812" w:type="pct"/>
            <w:shd w:val="clear" w:color="auto" w:fill="FCE1D9" w:themeFill="accent2" w:themeFillTint="33"/>
            <w:vAlign w:val="bottom"/>
          </w:tcPr>
          <w:p w14:paraId="737EEE0B" w14:textId="6A69D42F"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sz w:val="22"/>
                <w:szCs w:val="22"/>
              </w:rPr>
            </w:pPr>
            <w:r>
              <w:rPr>
                <w:rFonts w:eastAsia="Calibri"/>
                <w:b/>
                <w:bCs/>
                <w:noProof/>
                <w:sz w:val="22"/>
                <w:szCs w:val="22"/>
              </w:rPr>
              <w:t>3</w:t>
            </w:r>
            <w:r w:rsidR="001756CA">
              <w:rPr>
                <w:rFonts w:eastAsia="Calibri"/>
                <w:b/>
                <w:bCs/>
                <w:noProof/>
                <w:sz w:val="22"/>
                <w:szCs w:val="22"/>
              </w:rPr>
              <w:t>6</w:t>
            </w:r>
            <w:r w:rsidR="002120BF">
              <w:rPr>
                <w:rFonts w:eastAsia="Calibri"/>
                <w:b/>
                <w:bCs/>
                <w:noProof/>
                <w:sz w:val="22"/>
                <w:szCs w:val="22"/>
              </w:rPr>
              <w:t>4</w:t>
            </w:r>
            <w:r>
              <w:rPr>
                <w:rFonts w:eastAsia="Calibri"/>
                <w:b/>
                <w:bCs/>
                <w:noProof/>
                <w:sz w:val="22"/>
                <w:szCs w:val="22"/>
              </w:rPr>
              <w:t>.</w:t>
            </w:r>
            <w:r w:rsidR="002120BF">
              <w:rPr>
                <w:rFonts w:eastAsia="Calibri"/>
                <w:b/>
                <w:bCs/>
                <w:noProof/>
                <w:sz w:val="22"/>
                <w:szCs w:val="22"/>
              </w:rPr>
              <w:t>7</w:t>
            </w:r>
          </w:p>
        </w:tc>
      </w:tr>
    </w:tbl>
    <w:p w14:paraId="1BEC179E" w14:textId="430451B1" w:rsidR="00682537" w:rsidRPr="006F4008" w:rsidRDefault="00682537" w:rsidP="00682537">
      <w:pPr>
        <w:rPr>
          <w:i/>
          <w:noProof/>
          <w:sz w:val="16"/>
          <w:szCs w:val="16"/>
        </w:rPr>
      </w:pPr>
      <w:r w:rsidRPr="006F4008">
        <w:rPr>
          <w:i/>
          <w:noProof/>
          <w:sz w:val="16"/>
          <w:szCs w:val="16"/>
        </w:rPr>
        <w:t xml:space="preserve">* The RAL at the start of 2025 includes </w:t>
      </w:r>
      <w:r w:rsidR="008D5210" w:rsidRPr="006F4008">
        <w:rPr>
          <w:i/>
          <w:noProof/>
          <w:sz w:val="16"/>
          <w:szCs w:val="16"/>
        </w:rPr>
        <w:t>EUR</w:t>
      </w:r>
      <w:r w:rsidR="008D5210">
        <w:rPr>
          <w:rFonts w:ascii="Calibri" w:hAnsi="Calibri" w:cs="Calibri"/>
          <w:i/>
          <w:noProof/>
          <w:sz w:val="16"/>
          <w:szCs w:val="16"/>
        </w:rPr>
        <w:t> </w:t>
      </w:r>
      <w:r w:rsidRPr="006F4008">
        <w:rPr>
          <w:i/>
          <w:noProof/>
          <w:sz w:val="16"/>
          <w:szCs w:val="16"/>
        </w:rPr>
        <w:t>19.7</w:t>
      </w:r>
      <w:r w:rsidR="008D5210">
        <w:rPr>
          <w:rFonts w:ascii="Calibri" w:hAnsi="Calibri" w:cs="Calibri"/>
          <w:i/>
          <w:noProof/>
          <w:sz w:val="16"/>
          <w:szCs w:val="16"/>
        </w:rPr>
        <w:t> </w:t>
      </w:r>
      <w:r w:rsidRPr="006F4008">
        <w:rPr>
          <w:i/>
          <w:noProof/>
          <w:sz w:val="16"/>
          <w:szCs w:val="16"/>
        </w:rPr>
        <w:t>billion generated from external assigned revenues (excluding NextGenerationEU), which is not included in the table.</w:t>
      </w:r>
    </w:p>
    <w:p w14:paraId="4B52C085" w14:textId="22626301" w:rsidR="00682537" w:rsidRPr="006F4008" w:rsidRDefault="00682537" w:rsidP="00682537">
      <w:pPr>
        <w:rPr>
          <w:i/>
          <w:noProof/>
          <w:sz w:val="16"/>
          <w:szCs w:val="16"/>
        </w:rPr>
      </w:pPr>
      <w:r w:rsidRPr="006F4008">
        <w:rPr>
          <w:i/>
          <w:noProof/>
          <w:sz w:val="16"/>
          <w:szCs w:val="16"/>
        </w:rPr>
        <w:t>* Internal assigned revenues are not counted.</w:t>
      </w:r>
    </w:p>
    <w:p w14:paraId="4C0F8082" w14:textId="77777777" w:rsidR="00682537" w:rsidRPr="00682537" w:rsidRDefault="00682537" w:rsidP="00682537">
      <w:pPr>
        <w:rPr>
          <w:noProof/>
        </w:rPr>
      </w:pPr>
      <w:bookmarkStart w:id="82" w:name="_Toc74236911"/>
      <w:bookmarkStart w:id="83" w:name="_Hlk134032462"/>
      <w:r w:rsidRPr="00682537">
        <w:rPr>
          <w:noProof/>
        </w:rPr>
        <w:br w:type="page"/>
      </w:r>
    </w:p>
    <w:p w14:paraId="505EF06B" w14:textId="075B95F0" w:rsidR="00493A2E" w:rsidRDefault="003B6DC2" w:rsidP="00BD74A7">
      <w:pPr>
        <w:pStyle w:val="Heading2"/>
        <w:rPr>
          <w:noProof/>
        </w:rPr>
      </w:pPr>
      <w:bookmarkStart w:id="84" w:name="_Toc167194524"/>
      <w:r w:rsidRPr="329E56B9">
        <w:rPr>
          <w:noProof/>
        </w:rPr>
        <w:t xml:space="preserve">Table 5 – Long-term forecast of future inflows of the EU budget over </w:t>
      </w:r>
      <w:bookmarkEnd w:id="82"/>
      <w:r w:rsidR="00F8420C" w:rsidRPr="329E56B9">
        <w:rPr>
          <w:noProof/>
        </w:rPr>
        <w:t>202</w:t>
      </w:r>
      <w:r w:rsidR="005F4E92">
        <w:rPr>
          <w:noProof/>
        </w:rPr>
        <w:t>5</w:t>
      </w:r>
      <w:r w:rsidR="00F8420C" w:rsidRPr="329E56B9">
        <w:rPr>
          <w:noProof/>
        </w:rPr>
        <w:t>-202</w:t>
      </w:r>
      <w:r w:rsidR="005F4E92">
        <w:rPr>
          <w:noProof/>
        </w:rPr>
        <w:t>9</w:t>
      </w:r>
      <w:bookmarkEnd w:id="84"/>
    </w:p>
    <w:tbl>
      <w:tblPr>
        <w:tblW w:w="5000" w:type="pct"/>
        <w:tblLayout w:type="fixed"/>
        <w:tblLook w:val="04A0" w:firstRow="1" w:lastRow="0" w:firstColumn="1" w:lastColumn="0" w:noHBand="0" w:noVBand="1"/>
      </w:tblPr>
      <w:tblGrid>
        <w:gridCol w:w="3088"/>
        <w:gridCol w:w="567"/>
        <w:gridCol w:w="1028"/>
        <w:gridCol w:w="1028"/>
        <w:gridCol w:w="1028"/>
        <w:gridCol w:w="1027"/>
        <w:gridCol w:w="1027"/>
        <w:gridCol w:w="1027"/>
      </w:tblGrid>
      <w:tr w:rsidR="0050317D" w:rsidRPr="006437CF" w14:paraId="2BD03258" w14:textId="77777777" w:rsidTr="005301DF">
        <w:trPr>
          <w:trHeight w:val="300"/>
        </w:trPr>
        <w:tc>
          <w:tcPr>
            <w:tcW w:w="1571" w:type="pct"/>
            <w:tcBorders>
              <w:bottom w:val="single" w:sz="6" w:space="0" w:color="BFBFBF" w:themeColor="background1" w:themeShade="BF"/>
              <w:right w:val="single" w:sz="6" w:space="0" w:color="BFBFBF" w:themeColor="background1" w:themeShade="BF"/>
            </w:tcBorders>
            <w:shd w:val="clear" w:color="auto" w:fill="245F95" w:themeFill="text2"/>
            <w:vAlign w:val="center"/>
          </w:tcPr>
          <w:p w14:paraId="5A67E2BA" w14:textId="3EE31C0B" w:rsidR="00EB0E9F" w:rsidRPr="006437CF" w:rsidRDefault="006437CF" w:rsidP="006437CF">
            <w:pPr>
              <w:spacing w:before="100" w:after="100"/>
              <w:rPr>
                <w:b/>
                <w:iCs/>
                <w:noProof/>
                <w:color w:val="FFFFFF" w:themeColor="background1"/>
              </w:rPr>
            </w:pPr>
            <w:r w:rsidRPr="006437CF">
              <w:rPr>
                <w:rFonts w:asciiTheme="minorHAnsi" w:hAnsiTheme="minorHAnsi"/>
                <w:b/>
                <w:iCs/>
                <w:noProof/>
                <w:color w:val="FFFFFF" w:themeColor="background1"/>
                <w:sz w:val="22"/>
                <w:szCs w:val="22"/>
              </w:rPr>
              <w:t>INFLOWS</w:t>
            </w:r>
          </w:p>
        </w:tc>
        <w:tc>
          <w:tcPr>
            <w:tcW w:w="288" w:type="pct"/>
            <w:tcBorders>
              <w:bottom w:val="single" w:sz="6" w:space="0" w:color="BFBFBF" w:themeColor="background1" w:themeShade="BF"/>
              <w:right w:val="single" w:sz="6" w:space="0" w:color="BFBFBF" w:themeColor="background1" w:themeShade="BF"/>
            </w:tcBorders>
            <w:shd w:val="clear" w:color="auto" w:fill="245F95" w:themeFill="text2"/>
            <w:vAlign w:val="center"/>
          </w:tcPr>
          <w:p w14:paraId="5E71E730" w14:textId="77777777" w:rsidR="00EB0E9F" w:rsidRPr="006437CF" w:rsidRDefault="00EB0E9F" w:rsidP="000D6B02">
            <w:pPr>
              <w:spacing w:before="100" w:after="100"/>
              <w:jc w:val="center"/>
              <w:rPr>
                <w:b/>
                <w:iCs/>
                <w:noProof/>
                <w:color w:val="FFFFFF" w:themeColor="background1"/>
              </w:rPr>
            </w:pPr>
          </w:p>
        </w:tc>
        <w:tc>
          <w:tcPr>
            <w:tcW w:w="523" w:type="pct"/>
            <w:tcBorders>
              <w:bottom w:val="single" w:sz="6" w:space="0" w:color="BFBFBF" w:themeColor="background1" w:themeShade="BF"/>
              <w:right w:val="single" w:sz="6" w:space="0" w:color="BFBFBF" w:themeColor="background1" w:themeShade="BF"/>
            </w:tcBorders>
            <w:shd w:val="clear" w:color="auto" w:fill="245F95" w:themeFill="text2"/>
            <w:vAlign w:val="center"/>
          </w:tcPr>
          <w:p w14:paraId="52BF12AC" w14:textId="400CF921" w:rsidR="00EB0E9F" w:rsidRPr="006437CF" w:rsidRDefault="00EB0E9F" w:rsidP="005301DF">
            <w:pPr>
              <w:spacing w:before="100" w:after="100"/>
              <w:jc w:val="center"/>
              <w:rPr>
                <w:b/>
                <w:iCs/>
                <w:noProof/>
                <w:color w:val="FFFFFF" w:themeColor="background1"/>
              </w:rPr>
            </w:pPr>
            <w:r w:rsidRPr="006437CF">
              <w:rPr>
                <w:rFonts w:asciiTheme="minorHAnsi" w:hAnsiTheme="minorHAnsi"/>
                <w:b/>
                <w:iCs/>
                <w:noProof/>
                <w:color w:val="FFFFFF" w:themeColor="background1"/>
                <w:sz w:val="22"/>
                <w:szCs w:val="22"/>
              </w:rPr>
              <w:t>2025</w:t>
            </w:r>
          </w:p>
        </w:tc>
        <w:tc>
          <w:tcPr>
            <w:tcW w:w="523" w:type="pct"/>
            <w:tcBorders>
              <w:bottom w:val="single" w:sz="6" w:space="0" w:color="BFBFBF" w:themeColor="background1" w:themeShade="BF"/>
              <w:right w:val="single" w:sz="6" w:space="0" w:color="BFBFBF" w:themeColor="background1" w:themeShade="BF"/>
            </w:tcBorders>
            <w:shd w:val="clear" w:color="auto" w:fill="245F95" w:themeFill="text2"/>
            <w:vAlign w:val="center"/>
          </w:tcPr>
          <w:p w14:paraId="073C4274" w14:textId="4CBE2ED8" w:rsidR="00EB0E9F" w:rsidRPr="006437CF" w:rsidRDefault="00EB0E9F" w:rsidP="005301DF">
            <w:pPr>
              <w:spacing w:before="100" w:after="100"/>
              <w:jc w:val="center"/>
              <w:rPr>
                <w:b/>
                <w:iCs/>
                <w:noProof/>
                <w:color w:val="FFFFFF" w:themeColor="background1"/>
              </w:rPr>
            </w:pPr>
            <w:r w:rsidRPr="006437CF">
              <w:rPr>
                <w:rFonts w:asciiTheme="minorHAnsi" w:hAnsiTheme="minorHAnsi"/>
                <w:b/>
                <w:iCs/>
                <w:noProof/>
                <w:color w:val="FFFFFF" w:themeColor="background1"/>
                <w:sz w:val="22"/>
                <w:szCs w:val="22"/>
              </w:rPr>
              <w:t>2026</w:t>
            </w:r>
          </w:p>
        </w:tc>
        <w:tc>
          <w:tcPr>
            <w:tcW w:w="523" w:type="pct"/>
            <w:tcBorders>
              <w:bottom w:val="single" w:sz="6" w:space="0" w:color="BFBFBF" w:themeColor="background1" w:themeShade="BF"/>
              <w:right w:val="single" w:sz="6" w:space="0" w:color="BFBFBF" w:themeColor="background1" w:themeShade="BF"/>
            </w:tcBorders>
            <w:shd w:val="clear" w:color="auto" w:fill="245F95" w:themeFill="text2"/>
            <w:vAlign w:val="center"/>
          </w:tcPr>
          <w:p w14:paraId="2DCE1A2F" w14:textId="3717F5BA" w:rsidR="00EB0E9F" w:rsidRPr="006437CF" w:rsidRDefault="00EB0E9F" w:rsidP="005301DF">
            <w:pPr>
              <w:spacing w:before="100" w:after="100"/>
              <w:jc w:val="center"/>
              <w:rPr>
                <w:b/>
                <w:iCs/>
                <w:noProof/>
                <w:color w:val="FFFFFF" w:themeColor="background1"/>
              </w:rPr>
            </w:pPr>
            <w:r w:rsidRPr="006437CF">
              <w:rPr>
                <w:rFonts w:asciiTheme="minorHAnsi" w:hAnsiTheme="minorHAnsi"/>
                <w:b/>
                <w:iCs/>
                <w:noProof/>
                <w:color w:val="FFFFFF" w:themeColor="background1"/>
                <w:sz w:val="22"/>
                <w:szCs w:val="22"/>
              </w:rPr>
              <w:t>2027</w:t>
            </w:r>
          </w:p>
        </w:tc>
        <w:tc>
          <w:tcPr>
            <w:tcW w:w="523" w:type="pct"/>
            <w:tcBorders>
              <w:bottom w:val="single" w:sz="6" w:space="0" w:color="BFBFBF" w:themeColor="background1" w:themeShade="BF"/>
              <w:right w:val="single" w:sz="6" w:space="0" w:color="BFBFBF" w:themeColor="background1" w:themeShade="BF"/>
            </w:tcBorders>
            <w:shd w:val="clear" w:color="auto" w:fill="245F95" w:themeFill="text2"/>
            <w:vAlign w:val="center"/>
          </w:tcPr>
          <w:p w14:paraId="56CF3FD6" w14:textId="2D3AB192" w:rsidR="00EB0E9F" w:rsidRPr="006437CF" w:rsidRDefault="00EB0E9F" w:rsidP="005301DF">
            <w:pPr>
              <w:spacing w:before="100" w:after="100"/>
              <w:jc w:val="center"/>
              <w:rPr>
                <w:b/>
                <w:iCs/>
                <w:noProof/>
                <w:color w:val="FFFFFF" w:themeColor="background1"/>
              </w:rPr>
            </w:pPr>
            <w:r w:rsidRPr="006437CF">
              <w:rPr>
                <w:rFonts w:asciiTheme="minorHAnsi" w:hAnsiTheme="minorHAnsi"/>
                <w:b/>
                <w:iCs/>
                <w:noProof/>
                <w:color w:val="FFFFFF" w:themeColor="background1"/>
                <w:sz w:val="22"/>
                <w:szCs w:val="22"/>
              </w:rPr>
              <w:t>2028</w:t>
            </w:r>
          </w:p>
        </w:tc>
        <w:tc>
          <w:tcPr>
            <w:tcW w:w="523" w:type="pct"/>
            <w:tcBorders>
              <w:bottom w:val="single" w:sz="6" w:space="0" w:color="BFBFBF" w:themeColor="background1" w:themeShade="BF"/>
              <w:right w:val="single" w:sz="6" w:space="0" w:color="BFBFBF" w:themeColor="background1" w:themeShade="BF"/>
            </w:tcBorders>
            <w:shd w:val="clear" w:color="auto" w:fill="245F95" w:themeFill="text2"/>
            <w:vAlign w:val="center"/>
          </w:tcPr>
          <w:p w14:paraId="67D0C883" w14:textId="3FBAEF14" w:rsidR="00EB0E9F" w:rsidRPr="006437CF" w:rsidRDefault="00EB0E9F" w:rsidP="005301DF">
            <w:pPr>
              <w:spacing w:before="100" w:after="100"/>
              <w:jc w:val="center"/>
              <w:rPr>
                <w:b/>
                <w:iCs/>
                <w:noProof/>
                <w:color w:val="FFFFFF" w:themeColor="background1"/>
              </w:rPr>
            </w:pPr>
            <w:r w:rsidRPr="006437CF">
              <w:rPr>
                <w:rFonts w:asciiTheme="minorHAnsi" w:hAnsiTheme="minorHAnsi"/>
                <w:b/>
                <w:iCs/>
                <w:noProof/>
                <w:color w:val="FFFFFF" w:themeColor="background1"/>
                <w:sz w:val="22"/>
                <w:szCs w:val="22"/>
              </w:rPr>
              <w:t>2029</w:t>
            </w:r>
          </w:p>
        </w:tc>
        <w:tc>
          <w:tcPr>
            <w:tcW w:w="523" w:type="pct"/>
            <w:tcBorders>
              <w:bottom w:val="single" w:sz="6" w:space="0" w:color="BFBFBF" w:themeColor="background1" w:themeShade="BF"/>
            </w:tcBorders>
            <w:shd w:val="clear" w:color="auto" w:fill="245F95" w:themeFill="text2"/>
            <w:vAlign w:val="center"/>
          </w:tcPr>
          <w:p w14:paraId="4FA92647" w14:textId="09C51BFD" w:rsidR="00EB0E9F" w:rsidRPr="006437CF" w:rsidRDefault="00EB0E9F" w:rsidP="005301DF">
            <w:pPr>
              <w:spacing w:before="100" w:after="100"/>
              <w:jc w:val="center"/>
              <w:rPr>
                <w:b/>
                <w:iCs/>
                <w:noProof/>
                <w:color w:val="FFFFFF" w:themeColor="background1"/>
              </w:rPr>
            </w:pPr>
            <w:r w:rsidRPr="006437CF">
              <w:rPr>
                <w:rFonts w:asciiTheme="minorHAnsi" w:hAnsiTheme="minorHAnsi"/>
                <w:b/>
                <w:iCs/>
                <w:noProof/>
                <w:color w:val="FFFFFF" w:themeColor="background1"/>
                <w:sz w:val="22"/>
                <w:szCs w:val="22"/>
              </w:rPr>
              <w:t>Total</w:t>
            </w:r>
          </w:p>
        </w:tc>
      </w:tr>
      <w:tr w:rsidR="00CC6B5D" w:rsidRPr="008C547F" w14:paraId="03E195C6"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43F51B" w14:textId="79C377E1" w:rsidR="00EB0E9F" w:rsidRPr="008C547F" w:rsidRDefault="00EB0E9F" w:rsidP="006437CF">
            <w:pPr>
              <w:spacing w:before="100" w:after="100"/>
              <w:rPr>
                <w:b/>
                <w:iCs/>
                <w:noProof/>
                <w:color w:val="245F95" w:themeColor="text2"/>
              </w:rPr>
            </w:pPr>
            <w:r w:rsidRPr="008C547F">
              <w:rPr>
                <w:rFonts w:asciiTheme="minorHAnsi" w:hAnsiTheme="minorHAnsi"/>
                <w:b/>
                <w:iCs/>
                <w:noProof/>
                <w:color w:val="245F95" w:themeColor="text2"/>
                <w:sz w:val="22"/>
                <w:szCs w:val="22"/>
              </w:rPr>
              <w:t>Own Resources ceiling in % of EU Gross National Income</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1EEAB2" w14:textId="77777777" w:rsidR="00EB0E9F" w:rsidRPr="008C547F" w:rsidRDefault="00EB0E9F" w:rsidP="000D6B02">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1E78FF" w14:textId="5ADAD8C0" w:rsidR="00EB0E9F" w:rsidRPr="008C547F" w:rsidRDefault="00EB0E9F" w:rsidP="005301DF">
            <w:pPr>
              <w:spacing w:before="100" w:after="100"/>
              <w:jc w:val="center"/>
              <w:rPr>
                <w:b/>
                <w:iCs/>
                <w:noProof/>
              </w:rPr>
            </w:pPr>
            <w:r w:rsidRPr="008C547F">
              <w:rPr>
                <w:rFonts w:asciiTheme="minorHAnsi" w:hAnsiTheme="minorHAnsi"/>
                <w:b/>
                <w:iCs/>
                <w:noProof/>
                <w:sz w:val="22"/>
                <w:szCs w:val="22"/>
              </w:rPr>
              <w:t>2,00%</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14894E" w14:textId="18BA3676" w:rsidR="00EB0E9F" w:rsidRPr="008C547F" w:rsidRDefault="00EB0E9F" w:rsidP="005301DF">
            <w:pPr>
              <w:spacing w:before="100" w:after="100"/>
              <w:jc w:val="center"/>
              <w:rPr>
                <w:b/>
                <w:iCs/>
                <w:noProof/>
              </w:rPr>
            </w:pPr>
            <w:r w:rsidRPr="008C547F">
              <w:rPr>
                <w:rFonts w:asciiTheme="minorHAnsi" w:hAnsiTheme="minorHAnsi"/>
                <w:b/>
                <w:iCs/>
                <w:noProof/>
                <w:sz w:val="22"/>
                <w:szCs w:val="22"/>
              </w:rPr>
              <w:t>2,00%</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E457CB" w14:textId="3AC8183F" w:rsidR="00EB0E9F" w:rsidRPr="008C547F" w:rsidRDefault="00EB0E9F" w:rsidP="005301DF">
            <w:pPr>
              <w:spacing w:before="100" w:after="100"/>
              <w:jc w:val="center"/>
              <w:rPr>
                <w:b/>
                <w:iCs/>
                <w:noProof/>
              </w:rPr>
            </w:pPr>
            <w:r w:rsidRPr="008C547F">
              <w:rPr>
                <w:rFonts w:asciiTheme="minorHAnsi" w:hAnsiTheme="minorHAnsi"/>
                <w:b/>
                <w:iCs/>
                <w:noProof/>
                <w:sz w:val="22"/>
                <w:szCs w:val="22"/>
              </w:rPr>
              <w:t>2,00%</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08D425" w14:textId="77777777" w:rsidR="00EB0E9F" w:rsidRPr="008C547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BF81A2" w14:textId="77777777" w:rsidR="00EB0E9F" w:rsidRPr="008C547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tcBorders>
            <w:vAlign w:val="center"/>
          </w:tcPr>
          <w:p w14:paraId="54DCF6CC" w14:textId="2956F863" w:rsidR="00EB0E9F" w:rsidRPr="008C547F" w:rsidRDefault="00EB0E9F" w:rsidP="005301DF">
            <w:pPr>
              <w:spacing w:before="100" w:after="100"/>
              <w:jc w:val="center"/>
              <w:rPr>
                <w:b/>
                <w:iCs/>
                <w:noProof/>
              </w:rPr>
            </w:pPr>
            <w:r w:rsidRPr="008C547F">
              <w:rPr>
                <w:rFonts w:asciiTheme="minorHAnsi" w:hAnsiTheme="minorHAnsi"/>
                <w:b/>
                <w:iCs/>
                <w:noProof/>
                <w:sz w:val="22"/>
                <w:szCs w:val="22"/>
              </w:rPr>
              <w:t>n/a</w:t>
            </w:r>
          </w:p>
        </w:tc>
      </w:tr>
      <w:tr w:rsidR="00CC6B5D" w:rsidRPr="006437CF" w14:paraId="1CB5FF9B"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A43D42" w14:textId="0883BD18" w:rsidR="00EB0E9F" w:rsidRPr="000D6B02" w:rsidRDefault="00EB0E9F" w:rsidP="005D0F4A">
            <w:pPr>
              <w:spacing w:before="100" w:after="100"/>
              <w:ind w:left="170"/>
              <w:rPr>
                <w:b/>
                <w:iCs/>
                <w:noProof/>
                <w:color w:val="245F95" w:themeColor="text2"/>
              </w:rPr>
            </w:pPr>
            <w:r w:rsidRPr="000D6B02">
              <w:rPr>
                <w:rFonts w:asciiTheme="minorHAnsi" w:hAnsiTheme="minorHAnsi"/>
                <w:iCs/>
                <w:noProof/>
                <w:color w:val="245F95" w:themeColor="text2"/>
                <w:sz w:val="22"/>
                <w:szCs w:val="22"/>
              </w:rPr>
              <w:t>of which temporary increase for NGEU</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CEC27A" w14:textId="77777777" w:rsidR="00EB0E9F" w:rsidRPr="006437CF" w:rsidRDefault="00EB0E9F" w:rsidP="000D6B02">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079053" w14:textId="40F9EE00" w:rsidR="00EB0E9F" w:rsidRPr="006437CF" w:rsidRDefault="00EB0E9F" w:rsidP="005301DF">
            <w:pPr>
              <w:spacing w:before="100" w:after="100"/>
              <w:jc w:val="center"/>
              <w:rPr>
                <w:b/>
                <w:iCs/>
                <w:noProof/>
              </w:rPr>
            </w:pPr>
            <w:r w:rsidRPr="006437CF">
              <w:rPr>
                <w:rFonts w:asciiTheme="minorHAnsi" w:hAnsiTheme="minorHAnsi"/>
                <w:iCs/>
                <w:noProof/>
                <w:sz w:val="22"/>
                <w:szCs w:val="22"/>
              </w:rPr>
              <w:t>0,60%</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387700" w14:textId="4F2C5D40" w:rsidR="00EB0E9F" w:rsidRPr="006437CF" w:rsidRDefault="00EB0E9F" w:rsidP="005301DF">
            <w:pPr>
              <w:spacing w:before="100" w:after="100"/>
              <w:jc w:val="center"/>
              <w:rPr>
                <w:b/>
                <w:iCs/>
                <w:noProof/>
              </w:rPr>
            </w:pPr>
            <w:r w:rsidRPr="006437CF">
              <w:rPr>
                <w:rFonts w:asciiTheme="minorHAnsi" w:hAnsiTheme="minorHAnsi"/>
                <w:iCs/>
                <w:noProof/>
                <w:sz w:val="22"/>
                <w:szCs w:val="22"/>
              </w:rPr>
              <w:t>0,60%</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3A1358" w14:textId="740245A0" w:rsidR="00EB0E9F" w:rsidRPr="006437CF" w:rsidRDefault="00EB0E9F" w:rsidP="005301DF">
            <w:pPr>
              <w:spacing w:before="100" w:after="100"/>
              <w:jc w:val="center"/>
              <w:rPr>
                <w:b/>
                <w:iCs/>
                <w:noProof/>
              </w:rPr>
            </w:pPr>
            <w:r w:rsidRPr="006437CF">
              <w:rPr>
                <w:rFonts w:asciiTheme="minorHAnsi" w:hAnsiTheme="minorHAnsi"/>
                <w:iCs/>
                <w:noProof/>
                <w:sz w:val="22"/>
                <w:szCs w:val="22"/>
              </w:rPr>
              <w:t>0,60%</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04D05E" w14:textId="77777777" w:rsidR="00EB0E9F" w:rsidRPr="006437C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1BA5EE0" w14:textId="77777777" w:rsidR="00EB0E9F" w:rsidRPr="006437C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tcBorders>
            <w:vAlign w:val="center"/>
          </w:tcPr>
          <w:p w14:paraId="65D657BE" w14:textId="1636021D" w:rsidR="00EB0E9F" w:rsidRPr="006437CF" w:rsidRDefault="00EB0E9F" w:rsidP="005301DF">
            <w:pPr>
              <w:spacing w:before="100" w:after="100"/>
              <w:jc w:val="center"/>
              <w:rPr>
                <w:b/>
                <w:iCs/>
                <w:noProof/>
              </w:rPr>
            </w:pPr>
            <w:r w:rsidRPr="006437CF">
              <w:rPr>
                <w:rFonts w:asciiTheme="minorHAnsi" w:hAnsiTheme="minorHAnsi"/>
                <w:iCs/>
                <w:noProof/>
                <w:sz w:val="22"/>
                <w:szCs w:val="22"/>
              </w:rPr>
              <w:t>n/a</w:t>
            </w:r>
          </w:p>
        </w:tc>
      </w:tr>
      <w:tr w:rsidR="00CC6B5D" w:rsidRPr="008C547F" w14:paraId="4BC4102F"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DC95E2" w14:textId="30FBD719" w:rsidR="00EB0E9F" w:rsidRPr="008C547F" w:rsidRDefault="00EB0E9F" w:rsidP="006437CF">
            <w:pPr>
              <w:spacing w:before="100" w:after="100"/>
              <w:rPr>
                <w:b/>
                <w:iCs/>
                <w:noProof/>
                <w:color w:val="245F95" w:themeColor="text2"/>
              </w:rPr>
            </w:pPr>
            <w:r w:rsidRPr="008C547F">
              <w:rPr>
                <w:rFonts w:asciiTheme="minorHAnsi" w:hAnsiTheme="minorHAnsi"/>
                <w:b/>
                <w:iCs/>
                <w:noProof/>
                <w:color w:val="245F95" w:themeColor="text2"/>
                <w:sz w:val="22"/>
                <w:szCs w:val="22"/>
              </w:rPr>
              <w:t>Own Resources ceiling expressed in EUR billion*</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6EEBD2" w14:textId="48779546" w:rsidR="00EB0E9F" w:rsidRPr="008C547F" w:rsidRDefault="00EB0E9F" w:rsidP="000D6B02">
            <w:pPr>
              <w:spacing w:before="100" w:after="100"/>
              <w:jc w:val="center"/>
              <w:rPr>
                <w:b/>
                <w:iCs/>
                <w:noProof/>
              </w:rPr>
            </w:pPr>
            <w:r w:rsidRPr="008C547F">
              <w:rPr>
                <w:rFonts w:asciiTheme="minorHAnsi" w:hAnsiTheme="minorHAnsi"/>
                <w:b/>
                <w:iCs/>
                <w:noProof/>
                <w:sz w:val="22"/>
                <w:szCs w:val="22"/>
              </w:rPr>
              <w:t>a</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59C6A1" w14:textId="2EA68B4D" w:rsidR="00EB0E9F" w:rsidRPr="008C547F" w:rsidRDefault="00EB0E9F" w:rsidP="005301DF">
            <w:pPr>
              <w:spacing w:before="100" w:after="100"/>
              <w:jc w:val="center"/>
              <w:rPr>
                <w:b/>
                <w:iCs/>
                <w:noProof/>
              </w:rPr>
            </w:pPr>
            <w:r w:rsidRPr="008C547F">
              <w:rPr>
                <w:rFonts w:asciiTheme="minorHAnsi" w:hAnsiTheme="minorHAnsi" w:cs="Calibri"/>
                <w:b/>
                <w:iCs/>
                <w:noProof/>
                <w:sz w:val="22"/>
                <w:szCs w:val="22"/>
              </w:rPr>
              <w:t>368,5</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260B8B" w14:textId="463ADFE4" w:rsidR="00EB0E9F" w:rsidRPr="008C547F" w:rsidRDefault="00EB0E9F" w:rsidP="005301DF">
            <w:pPr>
              <w:spacing w:before="100" w:after="100"/>
              <w:jc w:val="center"/>
              <w:rPr>
                <w:b/>
                <w:iCs/>
                <w:noProof/>
              </w:rPr>
            </w:pPr>
            <w:r w:rsidRPr="008C547F">
              <w:rPr>
                <w:rFonts w:asciiTheme="minorHAnsi" w:hAnsiTheme="minorHAnsi" w:cs="Calibri"/>
                <w:b/>
                <w:iCs/>
                <w:noProof/>
                <w:sz w:val="22"/>
                <w:szCs w:val="22"/>
              </w:rPr>
              <w:t>381,4</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95B37C" w14:textId="5BABFC47" w:rsidR="00EB0E9F" w:rsidRPr="008C547F" w:rsidRDefault="00EB0E9F" w:rsidP="005301DF">
            <w:pPr>
              <w:spacing w:before="100" w:after="100"/>
              <w:jc w:val="center"/>
              <w:rPr>
                <w:b/>
                <w:iCs/>
                <w:noProof/>
              </w:rPr>
            </w:pPr>
            <w:r w:rsidRPr="008C547F">
              <w:rPr>
                <w:rFonts w:asciiTheme="minorHAnsi" w:hAnsiTheme="minorHAnsi" w:cs="Calibri"/>
                <w:b/>
                <w:iCs/>
                <w:noProof/>
                <w:sz w:val="22"/>
                <w:szCs w:val="22"/>
              </w:rPr>
              <w:t>394,2</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13434F" w14:textId="77777777" w:rsidR="00EB0E9F" w:rsidRPr="008C547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0A0E6E" w14:textId="77777777" w:rsidR="00EB0E9F" w:rsidRPr="008C547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tcBorders>
            <w:vAlign w:val="center"/>
          </w:tcPr>
          <w:p w14:paraId="7DD87EE7" w14:textId="6FFA1073" w:rsidR="00EB0E9F" w:rsidRPr="008C547F" w:rsidRDefault="00EB0E9F" w:rsidP="005301DF">
            <w:pPr>
              <w:spacing w:before="100" w:after="100"/>
              <w:jc w:val="center"/>
              <w:rPr>
                <w:b/>
                <w:iCs/>
                <w:noProof/>
              </w:rPr>
            </w:pPr>
            <w:r w:rsidRPr="008C547F">
              <w:rPr>
                <w:rFonts w:asciiTheme="minorHAnsi" w:hAnsiTheme="minorHAnsi"/>
                <w:b/>
                <w:iCs/>
                <w:noProof/>
                <w:sz w:val="22"/>
                <w:szCs w:val="22"/>
              </w:rPr>
              <w:t>n/a</w:t>
            </w:r>
          </w:p>
        </w:tc>
      </w:tr>
      <w:tr w:rsidR="00CC6B5D" w:rsidRPr="006437CF" w14:paraId="7D1DC799"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039CEB" w14:textId="6755F1C1" w:rsidR="00EB0E9F" w:rsidRPr="000D6B02" w:rsidRDefault="00EB0E9F" w:rsidP="005D0F4A">
            <w:pPr>
              <w:spacing w:before="100" w:after="100"/>
              <w:ind w:left="170"/>
              <w:rPr>
                <w:b/>
                <w:iCs/>
                <w:noProof/>
                <w:color w:val="245F95" w:themeColor="text2"/>
              </w:rPr>
            </w:pPr>
            <w:r w:rsidRPr="000D6B02">
              <w:rPr>
                <w:rFonts w:asciiTheme="minorHAnsi" w:hAnsiTheme="minorHAnsi"/>
                <w:iCs/>
                <w:noProof/>
                <w:color w:val="245F95" w:themeColor="text2"/>
                <w:sz w:val="22"/>
                <w:szCs w:val="22"/>
              </w:rPr>
              <w:t>of which temporary increase for NGEU</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A7AD07" w14:textId="67285B31" w:rsidR="00EB0E9F" w:rsidRPr="006437CF" w:rsidRDefault="00EB0E9F" w:rsidP="000D6B02">
            <w:pPr>
              <w:spacing w:before="100" w:after="100"/>
              <w:jc w:val="center"/>
              <w:rPr>
                <w:b/>
                <w:iCs/>
                <w:noProof/>
              </w:rPr>
            </w:pPr>
            <w:r w:rsidRPr="006437CF">
              <w:rPr>
                <w:rFonts w:asciiTheme="minorHAnsi" w:hAnsiTheme="minorHAnsi"/>
                <w:iCs/>
                <w:noProof/>
                <w:sz w:val="22"/>
                <w:szCs w:val="22"/>
              </w:rPr>
              <w:t>a’</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A5AE39" w14:textId="123F5E17" w:rsidR="00EB0E9F" w:rsidRPr="006437CF" w:rsidRDefault="00EB0E9F" w:rsidP="005301DF">
            <w:pPr>
              <w:spacing w:before="100" w:after="100"/>
              <w:jc w:val="center"/>
              <w:rPr>
                <w:b/>
                <w:iCs/>
                <w:noProof/>
              </w:rPr>
            </w:pPr>
            <w:r w:rsidRPr="006437CF">
              <w:rPr>
                <w:rFonts w:asciiTheme="minorHAnsi" w:eastAsia="Calibri" w:hAnsiTheme="minorHAnsi" w:cs="Calibri"/>
                <w:bCs/>
                <w:iCs/>
                <w:noProof/>
                <w:sz w:val="22"/>
                <w:szCs w:val="22"/>
              </w:rPr>
              <w:t>110,5</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19A1E4" w14:textId="2409526D" w:rsidR="00EB0E9F" w:rsidRPr="006437CF" w:rsidRDefault="00EB0E9F" w:rsidP="005301DF">
            <w:pPr>
              <w:spacing w:before="100" w:after="100"/>
              <w:jc w:val="center"/>
              <w:rPr>
                <w:b/>
                <w:iCs/>
                <w:noProof/>
              </w:rPr>
            </w:pPr>
            <w:r w:rsidRPr="006437CF">
              <w:rPr>
                <w:rFonts w:asciiTheme="minorHAnsi" w:eastAsia="Calibri" w:hAnsiTheme="minorHAnsi" w:cs="Calibri"/>
                <w:bCs/>
                <w:iCs/>
                <w:noProof/>
                <w:sz w:val="22"/>
                <w:szCs w:val="22"/>
              </w:rPr>
              <w:t>114,4</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6471DC" w14:textId="14ABF0AC" w:rsidR="00EB0E9F" w:rsidRPr="006437CF" w:rsidRDefault="00EB0E9F" w:rsidP="005301DF">
            <w:pPr>
              <w:spacing w:before="100" w:after="100"/>
              <w:jc w:val="center"/>
              <w:rPr>
                <w:b/>
                <w:iCs/>
                <w:noProof/>
              </w:rPr>
            </w:pPr>
            <w:r w:rsidRPr="006437CF">
              <w:rPr>
                <w:rFonts w:asciiTheme="minorHAnsi" w:eastAsia="Calibri" w:hAnsiTheme="minorHAnsi" w:cs="Calibri"/>
                <w:bCs/>
                <w:iCs/>
                <w:noProof/>
                <w:sz w:val="22"/>
                <w:szCs w:val="22"/>
              </w:rPr>
              <w:t>118,3</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70CA15" w14:textId="77777777" w:rsidR="00EB0E9F" w:rsidRPr="006437C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055434" w14:textId="77777777" w:rsidR="00EB0E9F" w:rsidRPr="006437C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tcBorders>
            <w:vAlign w:val="center"/>
          </w:tcPr>
          <w:p w14:paraId="187C4129" w14:textId="233CBE7E" w:rsidR="00EB0E9F" w:rsidRPr="006437CF" w:rsidRDefault="00EB0E9F" w:rsidP="005301DF">
            <w:pPr>
              <w:spacing w:before="100" w:after="100"/>
              <w:jc w:val="center"/>
              <w:rPr>
                <w:b/>
                <w:iCs/>
                <w:noProof/>
              </w:rPr>
            </w:pPr>
            <w:r w:rsidRPr="006437CF">
              <w:rPr>
                <w:rFonts w:asciiTheme="minorHAnsi" w:hAnsiTheme="minorHAnsi"/>
                <w:iCs/>
                <w:noProof/>
                <w:sz w:val="22"/>
                <w:szCs w:val="22"/>
              </w:rPr>
              <w:t>n/a</w:t>
            </w:r>
          </w:p>
        </w:tc>
      </w:tr>
      <w:tr w:rsidR="00CC6B5D" w:rsidRPr="006437CF" w14:paraId="5E2C2E11"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C9EE87" w14:textId="6C64B09A" w:rsidR="00EB0E9F" w:rsidRPr="000D6B02" w:rsidRDefault="00EB0E9F" w:rsidP="006437CF">
            <w:pPr>
              <w:spacing w:before="100" w:after="100"/>
              <w:rPr>
                <w:b/>
                <w:iCs/>
                <w:noProof/>
                <w:color w:val="245F95" w:themeColor="text2"/>
              </w:rPr>
            </w:pPr>
            <w:r w:rsidRPr="000D6B02">
              <w:rPr>
                <w:rFonts w:asciiTheme="minorHAnsi" w:hAnsiTheme="minorHAnsi"/>
                <w:iCs/>
                <w:noProof/>
                <w:color w:val="245F95" w:themeColor="text2"/>
                <w:sz w:val="22"/>
                <w:szCs w:val="22"/>
              </w:rPr>
              <w:t>Net amount of traditional own resources**</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D09B85" w14:textId="6DD7F310" w:rsidR="00EB0E9F" w:rsidRPr="006437CF" w:rsidRDefault="00EB0E9F" w:rsidP="000D6B02">
            <w:pPr>
              <w:spacing w:before="100" w:after="100"/>
              <w:jc w:val="center"/>
              <w:rPr>
                <w:b/>
                <w:iCs/>
                <w:noProof/>
              </w:rPr>
            </w:pPr>
            <w:r w:rsidRPr="006437CF">
              <w:rPr>
                <w:rFonts w:asciiTheme="minorHAnsi" w:hAnsiTheme="minorHAnsi"/>
                <w:iCs/>
                <w:noProof/>
                <w:sz w:val="22"/>
                <w:szCs w:val="22"/>
              </w:rPr>
              <w:t>b</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EAF523" w14:textId="5F93C511" w:rsidR="00EB0E9F" w:rsidRPr="006437CF" w:rsidRDefault="00EB0E9F" w:rsidP="005301DF">
            <w:pPr>
              <w:spacing w:before="100" w:after="100"/>
              <w:jc w:val="center"/>
              <w:rPr>
                <w:b/>
                <w:iCs/>
                <w:noProof/>
              </w:rPr>
            </w:pPr>
            <w:r w:rsidRPr="006437CF">
              <w:rPr>
                <w:rFonts w:asciiTheme="minorHAnsi" w:eastAsia="Calibri" w:hAnsiTheme="minorHAnsi"/>
                <w:iCs/>
                <w:noProof/>
                <w:sz w:val="22"/>
                <w:szCs w:val="22"/>
              </w:rPr>
              <w:t>2</w:t>
            </w:r>
            <w:r w:rsidR="00375690">
              <w:rPr>
                <w:rFonts w:asciiTheme="minorHAnsi" w:eastAsia="Calibri" w:hAnsiTheme="minorHAnsi"/>
                <w:iCs/>
                <w:noProof/>
                <w:sz w:val="22"/>
                <w:szCs w:val="22"/>
              </w:rPr>
              <w:t>1</w:t>
            </w:r>
            <w:r w:rsidRPr="006437CF">
              <w:rPr>
                <w:rFonts w:asciiTheme="minorHAnsi" w:eastAsia="Calibri" w:hAnsiTheme="minorHAnsi"/>
                <w:iCs/>
                <w:noProof/>
                <w:sz w:val="22"/>
                <w:szCs w:val="22"/>
              </w:rPr>
              <w:t>,</w:t>
            </w:r>
            <w:r w:rsidR="00375690">
              <w:rPr>
                <w:rFonts w:asciiTheme="minorHAnsi" w:eastAsia="Calibri" w:hAnsiTheme="minorHAnsi"/>
                <w:iCs/>
                <w:noProof/>
                <w:sz w:val="22"/>
                <w:szCs w:val="22"/>
              </w:rPr>
              <w:t>1</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CB25EC" w14:textId="42FC15CF" w:rsidR="00EB0E9F" w:rsidRPr="006437CF" w:rsidRDefault="00EB0E9F" w:rsidP="005301DF">
            <w:pPr>
              <w:spacing w:before="100" w:after="100"/>
              <w:jc w:val="center"/>
              <w:rPr>
                <w:b/>
                <w:iCs/>
                <w:noProof/>
              </w:rPr>
            </w:pPr>
            <w:r w:rsidRPr="006437CF">
              <w:rPr>
                <w:rFonts w:asciiTheme="minorHAnsi" w:eastAsia="Calibri" w:hAnsiTheme="minorHAnsi"/>
                <w:iCs/>
                <w:noProof/>
                <w:sz w:val="22"/>
                <w:szCs w:val="22"/>
              </w:rPr>
              <w:t>2</w:t>
            </w:r>
            <w:r w:rsidR="007A35B5">
              <w:rPr>
                <w:rFonts w:asciiTheme="minorHAnsi" w:eastAsia="Calibri" w:hAnsiTheme="minorHAnsi"/>
                <w:iCs/>
                <w:noProof/>
                <w:sz w:val="22"/>
                <w:szCs w:val="22"/>
              </w:rPr>
              <w:t>1</w:t>
            </w:r>
            <w:r w:rsidRPr="006437CF">
              <w:rPr>
                <w:rFonts w:asciiTheme="minorHAnsi" w:eastAsia="Calibri" w:hAnsiTheme="minorHAnsi"/>
                <w:iCs/>
                <w:noProof/>
                <w:sz w:val="22"/>
                <w:szCs w:val="22"/>
              </w:rPr>
              <w:t>,</w:t>
            </w:r>
            <w:r w:rsidR="007A35B5">
              <w:rPr>
                <w:rFonts w:asciiTheme="minorHAnsi" w:eastAsia="Calibri" w:hAnsiTheme="minorHAnsi"/>
                <w:iCs/>
                <w:noProof/>
                <w:sz w:val="22"/>
                <w:szCs w:val="22"/>
              </w:rPr>
              <w:t>8</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7A8463" w14:textId="5BDD90F8" w:rsidR="00EB0E9F" w:rsidRPr="006437CF" w:rsidRDefault="00EB0E9F" w:rsidP="005301DF">
            <w:pPr>
              <w:spacing w:before="100" w:after="100"/>
              <w:jc w:val="center"/>
              <w:rPr>
                <w:b/>
                <w:iCs/>
                <w:noProof/>
              </w:rPr>
            </w:pPr>
            <w:r w:rsidRPr="006437CF">
              <w:rPr>
                <w:rFonts w:asciiTheme="minorHAnsi" w:eastAsia="Calibri" w:hAnsiTheme="minorHAnsi"/>
                <w:iCs/>
                <w:noProof/>
                <w:sz w:val="22"/>
                <w:szCs w:val="22"/>
              </w:rPr>
              <w:t>2</w:t>
            </w:r>
            <w:r w:rsidR="007A35B5">
              <w:rPr>
                <w:rFonts w:asciiTheme="minorHAnsi" w:eastAsia="Calibri" w:hAnsiTheme="minorHAnsi"/>
                <w:iCs/>
                <w:noProof/>
                <w:sz w:val="22"/>
                <w:szCs w:val="22"/>
              </w:rPr>
              <w:t>2</w:t>
            </w:r>
            <w:r w:rsidRPr="006437CF">
              <w:rPr>
                <w:rFonts w:asciiTheme="minorHAnsi" w:eastAsia="Calibri" w:hAnsiTheme="minorHAnsi"/>
                <w:iCs/>
                <w:noProof/>
                <w:sz w:val="22"/>
                <w:szCs w:val="22"/>
              </w:rPr>
              <w:t>,</w:t>
            </w:r>
            <w:r w:rsidR="007A35B5">
              <w:rPr>
                <w:rFonts w:asciiTheme="minorHAnsi" w:eastAsia="Calibri" w:hAnsiTheme="minorHAnsi"/>
                <w:iCs/>
                <w:noProof/>
                <w:sz w:val="22"/>
                <w:szCs w:val="22"/>
              </w:rPr>
              <w:t>6</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357F89" w14:textId="5E0F7413" w:rsidR="00EB0E9F" w:rsidRPr="006437CF" w:rsidRDefault="00EB0E9F" w:rsidP="005301DF">
            <w:pPr>
              <w:spacing w:before="100" w:after="100"/>
              <w:jc w:val="center"/>
              <w:rPr>
                <w:b/>
                <w:iCs/>
                <w:noProof/>
              </w:rPr>
            </w:pPr>
            <w:r w:rsidRPr="006437CF">
              <w:rPr>
                <w:rFonts w:asciiTheme="minorHAnsi" w:eastAsia="Calibri" w:hAnsiTheme="minorHAnsi"/>
                <w:iCs/>
                <w:noProof/>
                <w:sz w:val="22"/>
                <w:szCs w:val="22"/>
              </w:rPr>
              <w:t>2</w:t>
            </w:r>
            <w:r w:rsidR="00846363">
              <w:rPr>
                <w:rFonts w:asciiTheme="minorHAnsi" w:eastAsia="Calibri" w:hAnsiTheme="minorHAnsi"/>
                <w:iCs/>
                <w:noProof/>
                <w:sz w:val="22"/>
                <w:szCs w:val="22"/>
              </w:rPr>
              <w:t>3</w:t>
            </w:r>
            <w:r w:rsidRPr="006437CF">
              <w:rPr>
                <w:rFonts w:asciiTheme="minorHAnsi" w:eastAsia="Calibri" w:hAnsiTheme="minorHAnsi"/>
                <w:iCs/>
                <w:noProof/>
                <w:sz w:val="22"/>
                <w:szCs w:val="22"/>
              </w:rPr>
              <w:t>,4</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6AA61A" w14:textId="11E4F205" w:rsidR="00EB0E9F" w:rsidRPr="006437CF" w:rsidRDefault="00EB0E9F" w:rsidP="005301DF">
            <w:pPr>
              <w:spacing w:before="100" w:after="100"/>
              <w:jc w:val="center"/>
              <w:rPr>
                <w:b/>
                <w:iCs/>
                <w:noProof/>
              </w:rPr>
            </w:pPr>
            <w:r w:rsidRPr="006437CF">
              <w:rPr>
                <w:rFonts w:asciiTheme="minorHAnsi" w:eastAsia="Calibri" w:hAnsiTheme="minorHAnsi"/>
                <w:iCs/>
                <w:noProof/>
                <w:sz w:val="22"/>
                <w:szCs w:val="22"/>
              </w:rPr>
              <w:t>2</w:t>
            </w:r>
            <w:r w:rsidR="00846363">
              <w:rPr>
                <w:rFonts w:asciiTheme="minorHAnsi" w:eastAsia="Calibri" w:hAnsiTheme="minorHAnsi"/>
                <w:iCs/>
                <w:noProof/>
                <w:sz w:val="22"/>
                <w:szCs w:val="22"/>
              </w:rPr>
              <w:t>4</w:t>
            </w:r>
            <w:r w:rsidRPr="006437CF">
              <w:rPr>
                <w:rFonts w:asciiTheme="minorHAnsi" w:eastAsia="Calibri" w:hAnsiTheme="minorHAnsi"/>
                <w:iCs/>
                <w:noProof/>
                <w:sz w:val="22"/>
                <w:szCs w:val="22"/>
              </w:rPr>
              <w:t>,</w:t>
            </w:r>
            <w:r w:rsidR="00846363">
              <w:rPr>
                <w:rFonts w:asciiTheme="minorHAnsi" w:eastAsia="Calibri" w:hAnsiTheme="minorHAnsi"/>
                <w:iCs/>
                <w:noProof/>
                <w:sz w:val="22"/>
                <w:szCs w:val="22"/>
              </w:rPr>
              <w:t>1</w:t>
            </w:r>
          </w:p>
        </w:tc>
        <w:tc>
          <w:tcPr>
            <w:tcW w:w="523" w:type="pct"/>
            <w:tcBorders>
              <w:top w:val="single" w:sz="6" w:space="0" w:color="BFBFBF" w:themeColor="background1" w:themeShade="BF"/>
              <w:bottom w:val="single" w:sz="6" w:space="0" w:color="BFBFBF" w:themeColor="background1" w:themeShade="BF"/>
            </w:tcBorders>
            <w:vAlign w:val="center"/>
          </w:tcPr>
          <w:p w14:paraId="6D730CAF" w14:textId="172559A0" w:rsidR="00EB0E9F" w:rsidRPr="006437CF" w:rsidRDefault="00EB0E9F" w:rsidP="005301DF">
            <w:pPr>
              <w:spacing w:before="100" w:after="100"/>
              <w:jc w:val="center"/>
              <w:rPr>
                <w:b/>
                <w:iCs/>
                <w:noProof/>
              </w:rPr>
            </w:pPr>
            <w:r w:rsidRPr="006437CF">
              <w:rPr>
                <w:rFonts w:asciiTheme="minorHAnsi" w:eastAsia="Calibri" w:hAnsiTheme="minorHAnsi"/>
                <w:iCs/>
                <w:noProof/>
                <w:sz w:val="22"/>
                <w:szCs w:val="22"/>
              </w:rPr>
              <w:t>1</w:t>
            </w:r>
            <w:r w:rsidR="00321F2E">
              <w:rPr>
                <w:rFonts w:asciiTheme="minorHAnsi" w:eastAsia="Calibri" w:hAnsiTheme="minorHAnsi"/>
                <w:iCs/>
                <w:noProof/>
                <w:sz w:val="22"/>
                <w:szCs w:val="22"/>
              </w:rPr>
              <w:t>1</w:t>
            </w:r>
            <w:r w:rsidRPr="006437CF">
              <w:rPr>
                <w:rFonts w:asciiTheme="minorHAnsi" w:eastAsia="Calibri" w:hAnsiTheme="minorHAnsi"/>
                <w:iCs/>
                <w:noProof/>
                <w:sz w:val="22"/>
                <w:szCs w:val="22"/>
              </w:rPr>
              <w:t>3,</w:t>
            </w:r>
            <w:r w:rsidR="00321F2E">
              <w:rPr>
                <w:rFonts w:asciiTheme="minorHAnsi" w:eastAsia="Calibri" w:hAnsiTheme="minorHAnsi"/>
                <w:iCs/>
                <w:noProof/>
                <w:sz w:val="22"/>
                <w:szCs w:val="22"/>
              </w:rPr>
              <w:t>0</w:t>
            </w:r>
          </w:p>
        </w:tc>
      </w:tr>
      <w:tr w:rsidR="00CC6B5D" w:rsidRPr="008C547F" w14:paraId="022413AA"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C37F00" w14:textId="6C5BBB94" w:rsidR="00EB0E9F" w:rsidRPr="008C547F" w:rsidRDefault="00EB0E9F" w:rsidP="006437CF">
            <w:pPr>
              <w:spacing w:before="100" w:after="100"/>
              <w:rPr>
                <w:b/>
                <w:bCs/>
                <w:iCs/>
                <w:noProof/>
                <w:color w:val="245F95" w:themeColor="text2"/>
              </w:rPr>
            </w:pPr>
            <w:r w:rsidRPr="008C547F">
              <w:rPr>
                <w:rFonts w:asciiTheme="minorHAnsi" w:hAnsiTheme="minorHAnsi"/>
                <w:b/>
                <w:bCs/>
                <w:iCs/>
                <w:noProof/>
                <w:color w:val="245F95" w:themeColor="text2"/>
                <w:sz w:val="22"/>
                <w:szCs w:val="22"/>
              </w:rPr>
              <w:t>National contributions</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EBD0A1" w14:textId="684F83B2" w:rsidR="00EB0E9F" w:rsidRPr="008C547F" w:rsidRDefault="00EB0E9F" w:rsidP="000D6B02">
            <w:pPr>
              <w:spacing w:before="100" w:after="100"/>
              <w:jc w:val="center"/>
              <w:rPr>
                <w:b/>
                <w:bCs/>
                <w:iCs/>
                <w:noProof/>
              </w:rPr>
            </w:pPr>
            <w:r w:rsidRPr="008C547F">
              <w:rPr>
                <w:rFonts w:asciiTheme="minorHAnsi" w:hAnsiTheme="minorHAnsi"/>
                <w:b/>
                <w:bCs/>
                <w:iCs/>
                <w:noProof/>
                <w:sz w:val="22"/>
                <w:szCs w:val="22"/>
              </w:rPr>
              <w:t>c</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AFA215" w14:textId="0EEBFE42" w:rsidR="00EB0E9F" w:rsidRPr="008C547F" w:rsidRDefault="004C3B89" w:rsidP="005301DF">
            <w:pPr>
              <w:spacing w:before="100" w:after="100"/>
              <w:jc w:val="center"/>
              <w:rPr>
                <w:b/>
                <w:bCs/>
                <w:iCs/>
                <w:noProof/>
              </w:rPr>
            </w:pPr>
            <w:r w:rsidRPr="008C547F">
              <w:rPr>
                <w:rFonts w:asciiTheme="minorHAnsi" w:eastAsia="Calibri" w:hAnsiTheme="minorHAnsi"/>
                <w:b/>
                <w:bCs/>
                <w:iCs/>
                <w:noProof/>
                <w:sz w:val="22"/>
                <w:szCs w:val="22"/>
              </w:rPr>
              <w:t>1</w:t>
            </w:r>
            <w:r>
              <w:rPr>
                <w:rFonts w:asciiTheme="minorHAnsi" w:eastAsia="Calibri" w:hAnsiTheme="minorHAnsi"/>
                <w:b/>
                <w:bCs/>
                <w:iCs/>
                <w:noProof/>
                <w:sz w:val="22"/>
                <w:szCs w:val="22"/>
              </w:rPr>
              <w:t>27</w:t>
            </w:r>
            <w:r w:rsidR="00EB0E9F" w:rsidRPr="008C547F">
              <w:rPr>
                <w:rFonts w:asciiTheme="minorHAnsi" w:eastAsia="Calibri" w:hAnsiTheme="minorHAnsi"/>
                <w:b/>
                <w:bCs/>
                <w:iCs/>
                <w:noProof/>
                <w:sz w:val="22"/>
                <w:szCs w:val="22"/>
              </w:rPr>
              <w:t>,</w:t>
            </w:r>
            <w:r w:rsidR="002A689F">
              <w:rPr>
                <w:rFonts w:asciiTheme="minorHAnsi" w:eastAsia="Calibri" w:hAnsiTheme="minorHAnsi"/>
                <w:b/>
                <w:bCs/>
                <w:iCs/>
                <w:noProof/>
                <w:sz w:val="22"/>
                <w:szCs w:val="22"/>
              </w:rPr>
              <w:t>3</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E9C130" w14:textId="337CD1F7" w:rsidR="00EB0E9F" w:rsidRPr="008C547F" w:rsidRDefault="00F04D3B" w:rsidP="005301DF">
            <w:pPr>
              <w:spacing w:before="100" w:after="100"/>
              <w:jc w:val="center"/>
              <w:rPr>
                <w:b/>
                <w:bCs/>
                <w:iCs/>
                <w:noProof/>
              </w:rPr>
            </w:pPr>
            <w:r w:rsidRPr="008C547F">
              <w:rPr>
                <w:rFonts w:asciiTheme="minorHAnsi" w:eastAsia="Calibri" w:hAnsiTheme="minorHAnsi"/>
                <w:b/>
                <w:bCs/>
                <w:iCs/>
                <w:noProof/>
                <w:sz w:val="22"/>
                <w:szCs w:val="22"/>
              </w:rPr>
              <w:t>15</w:t>
            </w:r>
            <w:r>
              <w:rPr>
                <w:rFonts w:asciiTheme="minorHAnsi" w:eastAsia="Calibri" w:hAnsiTheme="minorHAnsi"/>
                <w:b/>
                <w:bCs/>
                <w:iCs/>
                <w:noProof/>
                <w:sz w:val="22"/>
                <w:szCs w:val="22"/>
              </w:rPr>
              <w:t>9</w:t>
            </w:r>
            <w:r w:rsidR="00EB0E9F" w:rsidRPr="008C547F">
              <w:rPr>
                <w:rFonts w:asciiTheme="minorHAnsi" w:eastAsia="Calibri" w:hAnsiTheme="minorHAnsi"/>
                <w:b/>
                <w:bCs/>
                <w:iCs/>
                <w:noProof/>
                <w:sz w:val="22"/>
                <w:szCs w:val="22"/>
              </w:rPr>
              <w:t>,</w:t>
            </w:r>
            <w:r w:rsidR="00D3460F">
              <w:rPr>
                <w:rFonts w:asciiTheme="minorHAnsi" w:eastAsia="Calibri" w:hAnsiTheme="minorHAnsi"/>
                <w:b/>
                <w:bCs/>
                <w:iCs/>
                <w:noProof/>
                <w:sz w:val="22"/>
                <w:szCs w:val="22"/>
              </w:rPr>
              <w:t>8</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A54C2B" w14:textId="568FB7D6" w:rsidR="00EB0E9F" w:rsidRPr="008C547F" w:rsidRDefault="00EB0E9F" w:rsidP="005301DF">
            <w:pPr>
              <w:spacing w:before="100" w:after="100"/>
              <w:jc w:val="center"/>
              <w:rPr>
                <w:b/>
                <w:bCs/>
                <w:iCs/>
                <w:noProof/>
              </w:rPr>
            </w:pPr>
            <w:r w:rsidRPr="008C547F">
              <w:rPr>
                <w:rFonts w:asciiTheme="minorHAnsi" w:eastAsia="Calibri" w:hAnsiTheme="minorHAnsi"/>
                <w:b/>
                <w:bCs/>
                <w:iCs/>
                <w:noProof/>
                <w:sz w:val="22"/>
                <w:szCs w:val="22"/>
              </w:rPr>
              <w:t>1</w:t>
            </w:r>
            <w:r w:rsidR="00E566C6">
              <w:rPr>
                <w:rFonts w:asciiTheme="minorHAnsi" w:eastAsia="Calibri" w:hAnsiTheme="minorHAnsi"/>
                <w:b/>
                <w:bCs/>
                <w:iCs/>
                <w:noProof/>
                <w:sz w:val="22"/>
                <w:szCs w:val="22"/>
              </w:rPr>
              <w:t>7</w:t>
            </w:r>
            <w:r w:rsidR="00822D88">
              <w:rPr>
                <w:rFonts w:asciiTheme="minorHAnsi" w:eastAsia="Calibri" w:hAnsiTheme="minorHAnsi"/>
                <w:b/>
                <w:bCs/>
                <w:iCs/>
                <w:noProof/>
                <w:sz w:val="22"/>
                <w:szCs w:val="22"/>
              </w:rPr>
              <w:t>1</w:t>
            </w:r>
            <w:r w:rsidRPr="008C547F">
              <w:rPr>
                <w:rFonts w:asciiTheme="minorHAnsi" w:eastAsia="Calibri" w:hAnsiTheme="minorHAnsi"/>
                <w:b/>
                <w:bCs/>
                <w:iCs/>
                <w:noProof/>
                <w:sz w:val="22"/>
                <w:szCs w:val="22"/>
              </w:rPr>
              <w:t>,</w:t>
            </w:r>
            <w:r w:rsidR="00D3460F">
              <w:rPr>
                <w:rFonts w:asciiTheme="minorHAnsi" w:eastAsia="Calibri" w:hAnsiTheme="minorHAnsi"/>
                <w:b/>
                <w:bCs/>
                <w:iCs/>
                <w:noProof/>
                <w:sz w:val="22"/>
                <w:szCs w:val="22"/>
              </w:rPr>
              <w:t>4</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67DF85" w14:textId="34506B9F" w:rsidR="00EB0E9F" w:rsidRPr="008C547F" w:rsidRDefault="00EB0E9F" w:rsidP="005301DF">
            <w:pPr>
              <w:spacing w:before="100" w:after="100"/>
              <w:jc w:val="center"/>
              <w:rPr>
                <w:b/>
                <w:bCs/>
                <w:iCs/>
                <w:noProof/>
              </w:rPr>
            </w:pPr>
            <w:r w:rsidRPr="008C547F">
              <w:rPr>
                <w:rFonts w:asciiTheme="minorHAnsi" w:eastAsia="Calibri" w:hAnsiTheme="minorHAnsi"/>
                <w:b/>
                <w:bCs/>
                <w:iCs/>
                <w:noProof/>
                <w:sz w:val="22"/>
                <w:szCs w:val="22"/>
              </w:rPr>
              <w:t>11</w:t>
            </w:r>
            <w:r w:rsidR="007578A2">
              <w:rPr>
                <w:rFonts w:asciiTheme="minorHAnsi" w:eastAsia="Calibri" w:hAnsiTheme="minorHAnsi"/>
                <w:b/>
                <w:bCs/>
                <w:iCs/>
                <w:noProof/>
                <w:sz w:val="22"/>
                <w:szCs w:val="22"/>
              </w:rPr>
              <w:t>8</w:t>
            </w:r>
            <w:r w:rsidRPr="008C547F">
              <w:rPr>
                <w:rFonts w:asciiTheme="minorHAnsi" w:eastAsia="Calibri" w:hAnsiTheme="minorHAnsi"/>
                <w:b/>
                <w:bCs/>
                <w:iCs/>
                <w:noProof/>
                <w:sz w:val="22"/>
                <w:szCs w:val="22"/>
              </w:rPr>
              <w:t>,</w:t>
            </w:r>
            <w:r w:rsidR="007578A2">
              <w:rPr>
                <w:rFonts w:asciiTheme="minorHAnsi" w:eastAsia="Calibri" w:hAnsiTheme="minorHAnsi"/>
                <w:b/>
                <w:bCs/>
                <w:iCs/>
                <w:noProof/>
                <w:sz w:val="22"/>
                <w:szCs w:val="22"/>
              </w:rPr>
              <w:t>2</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F6B93F" w14:textId="628C750A" w:rsidR="00EB0E9F" w:rsidRPr="008C547F" w:rsidRDefault="00EB0E9F" w:rsidP="005301DF">
            <w:pPr>
              <w:spacing w:before="100" w:after="100"/>
              <w:jc w:val="center"/>
              <w:rPr>
                <w:b/>
                <w:bCs/>
                <w:iCs/>
                <w:noProof/>
              </w:rPr>
            </w:pPr>
            <w:r w:rsidRPr="008C547F">
              <w:rPr>
                <w:rFonts w:asciiTheme="minorHAnsi" w:eastAsia="Calibri" w:hAnsiTheme="minorHAnsi"/>
                <w:b/>
                <w:bCs/>
                <w:iCs/>
                <w:noProof/>
                <w:sz w:val="22"/>
                <w:szCs w:val="22"/>
              </w:rPr>
              <w:t>9</w:t>
            </w:r>
            <w:r w:rsidR="00DE0E73">
              <w:rPr>
                <w:rFonts w:asciiTheme="minorHAnsi" w:eastAsia="Calibri" w:hAnsiTheme="minorHAnsi"/>
                <w:b/>
                <w:bCs/>
                <w:iCs/>
                <w:noProof/>
                <w:sz w:val="22"/>
                <w:szCs w:val="22"/>
              </w:rPr>
              <w:t>6</w:t>
            </w:r>
            <w:r w:rsidRPr="008C547F">
              <w:rPr>
                <w:rFonts w:asciiTheme="minorHAnsi" w:eastAsia="Calibri" w:hAnsiTheme="minorHAnsi"/>
                <w:b/>
                <w:bCs/>
                <w:iCs/>
                <w:noProof/>
                <w:sz w:val="22"/>
                <w:szCs w:val="22"/>
              </w:rPr>
              <w:t>,</w:t>
            </w:r>
            <w:r w:rsidR="00D3651C">
              <w:rPr>
                <w:rFonts w:asciiTheme="minorHAnsi" w:eastAsia="Calibri" w:hAnsiTheme="minorHAnsi"/>
                <w:b/>
                <w:bCs/>
                <w:iCs/>
                <w:noProof/>
                <w:sz w:val="22"/>
                <w:szCs w:val="22"/>
              </w:rPr>
              <w:t>4</w:t>
            </w:r>
          </w:p>
        </w:tc>
        <w:tc>
          <w:tcPr>
            <w:tcW w:w="523" w:type="pct"/>
            <w:tcBorders>
              <w:top w:val="single" w:sz="6" w:space="0" w:color="BFBFBF" w:themeColor="background1" w:themeShade="BF"/>
              <w:bottom w:val="single" w:sz="6" w:space="0" w:color="BFBFBF" w:themeColor="background1" w:themeShade="BF"/>
            </w:tcBorders>
            <w:vAlign w:val="center"/>
          </w:tcPr>
          <w:p w14:paraId="762D8E1C" w14:textId="730DEDC2" w:rsidR="00EB0E9F" w:rsidRPr="008C547F" w:rsidRDefault="00EB0E9F" w:rsidP="005301DF">
            <w:pPr>
              <w:spacing w:before="100" w:after="100"/>
              <w:jc w:val="center"/>
              <w:rPr>
                <w:b/>
                <w:bCs/>
                <w:iCs/>
                <w:noProof/>
              </w:rPr>
            </w:pPr>
            <w:r w:rsidRPr="008C547F">
              <w:rPr>
                <w:rFonts w:asciiTheme="minorHAnsi" w:eastAsia="Calibri" w:hAnsiTheme="minorHAnsi"/>
                <w:b/>
                <w:bCs/>
                <w:iCs/>
                <w:noProof/>
                <w:sz w:val="22"/>
                <w:szCs w:val="22"/>
              </w:rPr>
              <w:t>6</w:t>
            </w:r>
            <w:r w:rsidR="00B12EE8">
              <w:rPr>
                <w:rFonts w:asciiTheme="minorHAnsi" w:eastAsia="Calibri" w:hAnsiTheme="minorHAnsi"/>
                <w:b/>
                <w:bCs/>
                <w:iCs/>
                <w:noProof/>
                <w:sz w:val="22"/>
                <w:szCs w:val="22"/>
              </w:rPr>
              <w:t>7</w:t>
            </w:r>
            <w:r w:rsidR="00D3651C">
              <w:rPr>
                <w:rFonts w:asciiTheme="minorHAnsi" w:eastAsia="Calibri" w:hAnsiTheme="minorHAnsi"/>
                <w:b/>
                <w:bCs/>
                <w:iCs/>
                <w:noProof/>
                <w:sz w:val="22"/>
                <w:szCs w:val="22"/>
              </w:rPr>
              <w:t>3</w:t>
            </w:r>
            <w:r w:rsidRPr="008C547F">
              <w:rPr>
                <w:rFonts w:asciiTheme="minorHAnsi" w:eastAsia="Calibri" w:hAnsiTheme="minorHAnsi"/>
                <w:b/>
                <w:bCs/>
                <w:iCs/>
                <w:noProof/>
                <w:sz w:val="22"/>
                <w:szCs w:val="22"/>
              </w:rPr>
              <w:t>,</w:t>
            </w:r>
            <w:r w:rsidR="00D3651C">
              <w:rPr>
                <w:rFonts w:asciiTheme="minorHAnsi" w:eastAsia="Calibri" w:hAnsiTheme="minorHAnsi"/>
                <w:b/>
                <w:bCs/>
                <w:iCs/>
                <w:noProof/>
                <w:sz w:val="22"/>
                <w:szCs w:val="22"/>
              </w:rPr>
              <w:t>0</w:t>
            </w:r>
          </w:p>
        </w:tc>
      </w:tr>
      <w:tr w:rsidR="00CC6B5D" w:rsidRPr="006437CF" w14:paraId="10004AE7" w14:textId="77777777" w:rsidTr="0050317D">
        <w:trPr>
          <w:trHeight w:val="916"/>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274629" w14:textId="77777777" w:rsidR="00EB0E9F" w:rsidRPr="000D6B02" w:rsidRDefault="00EB0E9F" w:rsidP="006437CF">
            <w:pPr>
              <w:spacing w:before="100" w:after="100"/>
              <w:ind w:left="170"/>
              <w:rPr>
                <w:rFonts w:asciiTheme="minorHAnsi" w:hAnsiTheme="minorHAnsi"/>
                <w:bCs/>
                <w:iCs/>
                <w:noProof/>
                <w:color w:val="245F95" w:themeColor="text2"/>
                <w:sz w:val="22"/>
                <w:szCs w:val="22"/>
              </w:rPr>
            </w:pPr>
            <w:r w:rsidRPr="000D6B02">
              <w:rPr>
                <w:rFonts w:asciiTheme="minorHAnsi" w:hAnsiTheme="minorHAnsi"/>
                <w:bCs/>
                <w:iCs/>
                <w:noProof/>
                <w:color w:val="245F95" w:themeColor="text2"/>
                <w:sz w:val="22"/>
                <w:szCs w:val="22"/>
              </w:rPr>
              <w:t xml:space="preserve">of which </w:t>
            </w:r>
          </w:p>
          <w:p w14:paraId="034BC62F" w14:textId="333206C2" w:rsidR="00EB0E9F" w:rsidRPr="000D6B02" w:rsidRDefault="00EB0E9F" w:rsidP="006437CF">
            <w:pPr>
              <w:spacing w:before="100" w:after="100"/>
              <w:ind w:left="170"/>
              <w:rPr>
                <w:rFonts w:asciiTheme="minorHAnsi" w:hAnsiTheme="minorHAnsi"/>
                <w:bCs/>
                <w:iCs/>
                <w:noProof/>
                <w:color w:val="245F95" w:themeColor="text2"/>
                <w:sz w:val="22"/>
                <w:szCs w:val="22"/>
              </w:rPr>
            </w:pPr>
            <w:r w:rsidRPr="004A4007">
              <w:rPr>
                <w:rFonts w:asciiTheme="minorHAnsi" w:hAnsiTheme="minorHAnsi"/>
                <w:noProof/>
                <w:color w:val="245F95" w:themeColor="text2"/>
                <w:sz w:val="22"/>
                <w:szCs w:val="22"/>
              </w:rPr>
              <w:t>VAT-based own resource</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FE9AA5" w14:textId="31B7984E" w:rsidR="00EB0E9F" w:rsidRPr="006437CF" w:rsidRDefault="00EB0E9F" w:rsidP="000D6B02">
            <w:pPr>
              <w:spacing w:before="100" w:after="100"/>
              <w:jc w:val="center"/>
              <w:rPr>
                <w:bCs/>
                <w:iCs/>
                <w:noProof/>
              </w:rPr>
            </w:pPr>
            <w:r w:rsidRPr="006437CF">
              <w:rPr>
                <w:rFonts w:asciiTheme="minorHAnsi" w:hAnsiTheme="minorHAnsi"/>
                <w:iCs/>
                <w:noProof/>
                <w:sz w:val="22"/>
                <w:szCs w:val="22"/>
              </w:rPr>
              <w:t>c’</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7F6DCF" w14:textId="124AE054" w:rsidR="00EB0E9F" w:rsidRPr="006437CF" w:rsidRDefault="00EB0E9F" w:rsidP="005301DF">
            <w:pPr>
              <w:spacing w:before="100" w:after="100" w:line="22" w:lineRule="atLeast"/>
              <w:jc w:val="center"/>
              <w:rPr>
                <w:rFonts w:asciiTheme="minorHAnsi" w:eastAsia="Calibri" w:hAnsiTheme="minorHAnsi"/>
                <w:iCs/>
                <w:noProof/>
                <w:sz w:val="22"/>
                <w:szCs w:val="22"/>
              </w:rPr>
            </w:pPr>
            <w:r w:rsidRPr="006437CF">
              <w:rPr>
                <w:rFonts w:asciiTheme="minorHAnsi" w:eastAsia="Calibri" w:hAnsiTheme="minorHAnsi"/>
                <w:iCs/>
                <w:noProof/>
                <w:sz w:val="22"/>
                <w:szCs w:val="22"/>
              </w:rPr>
              <w:t>24,</w:t>
            </w:r>
            <w:r w:rsidR="00995667">
              <w:rPr>
                <w:rFonts w:asciiTheme="minorHAnsi" w:eastAsia="Calibri" w:hAnsiTheme="minorHAnsi"/>
                <w:iCs/>
                <w:noProof/>
                <w:sz w:val="22"/>
                <w:szCs w:val="22"/>
              </w:rPr>
              <w:t>4</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A45BB5" w14:textId="5D8CBC92" w:rsidR="00EB0E9F" w:rsidRPr="006437CF" w:rsidRDefault="00EB0E9F" w:rsidP="005301DF">
            <w:pPr>
              <w:spacing w:before="100" w:after="100" w:line="22" w:lineRule="atLeast"/>
              <w:jc w:val="center"/>
              <w:rPr>
                <w:rFonts w:asciiTheme="minorHAnsi" w:eastAsia="Calibri" w:hAnsiTheme="minorHAnsi"/>
                <w:iCs/>
                <w:noProof/>
                <w:sz w:val="22"/>
                <w:szCs w:val="22"/>
              </w:rPr>
            </w:pPr>
            <w:r w:rsidRPr="006437CF">
              <w:rPr>
                <w:rFonts w:asciiTheme="minorHAnsi" w:eastAsia="Calibri" w:hAnsiTheme="minorHAnsi"/>
                <w:iCs/>
                <w:noProof/>
                <w:sz w:val="22"/>
                <w:szCs w:val="22"/>
              </w:rPr>
              <w:t>25,</w:t>
            </w:r>
            <w:r w:rsidR="000D33A2">
              <w:rPr>
                <w:rFonts w:asciiTheme="minorHAnsi" w:eastAsia="Calibri" w:hAnsiTheme="minorHAnsi"/>
                <w:iCs/>
                <w:noProof/>
                <w:sz w:val="22"/>
                <w:szCs w:val="22"/>
              </w:rPr>
              <w:t>2</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5EFE37" w14:textId="7B2B26DF" w:rsidR="00EB0E9F" w:rsidRPr="006437CF" w:rsidRDefault="00EB0E9F" w:rsidP="005301DF">
            <w:pPr>
              <w:spacing w:before="100" w:after="100" w:line="22" w:lineRule="atLeast"/>
              <w:jc w:val="center"/>
              <w:rPr>
                <w:rFonts w:asciiTheme="minorHAnsi" w:eastAsia="Calibri" w:hAnsiTheme="minorHAnsi"/>
                <w:iCs/>
                <w:noProof/>
                <w:sz w:val="22"/>
                <w:szCs w:val="22"/>
              </w:rPr>
            </w:pPr>
            <w:r w:rsidRPr="006437CF">
              <w:rPr>
                <w:rFonts w:asciiTheme="minorHAnsi" w:eastAsia="Calibri" w:hAnsiTheme="minorHAnsi"/>
                <w:iCs/>
                <w:noProof/>
                <w:sz w:val="22"/>
                <w:szCs w:val="22"/>
              </w:rPr>
              <w:t>26,</w:t>
            </w:r>
            <w:r w:rsidR="00AE02C5">
              <w:rPr>
                <w:rFonts w:asciiTheme="minorHAnsi" w:eastAsia="Calibri" w:hAnsiTheme="minorHAnsi"/>
                <w:iCs/>
                <w:noProof/>
                <w:sz w:val="22"/>
                <w:szCs w:val="22"/>
              </w:rPr>
              <w:t>1</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4B62CD" w14:textId="417F2030" w:rsidR="00EB0E9F" w:rsidRPr="006437CF" w:rsidRDefault="001B7596" w:rsidP="005301DF">
            <w:pPr>
              <w:spacing w:before="100" w:after="100" w:line="22" w:lineRule="atLeast"/>
              <w:jc w:val="center"/>
              <w:rPr>
                <w:rFonts w:asciiTheme="minorHAnsi" w:eastAsia="Calibri" w:hAnsiTheme="minorHAnsi"/>
                <w:iCs/>
                <w:noProof/>
                <w:sz w:val="22"/>
                <w:szCs w:val="22"/>
              </w:rPr>
            </w:pPr>
            <w:r w:rsidRPr="006437CF">
              <w:rPr>
                <w:rFonts w:asciiTheme="minorHAnsi" w:eastAsia="Calibri" w:hAnsiTheme="minorHAnsi"/>
                <w:iCs/>
                <w:noProof/>
                <w:sz w:val="22"/>
                <w:szCs w:val="22"/>
              </w:rPr>
              <w:t>2</w:t>
            </w:r>
            <w:r>
              <w:rPr>
                <w:rFonts w:asciiTheme="minorHAnsi" w:eastAsia="Calibri" w:hAnsiTheme="minorHAnsi"/>
                <w:iCs/>
                <w:noProof/>
                <w:sz w:val="22"/>
                <w:szCs w:val="22"/>
              </w:rPr>
              <w:t>6</w:t>
            </w:r>
            <w:r w:rsidR="00EB0E9F" w:rsidRPr="006437CF">
              <w:rPr>
                <w:rFonts w:asciiTheme="minorHAnsi" w:eastAsia="Calibri" w:hAnsiTheme="minorHAnsi"/>
                <w:iCs/>
                <w:noProof/>
                <w:sz w:val="22"/>
                <w:szCs w:val="22"/>
              </w:rPr>
              <w:t>,</w:t>
            </w:r>
            <w:r w:rsidR="001D5E98">
              <w:rPr>
                <w:rFonts w:asciiTheme="minorHAnsi" w:eastAsia="Calibri" w:hAnsiTheme="minorHAnsi"/>
                <w:iCs/>
                <w:noProof/>
                <w:sz w:val="22"/>
                <w:szCs w:val="22"/>
              </w:rPr>
              <w:t>9</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1A3A53" w14:textId="4502AFEC" w:rsidR="00EB0E9F" w:rsidRPr="006437CF" w:rsidRDefault="00EB0E9F" w:rsidP="005301DF">
            <w:pPr>
              <w:spacing w:before="100" w:after="100" w:line="22" w:lineRule="atLeast"/>
              <w:jc w:val="center"/>
              <w:rPr>
                <w:rFonts w:asciiTheme="minorHAnsi" w:eastAsia="Calibri" w:hAnsiTheme="minorHAnsi"/>
                <w:iCs/>
                <w:noProof/>
                <w:sz w:val="22"/>
                <w:szCs w:val="22"/>
              </w:rPr>
            </w:pPr>
            <w:r w:rsidRPr="006437CF">
              <w:rPr>
                <w:rFonts w:asciiTheme="minorHAnsi" w:eastAsia="Calibri" w:hAnsiTheme="minorHAnsi"/>
                <w:iCs/>
                <w:noProof/>
                <w:sz w:val="22"/>
                <w:szCs w:val="22"/>
              </w:rPr>
              <w:t>27,</w:t>
            </w:r>
            <w:r w:rsidR="004D30A4">
              <w:rPr>
                <w:rFonts w:asciiTheme="minorHAnsi" w:eastAsia="Calibri" w:hAnsiTheme="minorHAnsi"/>
                <w:iCs/>
                <w:noProof/>
                <w:sz w:val="22"/>
                <w:szCs w:val="22"/>
              </w:rPr>
              <w:t>8</w:t>
            </w:r>
          </w:p>
        </w:tc>
        <w:tc>
          <w:tcPr>
            <w:tcW w:w="523" w:type="pct"/>
            <w:tcBorders>
              <w:top w:val="single" w:sz="6" w:space="0" w:color="BFBFBF" w:themeColor="background1" w:themeShade="BF"/>
              <w:bottom w:val="single" w:sz="6" w:space="0" w:color="BFBFBF" w:themeColor="background1" w:themeShade="BF"/>
            </w:tcBorders>
            <w:vAlign w:val="center"/>
          </w:tcPr>
          <w:p w14:paraId="583C528D" w14:textId="1323CC73" w:rsidR="00EB0E9F" w:rsidRPr="006437CF" w:rsidRDefault="00EB0E9F" w:rsidP="005301DF">
            <w:pPr>
              <w:spacing w:before="100" w:after="100" w:line="22" w:lineRule="atLeast"/>
              <w:jc w:val="center"/>
              <w:rPr>
                <w:rFonts w:asciiTheme="minorHAnsi" w:eastAsia="Calibri" w:hAnsiTheme="minorHAnsi"/>
                <w:iCs/>
                <w:noProof/>
                <w:sz w:val="22"/>
                <w:szCs w:val="22"/>
              </w:rPr>
            </w:pPr>
            <w:r w:rsidRPr="006437CF">
              <w:rPr>
                <w:rFonts w:asciiTheme="minorHAnsi" w:eastAsia="Calibri" w:hAnsiTheme="minorHAnsi"/>
                <w:iCs/>
                <w:noProof/>
                <w:sz w:val="22"/>
                <w:szCs w:val="22"/>
              </w:rPr>
              <w:t>13</w:t>
            </w:r>
            <w:r w:rsidR="003E3F13">
              <w:rPr>
                <w:rFonts w:asciiTheme="minorHAnsi" w:eastAsia="Calibri" w:hAnsiTheme="minorHAnsi"/>
                <w:iCs/>
                <w:noProof/>
                <w:sz w:val="22"/>
                <w:szCs w:val="22"/>
              </w:rPr>
              <w:t>0</w:t>
            </w:r>
            <w:r w:rsidRPr="006437CF">
              <w:rPr>
                <w:rFonts w:asciiTheme="minorHAnsi" w:eastAsia="Calibri" w:hAnsiTheme="minorHAnsi"/>
                <w:iCs/>
                <w:noProof/>
                <w:sz w:val="22"/>
                <w:szCs w:val="22"/>
              </w:rPr>
              <w:t>,</w:t>
            </w:r>
            <w:r w:rsidR="003E3F13">
              <w:rPr>
                <w:rFonts w:asciiTheme="minorHAnsi" w:eastAsia="Calibri" w:hAnsiTheme="minorHAnsi"/>
                <w:iCs/>
                <w:noProof/>
                <w:sz w:val="22"/>
                <w:szCs w:val="22"/>
              </w:rPr>
              <w:t>4</w:t>
            </w:r>
          </w:p>
        </w:tc>
      </w:tr>
      <w:tr w:rsidR="00CC6B5D" w:rsidRPr="006437CF" w14:paraId="6902965C"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BECFC1" w14:textId="23786A52" w:rsidR="006437CF" w:rsidRPr="000D6B02" w:rsidRDefault="006437CF" w:rsidP="006437CF">
            <w:pPr>
              <w:spacing w:before="100" w:after="100"/>
              <w:ind w:left="170"/>
              <w:rPr>
                <w:rFonts w:asciiTheme="minorHAnsi" w:hAnsiTheme="minorHAnsi"/>
                <w:bCs/>
                <w:iCs/>
                <w:noProof/>
                <w:color w:val="245F95" w:themeColor="text2"/>
                <w:sz w:val="22"/>
                <w:szCs w:val="22"/>
              </w:rPr>
            </w:pPr>
            <w:r w:rsidRPr="000D6B02">
              <w:rPr>
                <w:rFonts w:asciiTheme="minorHAnsi" w:hAnsiTheme="minorHAnsi"/>
                <w:bCs/>
                <w:iCs/>
                <w:noProof/>
                <w:color w:val="245F95" w:themeColor="text2"/>
                <w:sz w:val="22"/>
                <w:szCs w:val="22"/>
              </w:rPr>
              <w:t>Plastic-based own resource</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35223C" w14:textId="77777777" w:rsidR="006437CF" w:rsidRPr="006437CF" w:rsidRDefault="006437CF" w:rsidP="000D6B02">
            <w:pPr>
              <w:spacing w:before="100" w:after="100"/>
              <w:jc w:val="center"/>
              <w:rPr>
                <w:rFonts w:asciiTheme="minorHAnsi" w:hAnsiTheme="minorHAnsi"/>
                <w:iCs/>
                <w:noProof/>
                <w:sz w:val="22"/>
                <w:szCs w:val="22"/>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6F5335" w14:textId="5F6717D7" w:rsidR="006437CF" w:rsidRPr="006437CF" w:rsidRDefault="006437CF" w:rsidP="005301DF">
            <w:pPr>
              <w:spacing w:before="100" w:after="100" w:line="22" w:lineRule="atLeast"/>
              <w:jc w:val="center"/>
              <w:rPr>
                <w:rFonts w:asciiTheme="minorHAnsi" w:eastAsia="Calibri" w:hAnsiTheme="minorHAnsi"/>
                <w:iCs/>
                <w:noProof/>
                <w:sz w:val="22"/>
                <w:szCs w:val="22"/>
              </w:rPr>
            </w:pPr>
            <w:r w:rsidRPr="006437CF">
              <w:rPr>
                <w:rFonts w:asciiTheme="minorHAnsi" w:eastAsia="Calibri" w:hAnsiTheme="minorHAnsi"/>
                <w:iCs/>
                <w:noProof/>
                <w:sz w:val="22"/>
                <w:szCs w:val="22"/>
              </w:rPr>
              <w:t>7,</w:t>
            </w:r>
            <w:r w:rsidR="00402C0B">
              <w:rPr>
                <w:rFonts w:asciiTheme="minorHAnsi" w:eastAsia="Calibri" w:hAnsiTheme="minorHAnsi"/>
                <w:iCs/>
                <w:noProof/>
                <w:sz w:val="22"/>
                <w:szCs w:val="22"/>
              </w:rPr>
              <w:t>1</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D7D1F3" w14:textId="110A7890" w:rsidR="006437CF" w:rsidRPr="006437CF" w:rsidRDefault="006437CF" w:rsidP="005301DF">
            <w:pPr>
              <w:spacing w:before="100" w:after="100" w:line="22" w:lineRule="atLeast"/>
              <w:jc w:val="center"/>
              <w:rPr>
                <w:rFonts w:asciiTheme="minorHAnsi" w:eastAsia="Calibri" w:hAnsiTheme="minorHAnsi"/>
                <w:iCs/>
                <w:noProof/>
                <w:sz w:val="22"/>
                <w:szCs w:val="22"/>
              </w:rPr>
            </w:pPr>
            <w:r w:rsidRPr="006437CF">
              <w:rPr>
                <w:rFonts w:asciiTheme="minorHAnsi" w:eastAsia="Calibri" w:hAnsiTheme="minorHAnsi"/>
                <w:iCs/>
                <w:noProof/>
                <w:sz w:val="22"/>
                <w:szCs w:val="22"/>
              </w:rPr>
              <w:t>7,</w:t>
            </w:r>
            <w:r w:rsidR="00402C0B">
              <w:rPr>
                <w:rFonts w:asciiTheme="minorHAnsi" w:eastAsia="Calibri" w:hAnsiTheme="minorHAnsi"/>
                <w:iCs/>
                <w:noProof/>
                <w:sz w:val="22"/>
                <w:szCs w:val="22"/>
              </w:rPr>
              <w:t>1</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9E2BDF" w14:textId="59BFDD8A" w:rsidR="006437CF" w:rsidRPr="006437CF" w:rsidRDefault="006437CF" w:rsidP="005301DF">
            <w:pPr>
              <w:spacing w:before="100" w:after="100" w:line="22" w:lineRule="atLeast"/>
              <w:jc w:val="center"/>
              <w:rPr>
                <w:rFonts w:asciiTheme="minorHAnsi" w:eastAsia="Calibri" w:hAnsiTheme="minorHAnsi"/>
                <w:iCs/>
                <w:noProof/>
                <w:sz w:val="22"/>
                <w:szCs w:val="22"/>
              </w:rPr>
            </w:pPr>
            <w:r w:rsidRPr="006437CF">
              <w:rPr>
                <w:rFonts w:asciiTheme="minorHAnsi" w:eastAsia="Calibri" w:hAnsiTheme="minorHAnsi"/>
                <w:iCs/>
                <w:noProof/>
                <w:sz w:val="22"/>
                <w:szCs w:val="22"/>
              </w:rPr>
              <w:t>7,</w:t>
            </w:r>
            <w:r w:rsidR="00402C0B">
              <w:rPr>
                <w:rFonts w:asciiTheme="minorHAnsi" w:eastAsia="Calibri" w:hAnsiTheme="minorHAnsi"/>
                <w:iCs/>
                <w:noProof/>
                <w:sz w:val="22"/>
                <w:szCs w:val="22"/>
              </w:rPr>
              <w:t>1</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05E6A0" w14:textId="30A2DDF0" w:rsidR="006437CF" w:rsidRPr="006437CF" w:rsidRDefault="006437CF" w:rsidP="005301DF">
            <w:pPr>
              <w:spacing w:before="100" w:after="100" w:line="22" w:lineRule="atLeast"/>
              <w:jc w:val="center"/>
              <w:rPr>
                <w:rFonts w:asciiTheme="minorHAnsi" w:eastAsia="Calibri" w:hAnsiTheme="minorHAnsi"/>
                <w:iCs/>
                <w:noProof/>
                <w:sz w:val="22"/>
                <w:szCs w:val="22"/>
              </w:rPr>
            </w:pPr>
            <w:r w:rsidRPr="006437CF">
              <w:rPr>
                <w:rFonts w:asciiTheme="minorHAnsi" w:eastAsia="Calibri" w:hAnsiTheme="minorHAnsi"/>
                <w:iCs/>
                <w:noProof/>
                <w:sz w:val="22"/>
                <w:szCs w:val="22"/>
              </w:rPr>
              <w:t>7,</w:t>
            </w:r>
            <w:r w:rsidR="00402C0B">
              <w:rPr>
                <w:rFonts w:asciiTheme="minorHAnsi" w:eastAsia="Calibri" w:hAnsiTheme="minorHAnsi"/>
                <w:iCs/>
                <w:noProof/>
                <w:sz w:val="22"/>
                <w:szCs w:val="22"/>
              </w:rPr>
              <w:t>0</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6D4F15" w14:textId="7328FBC1" w:rsidR="006437CF" w:rsidRPr="006437CF" w:rsidRDefault="006437CF" w:rsidP="005301DF">
            <w:pPr>
              <w:spacing w:before="100" w:after="100" w:line="22" w:lineRule="atLeast"/>
              <w:jc w:val="center"/>
              <w:rPr>
                <w:rFonts w:asciiTheme="minorHAnsi" w:eastAsia="Calibri" w:hAnsiTheme="minorHAnsi"/>
                <w:iCs/>
                <w:noProof/>
                <w:sz w:val="22"/>
                <w:szCs w:val="22"/>
              </w:rPr>
            </w:pPr>
            <w:r w:rsidRPr="006437CF">
              <w:rPr>
                <w:rFonts w:asciiTheme="minorHAnsi" w:eastAsia="Calibri" w:hAnsiTheme="minorHAnsi"/>
                <w:iCs/>
                <w:noProof/>
                <w:sz w:val="22"/>
                <w:szCs w:val="22"/>
              </w:rPr>
              <w:t>7,</w:t>
            </w:r>
            <w:r w:rsidR="00402C0B">
              <w:rPr>
                <w:rFonts w:asciiTheme="minorHAnsi" w:eastAsia="Calibri" w:hAnsiTheme="minorHAnsi"/>
                <w:iCs/>
                <w:noProof/>
                <w:sz w:val="22"/>
                <w:szCs w:val="22"/>
              </w:rPr>
              <w:t>0</w:t>
            </w:r>
          </w:p>
        </w:tc>
        <w:tc>
          <w:tcPr>
            <w:tcW w:w="523" w:type="pct"/>
            <w:tcBorders>
              <w:top w:val="single" w:sz="6" w:space="0" w:color="BFBFBF" w:themeColor="background1" w:themeShade="BF"/>
              <w:bottom w:val="single" w:sz="6" w:space="0" w:color="BFBFBF" w:themeColor="background1" w:themeShade="BF"/>
            </w:tcBorders>
            <w:vAlign w:val="center"/>
          </w:tcPr>
          <w:p w14:paraId="277FB2FF" w14:textId="064F0477" w:rsidR="006437CF" w:rsidRPr="006437CF" w:rsidRDefault="00623C53" w:rsidP="005301DF">
            <w:pPr>
              <w:spacing w:before="100" w:after="100" w:line="22" w:lineRule="atLeast"/>
              <w:jc w:val="center"/>
              <w:rPr>
                <w:rFonts w:asciiTheme="minorHAnsi" w:eastAsia="Calibri" w:hAnsiTheme="minorHAnsi"/>
                <w:iCs/>
                <w:noProof/>
                <w:sz w:val="22"/>
                <w:szCs w:val="22"/>
              </w:rPr>
            </w:pPr>
            <w:r w:rsidRPr="006437CF">
              <w:rPr>
                <w:rFonts w:asciiTheme="minorHAnsi" w:eastAsia="Calibri" w:hAnsiTheme="minorHAnsi"/>
                <w:iCs/>
                <w:noProof/>
                <w:sz w:val="22"/>
                <w:szCs w:val="22"/>
              </w:rPr>
              <w:t>3</w:t>
            </w:r>
            <w:r>
              <w:rPr>
                <w:rFonts w:asciiTheme="minorHAnsi" w:eastAsia="Calibri" w:hAnsiTheme="minorHAnsi"/>
                <w:iCs/>
                <w:noProof/>
                <w:sz w:val="22"/>
                <w:szCs w:val="22"/>
              </w:rPr>
              <w:t>5</w:t>
            </w:r>
            <w:r w:rsidR="006437CF" w:rsidRPr="006437CF">
              <w:rPr>
                <w:rFonts w:asciiTheme="minorHAnsi" w:eastAsia="Calibri" w:hAnsiTheme="minorHAnsi"/>
                <w:iCs/>
                <w:noProof/>
                <w:sz w:val="22"/>
                <w:szCs w:val="22"/>
              </w:rPr>
              <w:t>,</w:t>
            </w:r>
            <w:r>
              <w:rPr>
                <w:rFonts w:asciiTheme="minorHAnsi" w:eastAsia="Calibri" w:hAnsiTheme="minorHAnsi"/>
                <w:iCs/>
                <w:noProof/>
                <w:sz w:val="22"/>
                <w:szCs w:val="22"/>
              </w:rPr>
              <w:t>3</w:t>
            </w:r>
          </w:p>
        </w:tc>
      </w:tr>
      <w:tr w:rsidR="00CC6B5D" w:rsidRPr="006437CF" w14:paraId="2D4E0D2C"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942E4" w14:textId="37FB2960" w:rsidR="006437CF" w:rsidRPr="000D6B02" w:rsidRDefault="006437CF" w:rsidP="006437CF">
            <w:pPr>
              <w:spacing w:before="100" w:after="100"/>
              <w:ind w:left="170"/>
              <w:rPr>
                <w:rFonts w:asciiTheme="minorHAnsi" w:hAnsiTheme="minorHAnsi"/>
                <w:bCs/>
                <w:iCs/>
                <w:noProof/>
                <w:color w:val="245F95" w:themeColor="text2"/>
                <w:sz w:val="22"/>
                <w:szCs w:val="22"/>
              </w:rPr>
            </w:pPr>
            <w:r w:rsidRPr="000D6B02">
              <w:rPr>
                <w:rFonts w:asciiTheme="minorHAnsi" w:hAnsiTheme="minorHAnsi"/>
                <w:bCs/>
                <w:iCs/>
                <w:noProof/>
                <w:color w:val="245F95" w:themeColor="text2"/>
                <w:sz w:val="22"/>
                <w:szCs w:val="22"/>
              </w:rPr>
              <w:t>GNI-based own resource</w:t>
            </w:r>
            <w:r w:rsidR="00971308">
              <w:rPr>
                <w:rFonts w:asciiTheme="minorHAnsi" w:hAnsiTheme="minorHAnsi"/>
                <w:bCs/>
                <w:iCs/>
                <w:noProof/>
                <w:color w:val="245F95" w:themeColor="text2"/>
                <w:sz w:val="22"/>
                <w:szCs w:val="22"/>
              </w:rPr>
              <w:t>***</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37F7DA" w14:textId="77777777" w:rsidR="006437CF" w:rsidRPr="006437CF" w:rsidRDefault="006437CF" w:rsidP="000D6B02">
            <w:pPr>
              <w:spacing w:before="100" w:after="100"/>
              <w:jc w:val="center"/>
              <w:rPr>
                <w:rFonts w:asciiTheme="minorHAnsi" w:hAnsiTheme="minorHAnsi"/>
                <w:iCs/>
                <w:noProof/>
                <w:sz w:val="22"/>
                <w:szCs w:val="22"/>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2C238F" w14:textId="206B0BB2" w:rsidR="006437CF" w:rsidRPr="006437CF" w:rsidRDefault="00625B75" w:rsidP="005301DF">
            <w:pPr>
              <w:spacing w:before="100" w:after="100" w:line="22" w:lineRule="atLeast"/>
              <w:jc w:val="center"/>
              <w:rPr>
                <w:rFonts w:asciiTheme="minorHAnsi" w:eastAsia="Calibri" w:hAnsiTheme="minorHAnsi"/>
                <w:iCs/>
                <w:noProof/>
                <w:sz w:val="22"/>
                <w:szCs w:val="22"/>
              </w:rPr>
            </w:pPr>
            <w:r>
              <w:rPr>
                <w:rFonts w:asciiTheme="minorHAnsi" w:eastAsia="Calibri" w:hAnsiTheme="minorHAnsi"/>
                <w:iCs/>
                <w:noProof/>
                <w:sz w:val="22"/>
                <w:szCs w:val="22"/>
              </w:rPr>
              <w:t>95</w:t>
            </w:r>
            <w:r w:rsidR="006437CF" w:rsidRPr="006437CF">
              <w:rPr>
                <w:rFonts w:asciiTheme="minorHAnsi" w:eastAsia="Calibri" w:hAnsiTheme="minorHAnsi"/>
                <w:iCs/>
                <w:noProof/>
                <w:sz w:val="22"/>
                <w:szCs w:val="22"/>
              </w:rPr>
              <w:t>,</w:t>
            </w:r>
            <w:r>
              <w:rPr>
                <w:rFonts w:asciiTheme="minorHAnsi" w:eastAsia="Calibri" w:hAnsiTheme="minorHAnsi"/>
                <w:iCs/>
                <w:noProof/>
                <w:sz w:val="22"/>
                <w:szCs w:val="22"/>
              </w:rPr>
              <w:t>8</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5D1C16" w14:textId="78671BA4" w:rsidR="006437CF" w:rsidRPr="006437CF" w:rsidRDefault="00F22621" w:rsidP="005301DF">
            <w:pPr>
              <w:spacing w:before="100" w:after="100" w:line="22" w:lineRule="atLeast"/>
              <w:jc w:val="center"/>
              <w:rPr>
                <w:rFonts w:asciiTheme="minorHAnsi" w:eastAsia="Calibri" w:hAnsiTheme="minorHAnsi"/>
                <w:iCs/>
                <w:noProof/>
                <w:sz w:val="22"/>
                <w:szCs w:val="22"/>
              </w:rPr>
            </w:pPr>
            <w:r w:rsidRPr="006437CF">
              <w:rPr>
                <w:rFonts w:asciiTheme="minorHAnsi" w:eastAsia="Calibri" w:hAnsiTheme="minorHAnsi"/>
                <w:iCs/>
                <w:noProof/>
                <w:sz w:val="22"/>
                <w:szCs w:val="22"/>
              </w:rPr>
              <w:t>1</w:t>
            </w:r>
            <w:r>
              <w:rPr>
                <w:rFonts w:asciiTheme="minorHAnsi" w:eastAsia="Calibri" w:hAnsiTheme="minorHAnsi"/>
                <w:iCs/>
                <w:noProof/>
                <w:sz w:val="22"/>
                <w:szCs w:val="22"/>
              </w:rPr>
              <w:t>2</w:t>
            </w:r>
            <w:r w:rsidR="00DD18D9">
              <w:rPr>
                <w:rFonts w:asciiTheme="minorHAnsi" w:eastAsia="Calibri" w:hAnsiTheme="minorHAnsi"/>
                <w:iCs/>
                <w:noProof/>
                <w:sz w:val="22"/>
                <w:szCs w:val="22"/>
              </w:rPr>
              <w:t>7</w:t>
            </w:r>
            <w:r w:rsidR="006437CF" w:rsidRPr="006437CF">
              <w:rPr>
                <w:rFonts w:asciiTheme="minorHAnsi" w:eastAsia="Calibri" w:hAnsiTheme="minorHAnsi"/>
                <w:iCs/>
                <w:noProof/>
                <w:sz w:val="22"/>
                <w:szCs w:val="22"/>
              </w:rPr>
              <w:t>,</w:t>
            </w:r>
            <w:r w:rsidR="004B0814">
              <w:rPr>
                <w:rFonts w:asciiTheme="minorHAnsi" w:eastAsia="Calibri" w:hAnsiTheme="minorHAnsi"/>
                <w:iCs/>
                <w:noProof/>
                <w:sz w:val="22"/>
                <w:szCs w:val="22"/>
              </w:rPr>
              <w:t>4</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0B4AA3" w14:textId="269C5FA3" w:rsidR="006437CF" w:rsidRPr="006437CF" w:rsidRDefault="00987500" w:rsidP="005301DF">
            <w:pPr>
              <w:spacing w:before="100" w:after="100" w:line="22" w:lineRule="atLeast"/>
              <w:jc w:val="center"/>
              <w:rPr>
                <w:rFonts w:asciiTheme="minorHAnsi" w:eastAsia="Calibri" w:hAnsiTheme="minorHAnsi"/>
                <w:iCs/>
                <w:noProof/>
                <w:sz w:val="22"/>
                <w:szCs w:val="22"/>
              </w:rPr>
            </w:pPr>
            <w:r w:rsidRPr="006437CF">
              <w:rPr>
                <w:rFonts w:asciiTheme="minorHAnsi" w:eastAsia="Calibri" w:hAnsiTheme="minorHAnsi"/>
                <w:iCs/>
                <w:noProof/>
                <w:sz w:val="22"/>
                <w:szCs w:val="22"/>
              </w:rPr>
              <w:t>13</w:t>
            </w:r>
            <w:r w:rsidR="00DB6794">
              <w:rPr>
                <w:rFonts w:asciiTheme="minorHAnsi" w:eastAsia="Calibri" w:hAnsiTheme="minorHAnsi"/>
                <w:iCs/>
                <w:noProof/>
                <w:sz w:val="22"/>
                <w:szCs w:val="22"/>
              </w:rPr>
              <w:t>8</w:t>
            </w:r>
            <w:r w:rsidR="006437CF" w:rsidRPr="006437CF">
              <w:rPr>
                <w:rFonts w:asciiTheme="minorHAnsi" w:eastAsia="Calibri" w:hAnsiTheme="minorHAnsi"/>
                <w:iCs/>
                <w:noProof/>
                <w:sz w:val="22"/>
                <w:szCs w:val="22"/>
              </w:rPr>
              <w:t>,</w:t>
            </w:r>
            <w:r w:rsidR="004B0814">
              <w:rPr>
                <w:rFonts w:asciiTheme="minorHAnsi" w:eastAsia="Calibri" w:hAnsiTheme="minorHAnsi"/>
                <w:iCs/>
                <w:noProof/>
                <w:sz w:val="22"/>
                <w:szCs w:val="22"/>
              </w:rPr>
              <w:t>2</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3B3677" w14:textId="72175FAB" w:rsidR="006437CF" w:rsidRPr="006437CF" w:rsidRDefault="00087DB3" w:rsidP="005301DF">
            <w:pPr>
              <w:spacing w:before="100" w:after="100" w:line="22" w:lineRule="atLeast"/>
              <w:jc w:val="center"/>
              <w:rPr>
                <w:rFonts w:asciiTheme="minorHAnsi" w:eastAsia="Calibri" w:hAnsiTheme="minorHAnsi"/>
                <w:iCs/>
                <w:noProof/>
                <w:sz w:val="22"/>
                <w:szCs w:val="22"/>
              </w:rPr>
            </w:pPr>
            <w:r>
              <w:rPr>
                <w:rFonts w:asciiTheme="minorHAnsi" w:eastAsia="Calibri" w:hAnsiTheme="minorHAnsi"/>
                <w:iCs/>
                <w:noProof/>
                <w:sz w:val="22"/>
                <w:szCs w:val="22"/>
              </w:rPr>
              <w:t>8</w:t>
            </w:r>
            <w:r w:rsidR="00EB22DE">
              <w:rPr>
                <w:rFonts w:asciiTheme="minorHAnsi" w:eastAsia="Calibri" w:hAnsiTheme="minorHAnsi"/>
                <w:iCs/>
                <w:noProof/>
                <w:sz w:val="22"/>
                <w:szCs w:val="22"/>
              </w:rPr>
              <w:t>4</w:t>
            </w:r>
            <w:r w:rsidR="006437CF" w:rsidRPr="006437CF">
              <w:rPr>
                <w:rFonts w:asciiTheme="minorHAnsi" w:eastAsia="Calibri" w:hAnsiTheme="minorHAnsi"/>
                <w:iCs/>
                <w:noProof/>
                <w:sz w:val="22"/>
                <w:szCs w:val="22"/>
              </w:rPr>
              <w:t>,</w:t>
            </w:r>
            <w:r w:rsidR="00EB22DE">
              <w:rPr>
                <w:rFonts w:asciiTheme="minorHAnsi" w:eastAsia="Calibri" w:hAnsiTheme="minorHAnsi"/>
                <w:iCs/>
                <w:noProof/>
                <w:sz w:val="22"/>
                <w:szCs w:val="22"/>
              </w:rPr>
              <w:t>2</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A5589C" w14:textId="580DA9D5" w:rsidR="006437CF" w:rsidRPr="006437CF" w:rsidRDefault="00F45E06" w:rsidP="005301DF">
            <w:pPr>
              <w:spacing w:before="100" w:after="100" w:line="22" w:lineRule="atLeast"/>
              <w:jc w:val="center"/>
              <w:rPr>
                <w:rFonts w:asciiTheme="minorHAnsi" w:eastAsia="Calibri" w:hAnsiTheme="minorHAnsi"/>
                <w:iCs/>
                <w:noProof/>
                <w:sz w:val="22"/>
                <w:szCs w:val="22"/>
              </w:rPr>
            </w:pPr>
            <w:r>
              <w:rPr>
                <w:rFonts w:asciiTheme="minorHAnsi" w:eastAsia="Calibri" w:hAnsiTheme="minorHAnsi"/>
                <w:iCs/>
                <w:noProof/>
                <w:sz w:val="22"/>
                <w:szCs w:val="22"/>
              </w:rPr>
              <w:t>6</w:t>
            </w:r>
            <w:r w:rsidR="00ED5D1E">
              <w:rPr>
                <w:rFonts w:asciiTheme="minorHAnsi" w:eastAsia="Calibri" w:hAnsiTheme="minorHAnsi"/>
                <w:iCs/>
                <w:noProof/>
                <w:sz w:val="22"/>
                <w:szCs w:val="22"/>
              </w:rPr>
              <w:t>1</w:t>
            </w:r>
            <w:r w:rsidR="006437CF" w:rsidRPr="006437CF">
              <w:rPr>
                <w:rFonts w:asciiTheme="minorHAnsi" w:eastAsia="Calibri" w:hAnsiTheme="minorHAnsi"/>
                <w:iCs/>
                <w:noProof/>
                <w:sz w:val="22"/>
                <w:szCs w:val="22"/>
              </w:rPr>
              <w:t>,</w:t>
            </w:r>
            <w:r w:rsidR="00D3460F">
              <w:rPr>
                <w:rFonts w:asciiTheme="minorHAnsi" w:eastAsia="Calibri" w:hAnsiTheme="minorHAnsi"/>
                <w:iCs/>
                <w:noProof/>
                <w:sz w:val="22"/>
                <w:szCs w:val="22"/>
              </w:rPr>
              <w:t>6</w:t>
            </w:r>
          </w:p>
        </w:tc>
        <w:tc>
          <w:tcPr>
            <w:tcW w:w="523" w:type="pct"/>
            <w:tcBorders>
              <w:top w:val="single" w:sz="6" w:space="0" w:color="BFBFBF" w:themeColor="background1" w:themeShade="BF"/>
              <w:bottom w:val="single" w:sz="6" w:space="0" w:color="BFBFBF" w:themeColor="background1" w:themeShade="BF"/>
            </w:tcBorders>
            <w:vAlign w:val="center"/>
          </w:tcPr>
          <w:p w14:paraId="3945294C" w14:textId="1F39445F" w:rsidR="006437CF" w:rsidRPr="006437CF" w:rsidRDefault="00B53F94" w:rsidP="005301DF">
            <w:pPr>
              <w:spacing w:before="100" w:after="100" w:line="22" w:lineRule="atLeast"/>
              <w:jc w:val="center"/>
              <w:rPr>
                <w:rFonts w:asciiTheme="minorHAnsi" w:eastAsia="Calibri" w:hAnsiTheme="minorHAnsi"/>
                <w:iCs/>
                <w:noProof/>
                <w:sz w:val="22"/>
                <w:szCs w:val="22"/>
              </w:rPr>
            </w:pPr>
            <w:r>
              <w:rPr>
                <w:rFonts w:asciiTheme="minorHAnsi" w:eastAsia="Calibri" w:hAnsiTheme="minorHAnsi"/>
                <w:iCs/>
                <w:noProof/>
                <w:sz w:val="22"/>
                <w:szCs w:val="22"/>
              </w:rPr>
              <w:t>50</w:t>
            </w:r>
            <w:r w:rsidR="000B590E">
              <w:rPr>
                <w:rFonts w:asciiTheme="minorHAnsi" w:eastAsia="Calibri" w:hAnsiTheme="minorHAnsi"/>
                <w:iCs/>
                <w:noProof/>
                <w:sz w:val="22"/>
                <w:szCs w:val="22"/>
              </w:rPr>
              <w:t>7</w:t>
            </w:r>
            <w:r w:rsidR="006437CF" w:rsidRPr="006437CF">
              <w:rPr>
                <w:rFonts w:asciiTheme="minorHAnsi" w:eastAsia="Calibri" w:hAnsiTheme="minorHAnsi"/>
                <w:iCs/>
                <w:noProof/>
                <w:sz w:val="22"/>
                <w:szCs w:val="22"/>
              </w:rPr>
              <w:t>,</w:t>
            </w:r>
            <w:r w:rsidR="00D3460F">
              <w:rPr>
                <w:rFonts w:asciiTheme="minorHAnsi" w:eastAsia="Calibri" w:hAnsiTheme="minorHAnsi"/>
                <w:iCs/>
                <w:noProof/>
                <w:sz w:val="22"/>
                <w:szCs w:val="22"/>
              </w:rPr>
              <w:t>2</w:t>
            </w:r>
          </w:p>
        </w:tc>
      </w:tr>
      <w:tr w:rsidR="00CC6B5D" w:rsidRPr="000D6B02" w14:paraId="5387D7DC"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349AB8" w14:textId="4CE73248" w:rsidR="00EB0E9F" w:rsidRPr="000D6B02" w:rsidRDefault="00EB0E9F" w:rsidP="006437CF">
            <w:pPr>
              <w:spacing w:before="100" w:after="100"/>
              <w:rPr>
                <w:b/>
                <w:bCs/>
                <w:iCs/>
                <w:noProof/>
                <w:color w:val="245F95" w:themeColor="text2"/>
              </w:rPr>
            </w:pPr>
            <w:r w:rsidRPr="000D6B02">
              <w:rPr>
                <w:rFonts w:asciiTheme="minorHAnsi" w:hAnsiTheme="minorHAnsi"/>
                <w:b/>
                <w:bCs/>
                <w:iCs/>
                <w:noProof/>
                <w:color w:val="245F95" w:themeColor="text2"/>
                <w:sz w:val="22"/>
                <w:szCs w:val="22"/>
              </w:rPr>
              <w:t>Total own resources</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2078AF" w14:textId="738FB106" w:rsidR="00EB0E9F" w:rsidRPr="000D6B02" w:rsidRDefault="00EB0E9F" w:rsidP="000D6B02">
            <w:pPr>
              <w:spacing w:before="100" w:after="100"/>
              <w:jc w:val="center"/>
              <w:rPr>
                <w:b/>
                <w:bCs/>
                <w:iCs/>
                <w:noProof/>
                <w:spacing w:val="-4"/>
              </w:rPr>
            </w:pPr>
            <w:r w:rsidRPr="000D6B02">
              <w:rPr>
                <w:rFonts w:asciiTheme="minorHAnsi" w:hAnsiTheme="minorHAnsi"/>
                <w:b/>
                <w:bCs/>
                <w:iCs/>
                <w:noProof/>
                <w:spacing w:val="-4"/>
                <w:sz w:val="22"/>
                <w:szCs w:val="22"/>
              </w:rPr>
              <w:t>d=b+c</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C2A485" w14:textId="6A872525" w:rsidR="00EB0E9F" w:rsidRPr="000D6B02" w:rsidRDefault="00BF21F5" w:rsidP="005301DF">
            <w:pPr>
              <w:spacing w:before="100" w:after="100"/>
              <w:jc w:val="center"/>
              <w:rPr>
                <w:b/>
                <w:bCs/>
                <w:iCs/>
                <w:noProof/>
              </w:rPr>
            </w:pPr>
            <w:r w:rsidRPr="000D6B02">
              <w:rPr>
                <w:rFonts w:asciiTheme="minorHAnsi" w:eastAsia="Calibri" w:hAnsiTheme="minorHAnsi"/>
                <w:b/>
                <w:bCs/>
                <w:iCs/>
                <w:noProof/>
                <w:sz w:val="22"/>
                <w:szCs w:val="22"/>
              </w:rPr>
              <w:t>1</w:t>
            </w:r>
            <w:r>
              <w:rPr>
                <w:rFonts w:asciiTheme="minorHAnsi" w:eastAsia="Calibri" w:hAnsiTheme="minorHAnsi"/>
                <w:b/>
                <w:bCs/>
                <w:iCs/>
                <w:noProof/>
                <w:sz w:val="22"/>
                <w:szCs w:val="22"/>
              </w:rPr>
              <w:t>48</w:t>
            </w:r>
            <w:r w:rsidR="00EB0E9F" w:rsidRPr="000D6B02">
              <w:rPr>
                <w:rFonts w:asciiTheme="minorHAnsi" w:eastAsia="Calibri" w:hAnsiTheme="minorHAnsi"/>
                <w:b/>
                <w:bCs/>
                <w:iCs/>
                <w:noProof/>
                <w:sz w:val="22"/>
                <w:szCs w:val="22"/>
              </w:rPr>
              <w:t>,</w:t>
            </w:r>
            <w:r>
              <w:rPr>
                <w:rFonts w:asciiTheme="minorHAnsi" w:eastAsia="Calibri" w:hAnsiTheme="minorHAnsi"/>
                <w:b/>
                <w:bCs/>
                <w:iCs/>
                <w:noProof/>
                <w:sz w:val="22"/>
                <w:szCs w:val="22"/>
              </w:rPr>
              <w:t>4</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2E5F13" w14:textId="7300AAE1" w:rsidR="00EB0E9F" w:rsidRPr="000D6B02" w:rsidRDefault="00184729" w:rsidP="005301DF">
            <w:pPr>
              <w:spacing w:before="100" w:after="100"/>
              <w:jc w:val="center"/>
              <w:rPr>
                <w:b/>
                <w:bCs/>
                <w:iCs/>
                <w:noProof/>
              </w:rPr>
            </w:pPr>
            <w:r w:rsidRPr="000D6B02">
              <w:rPr>
                <w:rFonts w:asciiTheme="minorHAnsi" w:eastAsia="Calibri" w:hAnsiTheme="minorHAnsi"/>
                <w:b/>
                <w:bCs/>
                <w:iCs/>
                <w:noProof/>
                <w:sz w:val="22"/>
                <w:szCs w:val="22"/>
              </w:rPr>
              <w:t>1</w:t>
            </w:r>
            <w:r>
              <w:rPr>
                <w:rFonts w:asciiTheme="minorHAnsi" w:eastAsia="Calibri" w:hAnsiTheme="minorHAnsi"/>
                <w:b/>
                <w:bCs/>
                <w:iCs/>
                <w:noProof/>
                <w:sz w:val="22"/>
                <w:szCs w:val="22"/>
              </w:rPr>
              <w:t>8</w:t>
            </w:r>
            <w:r w:rsidR="00B53F94">
              <w:rPr>
                <w:rFonts w:asciiTheme="minorHAnsi" w:eastAsia="Calibri" w:hAnsiTheme="minorHAnsi"/>
                <w:b/>
                <w:bCs/>
                <w:iCs/>
                <w:noProof/>
                <w:sz w:val="22"/>
                <w:szCs w:val="22"/>
              </w:rPr>
              <w:t>1</w:t>
            </w:r>
            <w:r w:rsidR="00EB0E9F" w:rsidRPr="000D6B02">
              <w:rPr>
                <w:rFonts w:asciiTheme="minorHAnsi" w:eastAsia="Calibri" w:hAnsiTheme="minorHAnsi"/>
                <w:b/>
                <w:bCs/>
                <w:iCs/>
                <w:noProof/>
                <w:sz w:val="22"/>
                <w:szCs w:val="22"/>
              </w:rPr>
              <w:t>,</w:t>
            </w:r>
            <w:r w:rsidR="00DB7F84">
              <w:rPr>
                <w:rFonts w:asciiTheme="minorHAnsi" w:eastAsia="Calibri" w:hAnsiTheme="minorHAnsi"/>
                <w:b/>
                <w:bCs/>
                <w:iCs/>
                <w:noProof/>
                <w:sz w:val="22"/>
                <w:szCs w:val="22"/>
              </w:rPr>
              <w:t>6</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02572A" w14:textId="0678259D" w:rsidR="00EB0E9F" w:rsidRPr="000D6B02" w:rsidRDefault="00523C63" w:rsidP="005301DF">
            <w:pPr>
              <w:spacing w:before="100" w:after="100"/>
              <w:jc w:val="center"/>
              <w:rPr>
                <w:b/>
                <w:bCs/>
                <w:iCs/>
                <w:noProof/>
              </w:rPr>
            </w:pPr>
            <w:r w:rsidRPr="000D6B02">
              <w:rPr>
                <w:rFonts w:asciiTheme="minorHAnsi" w:eastAsia="Calibri" w:hAnsiTheme="minorHAnsi"/>
                <w:b/>
                <w:bCs/>
                <w:iCs/>
                <w:noProof/>
                <w:sz w:val="22"/>
                <w:szCs w:val="22"/>
              </w:rPr>
              <w:t>19</w:t>
            </w:r>
            <w:r w:rsidR="00DB7F84">
              <w:rPr>
                <w:rFonts w:asciiTheme="minorHAnsi" w:eastAsia="Calibri" w:hAnsiTheme="minorHAnsi"/>
                <w:b/>
                <w:bCs/>
                <w:iCs/>
                <w:noProof/>
                <w:sz w:val="22"/>
                <w:szCs w:val="22"/>
              </w:rPr>
              <w:t>4</w:t>
            </w:r>
            <w:r w:rsidR="00EB0E9F" w:rsidRPr="000D6B02">
              <w:rPr>
                <w:rFonts w:asciiTheme="minorHAnsi" w:eastAsia="Calibri" w:hAnsiTheme="minorHAnsi"/>
                <w:b/>
                <w:bCs/>
                <w:iCs/>
                <w:noProof/>
                <w:sz w:val="22"/>
                <w:szCs w:val="22"/>
              </w:rPr>
              <w:t>,</w:t>
            </w:r>
            <w:r w:rsidR="00DB7F84">
              <w:rPr>
                <w:rFonts w:asciiTheme="minorHAnsi" w:eastAsia="Calibri" w:hAnsiTheme="minorHAnsi"/>
                <w:b/>
                <w:bCs/>
                <w:iCs/>
                <w:noProof/>
                <w:sz w:val="22"/>
                <w:szCs w:val="22"/>
              </w:rPr>
              <w:t>0</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D69218" w14:textId="4A47AA03" w:rsidR="00EB0E9F" w:rsidRPr="000D6B02" w:rsidRDefault="00EB0E9F" w:rsidP="005301DF">
            <w:pPr>
              <w:spacing w:before="100" w:after="100"/>
              <w:jc w:val="center"/>
              <w:rPr>
                <w:b/>
                <w:bCs/>
                <w:iCs/>
                <w:noProof/>
              </w:rPr>
            </w:pPr>
            <w:r w:rsidRPr="000D6B02">
              <w:rPr>
                <w:rFonts w:asciiTheme="minorHAnsi" w:eastAsia="Calibri" w:hAnsiTheme="minorHAnsi"/>
                <w:b/>
                <w:bCs/>
                <w:iCs/>
                <w:noProof/>
                <w:sz w:val="22"/>
                <w:szCs w:val="22"/>
              </w:rPr>
              <w:t>1</w:t>
            </w:r>
            <w:r w:rsidR="00E86E80">
              <w:rPr>
                <w:rFonts w:asciiTheme="minorHAnsi" w:eastAsia="Calibri" w:hAnsiTheme="minorHAnsi"/>
                <w:b/>
                <w:bCs/>
                <w:iCs/>
                <w:noProof/>
                <w:sz w:val="22"/>
                <w:szCs w:val="22"/>
              </w:rPr>
              <w:t>4</w:t>
            </w:r>
            <w:r w:rsidR="00F12C82">
              <w:rPr>
                <w:rFonts w:asciiTheme="minorHAnsi" w:eastAsia="Calibri" w:hAnsiTheme="minorHAnsi"/>
                <w:b/>
                <w:bCs/>
                <w:iCs/>
                <w:noProof/>
                <w:sz w:val="22"/>
                <w:szCs w:val="22"/>
              </w:rPr>
              <w:t>1</w:t>
            </w:r>
            <w:r w:rsidRPr="000D6B02">
              <w:rPr>
                <w:rFonts w:asciiTheme="minorHAnsi" w:eastAsia="Calibri" w:hAnsiTheme="minorHAnsi"/>
                <w:b/>
                <w:bCs/>
                <w:iCs/>
                <w:noProof/>
                <w:sz w:val="22"/>
                <w:szCs w:val="22"/>
              </w:rPr>
              <w:t>,</w:t>
            </w:r>
            <w:r w:rsidR="00DB7F84">
              <w:rPr>
                <w:rFonts w:asciiTheme="minorHAnsi" w:eastAsia="Calibri" w:hAnsiTheme="minorHAnsi"/>
                <w:b/>
                <w:bCs/>
                <w:iCs/>
                <w:noProof/>
                <w:sz w:val="22"/>
                <w:szCs w:val="22"/>
              </w:rPr>
              <w:t>5</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AF602A" w14:textId="3A5214D9" w:rsidR="00EB0E9F" w:rsidRPr="000D6B02" w:rsidRDefault="00EB0E9F" w:rsidP="005301DF">
            <w:pPr>
              <w:spacing w:before="100" w:after="100"/>
              <w:jc w:val="center"/>
              <w:rPr>
                <w:b/>
                <w:bCs/>
                <w:iCs/>
                <w:noProof/>
              </w:rPr>
            </w:pPr>
            <w:r w:rsidRPr="000D6B02">
              <w:rPr>
                <w:rFonts w:asciiTheme="minorHAnsi" w:eastAsia="Calibri" w:hAnsiTheme="minorHAnsi"/>
                <w:b/>
                <w:bCs/>
                <w:iCs/>
                <w:noProof/>
                <w:sz w:val="22"/>
                <w:szCs w:val="22"/>
              </w:rPr>
              <w:t>1</w:t>
            </w:r>
            <w:r w:rsidR="009D56F1">
              <w:rPr>
                <w:rFonts w:asciiTheme="minorHAnsi" w:eastAsia="Calibri" w:hAnsiTheme="minorHAnsi"/>
                <w:b/>
                <w:bCs/>
                <w:iCs/>
                <w:noProof/>
                <w:sz w:val="22"/>
                <w:szCs w:val="22"/>
              </w:rPr>
              <w:t>20</w:t>
            </w:r>
            <w:r w:rsidRPr="000D6B02">
              <w:rPr>
                <w:rFonts w:asciiTheme="minorHAnsi" w:eastAsia="Calibri" w:hAnsiTheme="minorHAnsi"/>
                <w:b/>
                <w:bCs/>
                <w:iCs/>
                <w:noProof/>
                <w:sz w:val="22"/>
                <w:szCs w:val="22"/>
              </w:rPr>
              <w:t>,</w:t>
            </w:r>
            <w:r w:rsidR="00DB7F84">
              <w:rPr>
                <w:rFonts w:asciiTheme="minorHAnsi" w:eastAsia="Calibri" w:hAnsiTheme="minorHAnsi"/>
                <w:b/>
                <w:bCs/>
                <w:iCs/>
                <w:noProof/>
                <w:sz w:val="22"/>
                <w:szCs w:val="22"/>
              </w:rPr>
              <w:t>5</w:t>
            </w:r>
          </w:p>
        </w:tc>
        <w:tc>
          <w:tcPr>
            <w:tcW w:w="523" w:type="pct"/>
            <w:tcBorders>
              <w:top w:val="single" w:sz="6" w:space="0" w:color="BFBFBF" w:themeColor="background1" w:themeShade="BF"/>
              <w:bottom w:val="single" w:sz="6" w:space="0" w:color="BFBFBF" w:themeColor="background1" w:themeShade="BF"/>
            </w:tcBorders>
            <w:vAlign w:val="center"/>
          </w:tcPr>
          <w:p w14:paraId="0008F3A2" w14:textId="0694A91B" w:rsidR="00EB0E9F" w:rsidRPr="000D6B02" w:rsidRDefault="00EB0E9F" w:rsidP="005301DF">
            <w:pPr>
              <w:spacing w:before="100" w:after="100"/>
              <w:jc w:val="center"/>
              <w:rPr>
                <w:b/>
                <w:bCs/>
                <w:iCs/>
                <w:noProof/>
              </w:rPr>
            </w:pPr>
            <w:r w:rsidRPr="000D6B02">
              <w:rPr>
                <w:rFonts w:asciiTheme="minorHAnsi" w:eastAsia="Calibri" w:hAnsiTheme="minorHAnsi"/>
                <w:b/>
                <w:bCs/>
                <w:iCs/>
                <w:noProof/>
                <w:sz w:val="22"/>
                <w:szCs w:val="22"/>
              </w:rPr>
              <w:t>7</w:t>
            </w:r>
            <w:r w:rsidR="0018730D">
              <w:rPr>
                <w:rFonts w:asciiTheme="minorHAnsi" w:eastAsia="Calibri" w:hAnsiTheme="minorHAnsi"/>
                <w:b/>
                <w:bCs/>
                <w:iCs/>
                <w:noProof/>
                <w:sz w:val="22"/>
                <w:szCs w:val="22"/>
              </w:rPr>
              <w:t>8</w:t>
            </w:r>
            <w:r w:rsidR="002D7F35">
              <w:rPr>
                <w:rFonts w:asciiTheme="minorHAnsi" w:eastAsia="Calibri" w:hAnsiTheme="minorHAnsi"/>
                <w:b/>
                <w:bCs/>
                <w:iCs/>
                <w:noProof/>
                <w:sz w:val="22"/>
                <w:szCs w:val="22"/>
              </w:rPr>
              <w:t>6</w:t>
            </w:r>
            <w:r w:rsidRPr="000D6B02">
              <w:rPr>
                <w:rFonts w:asciiTheme="minorHAnsi" w:eastAsia="Calibri" w:hAnsiTheme="minorHAnsi"/>
                <w:b/>
                <w:bCs/>
                <w:iCs/>
                <w:noProof/>
                <w:sz w:val="22"/>
                <w:szCs w:val="22"/>
              </w:rPr>
              <w:t>,</w:t>
            </w:r>
            <w:r w:rsidR="002D7F35">
              <w:rPr>
                <w:rFonts w:asciiTheme="minorHAnsi" w:eastAsia="Calibri" w:hAnsiTheme="minorHAnsi"/>
                <w:b/>
                <w:bCs/>
                <w:iCs/>
                <w:noProof/>
                <w:sz w:val="22"/>
                <w:szCs w:val="22"/>
              </w:rPr>
              <w:t>0</w:t>
            </w:r>
          </w:p>
        </w:tc>
      </w:tr>
      <w:tr w:rsidR="00CC6B5D" w:rsidRPr="006437CF" w14:paraId="4C2023E6"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FAB156" w14:textId="5CCE949B" w:rsidR="00EB0E9F" w:rsidRPr="000D6B02" w:rsidRDefault="00EB0E9F" w:rsidP="005D0F4A">
            <w:pPr>
              <w:spacing w:before="100" w:after="100"/>
              <w:ind w:left="170"/>
              <w:rPr>
                <w:b/>
                <w:iCs/>
                <w:noProof/>
                <w:color w:val="245F95" w:themeColor="text2"/>
              </w:rPr>
            </w:pPr>
            <w:r w:rsidRPr="000D6B02">
              <w:rPr>
                <w:rFonts w:asciiTheme="minorHAnsi" w:hAnsiTheme="minorHAnsi"/>
                <w:iCs/>
                <w:noProof/>
                <w:color w:val="245F95" w:themeColor="text2"/>
                <w:sz w:val="22"/>
                <w:szCs w:val="22"/>
              </w:rPr>
              <w:t>of which own resources to finance NGEU liabilities</w:t>
            </w:r>
            <w:r w:rsidR="004B5433">
              <w:rPr>
                <w:rFonts w:asciiTheme="minorHAnsi" w:hAnsiTheme="minorHAnsi"/>
                <w:iCs/>
                <w:noProof/>
                <w:color w:val="245F95" w:themeColor="text2"/>
                <w:sz w:val="22"/>
                <w:szCs w:val="22"/>
              </w:rPr>
              <w:t>**</w:t>
            </w:r>
            <w:r w:rsidR="00B541D9">
              <w:rPr>
                <w:rFonts w:asciiTheme="minorHAnsi" w:hAnsiTheme="minorHAnsi"/>
                <w:iCs/>
                <w:noProof/>
                <w:color w:val="245F95" w:themeColor="text2"/>
                <w:sz w:val="22"/>
                <w:szCs w:val="22"/>
              </w:rPr>
              <w:t>**</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7226B4" w14:textId="6D64B84B" w:rsidR="00EB0E9F" w:rsidRPr="006437CF" w:rsidRDefault="00EB0E9F" w:rsidP="000D6B02">
            <w:pPr>
              <w:spacing w:before="100" w:after="100"/>
              <w:jc w:val="center"/>
              <w:rPr>
                <w:b/>
                <w:iCs/>
                <w:noProof/>
              </w:rPr>
            </w:pPr>
            <w:r w:rsidRPr="006437CF">
              <w:rPr>
                <w:rFonts w:asciiTheme="minorHAnsi" w:hAnsiTheme="minorHAnsi"/>
                <w:iCs/>
                <w:noProof/>
                <w:sz w:val="22"/>
                <w:szCs w:val="22"/>
              </w:rPr>
              <w:t>d’</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43A7FA" w14:textId="25B6121E" w:rsidR="00EB0E9F" w:rsidRPr="006437CF" w:rsidRDefault="00EB0E9F" w:rsidP="005301DF">
            <w:pPr>
              <w:spacing w:before="100" w:after="100"/>
              <w:jc w:val="center"/>
              <w:rPr>
                <w:b/>
                <w:iCs/>
                <w:noProof/>
              </w:rPr>
            </w:pPr>
            <w:r w:rsidRPr="006437CF">
              <w:rPr>
                <w:rFonts w:asciiTheme="minorHAnsi" w:eastAsia="Calibri" w:hAnsiTheme="minorHAnsi"/>
                <w:iCs/>
                <w:noProof/>
                <w:sz w:val="22"/>
                <w:szCs w:val="22"/>
              </w:rPr>
              <w:t>5,</w:t>
            </w:r>
            <w:r w:rsidR="00E90DA1">
              <w:rPr>
                <w:rFonts w:asciiTheme="minorHAnsi" w:eastAsia="Calibri" w:hAnsiTheme="minorHAnsi"/>
                <w:iCs/>
                <w:noProof/>
                <w:sz w:val="22"/>
                <w:szCs w:val="22"/>
              </w:rPr>
              <w:t>2</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8FDA77" w14:textId="148A8715" w:rsidR="00EB0E9F" w:rsidRPr="006437CF" w:rsidRDefault="00EB0E9F" w:rsidP="005301DF">
            <w:pPr>
              <w:spacing w:before="100" w:after="100"/>
              <w:jc w:val="center"/>
              <w:rPr>
                <w:b/>
                <w:iCs/>
                <w:noProof/>
              </w:rPr>
            </w:pPr>
            <w:r w:rsidRPr="006437CF">
              <w:rPr>
                <w:rFonts w:asciiTheme="minorHAnsi" w:eastAsia="Calibri" w:hAnsiTheme="minorHAnsi"/>
                <w:iCs/>
                <w:noProof/>
                <w:sz w:val="22"/>
                <w:szCs w:val="22"/>
              </w:rPr>
              <w:t>3,8</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BCED5C" w14:textId="216CDEF0" w:rsidR="00EB0E9F" w:rsidRPr="006437CF" w:rsidRDefault="00EB0E9F" w:rsidP="005301DF">
            <w:pPr>
              <w:spacing w:before="100" w:after="100"/>
              <w:jc w:val="center"/>
              <w:rPr>
                <w:b/>
                <w:iCs/>
                <w:noProof/>
              </w:rPr>
            </w:pPr>
            <w:r w:rsidRPr="006437CF">
              <w:rPr>
                <w:rFonts w:asciiTheme="minorHAnsi" w:eastAsia="Calibri" w:hAnsiTheme="minorHAnsi"/>
                <w:iCs/>
                <w:noProof/>
                <w:sz w:val="22"/>
                <w:szCs w:val="22"/>
              </w:rPr>
              <w:t>5,0</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EAAC01" w14:textId="77777777" w:rsidR="00EB0E9F" w:rsidRPr="006437C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D56414" w14:textId="77777777" w:rsidR="00EB0E9F" w:rsidRPr="006437C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tcBorders>
            <w:vAlign w:val="center"/>
          </w:tcPr>
          <w:p w14:paraId="586D1234" w14:textId="54E1DEFD" w:rsidR="00EB0E9F" w:rsidRPr="006437CF" w:rsidRDefault="00EB0E9F" w:rsidP="005301DF">
            <w:pPr>
              <w:spacing w:before="100" w:after="100"/>
              <w:jc w:val="center"/>
              <w:rPr>
                <w:b/>
                <w:iCs/>
                <w:noProof/>
              </w:rPr>
            </w:pPr>
            <w:r w:rsidRPr="006437CF">
              <w:rPr>
                <w:rFonts w:asciiTheme="minorHAnsi" w:eastAsia="Calibri" w:hAnsiTheme="minorHAnsi"/>
                <w:iCs/>
                <w:noProof/>
                <w:sz w:val="22"/>
                <w:szCs w:val="22"/>
              </w:rPr>
              <w:t>13,</w:t>
            </w:r>
            <w:r w:rsidR="00E90DA1">
              <w:rPr>
                <w:rFonts w:asciiTheme="minorHAnsi" w:eastAsia="Calibri" w:hAnsiTheme="minorHAnsi"/>
                <w:iCs/>
                <w:noProof/>
                <w:sz w:val="22"/>
                <w:szCs w:val="22"/>
              </w:rPr>
              <w:t>9</w:t>
            </w:r>
          </w:p>
        </w:tc>
      </w:tr>
      <w:tr w:rsidR="00CC6B5D" w:rsidRPr="00704A3C" w14:paraId="33BBDF0B"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F3B904" w14:textId="76E60A9D" w:rsidR="00EB0E9F" w:rsidRPr="00704A3C" w:rsidRDefault="00EB0E9F" w:rsidP="006437CF">
            <w:pPr>
              <w:spacing w:before="100" w:after="100"/>
              <w:rPr>
                <w:b/>
                <w:bCs/>
                <w:iCs/>
                <w:noProof/>
                <w:color w:val="245F95" w:themeColor="text2"/>
              </w:rPr>
            </w:pPr>
            <w:r w:rsidRPr="00704A3C">
              <w:rPr>
                <w:rFonts w:asciiTheme="minorHAnsi" w:hAnsiTheme="minorHAnsi"/>
                <w:b/>
                <w:bCs/>
                <w:iCs/>
                <w:noProof/>
                <w:color w:val="245F95" w:themeColor="text2"/>
                <w:sz w:val="22"/>
                <w:szCs w:val="22"/>
              </w:rPr>
              <w:t>Other revenue (incl. provisional UK contribution)</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0D8B5F" w14:textId="72322A22" w:rsidR="00EB0E9F" w:rsidRPr="00704A3C" w:rsidRDefault="00EB0E9F" w:rsidP="000D6B02">
            <w:pPr>
              <w:spacing w:before="100" w:after="100"/>
              <w:jc w:val="center"/>
              <w:rPr>
                <w:b/>
                <w:bCs/>
                <w:iCs/>
                <w:noProof/>
              </w:rPr>
            </w:pPr>
            <w:r w:rsidRPr="00704A3C">
              <w:rPr>
                <w:rFonts w:asciiTheme="minorHAnsi" w:hAnsiTheme="minorHAnsi"/>
                <w:b/>
                <w:bCs/>
                <w:iCs/>
                <w:noProof/>
                <w:sz w:val="22"/>
                <w:szCs w:val="22"/>
              </w:rPr>
              <w:t>e</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A888D6" w14:textId="783484CC" w:rsidR="00EB0E9F" w:rsidRPr="00704A3C" w:rsidRDefault="00EB0E9F" w:rsidP="005301DF">
            <w:pPr>
              <w:spacing w:before="100" w:after="100"/>
              <w:jc w:val="center"/>
              <w:rPr>
                <w:b/>
                <w:bCs/>
                <w:iCs/>
                <w:noProof/>
              </w:rPr>
            </w:pPr>
            <w:r w:rsidRPr="00704A3C">
              <w:rPr>
                <w:rFonts w:asciiTheme="minorHAnsi" w:eastAsia="Calibri" w:hAnsiTheme="minorHAnsi"/>
                <w:b/>
                <w:bCs/>
                <w:iCs/>
                <w:noProof/>
                <w:sz w:val="22"/>
                <w:szCs w:val="22"/>
              </w:rPr>
              <w:t>4,</w:t>
            </w:r>
            <w:r w:rsidR="00361111">
              <w:rPr>
                <w:rFonts w:asciiTheme="minorHAnsi" w:eastAsia="Calibri" w:hAnsiTheme="minorHAnsi"/>
                <w:b/>
                <w:bCs/>
                <w:iCs/>
                <w:noProof/>
                <w:sz w:val="22"/>
                <w:szCs w:val="22"/>
              </w:rPr>
              <w:t>3</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9664F6" w14:textId="11D76DBD" w:rsidR="00EB0E9F" w:rsidRPr="00704A3C" w:rsidRDefault="00361111" w:rsidP="005301DF">
            <w:pPr>
              <w:spacing w:before="100" w:after="100"/>
              <w:jc w:val="center"/>
              <w:rPr>
                <w:b/>
                <w:bCs/>
                <w:iCs/>
                <w:noProof/>
              </w:rPr>
            </w:pPr>
            <w:r>
              <w:rPr>
                <w:rFonts w:asciiTheme="minorHAnsi" w:eastAsia="Calibri" w:hAnsiTheme="minorHAnsi"/>
                <w:b/>
                <w:bCs/>
                <w:iCs/>
                <w:noProof/>
                <w:sz w:val="22"/>
                <w:szCs w:val="22"/>
              </w:rPr>
              <w:t>4</w:t>
            </w:r>
            <w:r w:rsidR="00EB0E9F" w:rsidRPr="00704A3C">
              <w:rPr>
                <w:rFonts w:asciiTheme="minorHAnsi" w:eastAsia="Calibri" w:hAnsiTheme="minorHAnsi"/>
                <w:b/>
                <w:bCs/>
                <w:iCs/>
                <w:noProof/>
                <w:sz w:val="22"/>
                <w:szCs w:val="22"/>
              </w:rPr>
              <w:t>,</w:t>
            </w:r>
            <w:r>
              <w:rPr>
                <w:rFonts w:asciiTheme="minorHAnsi" w:eastAsia="Calibri" w:hAnsiTheme="minorHAnsi"/>
                <w:b/>
                <w:bCs/>
                <w:iCs/>
                <w:noProof/>
                <w:sz w:val="22"/>
                <w:szCs w:val="22"/>
              </w:rPr>
              <w:t>0</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AC2ECD" w14:textId="1099A73B" w:rsidR="00EB0E9F" w:rsidRPr="00704A3C" w:rsidRDefault="00EB0E9F" w:rsidP="005301DF">
            <w:pPr>
              <w:spacing w:before="100" w:after="100"/>
              <w:jc w:val="center"/>
              <w:rPr>
                <w:b/>
                <w:bCs/>
                <w:iCs/>
                <w:noProof/>
              </w:rPr>
            </w:pPr>
            <w:r w:rsidRPr="00704A3C">
              <w:rPr>
                <w:rFonts w:asciiTheme="minorHAnsi" w:eastAsia="Calibri" w:hAnsiTheme="minorHAnsi"/>
                <w:b/>
                <w:bCs/>
                <w:iCs/>
                <w:noProof/>
                <w:sz w:val="22"/>
                <w:szCs w:val="22"/>
              </w:rPr>
              <w:t>3,</w:t>
            </w:r>
            <w:r w:rsidR="00361111">
              <w:rPr>
                <w:rFonts w:asciiTheme="minorHAnsi" w:eastAsia="Calibri" w:hAnsiTheme="minorHAnsi"/>
                <w:b/>
                <w:bCs/>
                <w:iCs/>
                <w:noProof/>
                <w:sz w:val="22"/>
                <w:szCs w:val="22"/>
              </w:rPr>
              <w:t>8</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8C24A6" w14:textId="71B1456B" w:rsidR="00EB0E9F" w:rsidRPr="00704A3C" w:rsidRDefault="00361111" w:rsidP="005301DF">
            <w:pPr>
              <w:spacing w:before="100" w:after="100"/>
              <w:jc w:val="center"/>
              <w:rPr>
                <w:b/>
                <w:bCs/>
                <w:iCs/>
                <w:noProof/>
              </w:rPr>
            </w:pPr>
            <w:r>
              <w:rPr>
                <w:rFonts w:asciiTheme="minorHAnsi" w:eastAsia="Calibri" w:hAnsiTheme="minorHAnsi"/>
                <w:b/>
                <w:bCs/>
                <w:iCs/>
                <w:noProof/>
                <w:sz w:val="22"/>
                <w:szCs w:val="22"/>
              </w:rPr>
              <w:t>3</w:t>
            </w:r>
            <w:r w:rsidR="00EB0E9F" w:rsidRPr="00704A3C">
              <w:rPr>
                <w:rFonts w:asciiTheme="minorHAnsi" w:eastAsia="Calibri" w:hAnsiTheme="minorHAnsi"/>
                <w:b/>
                <w:bCs/>
                <w:iCs/>
                <w:noProof/>
                <w:sz w:val="22"/>
                <w:szCs w:val="22"/>
              </w:rPr>
              <w:t>,</w:t>
            </w:r>
            <w:r>
              <w:rPr>
                <w:rFonts w:asciiTheme="minorHAnsi" w:eastAsia="Calibri" w:hAnsiTheme="minorHAnsi"/>
                <w:b/>
                <w:bCs/>
                <w:iCs/>
                <w:noProof/>
                <w:sz w:val="22"/>
                <w:szCs w:val="22"/>
              </w:rPr>
              <w:t>2</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66B44B" w14:textId="38C1028C" w:rsidR="00EB0E9F" w:rsidRPr="00704A3C" w:rsidRDefault="00EB0E9F" w:rsidP="005301DF">
            <w:pPr>
              <w:spacing w:before="100" w:after="100"/>
              <w:jc w:val="center"/>
              <w:rPr>
                <w:b/>
                <w:bCs/>
                <w:iCs/>
                <w:noProof/>
              </w:rPr>
            </w:pPr>
            <w:r w:rsidRPr="00704A3C">
              <w:rPr>
                <w:rFonts w:asciiTheme="minorHAnsi" w:eastAsia="Calibri" w:hAnsiTheme="minorHAnsi"/>
                <w:b/>
                <w:bCs/>
                <w:iCs/>
                <w:noProof/>
                <w:sz w:val="22"/>
                <w:szCs w:val="22"/>
              </w:rPr>
              <w:t>2,</w:t>
            </w:r>
            <w:r w:rsidR="00361111">
              <w:rPr>
                <w:rFonts w:asciiTheme="minorHAnsi" w:eastAsia="Calibri" w:hAnsiTheme="minorHAnsi"/>
                <w:b/>
                <w:bCs/>
                <w:iCs/>
                <w:noProof/>
                <w:sz w:val="22"/>
                <w:szCs w:val="22"/>
              </w:rPr>
              <w:t>9</w:t>
            </w:r>
          </w:p>
        </w:tc>
        <w:tc>
          <w:tcPr>
            <w:tcW w:w="523" w:type="pct"/>
            <w:tcBorders>
              <w:top w:val="single" w:sz="6" w:space="0" w:color="BFBFBF" w:themeColor="background1" w:themeShade="BF"/>
              <w:bottom w:val="single" w:sz="6" w:space="0" w:color="BFBFBF" w:themeColor="background1" w:themeShade="BF"/>
            </w:tcBorders>
            <w:vAlign w:val="center"/>
          </w:tcPr>
          <w:p w14:paraId="001F96BD" w14:textId="5F8B8541" w:rsidR="00EB0E9F" w:rsidRPr="00704A3C" w:rsidRDefault="00EB0E9F" w:rsidP="005301DF">
            <w:pPr>
              <w:spacing w:before="100" w:after="100"/>
              <w:jc w:val="center"/>
              <w:rPr>
                <w:b/>
                <w:bCs/>
                <w:iCs/>
                <w:noProof/>
              </w:rPr>
            </w:pPr>
            <w:r w:rsidRPr="00704A3C">
              <w:rPr>
                <w:rFonts w:asciiTheme="minorHAnsi" w:eastAsia="Calibri" w:hAnsiTheme="minorHAnsi"/>
                <w:b/>
                <w:bCs/>
                <w:iCs/>
                <w:noProof/>
                <w:sz w:val="22"/>
                <w:szCs w:val="22"/>
              </w:rPr>
              <w:t>1</w:t>
            </w:r>
            <w:r w:rsidR="008D153A">
              <w:rPr>
                <w:rFonts w:asciiTheme="minorHAnsi" w:eastAsia="Calibri" w:hAnsiTheme="minorHAnsi"/>
                <w:b/>
                <w:bCs/>
                <w:iCs/>
                <w:noProof/>
                <w:sz w:val="22"/>
                <w:szCs w:val="22"/>
              </w:rPr>
              <w:t>8</w:t>
            </w:r>
            <w:r w:rsidRPr="00704A3C">
              <w:rPr>
                <w:rFonts w:asciiTheme="minorHAnsi" w:eastAsia="Calibri" w:hAnsiTheme="minorHAnsi"/>
                <w:b/>
                <w:bCs/>
                <w:iCs/>
                <w:noProof/>
                <w:sz w:val="22"/>
                <w:szCs w:val="22"/>
              </w:rPr>
              <w:t>,</w:t>
            </w:r>
            <w:r w:rsidR="008D153A">
              <w:rPr>
                <w:rFonts w:asciiTheme="minorHAnsi" w:eastAsia="Calibri" w:hAnsiTheme="minorHAnsi"/>
                <w:b/>
                <w:bCs/>
                <w:iCs/>
                <w:noProof/>
                <w:sz w:val="22"/>
                <w:szCs w:val="22"/>
              </w:rPr>
              <w:t>1</w:t>
            </w:r>
          </w:p>
        </w:tc>
      </w:tr>
      <w:tr w:rsidR="0050317D" w:rsidRPr="006437CF" w14:paraId="189D0F6D" w14:textId="77777777" w:rsidTr="005301DF">
        <w:trPr>
          <w:trHeight w:val="533"/>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CE1D9" w:themeFill="accent2" w:themeFillTint="33"/>
            <w:vAlign w:val="center"/>
          </w:tcPr>
          <w:p w14:paraId="724BFBFC" w14:textId="5E7E808C" w:rsidR="00EB0E9F" w:rsidRPr="000D6B02" w:rsidRDefault="00EB0E9F" w:rsidP="006437CF">
            <w:pPr>
              <w:spacing w:before="100" w:after="100"/>
              <w:rPr>
                <w:b/>
                <w:bCs/>
                <w:iCs/>
                <w:noProof/>
                <w:color w:val="245F95" w:themeColor="text2"/>
              </w:rPr>
            </w:pPr>
            <w:r w:rsidRPr="000D6B02">
              <w:rPr>
                <w:rFonts w:asciiTheme="minorHAnsi" w:hAnsiTheme="minorHAnsi"/>
                <w:b/>
                <w:bCs/>
                <w:iCs/>
                <w:noProof/>
                <w:color w:val="245F95" w:themeColor="text2"/>
                <w:sz w:val="22"/>
                <w:szCs w:val="22"/>
              </w:rPr>
              <w:t>TOTAL REVENUE</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CE1D9" w:themeFill="accent2" w:themeFillTint="33"/>
            <w:vAlign w:val="center"/>
          </w:tcPr>
          <w:p w14:paraId="680EEBDB" w14:textId="36165E71" w:rsidR="00EB0E9F" w:rsidRPr="006437CF" w:rsidRDefault="00EB0E9F" w:rsidP="000D6B02">
            <w:pPr>
              <w:spacing w:before="100" w:after="100"/>
              <w:jc w:val="center"/>
              <w:rPr>
                <w:b/>
                <w:bCs/>
                <w:iCs/>
                <w:noProof/>
                <w:color w:val="245F95" w:themeColor="text2"/>
              </w:rPr>
            </w:pPr>
            <w:r w:rsidRPr="006437CF">
              <w:rPr>
                <w:rFonts w:asciiTheme="minorHAnsi" w:hAnsiTheme="minorHAnsi"/>
                <w:b/>
                <w:bCs/>
                <w:iCs/>
                <w:noProof/>
                <w:color w:val="245F95" w:themeColor="text2"/>
                <w:sz w:val="22"/>
                <w:szCs w:val="22"/>
              </w:rPr>
              <w:t>d+e</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CE1D9" w:themeFill="accent2" w:themeFillTint="33"/>
            <w:vAlign w:val="center"/>
          </w:tcPr>
          <w:p w14:paraId="1F7B0D66" w14:textId="06840B00" w:rsidR="00EB0E9F" w:rsidRPr="006437CF" w:rsidRDefault="00035027" w:rsidP="005301DF">
            <w:pPr>
              <w:spacing w:before="100" w:after="100"/>
              <w:jc w:val="center"/>
              <w:rPr>
                <w:b/>
                <w:bCs/>
                <w:iCs/>
                <w:noProof/>
                <w:color w:val="245F95" w:themeColor="text2"/>
              </w:rPr>
            </w:pPr>
            <w:r w:rsidRPr="006437CF">
              <w:rPr>
                <w:rFonts w:asciiTheme="minorHAnsi" w:eastAsia="Calibri" w:hAnsiTheme="minorHAnsi"/>
                <w:b/>
                <w:bCs/>
                <w:iCs/>
                <w:noProof/>
                <w:color w:val="245F95" w:themeColor="text2"/>
                <w:sz w:val="22"/>
                <w:szCs w:val="22"/>
              </w:rPr>
              <w:t>1</w:t>
            </w:r>
            <w:r>
              <w:rPr>
                <w:rFonts w:asciiTheme="minorHAnsi" w:eastAsia="Calibri" w:hAnsiTheme="minorHAnsi"/>
                <w:b/>
                <w:bCs/>
                <w:iCs/>
                <w:noProof/>
                <w:color w:val="245F95" w:themeColor="text2"/>
                <w:sz w:val="22"/>
                <w:szCs w:val="22"/>
              </w:rPr>
              <w:t>5</w:t>
            </w:r>
            <w:r w:rsidRPr="006437CF">
              <w:rPr>
                <w:rFonts w:asciiTheme="minorHAnsi" w:eastAsia="Calibri" w:hAnsiTheme="minorHAnsi"/>
                <w:b/>
                <w:bCs/>
                <w:iCs/>
                <w:noProof/>
                <w:color w:val="245F95" w:themeColor="text2"/>
                <w:sz w:val="22"/>
                <w:szCs w:val="22"/>
              </w:rPr>
              <w:t>2</w:t>
            </w:r>
            <w:r w:rsidR="00EB0E9F" w:rsidRPr="006437CF">
              <w:rPr>
                <w:rFonts w:asciiTheme="minorHAnsi" w:eastAsia="Calibri" w:hAnsiTheme="minorHAnsi"/>
                <w:b/>
                <w:bCs/>
                <w:iCs/>
                <w:noProof/>
                <w:color w:val="245F95" w:themeColor="text2"/>
                <w:sz w:val="22"/>
                <w:szCs w:val="22"/>
              </w:rPr>
              <w:t>,</w:t>
            </w:r>
            <w:r>
              <w:rPr>
                <w:rFonts w:asciiTheme="minorHAnsi" w:eastAsia="Calibri" w:hAnsiTheme="minorHAnsi"/>
                <w:b/>
                <w:bCs/>
                <w:iCs/>
                <w:noProof/>
                <w:color w:val="245F95" w:themeColor="text2"/>
                <w:sz w:val="22"/>
                <w:szCs w:val="22"/>
              </w:rPr>
              <w:t>7</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CE1D9" w:themeFill="accent2" w:themeFillTint="33"/>
            <w:vAlign w:val="center"/>
          </w:tcPr>
          <w:p w14:paraId="4EBDB78E" w14:textId="10283645" w:rsidR="00EB0E9F" w:rsidRPr="006437CF" w:rsidRDefault="00EB0E9F" w:rsidP="005301DF">
            <w:pPr>
              <w:spacing w:before="100" w:after="100"/>
              <w:jc w:val="center"/>
              <w:rPr>
                <w:b/>
                <w:bCs/>
                <w:iCs/>
                <w:noProof/>
                <w:color w:val="245F95" w:themeColor="text2"/>
              </w:rPr>
            </w:pPr>
            <w:r w:rsidRPr="006437CF">
              <w:rPr>
                <w:rFonts w:asciiTheme="minorHAnsi" w:eastAsia="Calibri" w:hAnsiTheme="minorHAnsi"/>
                <w:b/>
                <w:bCs/>
                <w:iCs/>
                <w:noProof/>
                <w:color w:val="245F95" w:themeColor="text2"/>
                <w:sz w:val="22"/>
                <w:szCs w:val="22"/>
              </w:rPr>
              <w:t>18</w:t>
            </w:r>
            <w:r w:rsidR="00C24CE7">
              <w:rPr>
                <w:rFonts w:asciiTheme="minorHAnsi" w:eastAsia="Calibri" w:hAnsiTheme="minorHAnsi"/>
                <w:b/>
                <w:bCs/>
                <w:iCs/>
                <w:noProof/>
                <w:color w:val="245F95" w:themeColor="text2"/>
                <w:sz w:val="22"/>
                <w:szCs w:val="22"/>
              </w:rPr>
              <w:t>5</w:t>
            </w:r>
            <w:r w:rsidRPr="006437CF">
              <w:rPr>
                <w:rFonts w:asciiTheme="minorHAnsi" w:eastAsia="Calibri" w:hAnsiTheme="minorHAnsi"/>
                <w:b/>
                <w:bCs/>
                <w:iCs/>
                <w:noProof/>
                <w:color w:val="245F95" w:themeColor="text2"/>
                <w:sz w:val="22"/>
                <w:szCs w:val="22"/>
              </w:rPr>
              <w:t>,</w:t>
            </w:r>
            <w:r w:rsidR="002D7F35">
              <w:rPr>
                <w:rFonts w:asciiTheme="minorHAnsi" w:eastAsia="Calibri" w:hAnsiTheme="minorHAnsi"/>
                <w:b/>
                <w:bCs/>
                <w:iCs/>
                <w:noProof/>
                <w:color w:val="245F95" w:themeColor="text2"/>
                <w:sz w:val="22"/>
                <w:szCs w:val="22"/>
              </w:rPr>
              <w:t>6</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CE1D9" w:themeFill="accent2" w:themeFillTint="33"/>
            <w:vAlign w:val="center"/>
          </w:tcPr>
          <w:p w14:paraId="5F379096" w14:textId="71B6B727" w:rsidR="00EB0E9F" w:rsidRPr="006437CF" w:rsidRDefault="00EB0E9F" w:rsidP="005301DF">
            <w:pPr>
              <w:spacing w:before="100" w:after="100"/>
              <w:jc w:val="center"/>
              <w:rPr>
                <w:b/>
                <w:bCs/>
                <w:iCs/>
                <w:noProof/>
                <w:color w:val="245F95" w:themeColor="text2"/>
              </w:rPr>
            </w:pPr>
            <w:r w:rsidRPr="006437CF">
              <w:rPr>
                <w:rFonts w:asciiTheme="minorHAnsi" w:eastAsia="Calibri" w:hAnsiTheme="minorHAnsi"/>
                <w:b/>
                <w:bCs/>
                <w:iCs/>
                <w:noProof/>
                <w:color w:val="245F95" w:themeColor="text2"/>
                <w:sz w:val="22"/>
                <w:szCs w:val="22"/>
              </w:rPr>
              <w:t>19</w:t>
            </w:r>
            <w:r w:rsidR="005F2BA6">
              <w:rPr>
                <w:rFonts w:asciiTheme="minorHAnsi" w:eastAsia="Calibri" w:hAnsiTheme="minorHAnsi"/>
                <w:b/>
                <w:bCs/>
                <w:iCs/>
                <w:noProof/>
                <w:color w:val="245F95" w:themeColor="text2"/>
                <w:sz w:val="22"/>
                <w:szCs w:val="22"/>
              </w:rPr>
              <w:t>7</w:t>
            </w:r>
            <w:r w:rsidRPr="006437CF">
              <w:rPr>
                <w:rFonts w:asciiTheme="minorHAnsi" w:eastAsia="Calibri" w:hAnsiTheme="minorHAnsi"/>
                <w:b/>
                <w:bCs/>
                <w:iCs/>
                <w:noProof/>
                <w:color w:val="245F95" w:themeColor="text2"/>
                <w:sz w:val="22"/>
                <w:szCs w:val="22"/>
              </w:rPr>
              <w:t>,</w:t>
            </w:r>
            <w:r w:rsidR="002D7F35">
              <w:rPr>
                <w:rFonts w:asciiTheme="minorHAnsi" w:eastAsia="Calibri" w:hAnsiTheme="minorHAnsi"/>
                <w:b/>
                <w:bCs/>
                <w:iCs/>
                <w:noProof/>
                <w:color w:val="245F95" w:themeColor="text2"/>
                <w:sz w:val="22"/>
                <w:szCs w:val="22"/>
              </w:rPr>
              <w:t>7</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CE1D9" w:themeFill="accent2" w:themeFillTint="33"/>
            <w:vAlign w:val="center"/>
          </w:tcPr>
          <w:p w14:paraId="71B2A7B3" w14:textId="099D34F4" w:rsidR="00EB0E9F" w:rsidRPr="006437CF" w:rsidRDefault="00EB0E9F" w:rsidP="005301DF">
            <w:pPr>
              <w:spacing w:before="100" w:after="100"/>
              <w:jc w:val="center"/>
              <w:rPr>
                <w:b/>
                <w:bCs/>
                <w:iCs/>
                <w:noProof/>
                <w:color w:val="245F95" w:themeColor="text2"/>
              </w:rPr>
            </w:pPr>
            <w:r w:rsidRPr="006437CF">
              <w:rPr>
                <w:rFonts w:asciiTheme="minorHAnsi" w:eastAsia="Calibri" w:hAnsiTheme="minorHAnsi"/>
                <w:b/>
                <w:bCs/>
                <w:iCs/>
                <w:noProof/>
                <w:color w:val="245F95" w:themeColor="text2"/>
                <w:sz w:val="22"/>
                <w:szCs w:val="22"/>
              </w:rPr>
              <w:t>14</w:t>
            </w:r>
            <w:r w:rsidR="001C57F4">
              <w:rPr>
                <w:rFonts w:asciiTheme="minorHAnsi" w:eastAsia="Calibri" w:hAnsiTheme="minorHAnsi"/>
                <w:b/>
                <w:bCs/>
                <w:iCs/>
                <w:noProof/>
                <w:color w:val="245F95" w:themeColor="text2"/>
                <w:sz w:val="22"/>
                <w:szCs w:val="22"/>
              </w:rPr>
              <w:t>4</w:t>
            </w:r>
            <w:r w:rsidRPr="006437CF">
              <w:rPr>
                <w:rFonts w:asciiTheme="minorHAnsi" w:eastAsia="Calibri" w:hAnsiTheme="minorHAnsi"/>
                <w:b/>
                <w:bCs/>
                <w:iCs/>
                <w:noProof/>
                <w:color w:val="245F95" w:themeColor="text2"/>
                <w:sz w:val="22"/>
                <w:szCs w:val="22"/>
              </w:rPr>
              <w:t>,</w:t>
            </w:r>
            <w:r w:rsidR="008002ED">
              <w:rPr>
                <w:rFonts w:asciiTheme="minorHAnsi" w:eastAsia="Calibri" w:hAnsiTheme="minorHAnsi"/>
                <w:b/>
                <w:bCs/>
                <w:iCs/>
                <w:noProof/>
                <w:color w:val="245F95" w:themeColor="text2"/>
                <w:sz w:val="22"/>
                <w:szCs w:val="22"/>
              </w:rPr>
              <w:t>7</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CE1D9" w:themeFill="accent2" w:themeFillTint="33"/>
            <w:vAlign w:val="center"/>
          </w:tcPr>
          <w:p w14:paraId="6DD87CBB" w14:textId="6F0529C3" w:rsidR="00EB0E9F" w:rsidRPr="006437CF" w:rsidRDefault="00EB0E9F" w:rsidP="005301DF">
            <w:pPr>
              <w:spacing w:before="100" w:after="100"/>
              <w:jc w:val="center"/>
              <w:rPr>
                <w:b/>
                <w:bCs/>
                <w:iCs/>
                <w:noProof/>
                <w:color w:val="245F95" w:themeColor="text2"/>
              </w:rPr>
            </w:pPr>
            <w:r w:rsidRPr="006437CF">
              <w:rPr>
                <w:rFonts w:asciiTheme="minorHAnsi" w:eastAsia="Calibri" w:hAnsiTheme="minorHAnsi"/>
                <w:b/>
                <w:bCs/>
                <w:iCs/>
                <w:noProof/>
                <w:color w:val="245F95" w:themeColor="text2"/>
                <w:sz w:val="22"/>
                <w:szCs w:val="22"/>
              </w:rPr>
              <w:t>12</w:t>
            </w:r>
            <w:r w:rsidR="001C57F4">
              <w:rPr>
                <w:rFonts w:asciiTheme="minorHAnsi" w:eastAsia="Calibri" w:hAnsiTheme="minorHAnsi"/>
                <w:b/>
                <w:bCs/>
                <w:iCs/>
                <w:noProof/>
                <w:color w:val="245F95" w:themeColor="text2"/>
                <w:sz w:val="22"/>
                <w:szCs w:val="22"/>
              </w:rPr>
              <w:t>3</w:t>
            </w:r>
            <w:r w:rsidRPr="006437CF">
              <w:rPr>
                <w:rFonts w:asciiTheme="minorHAnsi" w:eastAsia="Calibri" w:hAnsiTheme="minorHAnsi"/>
                <w:b/>
                <w:bCs/>
                <w:iCs/>
                <w:noProof/>
                <w:color w:val="245F95" w:themeColor="text2"/>
                <w:sz w:val="22"/>
                <w:szCs w:val="22"/>
              </w:rPr>
              <w:t>,</w:t>
            </w:r>
            <w:r w:rsidR="008002ED">
              <w:rPr>
                <w:rFonts w:asciiTheme="minorHAnsi" w:eastAsia="Calibri" w:hAnsiTheme="minorHAnsi"/>
                <w:b/>
                <w:bCs/>
                <w:iCs/>
                <w:noProof/>
                <w:color w:val="245F95" w:themeColor="text2"/>
                <w:sz w:val="22"/>
                <w:szCs w:val="22"/>
              </w:rPr>
              <w:t>3</w:t>
            </w:r>
          </w:p>
        </w:tc>
        <w:tc>
          <w:tcPr>
            <w:tcW w:w="523" w:type="pct"/>
            <w:tcBorders>
              <w:top w:val="single" w:sz="6" w:space="0" w:color="BFBFBF" w:themeColor="background1" w:themeShade="BF"/>
              <w:bottom w:val="single" w:sz="6" w:space="0" w:color="BFBFBF" w:themeColor="background1" w:themeShade="BF"/>
            </w:tcBorders>
            <w:shd w:val="clear" w:color="auto" w:fill="FCE1D9" w:themeFill="accent2" w:themeFillTint="33"/>
            <w:vAlign w:val="center"/>
          </w:tcPr>
          <w:p w14:paraId="2535F1C5" w14:textId="4DEE4C06" w:rsidR="00EB0E9F" w:rsidRPr="006437CF" w:rsidRDefault="00FA5770" w:rsidP="005301DF">
            <w:pPr>
              <w:spacing w:before="100" w:after="100"/>
              <w:jc w:val="center"/>
              <w:rPr>
                <w:b/>
                <w:bCs/>
                <w:iCs/>
                <w:noProof/>
                <w:color w:val="245F95" w:themeColor="text2"/>
              </w:rPr>
            </w:pPr>
            <w:r>
              <w:rPr>
                <w:rFonts w:asciiTheme="minorHAnsi" w:eastAsia="Calibri" w:hAnsiTheme="minorHAnsi"/>
                <w:b/>
                <w:bCs/>
                <w:iCs/>
                <w:noProof/>
                <w:color w:val="245F95" w:themeColor="text2"/>
                <w:sz w:val="22"/>
                <w:szCs w:val="22"/>
              </w:rPr>
              <w:t>80</w:t>
            </w:r>
            <w:r w:rsidR="008002ED">
              <w:rPr>
                <w:rFonts w:asciiTheme="minorHAnsi" w:eastAsia="Calibri" w:hAnsiTheme="minorHAnsi"/>
                <w:b/>
                <w:bCs/>
                <w:iCs/>
                <w:noProof/>
                <w:color w:val="245F95" w:themeColor="text2"/>
                <w:sz w:val="22"/>
                <w:szCs w:val="22"/>
              </w:rPr>
              <w:t>4</w:t>
            </w:r>
            <w:r w:rsidR="00EB0E9F" w:rsidRPr="006437CF">
              <w:rPr>
                <w:rFonts w:asciiTheme="minorHAnsi" w:eastAsia="Calibri" w:hAnsiTheme="minorHAnsi"/>
                <w:b/>
                <w:bCs/>
                <w:iCs/>
                <w:noProof/>
                <w:color w:val="245F95" w:themeColor="text2"/>
                <w:sz w:val="22"/>
                <w:szCs w:val="22"/>
              </w:rPr>
              <w:t>,</w:t>
            </w:r>
            <w:r w:rsidR="008002ED">
              <w:rPr>
                <w:rFonts w:asciiTheme="minorHAnsi" w:eastAsia="Calibri" w:hAnsiTheme="minorHAnsi"/>
                <w:b/>
                <w:bCs/>
                <w:iCs/>
                <w:noProof/>
                <w:color w:val="245F95" w:themeColor="text2"/>
                <w:sz w:val="22"/>
                <w:szCs w:val="22"/>
              </w:rPr>
              <w:t>1</w:t>
            </w:r>
          </w:p>
        </w:tc>
      </w:tr>
      <w:tr w:rsidR="00CC6B5D" w:rsidRPr="00704A3C" w14:paraId="3C9DDAB9"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861312" w14:textId="6CE99903" w:rsidR="00EB0E9F" w:rsidRPr="00704A3C" w:rsidRDefault="00EB0E9F" w:rsidP="006437CF">
            <w:pPr>
              <w:spacing w:before="100" w:after="100"/>
              <w:rPr>
                <w:b/>
                <w:iCs/>
                <w:noProof/>
                <w:color w:val="245F95" w:themeColor="text2"/>
              </w:rPr>
            </w:pPr>
            <w:r w:rsidRPr="00704A3C">
              <w:rPr>
                <w:rFonts w:asciiTheme="minorHAnsi" w:hAnsiTheme="minorHAnsi"/>
                <w:b/>
                <w:iCs/>
                <w:noProof/>
                <w:color w:val="245F95" w:themeColor="text2"/>
                <w:sz w:val="22"/>
                <w:szCs w:val="22"/>
              </w:rPr>
              <w:t xml:space="preserve">Available margin under the </w:t>
            </w:r>
            <w:r w:rsidR="000D6B02" w:rsidRPr="0050317D">
              <w:rPr>
                <w:noProof/>
              </w:rPr>
              <w:br/>
            </w:r>
            <w:r w:rsidRPr="00704A3C">
              <w:rPr>
                <w:rFonts w:asciiTheme="minorHAnsi" w:hAnsiTheme="minorHAnsi"/>
                <w:b/>
                <w:iCs/>
                <w:noProof/>
                <w:color w:val="245F95" w:themeColor="text2"/>
                <w:sz w:val="22"/>
                <w:szCs w:val="22"/>
              </w:rPr>
              <w:t xml:space="preserve">Own Resources ceiling </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966332" w14:textId="55367174" w:rsidR="00EB0E9F" w:rsidRPr="00704A3C" w:rsidRDefault="00EB0E9F" w:rsidP="000D6B02">
            <w:pPr>
              <w:spacing w:before="100" w:after="100"/>
              <w:jc w:val="center"/>
              <w:rPr>
                <w:b/>
                <w:iCs/>
                <w:noProof/>
              </w:rPr>
            </w:pPr>
            <w:r w:rsidRPr="00704A3C">
              <w:rPr>
                <w:rFonts w:asciiTheme="minorHAnsi" w:hAnsiTheme="minorHAnsi"/>
                <w:b/>
                <w:iCs/>
                <w:noProof/>
                <w:sz w:val="22"/>
                <w:szCs w:val="22"/>
              </w:rPr>
              <w:t>a-d</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683DD9" w14:textId="543502C7" w:rsidR="00EB0E9F" w:rsidRPr="00704A3C" w:rsidRDefault="00EB0E9F" w:rsidP="005301DF">
            <w:pPr>
              <w:spacing w:before="100" w:after="100"/>
              <w:jc w:val="center"/>
              <w:rPr>
                <w:b/>
                <w:iCs/>
                <w:noProof/>
              </w:rPr>
            </w:pPr>
            <w:r w:rsidRPr="00704A3C">
              <w:rPr>
                <w:rFonts w:asciiTheme="minorHAnsi" w:hAnsiTheme="minorHAnsi"/>
                <w:b/>
                <w:iCs/>
                <w:noProof/>
                <w:sz w:val="22"/>
                <w:szCs w:val="22"/>
              </w:rPr>
              <w:t>2</w:t>
            </w:r>
            <w:r w:rsidR="00D94D74">
              <w:rPr>
                <w:rFonts w:asciiTheme="minorHAnsi" w:hAnsiTheme="minorHAnsi"/>
                <w:b/>
                <w:iCs/>
                <w:noProof/>
                <w:sz w:val="22"/>
                <w:szCs w:val="22"/>
              </w:rPr>
              <w:t>2</w:t>
            </w:r>
            <w:r w:rsidRPr="00704A3C">
              <w:rPr>
                <w:rFonts w:asciiTheme="minorHAnsi" w:hAnsiTheme="minorHAnsi"/>
                <w:b/>
                <w:iCs/>
                <w:noProof/>
                <w:sz w:val="22"/>
                <w:szCs w:val="22"/>
              </w:rPr>
              <w:t>0,</w:t>
            </w:r>
            <w:r w:rsidR="0059208D">
              <w:rPr>
                <w:rFonts w:asciiTheme="minorHAnsi" w:hAnsiTheme="minorHAnsi"/>
                <w:b/>
                <w:iCs/>
                <w:noProof/>
                <w:sz w:val="22"/>
                <w:szCs w:val="22"/>
              </w:rPr>
              <w:t>1</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1968A7" w14:textId="09C5E0B9" w:rsidR="00EB0E9F" w:rsidRPr="00704A3C" w:rsidRDefault="00B129F8" w:rsidP="005301DF">
            <w:pPr>
              <w:spacing w:before="100" w:after="100"/>
              <w:jc w:val="center"/>
              <w:rPr>
                <w:b/>
                <w:iCs/>
                <w:noProof/>
              </w:rPr>
            </w:pPr>
            <w:r>
              <w:rPr>
                <w:rFonts w:asciiTheme="minorHAnsi" w:hAnsiTheme="minorHAnsi"/>
                <w:b/>
                <w:iCs/>
                <w:noProof/>
                <w:sz w:val="22"/>
                <w:szCs w:val="22"/>
              </w:rPr>
              <w:t>199</w:t>
            </w:r>
            <w:r w:rsidR="00EB0E9F" w:rsidRPr="00704A3C">
              <w:rPr>
                <w:rFonts w:asciiTheme="minorHAnsi" w:hAnsiTheme="minorHAnsi"/>
                <w:b/>
                <w:iCs/>
                <w:noProof/>
                <w:sz w:val="22"/>
                <w:szCs w:val="22"/>
              </w:rPr>
              <w:t>,</w:t>
            </w:r>
            <w:r w:rsidR="00FE5CA3">
              <w:rPr>
                <w:rFonts w:asciiTheme="minorHAnsi" w:hAnsiTheme="minorHAnsi"/>
                <w:b/>
                <w:iCs/>
                <w:noProof/>
                <w:sz w:val="22"/>
                <w:szCs w:val="22"/>
              </w:rPr>
              <w:t>8</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D098B3" w14:textId="074AD694" w:rsidR="00EB0E9F" w:rsidRPr="00704A3C" w:rsidRDefault="00EB0E9F" w:rsidP="005301DF">
            <w:pPr>
              <w:spacing w:before="100" w:after="100"/>
              <w:jc w:val="center"/>
              <w:rPr>
                <w:b/>
                <w:iCs/>
                <w:noProof/>
              </w:rPr>
            </w:pPr>
            <w:r w:rsidRPr="00704A3C">
              <w:rPr>
                <w:rFonts w:asciiTheme="minorHAnsi" w:hAnsiTheme="minorHAnsi"/>
                <w:b/>
                <w:iCs/>
                <w:noProof/>
                <w:sz w:val="22"/>
                <w:szCs w:val="22"/>
              </w:rPr>
              <w:t>20</w:t>
            </w:r>
            <w:r w:rsidR="00FE5CA3">
              <w:rPr>
                <w:rFonts w:asciiTheme="minorHAnsi" w:hAnsiTheme="minorHAnsi"/>
                <w:b/>
                <w:iCs/>
                <w:noProof/>
                <w:sz w:val="22"/>
                <w:szCs w:val="22"/>
              </w:rPr>
              <w:t>0</w:t>
            </w:r>
            <w:r w:rsidRPr="00704A3C">
              <w:rPr>
                <w:rFonts w:asciiTheme="minorHAnsi" w:hAnsiTheme="minorHAnsi"/>
                <w:b/>
                <w:iCs/>
                <w:noProof/>
                <w:sz w:val="22"/>
                <w:szCs w:val="22"/>
              </w:rPr>
              <w:t>,</w:t>
            </w:r>
            <w:r w:rsidR="0059208D">
              <w:rPr>
                <w:rFonts w:asciiTheme="minorHAnsi" w:hAnsiTheme="minorHAnsi"/>
                <w:b/>
                <w:iCs/>
                <w:noProof/>
                <w:sz w:val="22"/>
                <w:szCs w:val="22"/>
              </w:rPr>
              <w:t>2</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7ED030" w14:textId="77777777" w:rsidR="00EB0E9F" w:rsidRPr="00704A3C"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058E04" w14:textId="77777777" w:rsidR="00EB0E9F" w:rsidRPr="00704A3C"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tcBorders>
            <w:vAlign w:val="center"/>
          </w:tcPr>
          <w:p w14:paraId="0225FB5C" w14:textId="210B8D80" w:rsidR="00EB0E9F" w:rsidRPr="00704A3C" w:rsidRDefault="00EB0E9F" w:rsidP="005301DF">
            <w:pPr>
              <w:spacing w:before="100" w:after="100"/>
              <w:jc w:val="center"/>
              <w:rPr>
                <w:b/>
                <w:iCs/>
                <w:noProof/>
              </w:rPr>
            </w:pPr>
            <w:r w:rsidRPr="00704A3C">
              <w:rPr>
                <w:rFonts w:asciiTheme="minorHAnsi" w:hAnsiTheme="minorHAnsi"/>
                <w:b/>
                <w:iCs/>
                <w:noProof/>
                <w:sz w:val="22"/>
                <w:szCs w:val="22"/>
              </w:rPr>
              <w:t>n/a</w:t>
            </w:r>
          </w:p>
        </w:tc>
      </w:tr>
      <w:tr w:rsidR="00CC6B5D" w:rsidRPr="006437CF" w14:paraId="0B236E51" w14:textId="77777777" w:rsidTr="0050317D">
        <w:trPr>
          <w:trHeight w:val="300"/>
        </w:trPr>
        <w:tc>
          <w:tcPr>
            <w:tcW w:w="1571" w:type="pct"/>
            <w:tcBorders>
              <w:top w:val="single" w:sz="6" w:space="0" w:color="BFBFBF" w:themeColor="background1" w:themeShade="BF"/>
              <w:right w:val="single" w:sz="6" w:space="0" w:color="BFBFBF" w:themeColor="background1" w:themeShade="BF"/>
            </w:tcBorders>
            <w:vAlign w:val="center"/>
          </w:tcPr>
          <w:p w14:paraId="3894B395" w14:textId="72CF2A1B" w:rsidR="00EB0E9F" w:rsidRPr="000D6B02" w:rsidRDefault="00EB0E9F" w:rsidP="000D6B02">
            <w:pPr>
              <w:spacing w:before="100" w:after="100"/>
              <w:ind w:left="170"/>
              <w:rPr>
                <w:b/>
                <w:bCs/>
                <w:iCs/>
                <w:noProof/>
                <w:color w:val="245F95" w:themeColor="text2"/>
              </w:rPr>
            </w:pPr>
            <w:r w:rsidRPr="000D6B02">
              <w:rPr>
                <w:rFonts w:asciiTheme="minorHAnsi" w:hAnsiTheme="minorHAnsi"/>
                <w:bCs/>
                <w:iCs/>
                <w:noProof/>
                <w:color w:val="245F95" w:themeColor="text2"/>
                <w:sz w:val="22"/>
                <w:szCs w:val="22"/>
              </w:rPr>
              <w:t>of which margin under the temporary increase for NGEU</w:t>
            </w:r>
          </w:p>
        </w:tc>
        <w:tc>
          <w:tcPr>
            <w:tcW w:w="288" w:type="pct"/>
            <w:tcBorders>
              <w:top w:val="single" w:sz="6" w:space="0" w:color="BFBFBF" w:themeColor="background1" w:themeShade="BF"/>
              <w:right w:val="single" w:sz="6" w:space="0" w:color="BFBFBF" w:themeColor="background1" w:themeShade="BF"/>
            </w:tcBorders>
            <w:vAlign w:val="center"/>
          </w:tcPr>
          <w:p w14:paraId="3BBA2216" w14:textId="604038FF" w:rsidR="00EB0E9F" w:rsidRPr="006437CF" w:rsidRDefault="00EB0E9F" w:rsidP="000D6B02">
            <w:pPr>
              <w:spacing w:before="100" w:after="100"/>
              <w:jc w:val="center"/>
              <w:rPr>
                <w:b/>
                <w:bCs/>
                <w:iCs/>
                <w:noProof/>
              </w:rPr>
            </w:pPr>
            <w:r w:rsidRPr="006437CF">
              <w:rPr>
                <w:rFonts w:asciiTheme="minorHAnsi" w:hAnsiTheme="minorHAnsi"/>
                <w:bCs/>
                <w:iCs/>
                <w:noProof/>
                <w:sz w:val="22"/>
                <w:szCs w:val="22"/>
              </w:rPr>
              <w:t>a’-d’</w:t>
            </w:r>
          </w:p>
        </w:tc>
        <w:tc>
          <w:tcPr>
            <w:tcW w:w="523" w:type="pct"/>
            <w:tcBorders>
              <w:top w:val="single" w:sz="6" w:space="0" w:color="BFBFBF" w:themeColor="background1" w:themeShade="BF"/>
              <w:right w:val="single" w:sz="6" w:space="0" w:color="BFBFBF" w:themeColor="background1" w:themeShade="BF"/>
            </w:tcBorders>
            <w:vAlign w:val="center"/>
          </w:tcPr>
          <w:p w14:paraId="6EBA805A" w14:textId="6956EC7A" w:rsidR="00EB0E9F" w:rsidRPr="006437CF" w:rsidRDefault="00EB0E9F" w:rsidP="005301DF">
            <w:pPr>
              <w:spacing w:before="100" w:after="100"/>
              <w:jc w:val="center"/>
              <w:rPr>
                <w:b/>
                <w:bCs/>
                <w:iCs/>
                <w:noProof/>
              </w:rPr>
            </w:pPr>
            <w:r w:rsidRPr="006437CF">
              <w:rPr>
                <w:rFonts w:asciiTheme="minorHAnsi" w:eastAsia="Calibri" w:hAnsiTheme="minorHAnsi" w:cs="Calibri"/>
                <w:bCs/>
                <w:iCs/>
                <w:noProof/>
                <w:sz w:val="22"/>
                <w:szCs w:val="22"/>
              </w:rPr>
              <w:t>105,</w:t>
            </w:r>
            <w:r w:rsidR="0059208D">
              <w:rPr>
                <w:rFonts w:asciiTheme="minorHAnsi" w:eastAsia="Calibri" w:hAnsiTheme="minorHAnsi" w:cs="Calibri"/>
                <w:bCs/>
                <w:iCs/>
                <w:noProof/>
                <w:sz w:val="22"/>
                <w:szCs w:val="22"/>
              </w:rPr>
              <w:t>4</w:t>
            </w:r>
          </w:p>
        </w:tc>
        <w:tc>
          <w:tcPr>
            <w:tcW w:w="523" w:type="pct"/>
            <w:tcBorders>
              <w:top w:val="single" w:sz="6" w:space="0" w:color="BFBFBF" w:themeColor="background1" w:themeShade="BF"/>
              <w:right w:val="single" w:sz="6" w:space="0" w:color="BFBFBF" w:themeColor="background1" w:themeShade="BF"/>
            </w:tcBorders>
            <w:vAlign w:val="center"/>
          </w:tcPr>
          <w:p w14:paraId="03DAFF26" w14:textId="55C43700" w:rsidR="00EB0E9F" w:rsidRPr="006437CF" w:rsidRDefault="00EB0E9F" w:rsidP="005301DF">
            <w:pPr>
              <w:spacing w:before="100" w:after="100"/>
              <w:jc w:val="center"/>
              <w:rPr>
                <w:b/>
                <w:bCs/>
                <w:iCs/>
                <w:noProof/>
              </w:rPr>
            </w:pPr>
            <w:r w:rsidRPr="006437CF">
              <w:rPr>
                <w:rFonts w:asciiTheme="minorHAnsi" w:eastAsia="Calibri" w:hAnsiTheme="minorHAnsi" w:cs="Calibri"/>
                <w:bCs/>
                <w:iCs/>
                <w:noProof/>
                <w:sz w:val="22"/>
                <w:szCs w:val="22"/>
              </w:rPr>
              <w:t>110,7</w:t>
            </w:r>
          </w:p>
        </w:tc>
        <w:tc>
          <w:tcPr>
            <w:tcW w:w="523" w:type="pct"/>
            <w:tcBorders>
              <w:top w:val="single" w:sz="6" w:space="0" w:color="BFBFBF" w:themeColor="background1" w:themeShade="BF"/>
              <w:right w:val="single" w:sz="6" w:space="0" w:color="BFBFBF" w:themeColor="background1" w:themeShade="BF"/>
            </w:tcBorders>
            <w:vAlign w:val="center"/>
          </w:tcPr>
          <w:p w14:paraId="037B116D" w14:textId="637ECF5E" w:rsidR="00EB0E9F" w:rsidRPr="006437CF" w:rsidRDefault="00EB0E9F" w:rsidP="005301DF">
            <w:pPr>
              <w:spacing w:before="100" w:after="100"/>
              <w:jc w:val="center"/>
              <w:rPr>
                <w:b/>
                <w:bCs/>
                <w:iCs/>
                <w:noProof/>
              </w:rPr>
            </w:pPr>
            <w:r w:rsidRPr="006437CF">
              <w:rPr>
                <w:rFonts w:asciiTheme="minorHAnsi" w:eastAsia="Calibri" w:hAnsiTheme="minorHAnsi" w:cs="Calibri"/>
                <w:bCs/>
                <w:iCs/>
                <w:noProof/>
                <w:sz w:val="22"/>
                <w:szCs w:val="22"/>
              </w:rPr>
              <w:t>113,3</w:t>
            </w:r>
          </w:p>
        </w:tc>
        <w:tc>
          <w:tcPr>
            <w:tcW w:w="523" w:type="pct"/>
            <w:tcBorders>
              <w:top w:val="single" w:sz="6" w:space="0" w:color="BFBFBF" w:themeColor="background1" w:themeShade="BF"/>
              <w:right w:val="single" w:sz="6" w:space="0" w:color="BFBFBF" w:themeColor="background1" w:themeShade="BF"/>
            </w:tcBorders>
            <w:vAlign w:val="center"/>
          </w:tcPr>
          <w:p w14:paraId="2358340D" w14:textId="77777777" w:rsidR="00EB0E9F" w:rsidRPr="006437CF" w:rsidRDefault="00EB0E9F" w:rsidP="005301DF">
            <w:pPr>
              <w:spacing w:before="100" w:after="100"/>
              <w:jc w:val="center"/>
              <w:rPr>
                <w:b/>
                <w:bCs/>
                <w:iCs/>
                <w:noProof/>
              </w:rPr>
            </w:pPr>
          </w:p>
        </w:tc>
        <w:tc>
          <w:tcPr>
            <w:tcW w:w="523" w:type="pct"/>
            <w:tcBorders>
              <w:top w:val="single" w:sz="6" w:space="0" w:color="BFBFBF" w:themeColor="background1" w:themeShade="BF"/>
              <w:right w:val="single" w:sz="6" w:space="0" w:color="BFBFBF" w:themeColor="background1" w:themeShade="BF"/>
            </w:tcBorders>
            <w:vAlign w:val="center"/>
          </w:tcPr>
          <w:p w14:paraId="09D1AC12" w14:textId="77777777" w:rsidR="00EB0E9F" w:rsidRPr="006437CF" w:rsidRDefault="00EB0E9F" w:rsidP="005301DF">
            <w:pPr>
              <w:spacing w:before="100" w:after="100"/>
              <w:jc w:val="center"/>
              <w:rPr>
                <w:b/>
                <w:bCs/>
                <w:iCs/>
                <w:noProof/>
              </w:rPr>
            </w:pPr>
          </w:p>
        </w:tc>
        <w:tc>
          <w:tcPr>
            <w:tcW w:w="523" w:type="pct"/>
            <w:tcBorders>
              <w:top w:val="single" w:sz="6" w:space="0" w:color="BFBFBF" w:themeColor="background1" w:themeShade="BF"/>
            </w:tcBorders>
            <w:vAlign w:val="center"/>
          </w:tcPr>
          <w:p w14:paraId="4BC2DDBE" w14:textId="12E63739" w:rsidR="00EB0E9F" w:rsidRPr="006437CF" w:rsidRDefault="00EB0E9F" w:rsidP="005301DF">
            <w:pPr>
              <w:spacing w:before="100" w:after="100"/>
              <w:jc w:val="center"/>
              <w:rPr>
                <w:b/>
                <w:bCs/>
                <w:iCs/>
                <w:noProof/>
              </w:rPr>
            </w:pPr>
            <w:r w:rsidRPr="006437CF">
              <w:rPr>
                <w:rFonts w:asciiTheme="minorHAnsi" w:hAnsiTheme="minorHAnsi"/>
                <w:iCs/>
                <w:noProof/>
                <w:sz w:val="22"/>
                <w:szCs w:val="22"/>
              </w:rPr>
              <w:t>n/a</w:t>
            </w:r>
          </w:p>
        </w:tc>
      </w:tr>
    </w:tbl>
    <w:p w14:paraId="21171987" w14:textId="1A084396" w:rsidR="00861C1C" w:rsidRPr="006F4008" w:rsidRDefault="003B6DC2" w:rsidP="00124B49">
      <w:pPr>
        <w:spacing w:after="120"/>
        <w:rPr>
          <w:i/>
          <w:noProof/>
          <w:sz w:val="16"/>
          <w:szCs w:val="16"/>
        </w:rPr>
      </w:pPr>
      <w:r w:rsidRPr="006F4008">
        <w:rPr>
          <w:i/>
          <w:noProof/>
          <w:sz w:val="16"/>
          <w:szCs w:val="16"/>
        </w:rPr>
        <w:t xml:space="preserve">* Own Resources ceiling </w:t>
      </w:r>
      <w:r w:rsidR="00971308">
        <w:rPr>
          <w:i/>
          <w:noProof/>
          <w:sz w:val="16"/>
          <w:szCs w:val="16"/>
        </w:rPr>
        <w:t>–</w:t>
      </w:r>
      <w:r w:rsidRPr="006F4008">
        <w:rPr>
          <w:i/>
          <w:noProof/>
          <w:sz w:val="16"/>
          <w:szCs w:val="16"/>
        </w:rPr>
        <w:t xml:space="preserve"> calculated </w:t>
      </w:r>
      <w:r w:rsidR="00A80E61" w:rsidRPr="006F4008">
        <w:rPr>
          <w:i/>
          <w:noProof/>
          <w:sz w:val="16"/>
          <w:szCs w:val="16"/>
        </w:rPr>
        <w:t>based on</w:t>
      </w:r>
      <w:r w:rsidRPr="006F4008">
        <w:rPr>
          <w:i/>
          <w:noProof/>
          <w:sz w:val="16"/>
          <w:szCs w:val="16"/>
        </w:rPr>
        <w:t xml:space="preserve"> the Spring 202</w:t>
      </w:r>
      <w:r w:rsidR="00862F9D" w:rsidRPr="006F4008">
        <w:rPr>
          <w:i/>
          <w:noProof/>
          <w:sz w:val="16"/>
          <w:szCs w:val="16"/>
        </w:rPr>
        <w:t>4</w:t>
      </w:r>
      <w:r w:rsidRPr="006F4008">
        <w:rPr>
          <w:i/>
          <w:noProof/>
          <w:sz w:val="16"/>
          <w:szCs w:val="16"/>
        </w:rPr>
        <w:t xml:space="preserve"> economic forecast for the Gross National Income of the EU27 </w:t>
      </w:r>
    </w:p>
    <w:p w14:paraId="0E3B0791" w14:textId="77777777" w:rsidR="00861C1C" w:rsidRPr="006F4008" w:rsidRDefault="003B6DC2" w:rsidP="0050317D">
      <w:pPr>
        <w:spacing w:before="0" w:after="120"/>
        <w:rPr>
          <w:i/>
          <w:noProof/>
          <w:sz w:val="16"/>
          <w:szCs w:val="16"/>
        </w:rPr>
      </w:pPr>
      <w:r w:rsidRPr="006F4008">
        <w:rPr>
          <w:i/>
          <w:noProof/>
          <w:sz w:val="16"/>
          <w:szCs w:val="16"/>
        </w:rPr>
        <w:t xml:space="preserve">** Traditional own resources are estimated on the basis of 25% retention rate for collection costs. </w:t>
      </w:r>
    </w:p>
    <w:bookmarkEnd w:id="83"/>
    <w:p w14:paraId="237297A2" w14:textId="77777777" w:rsidR="00B90728" w:rsidRDefault="00971308" w:rsidP="00124B49">
      <w:pPr>
        <w:spacing w:before="0"/>
        <w:rPr>
          <w:i/>
          <w:noProof/>
          <w:sz w:val="16"/>
          <w:szCs w:val="16"/>
        </w:rPr>
      </w:pPr>
      <w:r>
        <w:rPr>
          <w:i/>
          <w:noProof/>
          <w:sz w:val="16"/>
          <w:szCs w:val="16"/>
        </w:rPr>
        <w:t>*** The amount</w:t>
      </w:r>
      <w:r w:rsidR="007D71DA">
        <w:rPr>
          <w:i/>
          <w:noProof/>
          <w:sz w:val="16"/>
          <w:szCs w:val="16"/>
        </w:rPr>
        <w:t>s</w:t>
      </w:r>
      <w:r>
        <w:rPr>
          <w:i/>
          <w:noProof/>
          <w:sz w:val="16"/>
          <w:szCs w:val="16"/>
        </w:rPr>
        <w:t xml:space="preserve"> for the GNI</w:t>
      </w:r>
      <w:r w:rsidR="007D71DA">
        <w:rPr>
          <w:i/>
          <w:noProof/>
          <w:sz w:val="16"/>
          <w:szCs w:val="16"/>
        </w:rPr>
        <w:t xml:space="preserve">-based own </w:t>
      </w:r>
      <w:r w:rsidR="00DF0261">
        <w:rPr>
          <w:i/>
          <w:noProof/>
          <w:sz w:val="16"/>
          <w:szCs w:val="16"/>
        </w:rPr>
        <w:t xml:space="preserve">resource </w:t>
      </w:r>
      <w:r w:rsidR="007D71DA">
        <w:rPr>
          <w:i/>
          <w:noProof/>
          <w:sz w:val="16"/>
          <w:szCs w:val="16"/>
        </w:rPr>
        <w:t>for 2028</w:t>
      </w:r>
      <w:r w:rsidR="0050336D">
        <w:rPr>
          <w:i/>
          <w:noProof/>
          <w:sz w:val="16"/>
          <w:szCs w:val="16"/>
        </w:rPr>
        <w:t xml:space="preserve"> </w:t>
      </w:r>
      <w:r w:rsidR="000479B8">
        <w:rPr>
          <w:i/>
          <w:noProof/>
          <w:sz w:val="16"/>
          <w:szCs w:val="16"/>
        </w:rPr>
        <w:t>and 20</w:t>
      </w:r>
      <w:r w:rsidR="007D71DA">
        <w:rPr>
          <w:i/>
          <w:noProof/>
          <w:sz w:val="16"/>
          <w:szCs w:val="16"/>
        </w:rPr>
        <w:t xml:space="preserve">29 are underestimated as the forecast does not </w:t>
      </w:r>
      <w:r w:rsidR="00DF0261">
        <w:rPr>
          <w:i/>
          <w:noProof/>
          <w:sz w:val="16"/>
          <w:szCs w:val="16"/>
        </w:rPr>
        <w:t xml:space="preserve">include </w:t>
      </w:r>
      <w:r w:rsidR="00FF69E4">
        <w:rPr>
          <w:i/>
          <w:noProof/>
          <w:sz w:val="16"/>
          <w:szCs w:val="16"/>
        </w:rPr>
        <w:t>expenditure for the next MFF</w:t>
      </w:r>
      <w:r w:rsidR="00287AD0">
        <w:rPr>
          <w:i/>
          <w:noProof/>
          <w:sz w:val="16"/>
          <w:szCs w:val="16"/>
        </w:rPr>
        <w:t xml:space="preserve">. </w:t>
      </w:r>
      <w:r w:rsidR="00E165E9" w:rsidRPr="00E165E9">
        <w:rPr>
          <w:i/>
          <w:noProof/>
          <w:sz w:val="16"/>
          <w:szCs w:val="16"/>
        </w:rPr>
        <w:t xml:space="preserve">The additional expenditure for the next MFF would need </w:t>
      </w:r>
      <w:r w:rsidR="008E5187">
        <w:rPr>
          <w:i/>
          <w:noProof/>
          <w:sz w:val="16"/>
          <w:szCs w:val="16"/>
        </w:rPr>
        <w:t xml:space="preserve">to be </w:t>
      </w:r>
      <w:r w:rsidR="00E165E9" w:rsidRPr="00E165E9">
        <w:rPr>
          <w:i/>
          <w:noProof/>
          <w:sz w:val="16"/>
          <w:szCs w:val="16"/>
        </w:rPr>
        <w:t>covered by additional GNI-based contributions to ensure a balanced budget</w:t>
      </w:r>
      <w:r w:rsidR="003E36B2">
        <w:rPr>
          <w:i/>
          <w:noProof/>
          <w:sz w:val="16"/>
          <w:szCs w:val="16"/>
        </w:rPr>
        <w:t>.</w:t>
      </w:r>
    </w:p>
    <w:p w14:paraId="7D8FCB21" w14:textId="51C1D025" w:rsidR="0079155E" w:rsidRPr="0050317D" w:rsidRDefault="00B541D9" w:rsidP="0050317D">
      <w:pPr>
        <w:spacing w:before="0"/>
        <w:rPr>
          <w:i/>
          <w:noProof/>
          <w:sz w:val="16"/>
        </w:rPr>
      </w:pPr>
      <w:r>
        <w:rPr>
          <w:i/>
          <w:noProof/>
          <w:sz w:val="16"/>
          <w:szCs w:val="16"/>
        </w:rPr>
        <w:t>**** For 2026 and 2027 based on current financial programming.</w:t>
      </w:r>
    </w:p>
    <w:sectPr w:rsidR="0079155E" w:rsidRPr="0050317D">
      <w:headerReference w:type="even" r:id="rId36"/>
      <w:headerReference w:type="default" r:id="rId37"/>
      <w:footerReference w:type="even" r:id="rId38"/>
      <w:footerReference w:type="default" r:id="rId39"/>
      <w:headerReference w:type="first" r:id="rId40"/>
      <w:footerReference w:type="first" r:id="rId41"/>
      <w:pgSz w:w="11906" w:h="16838"/>
      <w:pgMar w:top="1321" w:right="1151" w:bottom="1440" w:left="11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383A4" w14:textId="77777777" w:rsidR="00D014F9" w:rsidRDefault="00D014F9">
      <w:r>
        <w:separator/>
      </w:r>
    </w:p>
    <w:p w14:paraId="77EDEE89" w14:textId="77777777" w:rsidR="00D014F9" w:rsidRDefault="00D014F9"/>
    <w:p w14:paraId="7DE4F44D" w14:textId="77777777" w:rsidR="00D014F9" w:rsidRDefault="00D014F9"/>
  </w:endnote>
  <w:endnote w:type="continuationSeparator" w:id="0">
    <w:p w14:paraId="06722E4D" w14:textId="77777777" w:rsidR="00D014F9" w:rsidRDefault="00D014F9">
      <w:r>
        <w:continuationSeparator/>
      </w:r>
    </w:p>
    <w:p w14:paraId="656702F5" w14:textId="77777777" w:rsidR="00D014F9" w:rsidRDefault="00D014F9"/>
    <w:p w14:paraId="3BE959AE" w14:textId="77777777" w:rsidR="00D014F9" w:rsidRDefault="00D014F9"/>
  </w:endnote>
  <w:endnote w:type="continuationNotice" w:id="1">
    <w:p w14:paraId="75DFAED1" w14:textId="77777777" w:rsidR="00D014F9" w:rsidRDefault="00D014F9"/>
    <w:p w14:paraId="214279F9" w14:textId="77777777" w:rsidR="00D014F9" w:rsidRDefault="00D014F9"/>
    <w:p w14:paraId="0E4DFB2F" w14:textId="77777777" w:rsidR="00D014F9" w:rsidRDefault="00D014F9"/>
  </w:endnote>
  <w:endnote w:id="2">
    <w:p w14:paraId="3A08614C" w14:textId="77777777" w:rsidR="00861C1C" w:rsidRDefault="003B6DC2" w:rsidP="00EA71BB">
      <w:pPr>
        <w:pStyle w:val="EndnoteText"/>
        <w:spacing w:line="276" w:lineRule="auto"/>
        <w:jc w:val="both"/>
      </w:pPr>
      <w:r>
        <w:rPr>
          <w:rStyle w:val="EndnoteReference"/>
        </w:rPr>
        <w:endnoteRef/>
      </w:r>
      <w:r>
        <w:t xml:space="preserve"> Regulation (EU, Euratom) 2018/1046 </w:t>
      </w:r>
      <w:r>
        <w:rPr>
          <w:lang w:val="en-US"/>
        </w:rPr>
        <w:t xml:space="preserve">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w:t>
      </w:r>
      <w:r>
        <w:rPr>
          <w:iCs/>
          <w:lang w:val="en-US"/>
        </w:rPr>
        <w:t>OJ L 193, 30.7.2018, p. 1.</w:t>
      </w:r>
    </w:p>
  </w:endnote>
  <w:endnote w:id="3">
    <w:p w14:paraId="60FC9FB8" w14:textId="0168F392" w:rsidR="00C3162D" w:rsidRDefault="00C3162D" w:rsidP="00D26971">
      <w:pPr>
        <w:pStyle w:val="EndnoteText"/>
        <w:spacing w:line="276" w:lineRule="auto"/>
        <w:jc w:val="both"/>
      </w:pPr>
      <w:r>
        <w:rPr>
          <w:rStyle w:val="EndnoteReference"/>
        </w:rPr>
        <w:endnoteRef/>
      </w:r>
      <w:r>
        <w:t xml:space="preserve"> COM(2021)343, 30.6.2021.</w:t>
      </w:r>
      <w:r w:rsidR="00894044">
        <w:t xml:space="preserve"> This is the first edition of this report for the 2021-27 MFF period.</w:t>
      </w:r>
    </w:p>
  </w:endnote>
  <w:endnote w:id="4">
    <w:p w14:paraId="1B241D6C" w14:textId="77777777" w:rsidR="00894044" w:rsidRDefault="00894044" w:rsidP="00894044">
      <w:pPr>
        <w:pStyle w:val="EndnoteText"/>
        <w:spacing w:line="276" w:lineRule="auto"/>
        <w:jc w:val="both"/>
        <w:rPr>
          <w:highlight w:val="yellow"/>
        </w:rPr>
      </w:pPr>
      <w:r>
        <w:rPr>
          <w:rStyle w:val="EndnoteReference"/>
        </w:rPr>
        <w:endnoteRef/>
      </w:r>
      <w:r>
        <w:t xml:space="preserve"> Council Regulation (EU, Euratom) 2020/2093 laying down the multiannual financial framework for the years 2021 to 2027, OJ L 433I, 22.12.2020, p. 11.</w:t>
      </w:r>
    </w:p>
  </w:endnote>
  <w:endnote w:id="5">
    <w:p w14:paraId="2B08E101" w14:textId="77777777" w:rsidR="00861C1C" w:rsidRDefault="003B6DC2" w:rsidP="00EA71BB">
      <w:pPr>
        <w:pStyle w:val="EndnoteText"/>
        <w:spacing w:line="276" w:lineRule="auto"/>
        <w:jc w:val="both"/>
        <w:rPr>
          <w:highlight w:val="yellow"/>
        </w:rPr>
      </w:pPr>
      <w:r>
        <w:rPr>
          <w:rStyle w:val="EndnoteReference"/>
        </w:rPr>
        <w:endnoteRef/>
      </w:r>
      <w:r>
        <w:t xml:space="preserve"> Council Regulation (EU) 2020/2094 establishing a European Union Recovery Instrument </w:t>
      </w:r>
      <w:r>
        <w:rPr>
          <w:lang w:val="en-US"/>
        </w:rPr>
        <w:t xml:space="preserve">to support the recovery in the aftermath of the COVID-19 crisis, </w:t>
      </w:r>
      <w:r>
        <w:rPr>
          <w:iCs/>
          <w:lang w:val="en-US"/>
        </w:rPr>
        <w:t xml:space="preserve">OJ L 433I , 22.12.2020, p. 23 </w:t>
      </w:r>
      <w:r>
        <w:t>(‘NextGenerationEU’).</w:t>
      </w:r>
    </w:p>
  </w:endnote>
  <w:endnote w:id="6">
    <w:p w14:paraId="0BB846F1" w14:textId="77777777" w:rsidR="00861C1C" w:rsidRDefault="003B6DC2" w:rsidP="00D26971">
      <w:pPr>
        <w:pStyle w:val="EndnoteText"/>
        <w:spacing w:line="276" w:lineRule="auto"/>
        <w:jc w:val="both"/>
      </w:pPr>
      <w:r>
        <w:rPr>
          <w:rStyle w:val="EndnoteReference"/>
        </w:rPr>
        <w:endnoteRef/>
      </w:r>
      <w:r>
        <w:t xml:space="preserve"> Unless otherwise specified, all amounts in the report are expressed in current prices.</w:t>
      </w:r>
    </w:p>
  </w:endnote>
  <w:endnote w:id="7">
    <w:p w14:paraId="09C8D251" w14:textId="5FB5B87D" w:rsidR="00C62FD6" w:rsidRDefault="00C62FD6">
      <w:pPr>
        <w:pStyle w:val="EndnoteText"/>
      </w:pPr>
      <w:r>
        <w:rPr>
          <w:rStyle w:val="EndnoteReference"/>
        </w:rPr>
        <w:endnoteRef/>
      </w:r>
      <w:r>
        <w:t xml:space="preserve"> </w:t>
      </w:r>
      <w:r w:rsidR="00EF1C9D">
        <w:t>Communication from the Commission to the European Parliament and the Council</w:t>
      </w:r>
      <w:r w:rsidR="00B742B7">
        <w:t>, Technical adjustment of the multiannual financial framework for 2025 in accordance with Article 4 of Council Regulation (EU, Euratom) 2020/2093 laying down the multiannual financial framework for the years 2021 to 2027</w:t>
      </w:r>
      <w:r w:rsidR="00E52689">
        <w:t xml:space="preserve">. </w:t>
      </w:r>
      <w:r w:rsidR="00635C39" w:rsidRPr="00635C39">
        <w:t>COM(2024) 120 final</w:t>
      </w:r>
    </w:p>
  </w:endnote>
  <w:endnote w:id="8">
    <w:p w14:paraId="429B897C" w14:textId="65DFFF78" w:rsidR="00861C1C" w:rsidRPr="0050317D" w:rsidRDefault="003B6DC2" w:rsidP="00D26971">
      <w:pPr>
        <w:pStyle w:val="EndnoteText"/>
        <w:spacing w:line="276" w:lineRule="auto"/>
        <w:jc w:val="both"/>
        <w:rPr>
          <w:lang w:val="en-US"/>
        </w:rPr>
      </w:pPr>
      <w:r>
        <w:rPr>
          <w:rStyle w:val="EndnoteReference"/>
        </w:rPr>
        <w:endnoteRef/>
      </w:r>
      <w:r w:rsidRPr="0050317D">
        <w:rPr>
          <w:lang w:val="en-US"/>
        </w:rPr>
        <w:t xml:space="preserve"> </w:t>
      </w:r>
      <w:r w:rsidR="008031C7" w:rsidRPr="0050317D">
        <w:rPr>
          <w:lang w:val="en-US"/>
        </w:rPr>
        <w:t>Statement of estimates</w:t>
      </w:r>
      <w:r w:rsidR="00B741F7">
        <w:rPr>
          <w:lang w:val="en-US"/>
        </w:rPr>
        <w:t xml:space="preserve"> of the European Commission for the financial year 2025.</w:t>
      </w:r>
      <w:r w:rsidR="00B3267C" w:rsidRPr="0050317D">
        <w:rPr>
          <w:lang w:val="en-US"/>
        </w:rPr>
        <w:t xml:space="preserve"> </w:t>
      </w:r>
      <w:r w:rsidR="00B741F7" w:rsidRPr="00B741F7">
        <w:rPr>
          <w:lang w:val="en-US"/>
        </w:rPr>
        <w:t>SEC(2024) 250</w:t>
      </w:r>
      <w:r w:rsidR="00B741F7">
        <w:rPr>
          <w:lang w:val="en-US"/>
        </w:rPr>
        <w:t>.</w:t>
      </w:r>
    </w:p>
  </w:endnote>
  <w:endnote w:id="9">
    <w:p w14:paraId="0E0D9CF1" w14:textId="5CBAB4A6" w:rsidR="00894044" w:rsidRDefault="00894044">
      <w:pPr>
        <w:pStyle w:val="EndnoteText"/>
      </w:pPr>
      <w:r>
        <w:rPr>
          <w:rStyle w:val="EndnoteReference"/>
        </w:rPr>
        <w:endnoteRef/>
      </w:r>
      <w:r>
        <w:t xml:space="preserve"> </w:t>
      </w:r>
      <w:r w:rsidRPr="00894044">
        <w:t>Council Regulation (EU, Euratom) 2024/765 of 29 February 2024 amending Regulation (EU, Euratom) 2020/2093 laying down the multiannual financial framework for the years 2021 to 2027, OJ L, 2024/765, 29.02.2024</w:t>
      </w:r>
      <w:r>
        <w:t>.</w:t>
      </w:r>
    </w:p>
  </w:endnote>
  <w:endnote w:id="10">
    <w:p w14:paraId="63F62AF8" w14:textId="77777777" w:rsidR="00861C1C" w:rsidRDefault="003B6DC2" w:rsidP="00D26971">
      <w:pPr>
        <w:pStyle w:val="EndnoteText"/>
        <w:spacing w:line="276" w:lineRule="auto"/>
        <w:jc w:val="both"/>
      </w:pPr>
      <w:r>
        <w:rPr>
          <w:rStyle w:val="EndnoteReference"/>
        </w:rPr>
        <w:endnoteRef/>
      </w:r>
      <w:r>
        <w:t xml:space="preserve"> Article 5 of the MFF Regulation provides for the additional allocation in commitment and payment appropriations for a pre-defined list of programmes, for an amount equivalent to certain types of fines.</w:t>
      </w:r>
    </w:p>
  </w:endnote>
  <w:endnote w:id="11">
    <w:p w14:paraId="75DB4C86" w14:textId="77777777" w:rsidR="00861C1C" w:rsidRDefault="003B6DC2" w:rsidP="00D26971">
      <w:pPr>
        <w:pStyle w:val="EndnoteText"/>
        <w:spacing w:line="276" w:lineRule="auto"/>
        <w:jc w:val="both"/>
      </w:pPr>
      <w:r>
        <w:rPr>
          <w:vertAlign w:val="superscript"/>
        </w:rPr>
        <w:endnoteRef/>
      </w:r>
      <w:r>
        <w:t xml:space="preserve"> Article 15(3) of the Financial Regulation provides that commitment appropriations corresponding to the amount of de-commitments made in relation to research projects may be made available again.</w:t>
      </w:r>
    </w:p>
  </w:endnote>
  <w:endnote w:id="12">
    <w:p w14:paraId="3564F43D" w14:textId="1B4BCBF6" w:rsidR="00A725FF" w:rsidRDefault="00A725FF">
      <w:pPr>
        <w:pStyle w:val="EndnoteText"/>
      </w:pPr>
      <w:r>
        <w:rPr>
          <w:rStyle w:val="EndnoteReference"/>
        </w:rPr>
        <w:endnoteRef/>
      </w:r>
      <w:r>
        <w:t xml:space="preserve"> The impact of the mid-term revision </w:t>
      </w:r>
      <w:r w:rsidR="009A6791">
        <w:t>is detailed in the draft budget for 2025</w:t>
      </w:r>
      <w:r w:rsidR="00D047CF">
        <w:t>.</w:t>
      </w:r>
    </w:p>
  </w:endnote>
  <w:endnote w:id="13">
    <w:p w14:paraId="6E816E56" w14:textId="64B4CBCC" w:rsidR="00496632" w:rsidRDefault="00496632">
      <w:pPr>
        <w:pStyle w:val="EndnoteText"/>
      </w:pPr>
      <w:r>
        <w:rPr>
          <w:rStyle w:val="EndnoteReference"/>
        </w:rPr>
        <w:endnoteRef/>
      </w:r>
      <w:r>
        <w:t xml:space="preserve"> </w:t>
      </w:r>
      <w:r w:rsidR="00127E20" w:rsidRPr="00127E20">
        <w:t>Joint declaration by the European Parliament, the Council and the Commission on the re-use of decommitted funds in relation to the research programme (C/2024/1972), OJ C, C/2024/1972, 29.02.2024.</w:t>
      </w:r>
    </w:p>
  </w:endnote>
  <w:endnote w:id="14">
    <w:p w14:paraId="3915FBBF" w14:textId="7B73E9FF" w:rsidR="00403FE4" w:rsidRDefault="00403FE4">
      <w:pPr>
        <w:pStyle w:val="EndnoteText"/>
      </w:pPr>
      <w:r>
        <w:rPr>
          <w:rStyle w:val="EndnoteReference"/>
        </w:rPr>
        <w:endnoteRef/>
      </w:r>
      <w:r>
        <w:t xml:space="preserve"> </w:t>
      </w:r>
      <w:r w:rsidR="000B2A7A">
        <w:t>Additional information about these instruments is available in the draft budget for 2025 and in the techni</w:t>
      </w:r>
      <w:r w:rsidR="00956CAB">
        <w:t xml:space="preserve">cal adjustment </w:t>
      </w:r>
      <w:r w:rsidR="00882DD3">
        <w:t>of the MFF</w:t>
      </w:r>
      <w:r w:rsidR="004B51B5">
        <w:t xml:space="preserve"> for 2025.</w:t>
      </w:r>
    </w:p>
  </w:endnote>
  <w:endnote w:id="15">
    <w:p w14:paraId="44D65C66" w14:textId="77777777" w:rsidR="000745D3" w:rsidRDefault="000745D3" w:rsidP="000745D3">
      <w:pPr>
        <w:pStyle w:val="EndnoteText"/>
      </w:pPr>
      <w:r>
        <w:rPr>
          <w:rStyle w:val="EndnoteReference"/>
        </w:rPr>
        <w:endnoteRef/>
      </w:r>
      <w:r>
        <w:t xml:space="preserve"> </w:t>
      </w:r>
      <w:r w:rsidRPr="006066B4">
        <w:t>Regulation (EU) 2024/795 of the European Parliament and of the Council of 29 February 2024 establishing the Strategic Technologies for Europe Platform (STEP), and amending Directive 2003/87/EC and Regulations (EU) 2021/1058, (EU) 2021/1056, (EU) 2021/1057, (EU) No 1303/2013, (EU) No 223/2014, (EU) 2021/1060, (EU) 2021/523, (EU) 2021/695, (EU) 2021/697 and (EU) 2021/241, OJ L, 2024/795, 29.02.2024.</w:t>
      </w:r>
    </w:p>
  </w:endnote>
  <w:endnote w:id="16">
    <w:p w14:paraId="7913A81D" w14:textId="77777777" w:rsidR="00861C1C" w:rsidRDefault="003B6DC2" w:rsidP="00D26971">
      <w:pPr>
        <w:pStyle w:val="NormalWeb"/>
        <w:spacing w:before="0" w:beforeAutospacing="0" w:after="0" w:afterAutospacing="0" w:line="276" w:lineRule="auto"/>
        <w:jc w:val="both"/>
      </w:pPr>
      <w:r>
        <w:rPr>
          <w:rStyle w:val="EndnoteReference"/>
        </w:rPr>
        <w:endnoteRef/>
      </w:r>
      <w:r>
        <w:t xml:space="preserve"> </w:t>
      </w:r>
      <w:r>
        <w:rPr>
          <w:rFonts w:ascii="EC Square Sans Pro" w:eastAsia="Calibri" w:hAnsi="EC Square Sans Pro"/>
          <w:sz w:val="20"/>
          <w:szCs w:val="20"/>
          <w:lang w:eastAsia="en-US"/>
        </w:rPr>
        <w:t>Council Decision (EU, Euratom) 2020/2053 of 14 December 2020 on the system of own resources of the European Union and repealing Decision 2014/335/EU, Euratom, OJ L 424, 15.12.2020, p. 1.</w:t>
      </w:r>
    </w:p>
  </w:endnote>
  <w:endnote w:id="17">
    <w:p w14:paraId="02254F0F" w14:textId="77777777" w:rsidR="00861C1C" w:rsidRPr="0050317D" w:rsidRDefault="003B6DC2" w:rsidP="00EA71BB">
      <w:pPr>
        <w:pStyle w:val="EndnoteText"/>
        <w:tabs>
          <w:tab w:val="left" w:pos="8134"/>
        </w:tabs>
        <w:spacing w:line="276" w:lineRule="auto"/>
        <w:jc w:val="both"/>
        <w:rPr>
          <w:lang w:val="en-US"/>
        </w:rPr>
      </w:pPr>
      <w:r>
        <w:rPr>
          <w:rStyle w:val="EndnoteReference"/>
        </w:rPr>
        <w:endnoteRef/>
      </w:r>
      <w:r w:rsidRPr="0050317D">
        <w:rPr>
          <w:lang w:val="en-US"/>
        </w:rPr>
        <w:t xml:space="preserve"> OJ C66 I, 19.2.2019, p.1.</w:t>
      </w:r>
      <w:r w:rsidRPr="0050317D">
        <w:rPr>
          <w:lang w:val="en-US"/>
        </w:rPr>
        <w:tab/>
      </w:r>
    </w:p>
  </w:endnote>
  <w:endnote w:id="18">
    <w:p w14:paraId="15552A03" w14:textId="30562256" w:rsidR="00C647B5" w:rsidRDefault="00C647B5">
      <w:pPr>
        <w:pStyle w:val="EndnoteText"/>
      </w:pPr>
      <w:r>
        <w:rPr>
          <w:rStyle w:val="EndnoteReference"/>
        </w:rPr>
        <w:endnoteRef/>
      </w:r>
      <w:r>
        <w:t xml:space="preserve"> </w:t>
      </w:r>
      <w:r w:rsidRPr="00757061">
        <w:t xml:space="preserve">The amount is complemented by </w:t>
      </w:r>
      <w:r w:rsidRPr="0079155E">
        <w:t>EUR</w:t>
      </w:r>
      <w:r w:rsidR="00EB43E2" w:rsidRPr="0079155E">
        <w:rPr>
          <w:rFonts w:ascii="Calibri" w:hAnsi="Calibri" w:cs="Calibri"/>
        </w:rPr>
        <w:t> </w:t>
      </w:r>
      <w:r w:rsidR="00DC09EF" w:rsidRPr="0079155E">
        <w:t>20</w:t>
      </w:r>
      <w:r w:rsidR="00EB43E2" w:rsidRPr="0079155E">
        <w:rPr>
          <w:rFonts w:ascii="Calibri" w:hAnsi="Calibri" w:cs="Calibri"/>
        </w:rPr>
        <w:t> </w:t>
      </w:r>
      <w:r w:rsidRPr="0079155E">
        <w:t>billion</w:t>
      </w:r>
      <w:r w:rsidRPr="00757061">
        <w:t xml:space="preserve"> REPowerEU grants financed under the Emissions Trading Scheme (ETS) and </w:t>
      </w:r>
      <w:r w:rsidR="00DC09EF" w:rsidRPr="0079155E">
        <w:t>EUR</w:t>
      </w:r>
      <w:r w:rsidR="00EC75D2" w:rsidRPr="0079155E">
        <w:rPr>
          <w:rFonts w:ascii="Calibri" w:hAnsi="Calibri" w:cs="Calibri"/>
        </w:rPr>
        <w:t> </w:t>
      </w:r>
      <w:r w:rsidR="00DC09EF" w:rsidRPr="0079155E">
        <w:t>2.1</w:t>
      </w:r>
      <w:r w:rsidR="00EC75D2" w:rsidRPr="0079155E">
        <w:rPr>
          <w:rFonts w:ascii="Calibri" w:hAnsi="Calibri" w:cs="Calibri"/>
        </w:rPr>
        <w:t> </w:t>
      </w:r>
      <w:r w:rsidR="00DC09EF" w:rsidRPr="0079155E">
        <w:t>billion</w:t>
      </w:r>
      <w:r w:rsidR="00DC09EF" w:rsidRPr="00757061">
        <w:t xml:space="preserve"> in </w:t>
      </w:r>
      <w:r w:rsidRPr="00757061">
        <w:t>transfers from the Brexit Adjustment Reserve (BAR).</w:t>
      </w:r>
    </w:p>
  </w:endnote>
  <w:endnote w:id="19">
    <w:p w14:paraId="5A31848A" w14:textId="04753670" w:rsidR="00D62803" w:rsidRDefault="00D62803">
      <w:pPr>
        <w:pStyle w:val="EndnoteText"/>
      </w:pPr>
      <w:r>
        <w:rPr>
          <w:rStyle w:val="EndnoteReference"/>
        </w:rPr>
        <w:endnoteRef/>
      </w:r>
      <w:r>
        <w:t xml:space="preserve"> The amount includes the </w:t>
      </w:r>
      <w:r w:rsidR="00865807">
        <w:t>reduction of EUR</w:t>
      </w:r>
      <w:r w:rsidR="00865807">
        <w:rPr>
          <w:rFonts w:ascii="Calibri" w:hAnsi="Calibri" w:cs="Calibri"/>
        </w:rPr>
        <w:t> </w:t>
      </w:r>
      <w:r w:rsidR="00865807">
        <w:t>1</w:t>
      </w:r>
      <w:r w:rsidR="00865807">
        <w:rPr>
          <w:rFonts w:ascii="Calibri" w:hAnsi="Calibri" w:cs="Calibri"/>
        </w:rPr>
        <w:t> </w:t>
      </w:r>
      <w:r w:rsidR="00865807">
        <w:t xml:space="preserve">billion </w:t>
      </w:r>
      <w:r w:rsidR="00AC3266">
        <w:t xml:space="preserve">included in the </w:t>
      </w:r>
      <w:r w:rsidR="00382129">
        <w:t xml:space="preserve">revised MFFR following </w:t>
      </w:r>
      <w:r w:rsidR="009920DD">
        <w:t>t</w:t>
      </w:r>
      <w:r w:rsidR="00382129">
        <w:t>he mid-term revision of the MFF.</w:t>
      </w:r>
    </w:p>
  </w:endnote>
  <w:endnote w:id="20">
    <w:p w14:paraId="3F69731C" w14:textId="40641A3A" w:rsidR="00A1058F" w:rsidRDefault="00A1058F">
      <w:pPr>
        <w:pStyle w:val="EndnoteText"/>
      </w:pPr>
      <w:r>
        <w:rPr>
          <w:rStyle w:val="EndnoteReference"/>
        </w:rPr>
        <w:endnoteRef/>
      </w:r>
      <w:r>
        <w:t xml:space="preserve"> </w:t>
      </w:r>
      <w:r w:rsidR="00394920">
        <w:t>Report from the Commission to the European Parliament and the Council, Long-term forecast of future inflows and outflows of the EU budget (2024-2028)</w:t>
      </w:r>
      <w:r w:rsidR="00E13493">
        <w:t>. COM(2023) 390 final.</w:t>
      </w:r>
    </w:p>
  </w:endnote>
  <w:endnote w:id="21">
    <w:p w14:paraId="64E24774" w14:textId="6D9520EA" w:rsidR="00E47939" w:rsidRPr="0050317D" w:rsidRDefault="00E47939" w:rsidP="00D26971">
      <w:pPr>
        <w:pStyle w:val="EndnoteText"/>
        <w:spacing w:line="276" w:lineRule="auto"/>
        <w:jc w:val="both"/>
        <w:rPr>
          <w:lang w:val="en-US"/>
        </w:rPr>
      </w:pPr>
      <w:r>
        <w:rPr>
          <w:rStyle w:val="EndnoteReference"/>
        </w:rPr>
        <w:endnoteRef/>
      </w:r>
      <w:r w:rsidRPr="0050317D">
        <w:rPr>
          <w:lang w:val="en-US"/>
        </w:rPr>
        <w:t xml:space="preserve"> </w:t>
      </w:r>
      <w:r>
        <w:rPr>
          <w:noProof/>
        </w:rPr>
        <w:t xml:space="preserve">Member States decided to transfer funds between direct payments and rural development. </w:t>
      </w:r>
      <w:r>
        <w:rPr>
          <w:noProof/>
          <w:lang w:val="en-IE"/>
        </w:rPr>
        <w:t>The result was set out in Commission Delegated Regulation 2023/813 of 8 February 2023</w:t>
      </w:r>
      <w:r w:rsidR="00F21E84">
        <w:rPr>
          <w:noProof/>
          <w:lang w:val="en-IE"/>
        </w:rPr>
        <w:t>.</w:t>
      </w:r>
    </w:p>
  </w:endnote>
  <w:endnote w:id="22">
    <w:p w14:paraId="5B90899C" w14:textId="3AA5FC7D" w:rsidR="00306CCB" w:rsidRDefault="00306CCB">
      <w:pPr>
        <w:pStyle w:val="EndnoteText"/>
      </w:pPr>
      <w:r>
        <w:rPr>
          <w:rStyle w:val="EndnoteReference"/>
        </w:rPr>
        <w:endnoteRef/>
      </w:r>
      <w:r>
        <w:t xml:space="preserve"> </w:t>
      </w:r>
      <w:r w:rsidR="004D5C14" w:rsidRPr="004D5C14">
        <w:t>Regulation (EU) 2024/792 of the European Parliament and of the Council of 29 February 2024 establishing the Ukraine Facility</w:t>
      </w:r>
      <w:r w:rsidR="004D5C14">
        <w:t xml:space="preserve">, </w:t>
      </w:r>
      <w:r w:rsidR="004D5C14" w:rsidRPr="004D5C14">
        <w:t>OJ L, 2024/792, 29.2.2024</w:t>
      </w:r>
      <w:r w:rsidR="004D5C14">
        <w:t>.</w:t>
      </w:r>
    </w:p>
  </w:endnote>
  <w:endnote w:id="23">
    <w:p w14:paraId="716543EA" w14:textId="7C8812EA" w:rsidR="00736B85" w:rsidRDefault="00736B85">
      <w:pPr>
        <w:pStyle w:val="EndnoteText"/>
      </w:pPr>
      <w:r>
        <w:rPr>
          <w:rStyle w:val="EndnoteReference"/>
        </w:rPr>
        <w:endnoteRef/>
      </w:r>
      <w:r>
        <w:t xml:space="preserve"> </w:t>
      </w:r>
      <w:r w:rsidR="00633B13" w:rsidRPr="00633B13">
        <w:t>Except for those re-used for the programmes of origin, as per applicable legislation (e.g. Horizon, NDICI).</w:t>
      </w:r>
      <w:r w:rsidR="002F19F8">
        <w:t xml:space="preserve"> Potential decommitments </w:t>
      </w:r>
      <w:r w:rsidR="00D910C4">
        <w:t>stemming from programmes with automatic re-use provisions have been excluded from this amount.</w:t>
      </w:r>
    </w:p>
  </w:endnote>
  <w:endnote w:id="24">
    <w:p w14:paraId="00B35532" w14:textId="2FD3ED52" w:rsidR="00C9617B" w:rsidRDefault="00C9617B">
      <w:pPr>
        <w:pStyle w:val="EndnoteText"/>
      </w:pPr>
      <w:r>
        <w:rPr>
          <w:rStyle w:val="EndnoteReference"/>
        </w:rPr>
        <w:endnoteRef/>
      </w:r>
      <w:r>
        <w:t xml:space="preserve"> The cut-off date for NextGenerationEU figures is 16 May 2024.</w:t>
      </w:r>
    </w:p>
  </w:endnote>
  <w:endnote w:id="25">
    <w:p w14:paraId="06B72DD9" w14:textId="300F5C5D" w:rsidR="003217CE" w:rsidRDefault="003217CE">
      <w:pPr>
        <w:pStyle w:val="EndnoteText"/>
      </w:pPr>
      <w:r>
        <w:rPr>
          <w:rStyle w:val="EndnoteReference"/>
        </w:rPr>
        <w:endnoteRef/>
      </w:r>
      <w:r>
        <w:t xml:space="preserve"> </w:t>
      </w:r>
      <w:r w:rsidRPr="003217CE">
        <w:t>Given its demand-driven delivery mechanism, no forecast is available for the loan component of the Recovery and Resilience Facility (similarly to other loan-based instruments implemented outside the budget).</w:t>
      </w:r>
    </w:p>
  </w:endnote>
  <w:endnote w:id="26">
    <w:p w14:paraId="1AEEE587" w14:textId="5CA7D7E4" w:rsidR="00560CA4" w:rsidRDefault="00560CA4">
      <w:pPr>
        <w:pStyle w:val="EndnoteText"/>
      </w:pPr>
      <w:r>
        <w:rPr>
          <w:rStyle w:val="EndnoteReference"/>
        </w:rPr>
        <w:endnoteRef/>
      </w:r>
      <w:r w:rsidR="4CFE12F3">
        <w:t xml:space="preserve"> </w:t>
      </w:r>
      <w:r w:rsidR="4CFE12F3" w:rsidRPr="00560CA4">
        <w:t>RRF non-repayable support financed through NGEU credits, excluding ETS and BAR.</w:t>
      </w:r>
      <w:r w:rsidR="4CFE12F3">
        <w:t xml:space="preserve"> Including REPowerEU ETS and BAR financed additional grants, disbursements are expected to reach EUR</w:t>
      </w:r>
      <w:r w:rsidR="008D5210">
        <w:rPr>
          <w:rFonts w:ascii="Calibri" w:hAnsi="Calibri" w:cs="Calibri"/>
        </w:rPr>
        <w:t> </w:t>
      </w:r>
      <w:r w:rsidR="4CFE12F3">
        <w:t>69.4</w:t>
      </w:r>
      <w:r w:rsidR="008D5210">
        <w:rPr>
          <w:rFonts w:ascii="Calibri" w:hAnsi="Calibri" w:cs="Calibri"/>
        </w:rPr>
        <w:t> </w:t>
      </w:r>
      <w:r w:rsidR="4CFE12F3">
        <w:t>billion in 2025 and EUR</w:t>
      </w:r>
      <w:r w:rsidR="008D5210">
        <w:rPr>
          <w:rFonts w:ascii="Calibri" w:hAnsi="Calibri" w:cs="Calibri"/>
        </w:rPr>
        <w:t> </w:t>
      </w:r>
      <w:r w:rsidR="4CFE12F3">
        <w:t>74.6</w:t>
      </w:r>
      <w:r w:rsidR="008D5210">
        <w:rPr>
          <w:rFonts w:ascii="Calibri" w:hAnsi="Calibri" w:cs="Calibri"/>
        </w:rPr>
        <w:t> </w:t>
      </w:r>
      <w:r w:rsidR="4CFE12F3">
        <w:t>billion in 2026.</w:t>
      </w:r>
    </w:p>
  </w:endnote>
  <w:endnote w:id="27">
    <w:p w14:paraId="06011A35" w14:textId="098153E0" w:rsidR="00E43629" w:rsidRPr="0050317D" w:rsidRDefault="00E43629">
      <w:pPr>
        <w:pStyle w:val="EndnoteText"/>
        <w:rPr>
          <w:lang w:val="pt-PT"/>
        </w:rPr>
      </w:pPr>
      <w:r>
        <w:rPr>
          <w:rStyle w:val="EndnoteReference"/>
        </w:rPr>
        <w:endnoteRef/>
      </w:r>
      <w:r w:rsidRPr="0050317D">
        <w:rPr>
          <w:lang w:val="pt-PT"/>
        </w:rPr>
        <w:t xml:space="preserve"> COM(2022) 145 final, 23.3.2022.</w:t>
      </w:r>
    </w:p>
  </w:endnote>
  <w:endnote w:id="28">
    <w:p w14:paraId="207C8DB1" w14:textId="77777777" w:rsidR="00861C1C" w:rsidRDefault="003B6DC2" w:rsidP="00D26971">
      <w:pPr>
        <w:pStyle w:val="EndnoteText"/>
        <w:spacing w:line="276" w:lineRule="auto"/>
        <w:jc w:val="both"/>
        <w:rPr>
          <w:lang w:val="pt-BR"/>
        </w:rPr>
      </w:pPr>
      <w:r>
        <w:rPr>
          <w:rStyle w:val="EndnoteReference"/>
        </w:rPr>
        <w:endnoteRef/>
      </w:r>
      <w:r>
        <w:rPr>
          <w:lang w:val="pt-BR"/>
        </w:rPr>
        <w:t xml:space="preserve"> COM(2021) 250 final, 14.4.2021.</w:t>
      </w:r>
    </w:p>
  </w:endnote>
  <w:endnote w:id="29">
    <w:p w14:paraId="35A1BDC6" w14:textId="77777777" w:rsidR="3DCEF89C" w:rsidRPr="0050317D" w:rsidRDefault="3DCEF89C" w:rsidP="00D26971">
      <w:pPr>
        <w:pStyle w:val="EndnoteText"/>
        <w:jc w:val="both"/>
        <w:rPr>
          <w:lang w:val="en-US"/>
        </w:rPr>
      </w:pPr>
      <w:r w:rsidRPr="3DCEF89C">
        <w:rPr>
          <w:rStyle w:val="EndnoteReference"/>
        </w:rPr>
        <w:endnoteRef/>
      </w:r>
      <w:r w:rsidRPr="0050317D">
        <w:rPr>
          <w:lang w:val="en-US"/>
        </w:rPr>
        <w:t xml:space="preserve"> Council Decision (EU, Euratom) 2020/2053 of 14 December 2020, OJ L 424/1, 15.12.2020</w:t>
      </w:r>
    </w:p>
  </w:endnote>
  <w:endnote w:id="30">
    <w:p w14:paraId="65547180" w14:textId="5E0B049B" w:rsidR="00861C1C" w:rsidRPr="009C194A" w:rsidRDefault="003B6DC2" w:rsidP="00D26971">
      <w:pPr>
        <w:pStyle w:val="EndnoteText"/>
        <w:spacing w:line="276" w:lineRule="auto"/>
        <w:jc w:val="both"/>
        <w:rPr>
          <w:lang w:val="pt-BR"/>
        </w:rPr>
      </w:pPr>
      <w:r>
        <w:rPr>
          <w:rStyle w:val="EndnoteReference"/>
        </w:rPr>
        <w:endnoteRef/>
      </w:r>
      <w:r w:rsidRPr="009C194A" w:rsidDel="001E33B1">
        <w:rPr>
          <w:lang w:val="pt-BR"/>
        </w:rPr>
        <w:t xml:space="preserve"> COM</w:t>
      </w:r>
      <w:r w:rsidR="001E33B1">
        <w:rPr>
          <w:lang w:val="pt-BR"/>
        </w:rPr>
        <w:t>(2023) 330 final</w:t>
      </w:r>
      <w:r w:rsidR="00620FF4">
        <w:rPr>
          <w:lang w:val="pt-BR"/>
        </w:rPr>
        <w:t>, 20.06.2023</w:t>
      </w:r>
      <w:r w:rsidRPr="009C194A">
        <w:rPr>
          <w:lang w:val="pt-BR"/>
        </w:rPr>
        <w:t>.</w:t>
      </w:r>
    </w:p>
  </w:endnote>
  <w:endnote w:id="31">
    <w:p w14:paraId="70AB8DFA" w14:textId="4BDBA7EA" w:rsidR="00861C1C" w:rsidRDefault="003B6DC2" w:rsidP="00D26971">
      <w:pPr>
        <w:pStyle w:val="FootnoteText"/>
        <w:jc w:val="both"/>
      </w:pPr>
      <w:r w:rsidRPr="009C194A">
        <w:rPr>
          <w:rStyle w:val="EndnoteReference"/>
        </w:rPr>
        <w:endnoteRef/>
      </w:r>
      <w:r w:rsidRPr="009C194A">
        <w:t xml:space="preserve"> European Commission, European Economic Forecast </w:t>
      </w:r>
      <w:r w:rsidRPr="009C194A">
        <w:rPr>
          <w:color w:val="auto"/>
        </w:rPr>
        <w:t>Spring 202</w:t>
      </w:r>
      <w:r w:rsidR="00407D9D">
        <w:t>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altName w:val="Bahnschrift Light"/>
    <w:charset w:val="00"/>
    <w:family w:val="swiss"/>
    <w:pitch w:val="variable"/>
    <w:sig w:usb0="00000001" w:usb1="00000001" w:usb2="00000000" w:usb3="00000000" w:csb0="0000019F" w:csb1="00000000"/>
  </w:font>
  <w:font w:name="Tunga">
    <w:altName w:val="Courier New"/>
    <w:panose1 w:val="00000400000000000000"/>
    <w:charset w:val="00"/>
    <w:family w:val="swiss"/>
    <w:pitch w:val="variable"/>
    <w:sig w:usb0="00000003" w:usb1="00000000" w:usb2="00000000" w:usb3="00000000" w:csb0="00000001" w:csb1="00000000"/>
  </w:font>
  <w:font w:name="Proxima Nova">
    <w:altName w:val="EC Square Sans Pro Medium"/>
    <w:panose1 w:val="00000000000000000000"/>
    <w:charset w:val="00"/>
    <w:family w:val="modern"/>
    <w:notTrueType/>
    <w:pitch w:val="variable"/>
    <w:sig w:usb0="00000001" w:usb1="5000E0F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EC Square Sans Cond Pro Medium">
    <w:charset w:val="00"/>
    <w:family w:val="swiss"/>
    <w:pitch w:val="variable"/>
    <w:sig w:usb0="20000287" w:usb1="00000001" w:usb2="00000000" w:usb3="00000000" w:csb0="0000019F" w:csb1="00000000"/>
  </w:font>
  <w:font w:name="EC Square Sans Pro Light">
    <w:charset w:val="00"/>
    <w:family w:val="swiss"/>
    <w:pitch w:val="variable"/>
    <w:sig w:usb0="20000287" w:usb1="00000001" w:usb2="00000000" w:usb3="00000000" w:csb0="0000019F" w:csb1="00000000"/>
  </w:font>
  <w:font w:name="EUAlbertina">
    <w:altName w:val="Cambria"/>
    <w:charset w:val="00"/>
    <w:family w:val="auto"/>
    <w:pitch w:val="variable"/>
    <w:sig w:usb0="00000001" w:usb1="1000E0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F125C" w14:textId="6B729B1E" w:rsidR="0041092A" w:rsidRPr="0041092A" w:rsidRDefault="0041092A" w:rsidP="0041092A">
    <w:pPr>
      <w:pStyle w:val="FooterCoverPage"/>
      <w:rPr>
        <w:rFonts w:ascii="Arial" w:hAnsi="Arial" w:cs="Arial"/>
        <w:b/>
        <w:sz w:val="48"/>
      </w:rPr>
    </w:pPr>
    <w:r w:rsidRPr="0041092A">
      <w:rPr>
        <w:rFonts w:ascii="Arial" w:hAnsi="Arial" w:cs="Arial"/>
        <w:b/>
        <w:sz w:val="48"/>
      </w:rPr>
      <w:t>EN</w:t>
    </w:r>
    <w:r w:rsidRPr="0041092A">
      <w:rPr>
        <w:rFonts w:ascii="Arial" w:hAnsi="Arial" w:cs="Arial"/>
        <w:b/>
        <w:sz w:val="48"/>
      </w:rPr>
      <w:tab/>
    </w:r>
    <w:r w:rsidRPr="0041092A">
      <w:rPr>
        <w:rFonts w:ascii="Arial" w:hAnsi="Arial" w:cs="Arial"/>
        <w:b/>
        <w:sz w:val="48"/>
      </w:rPr>
      <w:tab/>
    </w:r>
    <w:r w:rsidRPr="0041092A">
      <w:tab/>
    </w:r>
    <w:r w:rsidRPr="0041092A">
      <w:rPr>
        <w:rFonts w:ascii="Arial" w:hAnsi="Arial" w:cs="Arial"/>
        <w:b/>
        <w:sz w:val="48"/>
      </w:rPr>
      <w:t>EN</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79F4" w14:textId="77777777" w:rsidR="00861C1C" w:rsidRDefault="00861C1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09441"/>
      <w:docPartObj>
        <w:docPartGallery w:val="Page Numbers (Bottom of Page)"/>
        <w:docPartUnique/>
      </w:docPartObj>
    </w:sdtPr>
    <w:sdtEndPr/>
    <w:sdtContent>
      <w:p w14:paraId="0077EFE7" w14:textId="77777777" w:rsidR="00861C1C" w:rsidRDefault="003B6DC2" w:rsidP="00F35BB7">
        <w:pPr>
          <w:pStyle w:val="Footer"/>
        </w:pPr>
        <w:r w:rsidRPr="00F47142">
          <w:rPr>
            <w:noProof w:val="0"/>
            <w:shd w:val="clear" w:color="auto" w:fill="FFFFFF" w:themeFill="background1"/>
          </w:rPr>
          <w:fldChar w:fldCharType="begin"/>
        </w:r>
        <w:r w:rsidRPr="002C358C">
          <w:rPr>
            <w:shd w:val="clear" w:color="auto" w:fill="FFFFFF" w:themeFill="background1"/>
          </w:rPr>
          <w:instrText xml:space="preserve"> PAGE   \* MERGEFORMAT </w:instrText>
        </w:r>
        <w:r w:rsidRPr="00F47142">
          <w:rPr>
            <w:noProof w:val="0"/>
            <w:shd w:val="clear" w:color="auto" w:fill="FFFFFF" w:themeFill="background1"/>
          </w:rPr>
          <w:fldChar w:fldCharType="separate"/>
        </w:r>
        <w:r w:rsidRPr="002C358C">
          <w:rPr>
            <w:shd w:val="clear" w:color="auto" w:fill="FFFFFF" w:themeFill="background1"/>
          </w:rPr>
          <w:t>24</w:t>
        </w:r>
        <w:r w:rsidRPr="00F47142">
          <w:rPr>
            <w:shd w:val="clear" w:color="auto" w:fill="FFFFFF" w:themeFill="background1"/>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5E057" w14:textId="77777777" w:rsidR="00861C1C" w:rsidRDefault="00861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68F31" w14:textId="4477E9EE" w:rsidR="0041092A" w:rsidRPr="0041092A" w:rsidRDefault="0041092A" w:rsidP="0041092A">
    <w:pPr>
      <w:pStyle w:val="FooterCoverPage"/>
      <w:rPr>
        <w:rFonts w:ascii="Arial" w:hAnsi="Arial" w:cs="Arial"/>
        <w:b/>
        <w:sz w:val="48"/>
      </w:rPr>
    </w:pPr>
    <w:r w:rsidRPr="0041092A">
      <w:rPr>
        <w:rFonts w:ascii="Arial" w:hAnsi="Arial" w:cs="Arial"/>
        <w:b/>
        <w:sz w:val="48"/>
      </w:rPr>
      <w:t>EN</w:t>
    </w:r>
    <w:r w:rsidRPr="0041092A">
      <w:rPr>
        <w:rFonts w:ascii="Arial" w:hAnsi="Arial" w:cs="Arial"/>
        <w:b/>
        <w:sz w:val="48"/>
      </w:rPr>
      <w:tab/>
    </w:r>
    <w:r w:rsidRPr="0041092A">
      <w:rPr>
        <w:rFonts w:ascii="Arial" w:hAnsi="Arial" w:cs="Arial"/>
        <w:b/>
        <w:sz w:val="48"/>
      </w:rPr>
      <w:tab/>
    </w:r>
    <w:r w:rsidRPr="0041092A">
      <w:tab/>
    </w:r>
    <w:r w:rsidRPr="0041092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6D2D2" w14:textId="77777777" w:rsidR="0041092A" w:rsidRPr="0041092A" w:rsidRDefault="0041092A" w:rsidP="0041092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F7275" w14:textId="77777777" w:rsidR="00861C1C" w:rsidRDefault="003B6DC2">
    <w:pPr>
      <w:pStyle w:val="Footer"/>
    </w:pPr>
    <w:r>
      <w:rPr>
        <w:noProof w:val="0"/>
        <w:color w:val="2B579A"/>
        <w:shd w:val="clear" w:color="auto" w:fill="E6E6E6"/>
      </w:rPr>
      <w:fldChar w:fldCharType="begin"/>
    </w:r>
    <w:r>
      <w:instrText xml:space="preserve"> PAGE   \* MERGEFORMAT </w:instrText>
    </w:r>
    <w:r>
      <w:rPr>
        <w:noProof w:val="0"/>
        <w:color w:val="2B579A"/>
        <w:shd w:val="clear" w:color="auto" w:fill="E6E6E6"/>
      </w:rPr>
      <w:fldChar w:fldCharType="separate"/>
    </w:r>
    <w:r>
      <w:t>1</w:t>
    </w:r>
    <w:r>
      <w:rPr>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709605"/>
      <w:docPartObj>
        <w:docPartGallery w:val="Page Numbers (Bottom of Page)"/>
        <w:docPartUnique/>
      </w:docPartObj>
    </w:sdtPr>
    <w:sdtEndPr/>
    <w:sdtContent>
      <w:p w14:paraId="719339A1" w14:textId="4D3CF671" w:rsidR="00861C1C" w:rsidRDefault="003B6DC2">
        <w:pPr>
          <w:pStyle w:val="Footer"/>
        </w:pPr>
        <w:r>
          <w:fldChar w:fldCharType="begin"/>
        </w:r>
        <w:r>
          <w:instrText xml:space="preserve"> PAGE   \* MERGEFORMAT </w:instrText>
        </w:r>
        <w:r>
          <w:fldChar w:fldCharType="separate"/>
        </w:r>
        <w:r w:rsidR="0041092A">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9DC92" w14:textId="77777777" w:rsidR="00861C1C" w:rsidRDefault="00861C1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74124" w14:textId="77777777" w:rsidR="00861C1C" w:rsidRDefault="003B6DC2">
    <w:pPr>
      <w:pStyle w:val="Footer"/>
    </w:pPr>
    <w:r>
      <w:rPr>
        <w:noProof w:val="0"/>
        <w:color w:val="2B579A"/>
        <w:shd w:val="clear" w:color="auto" w:fill="E6E6E6"/>
      </w:rPr>
      <w:fldChar w:fldCharType="begin"/>
    </w:r>
    <w:r>
      <w:instrText xml:space="preserve"> PAGE   \* MERGEFORMAT </w:instrText>
    </w:r>
    <w:r>
      <w:rPr>
        <w:noProof w:val="0"/>
        <w:color w:val="2B579A"/>
        <w:shd w:val="clear" w:color="auto" w:fill="E6E6E6"/>
      </w:rPr>
      <w:fldChar w:fldCharType="separate"/>
    </w:r>
    <w:r>
      <w:t>20</w:t>
    </w:r>
    <w:r>
      <w:rPr>
        <w:color w:val="2B579A"/>
        <w:shd w:val="clear" w:color="auto" w:fill="E6E6E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84086"/>
      <w:docPartObj>
        <w:docPartGallery w:val="Page Numbers (Bottom of Page)"/>
        <w:docPartUnique/>
      </w:docPartObj>
    </w:sdtPr>
    <w:sdtEndPr/>
    <w:sdtContent>
      <w:p w14:paraId="6E2222E7" w14:textId="77777777" w:rsidR="00861C1C" w:rsidRDefault="003B6DC2" w:rsidP="00967E56">
        <w:pPr>
          <w:pStyle w:val="Footer"/>
        </w:pPr>
        <w:r w:rsidRPr="00F47142">
          <w:rPr>
            <w:noProof w:val="0"/>
            <w:shd w:val="clear" w:color="auto" w:fill="FFFFFF" w:themeFill="background1"/>
          </w:rPr>
          <w:fldChar w:fldCharType="begin"/>
        </w:r>
        <w:r w:rsidRPr="002C358C">
          <w:rPr>
            <w:shd w:val="clear" w:color="auto" w:fill="FFFFFF" w:themeFill="background1"/>
          </w:rPr>
          <w:instrText xml:space="preserve"> PAGE   \* MERGEFORMAT </w:instrText>
        </w:r>
        <w:r w:rsidRPr="00F47142">
          <w:rPr>
            <w:noProof w:val="0"/>
            <w:shd w:val="clear" w:color="auto" w:fill="FFFFFF" w:themeFill="background1"/>
          </w:rPr>
          <w:fldChar w:fldCharType="separate"/>
        </w:r>
        <w:r w:rsidRPr="002C358C">
          <w:rPr>
            <w:shd w:val="clear" w:color="auto" w:fill="FFFFFF" w:themeFill="background1"/>
          </w:rPr>
          <w:t>20</w:t>
        </w:r>
        <w:r w:rsidRPr="00F47142">
          <w:rPr>
            <w:shd w:val="clear" w:color="auto" w:fill="FFFFFF" w:themeFill="background1"/>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C9750" w14:textId="77777777" w:rsidR="00861C1C" w:rsidRDefault="00861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A77D0" w14:textId="77777777" w:rsidR="00D014F9" w:rsidRDefault="00D014F9">
      <w:r>
        <w:separator/>
      </w:r>
    </w:p>
  </w:footnote>
  <w:footnote w:type="continuationSeparator" w:id="0">
    <w:p w14:paraId="0635B001" w14:textId="77777777" w:rsidR="00D014F9" w:rsidRDefault="00D014F9">
      <w:r>
        <w:continuationSeparator/>
      </w:r>
    </w:p>
  </w:footnote>
  <w:footnote w:type="continuationNotice" w:id="1">
    <w:p w14:paraId="2CBD10E8" w14:textId="77777777" w:rsidR="00D014F9" w:rsidRDefault="00D014F9">
      <w:pPr>
        <w:pStyle w:val="Footer"/>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69D2" w14:textId="77777777" w:rsidR="0041092A" w:rsidRPr="0041092A" w:rsidRDefault="0041092A" w:rsidP="0041092A">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CE3C" w14:textId="77777777" w:rsidR="00861C1C" w:rsidRDefault="00861C1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ED37" w14:textId="77777777" w:rsidR="00861C1C" w:rsidRDefault="00861C1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0E674" w14:textId="77777777" w:rsidR="00861C1C" w:rsidRDefault="00861C1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AD35" w14:textId="77777777" w:rsidR="00861C1C" w:rsidRDefault="00861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EBFB" w14:textId="77777777" w:rsidR="0041092A" w:rsidRPr="0041092A" w:rsidRDefault="0041092A" w:rsidP="0041092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8F09" w14:textId="77777777" w:rsidR="0041092A" w:rsidRPr="0041092A" w:rsidRDefault="0041092A" w:rsidP="0041092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5A063" w14:textId="77777777" w:rsidR="00861C1C" w:rsidRDefault="00861C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A754" w14:textId="0BD29C78" w:rsidR="00861C1C" w:rsidRDefault="00861C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9AF9A" w14:textId="77777777" w:rsidR="00861C1C" w:rsidRDefault="00861C1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037C3" w14:textId="77777777" w:rsidR="00D22273" w:rsidRDefault="00891AFF">
    <w:pPr>
      <w:pStyle w:val="Header"/>
    </w:pPr>
    <w:r w:rsidRPr="00D61A2C">
      <w:rPr>
        <w:noProof/>
        <w:color w:val="2B579A"/>
        <w:shd w:val="clear" w:color="auto" w:fill="E6E6E6"/>
        <w:lang w:eastAsia="en-GB"/>
      </w:rPr>
      <mc:AlternateContent>
        <mc:Choice Requires="wps">
          <w:drawing>
            <wp:anchor distT="0" distB="0" distL="114300" distR="114300" simplePos="0" relativeHeight="251658241" behindDoc="0" locked="1" layoutInCell="1" allowOverlap="1" wp14:anchorId="3A27F900" wp14:editId="7130381C">
              <wp:simplePos x="0" y="0"/>
              <wp:positionH relativeFrom="page">
                <wp:posOffset>-31115</wp:posOffset>
              </wp:positionH>
              <wp:positionV relativeFrom="page">
                <wp:posOffset>0</wp:posOffset>
              </wp:positionV>
              <wp:extent cx="7620635" cy="212090"/>
              <wp:effectExtent l="0" t="0" r="0" b="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620635" cy="212090"/>
                      </a:xfrm>
                      <a:prstGeom prst="rect">
                        <a:avLst/>
                      </a:prstGeom>
                      <a:solidFill>
                        <a:srgbClr val="FDB9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http://schemas.openxmlformats.org/drawingml/2006/main">
          <w:pict>
            <v:rect id="Rectangle 4" style="position:absolute;margin-left:-2.45pt;margin-top:0;width:600.05pt;height:16.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db933"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" w14:anchorId="1C63DC3D">
              <o:lock v:ext="edit" aspectratio="t"/>
              <w10:wrap anchorx="page" anchory="page"/>
              <w10:anchorlock/>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C5024" w14:textId="77777777" w:rsidR="00861C1C" w:rsidRDefault="00861C1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A1FEF" w14:textId="29C96470" w:rsidR="00861C1C" w:rsidRDefault="00697C8D">
    <w:pPr>
      <w:pStyle w:val="Header"/>
    </w:pPr>
    <w:r w:rsidRPr="00D61A2C">
      <w:rPr>
        <w:noProof/>
        <w:color w:val="2B579A"/>
        <w:shd w:val="clear" w:color="auto" w:fill="E6E6E6"/>
        <w:lang w:eastAsia="en-GB"/>
      </w:rPr>
      <mc:AlternateContent>
        <mc:Choice Requires="wps">
          <w:drawing>
            <wp:anchor distT="0" distB="0" distL="114300" distR="114300" simplePos="0" relativeHeight="251658240" behindDoc="0" locked="1" layoutInCell="1" allowOverlap="1" wp14:anchorId="7652CC88" wp14:editId="055F3679">
              <wp:simplePos x="0" y="0"/>
              <wp:positionH relativeFrom="page">
                <wp:posOffset>-52705</wp:posOffset>
              </wp:positionH>
              <wp:positionV relativeFrom="page">
                <wp:posOffset>-635</wp:posOffset>
              </wp:positionV>
              <wp:extent cx="7620635" cy="212090"/>
              <wp:effectExtent l="0" t="0" r="0" b="0"/>
              <wp:wrapNone/>
              <wp:docPr id="1825826825" name="Rectangle 1825826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620635" cy="212090"/>
                      </a:xfrm>
                      <a:prstGeom prst="rect">
                        <a:avLst/>
                      </a:prstGeom>
                      <a:solidFill>
                        <a:srgbClr val="FDB9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http://schemas.openxmlformats.org/drawingml/2006/main">
          <w:pict>
            <v:rect id="Rectangle 1825826825" style="position:absolute;margin-left:-4.15pt;margin-top:-.05pt;width:600.05pt;height:1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db933"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" w14:anchorId="7166B6F8">
              <o:lock v:ext="edit" aspectratio="t"/>
              <w10:wrap anchorx="page" anchory="page"/>
              <w10:anchorlock/>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DA011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B8B6D3F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49579D"/>
    <w:multiLevelType w:val="multilevel"/>
    <w:tmpl w:val="A08C8E34"/>
    <w:styleLink w:val="amprLIST-Ordered"/>
    <w:lvl w:ilvl="0">
      <w:start w:val="1"/>
      <w:numFmt w:val="decimal"/>
      <w:pStyle w:val="amprLISTOrdered-L1"/>
      <w:lvlText w:val="%1."/>
      <w:lvlJc w:val="left"/>
      <w:pPr>
        <w:ind w:left="714" w:hanging="357"/>
      </w:pPr>
      <w:rPr>
        <w:rFonts w:hint="default"/>
      </w:rPr>
    </w:lvl>
    <w:lvl w:ilvl="1">
      <w:start w:val="1"/>
      <w:numFmt w:val="decimal"/>
      <w:pStyle w:val="amprLISTOrdered-L2"/>
      <w:lvlText w:val="%1.%2."/>
      <w:lvlJc w:val="left"/>
      <w:pPr>
        <w:ind w:left="1185" w:hanging="471"/>
      </w:pPr>
      <w:rPr>
        <w:rFonts w:hint="default"/>
      </w:rPr>
    </w:lvl>
    <w:lvl w:ilvl="2">
      <w:start w:val="1"/>
      <w:numFmt w:val="decimal"/>
      <w:pStyle w:val="amprLISTOrdered-L3"/>
      <w:lvlText w:val="%1.%2.%3."/>
      <w:lvlJc w:val="left"/>
      <w:pPr>
        <w:ind w:left="1769" w:hanging="584"/>
      </w:pPr>
      <w:rPr>
        <w:rFonts w:hint="default"/>
      </w:rPr>
    </w:lvl>
    <w:lvl w:ilvl="3">
      <w:start w:val="1"/>
      <w:numFmt w:val="decimal"/>
      <w:pStyle w:val="amprLISTOrdered-L4"/>
      <w:lvlText w:val="%1.%2.%3.%4."/>
      <w:lvlJc w:val="left"/>
      <w:pPr>
        <w:ind w:left="2466" w:hanging="6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1B48C7"/>
    <w:multiLevelType w:val="hybridMultilevel"/>
    <w:tmpl w:val="D6D43D2A"/>
    <w:lvl w:ilvl="0" w:tplc="24482FE6">
      <w:start w:val="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AF0196"/>
    <w:multiLevelType w:val="multilevel"/>
    <w:tmpl w:val="D6C29086"/>
    <w:styleLink w:val="amprHLISTNumberedheadings"/>
    <w:lvl w:ilvl="0">
      <w:start w:val="1"/>
      <w:numFmt w:val="decimal"/>
      <w:pStyle w:val="amprH2TITLE1-Numbered-1"/>
      <w:lvlText w:val="%1."/>
      <w:lvlJc w:val="left"/>
      <w:pPr>
        <w:ind w:left="578" w:hanging="578"/>
      </w:pPr>
      <w:rPr>
        <w:rFonts w:hint="default"/>
      </w:rPr>
    </w:lvl>
    <w:lvl w:ilvl="1">
      <w:start w:val="1"/>
      <w:numFmt w:val="decimal"/>
      <w:pStyle w:val="amprH3Title2-Numbered-11"/>
      <w:lvlText w:val="%1.%2."/>
      <w:lvlJc w:val="left"/>
      <w:pPr>
        <w:ind w:left="1928" w:hanging="578"/>
      </w:pPr>
      <w:rPr>
        <w:rFonts w:hint="default"/>
      </w:rPr>
    </w:lvl>
    <w:lvl w:ilvl="2">
      <w:start w:val="1"/>
      <w:numFmt w:val="decimal"/>
      <w:pStyle w:val="amprH4Subhead1-Numbered-111"/>
      <w:lvlText w:val="%1.%2.%3."/>
      <w:lvlJc w:val="left"/>
      <w:pPr>
        <w:ind w:left="578" w:hanging="578"/>
      </w:pPr>
      <w:rPr>
        <w:rFonts w:hint="default"/>
      </w:rPr>
    </w:lvl>
    <w:lvl w:ilvl="3">
      <w:start w:val="1"/>
      <w:numFmt w:val="decimal"/>
      <w:pStyle w:val="amprH5Subhead2-Numbered-1111"/>
      <w:lvlText w:val="%1.%2.%3.%4."/>
      <w:lvlJc w:val="left"/>
      <w:pPr>
        <w:ind w:left="578" w:hanging="578"/>
      </w:pPr>
      <w:rPr>
        <w:rFonts w:hint="default"/>
      </w:rPr>
    </w:lvl>
    <w:lvl w:ilvl="4">
      <w:start w:val="1"/>
      <w:numFmt w:val="lowerLetter"/>
      <w:lvlText w:val="(%5)"/>
      <w:lvlJc w:val="left"/>
      <w:pPr>
        <w:ind w:left="578" w:hanging="578"/>
      </w:pPr>
      <w:rPr>
        <w:rFonts w:hint="default"/>
      </w:rPr>
    </w:lvl>
    <w:lvl w:ilvl="5">
      <w:start w:val="1"/>
      <w:numFmt w:val="lowerRoman"/>
      <w:lvlText w:val="(%6)"/>
      <w:lvlJc w:val="left"/>
      <w:pPr>
        <w:ind w:left="578" w:hanging="578"/>
      </w:pPr>
      <w:rPr>
        <w:rFonts w:hint="default"/>
      </w:rPr>
    </w:lvl>
    <w:lvl w:ilvl="6">
      <w:start w:val="1"/>
      <w:numFmt w:val="decimal"/>
      <w:lvlText w:val="%7."/>
      <w:lvlJc w:val="left"/>
      <w:pPr>
        <w:ind w:left="578" w:hanging="578"/>
      </w:pPr>
      <w:rPr>
        <w:rFonts w:hint="default"/>
      </w:rPr>
    </w:lvl>
    <w:lvl w:ilvl="7">
      <w:start w:val="1"/>
      <w:numFmt w:val="lowerLetter"/>
      <w:lvlText w:val="%8."/>
      <w:lvlJc w:val="left"/>
      <w:pPr>
        <w:ind w:left="578" w:hanging="578"/>
      </w:pPr>
      <w:rPr>
        <w:rFonts w:hint="default"/>
      </w:rPr>
    </w:lvl>
    <w:lvl w:ilvl="8">
      <w:start w:val="1"/>
      <w:numFmt w:val="lowerRoman"/>
      <w:lvlText w:val="%9."/>
      <w:lvlJc w:val="left"/>
      <w:pPr>
        <w:ind w:left="578" w:hanging="578"/>
      </w:pPr>
      <w:rPr>
        <w:rFonts w:hint="default"/>
      </w:rPr>
    </w:lvl>
  </w:abstractNum>
  <w:abstractNum w:abstractNumId="5" w15:restartNumberingAfterBreak="0">
    <w:nsid w:val="15157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1327C8"/>
    <w:multiLevelType w:val="hybridMultilevel"/>
    <w:tmpl w:val="B8AAD2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15:restartNumberingAfterBreak="0">
    <w:nsid w:val="1C47181D"/>
    <w:multiLevelType w:val="multilevel"/>
    <w:tmpl w:val="2A9AD0EE"/>
    <w:styleLink w:val="amprLISTblackbullets"/>
    <w:lvl w:ilvl="0">
      <w:start w:val="1"/>
      <w:numFmt w:val="bullet"/>
      <w:pStyle w:val="amprLISTblackbullets-L1"/>
      <w:lvlText w:val=""/>
      <w:lvlJc w:val="left"/>
      <w:pPr>
        <w:ind w:left="714" w:hanging="357"/>
      </w:pPr>
      <w:rPr>
        <w:rFonts w:ascii="Symbol" w:hAnsi="Symbol" w:hint="default"/>
      </w:rPr>
    </w:lvl>
    <w:lvl w:ilvl="1">
      <w:start w:val="1"/>
      <w:numFmt w:val="bullet"/>
      <w:pStyle w:val="amprLISTblackbullets-L2"/>
      <w:lvlText w:val="—"/>
      <w:lvlJc w:val="left"/>
      <w:pPr>
        <w:ind w:left="1435" w:hanging="358"/>
      </w:pPr>
      <w:rPr>
        <w:rFonts w:ascii="EC Square Sans Pro" w:hAnsi="EC Square Sans Pro" w:hint="default"/>
      </w:rPr>
    </w:lvl>
    <w:lvl w:ilvl="2">
      <w:start w:val="1"/>
      <w:numFmt w:val="bullet"/>
      <w:lvlText w:val=""/>
      <w:lvlJc w:val="left"/>
      <w:pPr>
        <w:ind w:left="2155" w:hanging="355"/>
      </w:pPr>
      <w:rPr>
        <w:rFonts w:ascii="Wingdings" w:hAnsi="Wingdings" w:hint="default"/>
      </w:rPr>
    </w:lvl>
    <w:lvl w:ilvl="3">
      <w:start w:val="1"/>
      <w:numFmt w:val="bullet"/>
      <w:lvlText w:val=""/>
      <w:lvlJc w:val="left"/>
      <w:pPr>
        <w:ind w:left="2875" w:hanging="355"/>
      </w:pPr>
      <w:rPr>
        <w:rFonts w:ascii="Symbol" w:hAnsi="Symbol" w:hint="default"/>
      </w:rPr>
    </w:lvl>
    <w:lvl w:ilvl="4">
      <w:start w:val="1"/>
      <w:numFmt w:val="bullet"/>
      <w:lvlText w:val="o"/>
      <w:lvlJc w:val="left"/>
      <w:pPr>
        <w:ind w:left="3595" w:hanging="355"/>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C25113"/>
    <w:multiLevelType w:val="hybridMultilevel"/>
    <w:tmpl w:val="8D1E1EAC"/>
    <w:lvl w:ilvl="0" w:tplc="9BC6A976">
      <w:numFmt w:val="bullet"/>
      <w:lvlText w:val="-"/>
      <w:lvlJc w:val="left"/>
      <w:pPr>
        <w:ind w:left="720" w:hanging="360"/>
      </w:pPr>
      <w:rPr>
        <w:rFonts w:ascii="EC Square Sans Pro" w:eastAsiaTheme="minorHAnsi" w:hAnsi="EC Square Sans Pro"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B22A4D"/>
    <w:multiLevelType w:val="multilevel"/>
    <w:tmpl w:val="78248A56"/>
    <w:numStyleLink w:val="amprLISTgreenbullets"/>
  </w:abstractNum>
  <w:abstractNum w:abstractNumId="12" w15:restartNumberingAfterBreak="0">
    <w:nsid w:val="2CB72C6E"/>
    <w:multiLevelType w:val="singleLevel"/>
    <w:tmpl w:val="10ACD464"/>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lvlText w:val="–"/>
      <w:lvlJc w:val="left"/>
      <w:pPr>
        <w:tabs>
          <w:tab w:val="num" w:pos="2551"/>
        </w:tabs>
        <w:ind w:left="2551" w:hanging="567"/>
      </w:pPr>
    </w:lvl>
  </w:abstractNum>
  <w:abstractNum w:abstractNumId="14" w15:restartNumberingAfterBreak="0">
    <w:nsid w:val="309C18B6"/>
    <w:multiLevelType w:val="multilevel"/>
    <w:tmpl w:val="6110FEBA"/>
    <w:name w:val="ListNumberNonindentedNumbering65"/>
    <w:styleLink w:val="amprLIST-Mixed"/>
    <w:lvl w:ilvl="0">
      <w:start w:val="1"/>
      <w:numFmt w:val="decimal"/>
      <w:pStyle w:val="amprLISTMixed-L1"/>
      <w:lvlText w:val="%1."/>
      <w:lvlJc w:val="left"/>
      <w:pPr>
        <w:ind w:left="714" w:hanging="357"/>
      </w:pPr>
      <w:rPr>
        <w:rFonts w:hint="default"/>
      </w:rPr>
    </w:lvl>
    <w:lvl w:ilvl="1">
      <w:start w:val="1"/>
      <w:numFmt w:val="lowerLetter"/>
      <w:pStyle w:val="amprLISTMixed-L2"/>
      <w:lvlText w:val="(%2)"/>
      <w:lvlJc w:val="left"/>
      <w:pPr>
        <w:ind w:left="1071" w:hanging="357"/>
      </w:pPr>
      <w:rPr>
        <w:rFonts w:hint="default"/>
      </w:rPr>
    </w:lvl>
    <w:lvl w:ilvl="2">
      <w:start w:val="1"/>
      <w:numFmt w:val="bullet"/>
      <w:pStyle w:val="amprLISTMixed-L3"/>
      <w:lvlText w:val="—"/>
      <w:lvlJc w:val="left"/>
      <w:pPr>
        <w:ind w:left="1428" w:hanging="357"/>
      </w:pPr>
      <w:rPr>
        <w:rFonts w:ascii="Proxima Nova" w:hAnsi="Proxima Nova" w:hint="default"/>
        <w:color w:val="auto"/>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15" w15:restartNumberingAfterBreak="0">
    <w:nsid w:val="32CE3C72"/>
    <w:multiLevelType w:val="hybridMultilevel"/>
    <w:tmpl w:val="39E0BB52"/>
    <w:lvl w:ilvl="0" w:tplc="CA606920">
      <w:start w:val="1"/>
      <w:numFmt w:val="bullet"/>
      <w:pStyle w:val="amprboxBLUEdashed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81849"/>
    <w:multiLevelType w:val="hybridMultilevel"/>
    <w:tmpl w:val="84682B5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77125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AF61F8"/>
    <w:multiLevelType w:val="multilevel"/>
    <w:tmpl w:val="60A07854"/>
    <w:styleLink w:val="Style1"/>
    <w:lvl w:ilvl="0">
      <w:start w:val="1"/>
      <w:numFmt w:val="decimal"/>
      <w:lvlText w:val="%1"/>
      <w:lvlJc w:val="left"/>
      <w:pPr>
        <w:ind w:left="432" w:hanging="432"/>
      </w:pPr>
      <w:rPr>
        <w:rFonts w:hint="default"/>
        <w:caps/>
        <w:strike w:val="0"/>
        <w:dstrike w:val="0"/>
        <w:vanish/>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1A17B2"/>
    <w:multiLevelType w:val="multilevel"/>
    <w:tmpl w:val="6110FEBA"/>
    <w:numStyleLink w:val="amprLIST-Mixed"/>
  </w:abstractNum>
  <w:abstractNum w:abstractNumId="20" w15:restartNumberingAfterBreak="0">
    <w:nsid w:val="3BE4536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457F5F"/>
    <w:multiLevelType w:val="hybridMultilevel"/>
    <w:tmpl w:val="50B6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57A2B"/>
    <w:multiLevelType w:val="hybridMultilevel"/>
    <w:tmpl w:val="BD16A592"/>
    <w:lvl w:ilvl="0" w:tplc="AE2A3438">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24" w15:restartNumberingAfterBreak="0">
    <w:nsid w:val="42FC0772"/>
    <w:multiLevelType w:val="singleLevel"/>
    <w:tmpl w:val="4128FCF8"/>
    <w:name w:val="Tiret 4"/>
    <w:lvl w:ilvl="0">
      <w:start w:val="1"/>
      <w:numFmt w:val="bullet"/>
      <w:lvlRestart w:val="0"/>
      <w:lvlText w:val="–"/>
      <w:lvlJc w:val="left"/>
      <w:pPr>
        <w:tabs>
          <w:tab w:val="num" w:pos="3118"/>
        </w:tabs>
        <w:ind w:left="3118" w:hanging="567"/>
      </w:pPr>
    </w:lvl>
  </w:abstractNum>
  <w:abstractNum w:abstractNumId="25" w15:restartNumberingAfterBreak="0">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26" w15:restartNumberingAfterBreak="0">
    <w:nsid w:val="469C0FD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7CC1762"/>
    <w:multiLevelType w:val="hybridMultilevel"/>
    <w:tmpl w:val="62A833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89956A0"/>
    <w:multiLevelType w:val="singleLevel"/>
    <w:tmpl w:val="6520E3F6"/>
    <w:lvl w:ilvl="0">
      <w:start w:val="1"/>
      <w:numFmt w:val="bullet"/>
      <w:lvlRestart w:val="0"/>
      <w:pStyle w:val="Tiret0"/>
      <w:lvlText w:val="–"/>
      <w:lvlJc w:val="left"/>
      <w:pPr>
        <w:tabs>
          <w:tab w:val="num" w:pos="850"/>
        </w:tabs>
        <w:ind w:left="850" w:hanging="850"/>
      </w:pPr>
    </w:lvl>
  </w:abstractNum>
  <w:abstractNum w:abstractNumId="29" w15:restartNumberingAfterBreak="0">
    <w:nsid w:val="52B23671"/>
    <w:multiLevelType w:val="multilevel"/>
    <w:tmpl w:val="3E4EA4C8"/>
    <w:lvl w:ilvl="0">
      <w:start w:val="1"/>
      <w:numFmt w:val="bullet"/>
      <w:pStyle w:val="amprboxGREENdashedbulletlis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6E1D63"/>
    <w:multiLevelType w:val="singleLevel"/>
    <w:tmpl w:val="493AAFF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31" w15:restartNumberingAfterBreak="0">
    <w:nsid w:val="59BB2205"/>
    <w:multiLevelType w:val="multilevel"/>
    <w:tmpl w:val="78248A56"/>
    <w:styleLink w:val="amprLISTgreenbullets"/>
    <w:lvl w:ilvl="0">
      <w:start w:val="1"/>
      <w:numFmt w:val="bullet"/>
      <w:pStyle w:val="amprLISTgreenbullets-L1"/>
      <w:lvlText w:val=""/>
      <w:lvlJc w:val="left"/>
      <w:pPr>
        <w:ind w:left="714" w:hanging="357"/>
      </w:pPr>
      <w:rPr>
        <w:rFonts w:ascii="Symbol" w:hAnsi="Symbol" w:hint="default"/>
        <w:color w:val="02847D" w:themeColor="accent1"/>
      </w:rPr>
    </w:lvl>
    <w:lvl w:ilvl="1">
      <w:start w:val="1"/>
      <w:numFmt w:val="bullet"/>
      <w:pStyle w:val="amprLISTgreenbullets-L2"/>
      <w:lvlText w:val="—"/>
      <w:lvlJc w:val="left"/>
      <w:pPr>
        <w:ind w:left="1435" w:hanging="358"/>
      </w:pPr>
      <w:rPr>
        <w:rFonts w:ascii="EC Square Sans Pro" w:hAnsi="EC Square Sans Pro" w:hint="default"/>
        <w:color w:val="02847D" w:themeColor="accent1"/>
      </w:rPr>
    </w:lvl>
    <w:lvl w:ilvl="2">
      <w:start w:val="1"/>
      <w:numFmt w:val="bullet"/>
      <w:lvlText w:val=""/>
      <w:lvlJc w:val="left"/>
      <w:pPr>
        <w:ind w:left="2155" w:hanging="358"/>
      </w:pPr>
      <w:rPr>
        <w:rFonts w:ascii="Wingdings" w:hAnsi="Wingdings" w:hint="default"/>
      </w:rPr>
    </w:lvl>
    <w:lvl w:ilvl="3">
      <w:start w:val="1"/>
      <w:numFmt w:val="bullet"/>
      <w:lvlText w:val=""/>
      <w:lvlJc w:val="left"/>
      <w:pPr>
        <w:ind w:left="2875" w:hanging="358"/>
      </w:pPr>
      <w:rPr>
        <w:rFonts w:ascii="Symbol" w:hAnsi="Symbol" w:hint="default"/>
      </w:rPr>
    </w:lvl>
    <w:lvl w:ilvl="4">
      <w:start w:val="1"/>
      <w:numFmt w:val="bullet"/>
      <w:lvlText w:val="o"/>
      <w:lvlJc w:val="left"/>
      <w:pPr>
        <w:ind w:left="3595" w:hanging="357"/>
      </w:pPr>
      <w:rPr>
        <w:rFonts w:ascii="Courier New" w:hAnsi="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32" w15:restartNumberingAfterBreak="0">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33" w15:restartNumberingAfterBreak="0">
    <w:nsid w:val="5C056EE5"/>
    <w:multiLevelType w:val="singleLevel"/>
    <w:tmpl w:val="3378D27C"/>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34"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5" w15:restartNumberingAfterBreak="0">
    <w:nsid w:val="5EA810B0"/>
    <w:multiLevelType w:val="multilevel"/>
    <w:tmpl w:val="D6C29086"/>
    <w:numStyleLink w:val="amprHLISTNumberedheadings"/>
  </w:abstractNum>
  <w:abstractNum w:abstractNumId="36" w15:restartNumberingAfterBreak="0">
    <w:nsid w:val="6227387F"/>
    <w:multiLevelType w:val="multilevel"/>
    <w:tmpl w:val="2A9AD0EE"/>
    <w:numStyleLink w:val="amprLISTblackbullets"/>
  </w:abstractNum>
  <w:abstractNum w:abstractNumId="37"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39" w15:restartNumberingAfterBreak="0">
    <w:nsid w:val="6D786367"/>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CBE4812"/>
    <w:multiLevelType w:val="singleLevel"/>
    <w:tmpl w:val="23C821E4"/>
    <w:name w:val="Considérant"/>
    <w:lvl w:ilvl="0">
      <w:start w:val="1"/>
      <w:numFmt w:val="decimal"/>
      <w:lvlRestart w:val="0"/>
      <w:lvlText w:val="(%1)"/>
      <w:lvlJc w:val="left"/>
      <w:pPr>
        <w:tabs>
          <w:tab w:val="num" w:pos="709"/>
        </w:tabs>
        <w:ind w:left="709" w:hanging="709"/>
      </w:pPr>
    </w:lvl>
  </w:abstractNum>
  <w:abstractNum w:abstractNumId="41" w15:restartNumberingAfterBreak="0">
    <w:nsid w:val="7ECE6A82"/>
    <w:multiLevelType w:val="multilevel"/>
    <w:tmpl w:val="C7520AF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18"/>
  </w:num>
  <w:num w:numId="4">
    <w:abstractNumId w:val="8"/>
  </w:num>
  <w:num w:numId="5">
    <w:abstractNumId w:val="36"/>
  </w:num>
  <w:num w:numId="6">
    <w:abstractNumId w:val="31"/>
  </w:num>
  <w:num w:numId="7">
    <w:abstractNumId w:val="29"/>
  </w:num>
  <w:num w:numId="8">
    <w:abstractNumId w:val="20"/>
  </w:num>
  <w:num w:numId="9">
    <w:abstractNumId w:val="26"/>
  </w:num>
  <w:num w:numId="10">
    <w:abstractNumId w:val="39"/>
  </w:num>
  <w:num w:numId="11">
    <w:abstractNumId w:val="11"/>
  </w:num>
  <w:num w:numId="12">
    <w:abstractNumId w:val="4"/>
  </w:num>
  <w:num w:numId="13">
    <w:abstractNumId w:val="35"/>
    <w:lvlOverride w:ilvl="0">
      <w:lvl w:ilvl="0">
        <w:start w:val="1"/>
        <w:numFmt w:val="decimal"/>
        <w:pStyle w:val="amprH2TITLE1-Numbered-1"/>
        <w:lvlText w:val="%1."/>
        <w:lvlJc w:val="left"/>
        <w:pPr>
          <w:ind w:left="578" w:hanging="578"/>
        </w:pPr>
        <w:rPr>
          <w:rFonts w:hint="default"/>
        </w:rPr>
      </w:lvl>
    </w:lvlOverride>
    <w:lvlOverride w:ilvl="1">
      <w:lvl w:ilvl="1">
        <w:start w:val="1"/>
        <w:numFmt w:val="decimal"/>
        <w:pStyle w:val="amprH3Title2-Numbered-11"/>
        <w:lvlText w:val="%1.%2."/>
        <w:lvlJc w:val="left"/>
        <w:pPr>
          <w:ind w:left="3129" w:hanging="578"/>
        </w:pPr>
        <w:rPr>
          <w:rFonts w:hint="default"/>
        </w:rPr>
      </w:lvl>
    </w:lvlOverride>
    <w:lvlOverride w:ilvl="2">
      <w:lvl w:ilvl="2">
        <w:start w:val="1"/>
        <w:numFmt w:val="decimal"/>
        <w:pStyle w:val="amprH4Subhead1-Numbered-111"/>
        <w:lvlText w:val="%1.%2.%3."/>
        <w:lvlJc w:val="left"/>
        <w:pPr>
          <w:ind w:left="578" w:hanging="578"/>
        </w:pPr>
        <w:rPr>
          <w:rFonts w:hint="default"/>
        </w:rPr>
      </w:lvl>
    </w:lvlOverride>
    <w:lvlOverride w:ilvl="3">
      <w:lvl w:ilvl="3">
        <w:start w:val="1"/>
        <w:numFmt w:val="decimal"/>
        <w:pStyle w:val="amprH5Subhead2-Numbered-1111"/>
        <w:lvlText w:val="%1.%2.%3.%4."/>
        <w:lvlJc w:val="left"/>
        <w:pPr>
          <w:ind w:left="578" w:hanging="578"/>
        </w:pPr>
        <w:rPr>
          <w:rFonts w:hint="default"/>
        </w:rPr>
      </w:lvl>
    </w:lvlOverride>
    <w:lvlOverride w:ilvl="4">
      <w:lvl w:ilvl="4">
        <w:start w:val="1"/>
        <w:numFmt w:val="lowerLetter"/>
        <w:lvlText w:val="(%5)"/>
        <w:lvlJc w:val="left"/>
        <w:pPr>
          <w:ind w:left="578" w:hanging="578"/>
        </w:pPr>
        <w:rPr>
          <w:rFonts w:hint="default"/>
        </w:rPr>
      </w:lvl>
    </w:lvlOverride>
    <w:lvlOverride w:ilvl="5">
      <w:lvl w:ilvl="5">
        <w:start w:val="1"/>
        <w:numFmt w:val="lowerRoman"/>
        <w:lvlText w:val="(%6)"/>
        <w:lvlJc w:val="left"/>
        <w:pPr>
          <w:ind w:left="578" w:hanging="578"/>
        </w:pPr>
        <w:rPr>
          <w:rFonts w:hint="default"/>
        </w:rPr>
      </w:lvl>
    </w:lvlOverride>
    <w:lvlOverride w:ilvl="6">
      <w:lvl w:ilvl="6">
        <w:start w:val="1"/>
        <w:numFmt w:val="decimal"/>
        <w:lvlText w:val="%7."/>
        <w:lvlJc w:val="left"/>
        <w:pPr>
          <w:ind w:left="578" w:hanging="578"/>
        </w:pPr>
        <w:rPr>
          <w:rFonts w:hint="default"/>
        </w:rPr>
      </w:lvl>
    </w:lvlOverride>
    <w:lvlOverride w:ilvl="7">
      <w:lvl w:ilvl="7">
        <w:start w:val="1"/>
        <w:numFmt w:val="lowerLetter"/>
        <w:lvlText w:val="%8."/>
        <w:lvlJc w:val="left"/>
        <w:pPr>
          <w:ind w:left="578" w:hanging="578"/>
        </w:pPr>
        <w:rPr>
          <w:rFonts w:hint="default"/>
        </w:rPr>
      </w:lvl>
    </w:lvlOverride>
    <w:lvlOverride w:ilvl="8">
      <w:lvl w:ilvl="8">
        <w:start w:val="1"/>
        <w:numFmt w:val="lowerRoman"/>
        <w:lvlText w:val="%9."/>
        <w:lvlJc w:val="left"/>
        <w:pPr>
          <w:ind w:left="578" w:hanging="578"/>
        </w:pPr>
        <w:rPr>
          <w:rFonts w:hint="default"/>
        </w:rPr>
      </w:lvl>
    </w:lvlOverride>
  </w:num>
  <w:num w:numId="14">
    <w:abstractNumId w:val="15"/>
  </w:num>
  <w:num w:numId="15">
    <w:abstractNumId w:val="2"/>
  </w:num>
  <w:num w:numId="16">
    <w:abstractNumId w:val="14"/>
  </w:num>
  <w:num w:numId="17">
    <w:abstractNumId w:val="19"/>
  </w:num>
  <w:num w:numId="18">
    <w:abstractNumId w:val="28"/>
  </w:num>
  <w:num w:numId="19">
    <w:abstractNumId w:val="5"/>
  </w:num>
  <w:num w:numId="20">
    <w:abstractNumId w:val="17"/>
  </w:num>
  <w:num w:numId="21">
    <w:abstractNumId w:val="22"/>
  </w:num>
  <w:num w:numId="22">
    <w:abstractNumId w:val="41"/>
  </w:num>
  <w:num w:numId="23">
    <w:abstractNumId w:val="3"/>
  </w:num>
  <w:num w:numId="24">
    <w:abstractNumId w:val="35"/>
    <w:lvlOverride w:ilvl="0">
      <w:startOverride w:val="1"/>
      <w:lvl w:ilvl="0">
        <w:start w:val="1"/>
        <w:numFmt w:val="decimal"/>
        <w:pStyle w:val="amprH2TITLE1-Numbered-1"/>
        <w:lvlText w:val="%1."/>
        <w:lvlJc w:val="left"/>
        <w:pPr>
          <w:ind w:left="578" w:hanging="578"/>
        </w:pPr>
        <w:rPr>
          <w:rFonts w:hint="default"/>
        </w:rPr>
      </w:lvl>
    </w:lvlOverride>
    <w:lvlOverride w:ilvl="1">
      <w:startOverride w:val="1"/>
      <w:lvl w:ilvl="1">
        <w:start w:val="1"/>
        <w:numFmt w:val="decimal"/>
        <w:pStyle w:val="amprH3Title2-Numbered-11"/>
        <w:lvlText w:val="%1.%2."/>
        <w:lvlJc w:val="left"/>
        <w:pPr>
          <w:ind w:left="1928" w:hanging="578"/>
        </w:pPr>
        <w:rPr>
          <w:rFonts w:hint="default"/>
        </w:rPr>
      </w:lvl>
    </w:lvlOverride>
    <w:lvlOverride w:ilvl="2">
      <w:startOverride w:val="1"/>
      <w:lvl w:ilvl="2">
        <w:start w:val="1"/>
        <w:numFmt w:val="decimal"/>
        <w:pStyle w:val="amprH4Subhead1-Numbered-111"/>
        <w:lvlText w:val="%1.%2.%3."/>
        <w:lvlJc w:val="left"/>
        <w:pPr>
          <w:ind w:left="578" w:hanging="578"/>
        </w:pPr>
        <w:rPr>
          <w:rFonts w:hint="default"/>
        </w:rPr>
      </w:lvl>
    </w:lvlOverride>
    <w:lvlOverride w:ilvl="3">
      <w:startOverride w:val="1"/>
      <w:lvl w:ilvl="3">
        <w:start w:val="1"/>
        <w:numFmt w:val="decimal"/>
        <w:pStyle w:val="amprH5Subhead2-Numbered-1111"/>
        <w:lvlText w:val="%1.%2.%3.%4."/>
        <w:lvlJc w:val="left"/>
        <w:pPr>
          <w:ind w:left="578" w:hanging="578"/>
        </w:pPr>
        <w:rPr>
          <w:rFonts w:hint="default"/>
        </w:rPr>
      </w:lvl>
    </w:lvlOverride>
    <w:lvlOverride w:ilvl="4">
      <w:startOverride w:val="1"/>
      <w:lvl w:ilvl="4">
        <w:start w:val="1"/>
        <w:numFmt w:val="lowerLetter"/>
        <w:lvlText w:val="(%5)"/>
        <w:lvlJc w:val="left"/>
        <w:pPr>
          <w:ind w:left="578" w:hanging="578"/>
        </w:pPr>
        <w:rPr>
          <w:rFonts w:hint="default"/>
        </w:rPr>
      </w:lvl>
    </w:lvlOverride>
    <w:lvlOverride w:ilvl="5">
      <w:startOverride w:val="1"/>
      <w:lvl w:ilvl="5">
        <w:start w:val="1"/>
        <w:numFmt w:val="lowerRoman"/>
        <w:lvlText w:val="(%6)"/>
        <w:lvlJc w:val="left"/>
        <w:pPr>
          <w:ind w:left="578" w:hanging="578"/>
        </w:pPr>
        <w:rPr>
          <w:rFonts w:hint="default"/>
        </w:rPr>
      </w:lvl>
    </w:lvlOverride>
    <w:lvlOverride w:ilvl="6">
      <w:startOverride w:val="1"/>
      <w:lvl w:ilvl="6">
        <w:start w:val="1"/>
        <w:numFmt w:val="decimal"/>
        <w:lvlText w:val="%7."/>
        <w:lvlJc w:val="left"/>
        <w:pPr>
          <w:ind w:left="578" w:hanging="578"/>
        </w:pPr>
        <w:rPr>
          <w:rFonts w:hint="default"/>
        </w:rPr>
      </w:lvl>
    </w:lvlOverride>
    <w:lvlOverride w:ilvl="7">
      <w:startOverride w:val="1"/>
      <w:lvl w:ilvl="7">
        <w:start w:val="1"/>
        <w:numFmt w:val="lowerLetter"/>
        <w:lvlText w:val="%8."/>
        <w:lvlJc w:val="left"/>
        <w:pPr>
          <w:ind w:left="578" w:hanging="578"/>
        </w:pPr>
        <w:rPr>
          <w:rFonts w:hint="default"/>
        </w:rPr>
      </w:lvl>
    </w:lvlOverride>
    <w:lvlOverride w:ilvl="8">
      <w:startOverride w:val="1"/>
      <w:lvl w:ilvl="8">
        <w:start w:val="1"/>
        <w:numFmt w:val="lowerRoman"/>
        <w:lvlText w:val="%9."/>
        <w:lvlJc w:val="left"/>
        <w:pPr>
          <w:ind w:left="578" w:hanging="578"/>
        </w:pPr>
        <w:rPr>
          <w:rFonts w:hint="default"/>
        </w:rPr>
      </w:lvl>
    </w:lvlOverride>
  </w:num>
  <w:num w:numId="25">
    <w:abstractNumId w:val="16"/>
  </w:num>
  <w:num w:numId="26">
    <w:abstractNumId w:val="27"/>
  </w:num>
  <w:num w:numId="27">
    <w:abstractNumId w:val="6"/>
  </w:num>
  <w:num w:numId="28">
    <w:abstractNumId w:val="10"/>
  </w:num>
  <w:num w:numId="29">
    <w:abstractNumId w:val="35"/>
    <w:lvlOverride w:ilvl="0">
      <w:lvl w:ilvl="0">
        <w:start w:val="1"/>
        <w:numFmt w:val="decimal"/>
        <w:pStyle w:val="amprH2TITLE1-Numbered-1"/>
        <w:lvlText w:val="%1."/>
        <w:lvlJc w:val="left"/>
        <w:pPr>
          <w:ind w:left="578" w:hanging="578"/>
        </w:pPr>
        <w:rPr>
          <w:rFonts w:hint="default"/>
        </w:rPr>
      </w:lvl>
    </w:lvlOverride>
    <w:lvlOverride w:ilvl="1">
      <w:lvl w:ilvl="1">
        <w:start w:val="1"/>
        <w:numFmt w:val="decimal"/>
        <w:pStyle w:val="amprH3Title2-Numbered-11"/>
        <w:lvlText w:val="%1.%2."/>
        <w:lvlJc w:val="left"/>
        <w:pPr>
          <w:ind w:left="3129" w:hanging="578"/>
        </w:pPr>
        <w:rPr>
          <w:rFonts w:hint="default"/>
        </w:rPr>
      </w:lvl>
    </w:lvlOverride>
    <w:lvlOverride w:ilvl="2">
      <w:lvl w:ilvl="2">
        <w:start w:val="1"/>
        <w:numFmt w:val="decimal"/>
        <w:pStyle w:val="amprH4Subhead1-Numbered-111"/>
        <w:lvlText w:val="%1.%2.%3."/>
        <w:lvlJc w:val="left"/>
        <w:pPr>
          <w:ind w:left="578" w:hanging="578"/>
        </w:pPr>
        <w:rPr>
          <w:rFonts w:hint="default"/>
        </w:rPr>
      </w:lvl>
    </w:lvlOverride>
    <w:lvlOverride w:ilvl="3">
      <w:lvl w:ilvl="3">
        <w:start w:val="1"/>
        <w:numFmt w:val="decimal"/>
        <w:pStyle w:val="amprH5Subhead2-Numbered-1111"/>
        <w:lvlText w:val="%1.%2.%3.%4."/>
        <w:lvlJc w:val="left"/>
        <w:pPr>
          <w:ind w:left="578" w:hanging="578"/>
        </w:pPr>
        <w:rPr>
          <w:rFonts w:hint="default"/>
        </w:rPr>
      </w:lvl>
    </w:lvlOverride>
    <w:lvlOverride w:ilvl="4">
      <w:lvl w:ilvl="4">
        <w:start w:val="1"/>
        <w:numFmt w:val="lowerLetter"/>
        <w:lvlText w:val="(%5)"/>
        <w:lvlJc w:val="left"/>
        <w:pPr>
          <w:ind w:left="578" w:hanging="578"/>
        </w:pPr>
        <w:rPr>
          <w:rFonts w:hint="default"/>
        </w:rPr>
      </w:lvl>
    </w:lvlOverride>
    <w:lvlOverride w:ilvl="5">
      <w:lvl w:ilvl="5">
        <w:start w:val="1"/>
        <w:numFmt w:val="lowerRoman"/>
        <w:lvlText w:val="(%6)"/>
        <w:lvlJc w:val="left"/>
        <w:pPr>
          <w:ind w:left="578" w:hanging="578"/>
        </w:pPr>
        <w:rPr>
          <w:rFonts w:hint="default"/>
        </w:rPr>
      </w:lvl>
    </w:lvlOverride>
    <w:lvlOverride w:ilvl="6">
      <w:lvl w:ilvl="6">
        <w:start w:val="1"/>
        <w:numFmt w:val="decimal"/>
        <w:lvlText w:val="%7."/>
        <w:lvlJc w:val="left"/>
        <w:pPr>
          <w:ind w:left="578" w:hanging="578"/>
        </w:pPr>
        <w:rPr>
          <w:rFonts w:hint="default"/>
        </w:rPr>
      </w:lvl>
    </w:lvlOverride>
    <w:lvlOverride w:ilvl="7">
      <w:lvl w:ilvl="7">
        <w:start w:val="1"/>
        <w:numFmt w:val="lowerLetter"/>
        <w:lvlText w:val="%8."/>
        <w:lvlJc w:val="left"/>
        <w:pPr>
          <w:ind w:left="578" w:hanging="578"/>
        </w:pPr>
        <w:rPr>
          <w:rFonts w:hint="default"/>
        </w:rPr>
      </w:lvl>
    </w:lvlOverride>
    <w:lvlOverride w:ilvl="8">
      <w:lvl w:ilvl="8">
        <w:start w:val="1"/>
        <w:numFmt w:val="lowerRoman"/>
        <w:lvlText w:val="%9."/>
        <w:lvlJc w:val="left"/>
        <w:pPr>
          <w:ind w:left="578" w:hanging="578"/>
        </w:pPr>
        <w:rPr>
          <w:rFonts w:hint="default"/>
        </w:rPr>
      </w:lvl>
    </w:lvlOverride>
  </w:num>
  <w:num w:numId="3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pt-PT"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P_META_DOC_TBL00001" w:val="&lt;OBJECT&gt;&lt;META&gt;&lt;ID&gt;&lt;/ID&gt;&lt;NAME&gt;DOC_TBL00001&lt;/NAME&gt;&lt;TYPE&gt;&lt;ID&gt;19&lt;/ID&gt;&lt;FRIENDLYNAME&gt;Table&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NAME_DOC_TBL00001" w:val="DOC_TBL00001"/>
    <w:docVar w:name="DocStatus" w:val="Green"/>
    <w:docVar w:name="LW_CORRIGENDUM" w:val="&lt;UNUSED&gt;"/>
    <w:docVar w:name="LW_COVERPAGE_EXISTS" w:val="True"/>
    <w:docVar w:name="LW_COVERPAGE_GUID" w:val="660C41F4-9C56-425A-9505-F7F75FCEC25F"/>
    <w:docVar w:name="LW_COVERPAGE_TYPE" w:val="1"/>
    <w:docVar w:name="LW_CROSSREFERENCE" w:val="{SWD(2024) 163 final}"/>
    <w:docVar w:name="LW_DocType" w:val="NORMAL"/>
    <w:docVar w:name="LW_EMISSION" w:val="26.6.2024"/>
    <w:docVar w:name="LW_EMISSION_ISODATE" w:val="2024-06-2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27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ong-term forecast of future inflows and outflows of the EU budget (2025-2029)"/>
    <w:docVar w:name="LW_TYPE.DOC.CP" w:val="REPORT FROM THE COMMISSION TO THE EUROPEAN PARLIAMENT AND THE COUNCIL"/>
    <w:docVar w:name="LwApiVersions" w:val="LW4CoDe 1.24.5.0; LW 9.0, Build 20240221"/>
  </w:docVars>
  <w:rsids>
    <w:rsidRoot w:val="00861C1C"/>
    <w:rsid w:val="00000084"/>
    <w:rsid w:val="000006C8"/>
    <w:rsid w:val="00000A29"/>
    <w:rsid w:val="00000ABA"/>
    <w:rsid w:val="00000CC3"/>
    <w:rsid w:val="000016BA"/>
    <w:rsid w:val="0000173A"/>
    <w:rsid w:val="00002920"/>
    <w:rsid w:val="000031C6"/>
    <w:rsid w:val="00005B30"/>
    <w:rsid w:val="000060EE"/>
    <w:rsid w:val="00006591"/>
    <w:rsid w:val="00007BC5"/>
    <w:rsid w:val="00010DF7"/>
    <w:rsid w:val="00010E4A"/>
    <w:rsid w:val="000116FD"/>
    <w:rsid w:val="000120AC"/>
    <w:rsid w:val="000121F6"/>
    <w:rsid w:val="000129A3"/>
    <w:rsid w:val="00012CFE"/>
    <w:rsid w:val="0001333B"/>
    <w:rsid w:val="00013455"/>
    <w:rsid w:val="000136FA"/>
    <w:rsid w:val="00013B09"/>
    <w:rsid w:val="00013E11"/>
    <w:rsid w:val="00014562"/>
    <w:rsid w:val="000149E8"/>
    <w:rsid w:val="0001532D"/>
    <w:rsid w:val="000154A5"/>
    <w:rsid w:val="000160AA"/>
    <w:rsid w:val="00016A9C"/>
    <w:rsid w:val="00017485"/>
    <w:rsid w:val="00017A93"/>
    <w:rsid w:val="00021B76"/>
    <w:rsid w:val="00021C39"/>
    <w:rsid w:val="00022828"/>
    <w:rsid w:val="00022B2C"/>
    <w:rsid w:val="00022C6A"/>
    <w:rsid w:val="00022CC8"/>
    <w:rsid w:val="000234DE"/>
    <w:rsid w:val="0002356E"/>
    <w:rsid w:val="00023933"/>
    <w:rsid w:val="0002515B"/>
    <w:rsid w:val="000251AC"/>
    <w:rsid w:val="00025D24"/>
    <w:rsid w:val="00026389"/>
    <w:rsid w:val="000269EA"/>
    <w:rsid w:val="000275AB"/>
    <w:rsid w:val="00027D7F"/>
    <w:rsid w:val="000307A6"/>
    <w:rsid w:val="0003120C"/>
    <w:rsid w:val="000312DE"/>
    <w:rsid w:val="00031960"/>
    <w:rsid w:val="00031DEF"/>
    <w:rsid w:val="00032124"/>
    <w:rsid w:val="00032437"/>
    <w:rsid w:val="00032FDA"/>
    <w:rsid w:val="00033473"/>
    <w:rsid w:val="00033ED2"/>
    <w:rsid w:val="000347AC"/>
    <w:rsid w:val="000347D7"/>
    <w:rsid w:val="00034BBD"/>
    <w:rsid w:val="00034DE6"/>
    <w:rsid w:val="00035027"/>
    <w:rsid w:val="0003512E"/>
    <w:rsid w:val="0003526F"/>
    <w:rsid w:val="00035780"/>
    <w:rsid w:val="0003581B"/>
    <w:rsid w:val="000359A2"/>
    <w:rsid w:val="00035A48"/>
    <w:rsid w:val="000372D4"/>
    <w:rsid w:val="000401E3"/>
    <w:rsid w:val="0004056F"/>
    <w:rsid w:val="00040958"/>
    <w:rsid w:val="00041435"/>
    <w:rsid w:val="00041CFB"/>
    <w:rsid w:val="00041D38"/>
    <w:rsid w:val="0004237E"/>
    <w:rsid w:val="00042F93"/>
    <w:rsid w:val="0004515C"/>
    <w:rsid w:val="00045447"/>
    <w:rsid w:val="00045929"/>
    <w:rsid w:val="00046419"/>
    <w:rsid w:val="00046765"/>
    <w:rsid w:val="00046A82"/>
    <w:rsid w:val="000479B8"/>
    <w:rsid w:val="00047DC6"/>
    <w:rsid w:val="00047F43"/>
    <w:rsid w:val="00050030"/>
    <w:rsid w:val="000504A1"/>
    <w:rsid w:val="00051114"/>
    <w:rsid w:val="00051EC2"/>
    <w:rsid w:val="00051FEE"/>
    <w:rsid w:val="000524D3"/>
    <w:rsid w:val="00053368"/>
    <w:rsid w:val="0005372A"/>
    <w:rsid w:val="00053911"/>
    <w:rsid w:val="000545C8"/>
    <w:rsid w:val="00054867"/>
    <w:rsid w:val="00055777"/>
    <w:rsid w:val="000564D5"/>
    <w:rsid w:val="0005737A"/>
    <w:rsid w:val="00057816"/>
    <w:rsid w:val="00057D8B"/>
    <w:rsid w:val="000606B3"/>
    <w:rsid w:val="000610C7"/>
    <w:rsid w:val="00061293"/>
    <w:rsid w:val="000618A9"/>
    <w:rsid w:val="00061A38"/>
    <w:rsid w:val="00061E61"/>
    <w:rsid w:val="00062ECB"/>
    <w:rsid w:val="00062FF7"/>
    <w:rsid w:val="00064732"/>
    <w:rsid w:val="00064E5D"/>
    <w:rsid w:val="00066052"/>
    <w:rsid w:val="000662F1"/>
    <w:rsid w:val="00066549"/>
    <w:rsid w:val="000665D4"/>
    <w:rsid w:val="00066964"/>
    <w:rsid w:val="00066994"/>
    <w:rsid w:val="00066F44"/>
    <w:rsid w:val="0006716E"/>
    <w:rsid w:val="00067D7E"/>
    <w:rsid w:val="00067F0D"/>
    <w:rsid w:val="00070A1F"/>
    <w:rsid w:val="0007179C"/>
    <w:rsid w:val="00071890"/>
    <w:rsid w:val="00071C29"/>
    <w:rsid w:val="000720E1"/>
    <w:rsid w:val="000730B3"/>
    <w:rsid w:val="00073220"/>
    <w:rsid w:val="000734B5"/>
    <w:rsid w:val="00074316"/>
    <w:rsid w:val="000743C1"/>
    <w:rsid w:val="0007454A"/>
    <w:rsid w:val="000745D3"/>
    <w:rsid w:val="000745FE"/>
    <w:rsid w:val="00074948"/>
    <w:rsid w:val="00074C13"/>
    <w:rsid w:val="00074F20"/>
    <w:rsid w:val="00075C07"/>
    <w:rsid w:val="00076BF1"/>
    <w:rsid w:val="00077191"/>
    <w:rsid w:val="00077BC2"/>
    <w:rsid w:val="0008086D"/>
    <w:rsid w:val="0008152E"/>
    <w:rsid w:val="00081A23"/>
    <w:rsid w:val="00081AF3"/>
    <w:rsid w:val="00082D5D"/>
    <w:rsid w:val="00084648"/>
    <w:rsid w:val="00084E4F"/>
    <w:rsid w:val="00084FDF"/>
    <w:rsid w:val="00086654"/>
    <w:rsid w:val="000869E8"/>
    <w:rsid w:val="00087161"/>
    <w:rsid w:val="00087DB3"/>
    <w:rsid w:val="00087E64"/>
    <w:rsid w:val="00090774"/>
    <w:rsid w:val="00090941"/>
    <w:rsid w:val="00090BBD"/>
    <w:rsid w:val="000910BD"/>
    <w:rsid w:val="00091E21"/>
    <w:rsid w:val="00091E6C"/>
    <w:rsid w:val="000929A2"/>
    <w:rsid w:val="00092CEE"/>
    <w:rsid w:val="00093323"/>
    <w:rsid w:val="00093736"/>
    <w:rsid w:val="000938FC"/>
    <w:rsid w:val="00093CB9"/>
    <w:rsid w:val="000943D1"/>
    <w:rsid w:val="00094F80"/>
    <w:rsid w:val="00095E62"/>
    <w:rsid w:val="00096193"/>
    <w:rsid w:val="00096199"/>
    <w:rsid w:val="000974A7"/>
    <w:rsid w:val="00097BCE"/>
    <w:rsid w:val="000A00D5"/>
    <w:rsid w:val="000A0959"/>
    <w:rsid w:val="000A0EDD"/>
    <w:rsid w:val="000A0FBF"/>
    <w:rsid w:val="000A2830"/>
    <w:rsid w:val="000A2BF8"/>
    <w:rsid w:val="000A327D"/>
    <w:rsid w:val="000A36C4"/>
    <w:rsid w:val="000A3928"/>
    <w:rsid w:val="000A3D27"/>
    <w:rsid w:val="000A429A"/>
    <w:rsid w:val="000A447A"/>
    <w:rsid w:val="000A4EE2"/>
    <w:rsid w:val="000A55CE"/>
    <w:rsid w:val="000A612F"/>
    <w:rsid w:val="000A618C"/>
    <w:rsid w:val="000A6B20"/>
    <w:rsid w:val="000A774A"/>
    <w:rsid w:val="000B081F"/>
    <w:rsid w:val="000B0C18"/>
    <w:rsid w:val="000B0DE2"/>
    <w:rsid w:val="000B119F"/>
    <w:rsid w:val="000B1704"/>
    <w:rsid w:val="000B21E8"/>
    <w:rsid w:val="000B26C8"/>
    <w:rsid w:val="000B2A7A"/>
    <w:rsid w:val="000B455D"/>
    <w:rsid w:val="000B557F"/>
    <w:rsid w:val="000B587F"/>
    <w:rsid w:val="000B590E"/>
    <w:rsid w:val="000B5D95"/>
    <w:rsid w:val="000B713E"/>
    <w:rsid w:val="000B716E"/>
    <w:rsid w:val="000B7BB2"/>
    <w:rsid w:val="000C0170"/>
    <w:rsid w:val="000C0A0B"/>
    <w:rsid w:val="000C0B70"/>
    <w:rsid w:val="000C216A"/>
    <w:rsid w:val="000C2486"/>
    <w:rsid w:val="000C3008"/>
    <w:rsid w:val="000C304E"/>
    <w:rsid w:val="000C3988"/>
    <w:rsid w:val="000C3FEB"/>
    <w:rsid w:val="000C45E0"/>
    <w:rsid w:val="000C4AED"/>
    <w:rsid w:val="000C5746"/>
    <w:rsid w:val="000C6BDD"/>
    <w:rsid w:val="000C719C"/>
    <w:rsid w:val="000D0C52"/>
    <w:rsid w:val="000D0CC4"/>
    <w:rsid w:val="000D0DD8"/>
    <w:rsid w:val="000D12F6"/>
    <w:rsid w:val="000D24A0"/>
    <w:rsid w:val="000D2DB2"/>
    <w:rsid w:val="000D33A2"/>
    <w:rsid w:val="000D3854"/>
    <w:rsid w:val="000D3B83"/>
    <w:rsid w:val="000D414F"/>
    <w:rsid w:val="000D4675"/>
    <w:rsid w:val="000D4F3B"/>
    <w:rsid w:val="000D5073"/>
    <w:rsid w:val="000D6B02"/>
    <w:rsid w:val="000D730A"/>
    <w:rsid w:val="000D761E"/>
    <w:rsid w:val="000E0B7C"/>
    <w:rsid w:val="000E1C22"/>
    <w:rsid w:val="000E1FA5"/>
    <w:rsid w:val="000E333B"/>
    <w:rsid w:val="000E3863"/>
    <w:rsid w:val="000E3BCE"/>
    <w:rsid w:val="000E4004"/>
    <w:rsid w:val="000E4F78"/>
    <w:rsid w:val="000E505C"/>
    <w:rsid w:val="000E6D78"/>
    <w:rsid w:val="000E6E2D"/>
    <w:rsid w:val="000E7211"/>
    <w:rsid w:val="000E76F7"/>
    <w:rsid w:val="000F0036"/>
    <w:rsid w:val="000F0AC0"/>
    <w:rsid w:val="000F0ED7"/>
    <w:rsid w:val="000F0F55"/>
    <w:rsid w:val="000F0FD4"/>
    <w:rsid w:val="000F16BF"/>
    <w:rsid w:val="000F19BC"/>
    <w:rsid w:val="000F1B6B"/>
    <w:rsid w:val="000F3B85"/>
    <w:rsid w:val="000F533A"/>
    <w:rsid w:val="000F5600"/>
    <w:rsid w:val="000F6403"/>
    <w:rsid w:val="000F7FC2"/>
    <w:rsid w:val="000F7FE0"/>
    <w:rsid w:val="000FF74C"/>
    <w:rsid w:val="00100F4A"/>
    <w:rsid w:val="001015FB"/>
    <w:rsid w:val="0010199A"/>
    <w:rsid w:val="00101BDF"/>
    <w:rsid w:val="00101C7E"/>
    <w:rsid w:val="00101D97"/>
    <w:rsid w:val="00101F0F"/>
    <w:rsid w:val="00102AE9"/>
    <w:rsid w:val="0010345E"/>
    <w:rsid w:val="00103527"/>
    <w:rsid w:val="00103AB5"/>
    <w:rsid w:val="00103D4F"/>
    <w:rsid w:val="00103EBF"/>
    <w:rsid w:val="00104CCB"/>
    <w:rsid w:val="0010689B"/>
    <w:rsid w:val="00107282"/>
    <w:rsid w:val="00107B6A"/>
    <w:rsid w:val="00107B7A"/>
    <w:rsid w:val="001104DC"/>
    <w:rsid w:val="001104FB"/>
    <w:rsid w:val="00110615"/>
    <w:rsid w:val="00110887"/>
    <w:rsid w:val="00110D03"/>
    <w:rsid w:val="00110DAD"/>
    <w:rsid w:val="001113C8"/>
    <w:rsid w:val="001118B7"/>
    <w:rsid w:val="00111A24"/>
    <w:rsid w:val="00111C38"/>
    <w:rsid w:val="00111E6F"/>
    <w:rsid w:val="00113604"/>
    <w:rsid w:val="00114BE9"/>
    <w:rsid w:val="001151CE"/>
    <w:rsid w:val="0011536A"/>
    <w:rsid w:val="001163D7"/>
    <w:rsid w:val="0011721E"/>
    <w:rsid w:val="00117494"/>
    <w:rsid w:val="00117E8C"/>
    <w:rsid w:val="00120992"/>
    <w:rsid w:val="00121624"/>
    <w:rsid w:val="00121872"/>
    <w:rsid w:val="00122173"/>
    <w:rsid w:val="0012270B"/>
    <w:rsid w:val="001229C2"/>
    <w:rsid w:val="0012367F"/>
    <w:rsid w:val="00123B55"/>
    <w:rsid w:val="00123DED"/>
    <w:rsid w:val="00124B49"/>
    <w:rsid w:val="00125185"/>
    <w:rsid w:val="00125196"/>
    <w:rsid w:val="001256CF"/>
    <w:rsid w:val="001259FC"/>
    <w:rsid w:val="001268F8"/>
    <w:rsid w:val="00126EBC"/>
    <w:rsid w:val="00127E20"/>
    <w:rsid w:val="00130297"/>
    <w:rsid w:val="0013061F"/>
    <w:rsid w:val="00130C93"/>
    <w:rsid w:val="00131691"/>
    <w:rsid w:val="00131BAA"/>
    <w:rsid w:val="00131C3D"/>
    <w:rsid w:val="001333DB"/>
    <w:rsid w:val="0013387B"/>
    <w:rsid w:val="00133888"/>
    <w:rsid w:val="001338BC"/>
    <w:rsid w:val="00133C0C"/>
    <w:rsid w:val="00133D6B"/>
    <w:rsid w:val="00134393"/>
    <w:rsid w:val="00134495"/>
    <w:rsid w:val="001346F7"/>
    <w:rsid w:val="001354E7"/>
    <w:rsid w:val="00135507"/>
    <w:rsid w:val="001362B9"/>
    <w:rsid w:val="001367DD"/>
    <w:rsid w:val="00136A7A"/>
    <w:rsid w:val="0013760E"/>
    <w:rsid w:val="0013789C"/>
    <w:rsid w:val="001406A5"/>
    <w:rsid w:val="00140C66"/>
    <w:rsid w:val="00140F3D"/>
    <w:rsid w:val="00141993"/>
    <w:rsid w:val="00141D62"/>
    <w:rsid w:val="00141EFF"/>
    <w:rsid w:val="0014232A"/>
    <w:rsid w:val="001425F5"/>
    <w:rsid w:val="00143809"/>
    <w:rsid w:val="001444AB"/>
    <w:rsid w:val="001458C2"/>
    <w:rsid w:val="00145DC3"/>
    <w:rsid w:val="00145E04"/>
    <w:rsid w:val="00147D5C"/>
    <w:rsid w:val="001500D7"/>
    <w:rsid w:val="00150326"/>
    <w:rsid w:val="001506F3"/>
    <w:rsid w:val="00150CDA"/>
    <w:rsid w:val="0015139C"/>
    <w:rsid w:val="001514C1"/>
    <w:rsid w:val="001522E0"/>
    <w:rsid w:val="0015255E"/>
    <w:rsid w:val="00152ABF"/>
    <w:rsid w:val="00153799"/>
    <w:rsid w:val="00154AA0"/>
    <w:rsid w:val="00154B38"/>
    <w:rsid w:val="00155439"/>
    <w:rsid w:val="00155F33"/>
    <w:rsid w:val="00156A43"/>
    <w:rsid w:val="00156A98"/>
    <w:rsid w:val="00156DB7"/>
    <w:rsid w:val="00157914"/>
    <w:rsid w:val="00157E6F"/>
    <w:rsid w:val="00157EB7"/>
    <w:rsid w:val="001600D5"/>
    <w:rsid w:val="00160213"/>
    <w:rsid w:val="001616DD"/>
    <w:rsid w:val="00161995"/>
    <w:rsid w:val="001623E1"/>
    <w:rsid w:val="00162B95"/>
    <w:rsid w:val="00163375"/>
    <w:rsid w:val="0016421D"/>
    <w:rsid w:val="00164270"/>
    <w:rsid w:val="00164A6B"/>
    <w:rsid w:val="00164E0D"/>
    <w:rsid w:val="00165115"/>
    <w:rsid w:val="00165893"/>
    <w:rsid w:val="00165BC1"/>
    <w:rsid w:val="00165CB5"/>
    <w:rsid w:val="0016683D"/>
    <w:rsid w:val="00166ED4"/>
    <w:rsid w:val="0016722E"/>
    <w:rsid w:val="00167F53"/>
    <w:rsid w:val="00170D10"/>
    <w:rsid w:val="001713D8"/>
    <w:rsid w:val="00171592"/>
    <w:rsid w:val="00171BCE"/>
    <w:rsid w:val="00172090"/>
    <w:rsid w:val="00173367"/>
    <w:rsid w:val="0017361E"/>
    <w:rsid w:val="0017527D"/>
    <w:rsid w:val="00175676"/>
    <w:rsid w:val="001756CA"/>
    <w:rsid w:val="00176191"/>
    <w:rsid w:val="001762C0"/>
    <w:rsid w:val="001764DA"/>
    <w:rsid w:val="001769DE"/>
    <w:rsid w:val="00176A6E"/>
    <w:rsid w:val="00176D3B"/>
    <w:rsid w:val="00176F2D"/>
    <w:rsid w:val="00177400"/>
    <w:rsid w:val="00177514"/>
    <w:rsid w:val="00177B4A"/>
    <w:rsid w:val="00177D53"/>
    <w:rsid w:val="00177F4C"/>
    <w:rsid w:val="0018062F"/>
    <w:rsid w:val="00180738"/>
    <w:rsid w:val="00180A68"/>
    <w:rsid w:val="0018135B"/>
    <w:rsid w:val="00181A0E"/>
    <w:rsid w:val="00181E45"/>
    <w:rsid w:val="00182197"/>
    <w:rsid w:val="001828C1"/>
    <w:rsid w:val="00183C34"/>
    <w:rsid w:val="00184729"/>
    <w:rsid w:val="00184813"/>
    <w:rsid w:val="00185389"/>
    <w:rsid w:val="0018623E"/>
    <w:rsid w:val="001862E3"/>
    <w:rsid w:val="00186E7A"/>
    <w:rsid w:val="0018730D"/>
    <w:rsid w:val="0018731E"/>
    <w:rsid w:val="001873BE"/>
    <w:rsid w:val="0018778F"/>
    <w:rsid w:val="00187A20"/>
    <w:rsid w:val="00190138"/>
    <w:rsid w:val="001903EA"/>
    <w:rsid w:val="0019049D"/>
    <w:rsid w:val="001906FE"/>
    <w:rsid w:val="00190EB6"/>
    <w:rsid w:val="00190F9A"/>
    <w:rsid w:val="00191B0A"/>
    <w:rsid w:val="001920B0"/>
    <w:rsid w:val="00192409"/>
    <w:rsid w:val="0019402C"/>
    <w:rsid w:val="001943E6"/>
    <w:rsid w:val="00194512"/>
    <w:rsid w:val="001959CF"/>
    <w:rsid w:val="00195FBD"/>
    <w:rsid w:val="001963F1"/>
    <w:rsid w:val="00196FCA"/>
    <w:rsid w:val="00197209"/>
    <w:rsid w:val="00197DC9"/>
    <w:rsid w:val="001A0594"/>
    <w:rsid w:val="001A08B9"/>
    <w:rsid w:val="001A0F11"/>
    <w:rsid w:val="001A161E"/>
    <w:rsid w:val="001A2A18"/>
    <w:rsid w:val="001A2A58"/>
    <w:rsid w:val="001A2E65"/>
    <w:rsid w:val="001A3179"/>
    <w:rsid w:val="001A3816"/>
    <w:rsid w:val="001A3F43"/>
    <w:rsid w:val="001A4258"/>
    <w:rsid w:val="001A4437"/>
    <w:rsid w:val="001A5D5E"/>
    <w:rsid w:val="001A638E"/>
    <w:rsid w:val="001B1575"/>
    <w:rsid w:val="001B1A8A"/>
    <w:rsid w:val="001B1B60"/>
    <w:rsid w:val="001B1D0A"/>
    <w:rsid w:val="001B3859"/>
    <w:rsid w:val="001B3CFE"/>
    <w:rsid w:val="001B404D"/>
    <w:rsid w:val="001B4092"/>
    <w:rsid w:val="001B42E9"/>
    <w:rsid w:val="001B45AF"/>
    <w:rsid w:val="001B4850"/>
    <w:rsid w:val="001B548A"/>
    <w:rsid w:val="001B57A4"/>
    <w:rsid w:val="001B5AC4"/>
    <w:rsid w:val="001B5CD3"/>
    <w:rsid w:val="001B5D6D"/>
    <w:rsid w:val="001B5EF4"/>
    <w:rsid w:val="001B65A8"/>
    <w:rsid w:val="001B65F3"/>
    <w:rsid w:val="001B6F59"/>
    <w:rsid w:val="001B7013"/>
    <w:rsid w:val="001B7596"/>
    <w:rsid w:val="001C044B"/>
    <w:rsid w:val="001C1283"/>
    <w:rsid w:val="001C1415"/>
    <w:rsid w:val="001C2108"/>
    <w:rsid w:val="001C2347"/>
    <w:rsid w:val="001C23EA"/>
    <w:rsid w:val="001C25F4"/>
    <w:rsid w:val="001C2BAE"/>
    <w:rsid w:val="001C3113"/>
    <w:rsid w:val="001C3222"/>
    <w:rsid w:val="001C37A9"/>
    <w:rsid w:val="001C3D86"/>
    <w:rsid w:val="001C4CCD"/>
    <w:rsid w:val="001C4EBD"/>
    <w:rsid w:val="001C504A"/>
    <w:rsid w:val="001C57F4"/>
    <w:rsid w:val="001C617C"/>
    <w:rsid w:val="001C66D4"/>
    <w:rsid w:val="001C75A7"/>
    <w:rsid w:val="001C7ABA"/>
    <w:rsid w:val="001C7CD9"/>
    <w:rsid w:val="001C7E93"/>
    <w:rsid w:val="001D0213"/>
    <w:rsid w:val="001D1322"/>
    <w:rsid w:val="001D2728"/>
    <w:rsid w:val="001D29C8"/>
    <w:rsid w:val="001D2C2A"/>
    <w:rsid w:val="001D2F5A"/>
    <w:rsid w:val="001D3313"/>
    <w:rsid w:val="001D3C4E"/>
    <w:rsid w:val="001D4056"/>
    <w:rsid w:val="001D4261"/>
    <w:rsid w:val="001D4ED9"/>
    <w:rsid w:val="001D5890"/>
    <w:rsid w:val="001D59B9"/>
    <w:rsid w:val="001D5E98"/>
    <w:rsid w:val="001D79E5"/>
    <w:rsid w:val="001D7B9D"/>
    <w:rsid w:val="001E076C"/>
    <w:rsid w:val="001E09A5"/>
    <w:rsid w:val="001E0B63"/>
    <w:rsid w:val="001E0E41"/>
    <w:rsid w:val="001E1A8F"/>
    <w:rsid w:val="001E2136"/>
    <w:rsid w:val="001E33B1"/>
    <w:rsid w:val="001E3410"/>
    <w:rsid w:val="001E3632"/>
    <w:rsid w:val="001E38E9"/>
    <w:rsid w:val="001E3CBC"/>
    <w:rsid w:val="001E4049"/>
    <w:rsid w:val="001E4D06"/>
    <w:rsid w:val="001E5955"/>
    <w:rsid w:val="001E661C"/>
    <w:rsid w:val="001E6C5E"/>
    <w:rsid w:val="001E77CF"/>
    <w:rsid w:val="001E77D4"/>
    <w:rsid w:val="001F011A"/>
    <w:rsid w:val="001F1740"/>
    <w:rsid w:val="001F2D7E"/>
    <w:rsid w:val="001F305F"/>
    <w:rsid w:val="001F3308"/>
    <w:rsid w:val="001F35E1"/>
    <w:rsid w:val="001F39B3"/>
    <w:rsid w:val="001F3D07"/>
    <w:rsid w:val="001F473C"/>
    <w:rsid w:val="001F48EA"/>
    <w:rsid w:val="001F494E"/>
    <w:rsid w:val="001F5DDA"/>
    <w:rsid w:val="001F62A9"/>
    <w:rsid w:val="001F6487"/>
    <w:rsid w:val="001F6499"/>
    <w:rsid w:val="001F6B41"/>
    <w:rsid w:val="001F79EF"/>
    <w:rsid w:val="00200056"/>
    <w:rsid w:val="0020008E"/>
    <w:rsid w:val="00200C24"/>
    <w:rsid w:val="002011EB"/>
    <w:rsid w:val="002012D1"/>
    <w:rsid w:val="002024DB"/>
    <w:rsid w:val="00202632"/>
    <w:rsid w:val="00203057"/>
    <w:rsid w:val="002031AF"/>
    <w:rsid w:val="00203F98"/>
    <w:rsid w:val="00205761"/>
    <w:rsid w:val="00205ABD"/>
    <w:rsid w:val="00206E3E"/>
    <w:rsid w:val="00206E8F"/>
    <w:rsid w:val="002070C4"/>
    <w:rsid w:val="00207BD6"/>
    <w:rsid w:val="00207EF3"/>
    <w:rsid w:val="002102DF"/>
    <w:rsid w:val="0021057B"/>
    <w:rsid w:val="002109CB"/>
    <w:rsid w:val="00210E55"/>
    <w:rsid w:val="002114A7"/>
    <w:rsid w:val="00211A91"/>
    <w:rsid w:val="00211E6F"/>
    <w:rsid w:val="002120BF"/>
    <w:rsid w:val="002133A8"/>
    <w:rsid w:val="00214C19"/>
    <w:rsid w:val="002152B5"/>
    <w:rsid w:val="0021555D"/>
    <w:rsid w:val="00216545"/>
    <w:rsid w:val="00216A09"/>
    <w:rsid w:val="00217376"/>
    <w:rsid w:val="00217DF9"/>
    <w:rsid w:val="0021F446"/>
    <w:rsid w:val="00220DEF"/>
    <w:rsid w:val="00221485"/>
    <w:rsid w:val="002218E0"/>
    <w:rsid w:val="00221937"/>
    <w:rsid w:val="00221A9D"/>
    <w:rsid w:val="002228FE"/>
    <w:rsid w:val="00223D65"/>
    <w:rsid w:val="00223D8C"/>
    <w:rsid w:val="00223F15"/>
    <w:rsid w:val="00224769"/>
    <w:rsid w:val="0022546A"/>
    <w:rsid w:val="0022556F"/>
    <w:rsid w:val="00225A45"/>
    <w:rsid w:val="00225CDB"/>
    <w:rsid w:val="00225F5D"/>
    <w:rsid w:val="00226289"/>
    <w:rsid w:val="00226400"/>
    <w:rsid w:val="00226D67"/>
    <w:rsid w:val="002272F7"/>
    <w:rsid w:val="00230D6A"/>
    <w:rsid w:val="0023129E"/>
    <w:rsid w:val="00231AF7"/>
    <w:rsid w:val="00232EE8"/>
    <w:rsid w:val="002337D5"/>
    <w:rsid w:val="0023439E"/>
    <w:rsid w:val="00234F6B"/>
    <w:rsid w:val="002361B4"/>
    <w:rsid w:val="00236C5D"/>
    <w:rsid w:val="00236C6D"/>
    <w:rsid w:val="00237DC3"/>
    <w:rsid w:val="00240209"/>
    <w:rsid w:val="002408BE"/>
    <w:rsid w:val="00240908"/>
    <w:rsid w:val="00240EB9"/>
    <w:rsid w:val="00240F1B"/>
    <w:rsid w:val="00241140"/>
    <w:rsid w:val="0024154C"/>
    <w:rsid w:val="00241D1D"/>
    <w:rsid w:val="00241EA7"/>
    <w:rsid w:val="00242505"/>
    <w:rsid w:val="00242967"/>
    <w:rsid w:val="00242EBC"/>
    <w:rsid w:val="002432C3"/>
    <w:rsid w:val="00243791"/>
    <w:rsid w:val="002438A5"/>
    <w:rsid w:val="00243B69"/>
    <w:rsid w:val="00244261"/>
    <w:rsid w:val="0024457E"/>
    <w:rsid w:val="00244764"/>
    <w:rsid w:val="002456C6"/>
    <w:rsid w:val="002466D6"/>
    <w:rsid w:val="00247143"/>
    <w:rsid w:val="00250614"/>
    <w:rsid w:val="00250DE1"/>
    <w:rsid w:val="002516C2"/>
    <w:rsid w:val="00251F02"/>
    <w:rsid w:val="00252651"/>
    <w:rsid w:val="00252746"/>
    <w:rsid w:val="00252C9F"/>
    <w:rsid w:val="0025322E"/>
    <w:rsid w:val="00253F61"/>
    <w:rsid w:val="0025410E"/>
    <w:rsid w:val="00254442"/>
    <w:rsid w:val="00255EE9"/>
    <w:rsid w:val="002565FB"/>
    <w:rsid w:val="00257055"/>
    <w:rsid w:val="0025715C"/>
    <w:rsid w:val="0025745E"/>
    <w:rsid w:val="002575BD"/>
    <w:rsid w:val="00257F99"/>
    <w:rsid w:val="0025B48C"/>
    <w:rsid w:val="0026049A"/>
    <w:rsid w:val="0026070E"/>
    <w:rsid w:val="00260841"/>
    <w:rsid w:val="00260C35"/>
    <w:rsid w:val="00260D39"/>
    <w:rsid w:val="0026210A"/>
    <w:rsid w:val="002623F6"/>
    <w:rsid w:val="00262468"/>
    <w:rsid w:val="002624B8"/>
    <w:rsid w:val="002626DF"/>
    <w:rsid w:val="002629F0"/>
    <w:rsid w:val="00262DB1"/>
    <w:rsid w:val="00263E25"/>
    <w:rsid w:val="002641FB"/>
    <w:rsid w:val="00264575"/>
    <w:rsid w:val="002648D0"/>
    <w:rsid w:val="00264BB6"/>
    <w:rsid w:val="00264FD1"/>
    <w:rsid w:val="002650C5"/>
    <w:rsid w:val="0026552C"/>
    <w:rsid w:val="0026584D"/>
    <w:rsid w:val="00265AA2"/>
    <w:rsid w:val="00265CBF"/>
    <w:rsid w:val="00265E0E"/>
    <w:rsid w:val="00266DC9"/>
    <w:rsid w:val="002675A9"/>
    <w:rsid w:val="00267874"/>
    <w:rsid w:val="002705BC"/>
    <w:rsid w:val="0027196F"/>
    <w:rsid w:val="00271F23"/>
    <w:rsid w:val="002725D4"/>
    <w:rsid w:val="00272B91"/>
    <w:rsid w:val="002730F0"/>
    <w:rsid w:val="0027372E"/>
    <w:rsid w:val="002741C2"/>
    <w:rsid w:val="002747A3"/>
    <w:rsid w:val="00274ADB"/>
    <w:rsid w:val="00275EC5"/>
    <w:rsid w:val="00276052"/>
    <w:rsid w:val="0027660C"/>
    <w:rsid w:val="00276B24"/>
    <w:rsid w:val="00276B4C"/>
    <w:rsid w:val="0027752B"/>
    <w:rsid w:val="00277D1C"/>
    <w:rsid w:val="002820C8"/>
    <w:rsid w:val="002820CC"/>
    <w:rsid w:val="00282A98"/>
    <w:rsid w:val="00282BEF"/>
    <w:rsid w:val="00282CC5"/>
    <w:rsid w:val="00283BC5"/>
    <w:rsid w:val="00283C52"/>
    <w:rsid w:val="00283F43"/>
    <w:rsid w:val="00285268"/>
    <w:rsid w:val="002857D1"/>
    <w:rsid w:val="00285A71"/>
    <w:rsid w:val="002864EF"/>
    <w:rsid w:val="002866CF"/>
    <w:rsid w:val="00286BBF"/>
    <w:rsid w:val="00287833"/>
    <w:rsid w:val="00287AD0"/>
    <w:rsid w:val="00287EF3"/>
    <w:rsid w:val="00287F94"/>
    <w:rsid w:val="002903C6"/>
    <w:rsid w:val="002905BF"/>
    <w:rsid w:val="002913B3"/>
    <w:rsid w:val="002914F4"/>
    <w:rsid w:val="002922B1"/>
    <w:rsid w:val="0029302D"/>
    <w:rsid w:val="0029352F"/>
    <w:rsid w:val="00293532"/>
    <w:rsid w:val="00293ADF"/>
    <w:rsid w:val="00294167"/>
    <w:rsid w:val="002948AC"/>
    <w:rsid w:val="00295E0C"/>
    <w:rsid w:val="002964B0"/>
    <w:rsid w:val="00297203"/>
    <w:rsid w:val="002979C5"/>
    <w:rsid w:val="002A00F5"/>
    <w:rsid w:val="002A0145"/>
    <w:rsid w:val="002A125B"/>
    <w:rsid w:val="002A1EF4"/>
    <w:rsid w:val="002A1FF3"/>
    <w:rsid w:val="002A21B8"/>
    <w:rsid w:val="002A2240"/>
    <w:rsid w:val="002A239A"/>
    <w:rsid w:val="002A2A2E"/>
    <w:rsid w:val="002A2BE1"/>
    <w:rsid w:val="002A2C39"/>
    <w:rsid w:val="002A3CAE"/>
    <w:rsid w:val="002A41DF"/>
    <w:rsid w:val="002A438B"/>
    <w:rsid w:val="002A4EDC"/>
    <w:rsid w:val="002A5003"/>
    <w:rsid w:val="002A57FA"/>
    <w:rsid w:val="002A689F"/>
    <w:rsid w:val="002A6C02"/>
    <w:rsid w:val="002A70A4"/>
    <w:rsid w:val="002A7280"/>
    <w:rsid w:val="002A7514"/>
    <w:rsid w:val="002B07FC"/>
    <w:rsid w:val="002B1381"/>
    <w:rsid w:val="002B1385"/>
    <w:rsid w:val="002B13C0"/>
    <w:rsid w:val="002B1EBF"/>
    <w:rsid w:val="002B1F16"/>
    <w:rsid w:val="002B238D"/>
    <w:rsid w:val="002B2E24"/>
    <w:rsid w:val="002B30E8"/>
    <w:rsid w:val="002B3C4F"/>
    <w:rsid w:val="002B3DE2"/>
    <w:rsid w:val="002B436E"/>
    <w:rsid w:val="002B585C"/>
    <w:rsid w:val="002B5FB2"/>
    <w:rsid w:val="002B67B5"/>
    <w:rsid w:val="002B7410"/>
    <w:rsid w:val="002B7672"/>
    <w:rsid w:val="002C00C4"/>
    <w:rsid w:val="002C042B"/>
    <w:rsid w:val="002C0482"/>
    <w:rsid w:val="002C0A11"/>
    <w:rsid w:val="002C0B69"/>
    <w:rsid w:val="002C13EF"/>
    <w:rsid w:val="002C16C3"/>
    <w:rsid w:val="002C1B3D"/>
    <w:rsid w:val="002C1E58"/>
    <w:rsid w:val="002C22A7"/>
    <w:rsid w:val="002C22C2"/>
    <w:rsid w:val="002C23F4"/>
    <w:rsid w:val="002C2A93"/>
    <w:rsid w:val="002C2ADF"/>
    <w:rsid w:val="002C2D3E"/>
    <w:rsid w:val="002C33FD"/>
    <w:rsid w:val="002C358C"/>
    <w:rsid w:val="002C3682"/>
    <w:rsid w:val="002C370A"/>
    <w:rsid w:val="002C39C7"/>
    <w:rsid w:val="002C4043"/>
    <w:rsid w:val="002C4D9F"/>
    <w:rsid w:val="002C5015"/>
    <w:rsid w:val="002C6170"/>
    <w:rsid w:val="002C74DE"/>
    <w:rsid w:val="002C783E"/>
    <w:rsid w:val="002C7BA8"/>
    <w:rsid w:val="002D0B50"/>
    <w:rsid w:val="002D0B99"/>
    <w:rsid w:val="002D0BD9"/>
    <w:rsid w:val="002D0CFE"/>
    <w:rsid w:val="002D1804"/>
    <w:rsid w:val="002D223B"/>
    <w:rsid w:val="002D2917"/>
    <w:rsid w:val="002D2D93"/>
    <w:rsid w:val="002D318A"/>
    <w:rsid w:val="002D33BC"/>
    <w:rsid w:val="002D35A3"/>
    <w:rsid w:val="002D3B55"/>
    <w:rsid w:val="002D3EFC"/>
    <w:rsid w:val="002D47C8"/>
    <w:rsid w:val="002D4917"/>
    <w:rsid w:val="002D5575"/>
    <w:rsid w:val="002D5585"/>
    <w:rsid w:val="002D55C0"/>
    <w:rsid w:val="002D5CCB"/>
    <w:rsid w:val="002D6005"/>
    <w:rsid w:val="002D730A"/>
    <w:rsid w:val="002D74DD"/>
    <w:rsid w:val="002D7F35"/>
    <w:rsid w:val="002DE30F"/>
    <w:rsid w:val="002E015A"/>
    <w:rsid w:val="002E02C9"/>
    <w:rsid w:val="002E061E"/>
    <w:rsid w:val="002E0EDA"/>
    <w:rsid w:val="002E0FB4"/>
    <w:rsid w:val="002E1196"/>
    <w:rsid w:val="002E18B3"/>
    <w:rsid w:val="002E1EDE"/>
    <w:rsid w:val="002E1F3B"/>
    <w:rsid w:val="002E20C8"/>
    <w:rsid w:val="002E3BC3"/>
    <w:rsid w:val="002E51FC"/>
    <w:rsid w:val="002E5409"/>
    <w:rsid w:val="002E57C0"/>
    <w:rsid w:val="002E5C52"/>
    <w:rsid w:val="002E5CDB"/>
    <w:rsid w:val="002E6592"/>
    <w:rsid w:val="002E6A99"/>
    <w:rsid w:val="002E6FD5"/>
    <w:rsid w:val="002E6FF0"/>
    <w:rsid w:val="002E6FF3"/>
    <w:rsid w:val="002F0713"/>
    <w:rsid w:val="002F0BFF"/>
    <w:rsid w:val="002F0D5C"/>
    <w:rsid w:val="002F11A0"/>
    <w:rsid w:val="002F19BC"/>
    <w:rsid w:val="002F19F8"/>
    <w:rsid w:val="002F2285"/>
    <w:rsid w:val="002F27B5"/>
    <w:rsid w:val="002F3675"/>
    <w:rsid w:val="002F3E07"/>
    <w:rsid w:val="002F4112"/>
    <w:rsid w:val="002F5622"/>
    <w:rsid w:val="002F57A3"/>
    <w:rsid w:val="002F5949"/>
    <w:rsid w:val="002F5C2C"/>
    <w:rsid w:val="002F6620"/>
    <w:rsid w:val="002F7EF0"/>
    <w:rsid w:val="003002C2"/>
    <w:rsid w:val="0030205B"/>
    <w:rsid w:val="0030251E"/>
    <w:rsid w:val="00302E5E"/>
    <w:rsid w:val="00302F64"/>
    <w:rsid w:val="00303E88"/>
    <w:rsid w:val="0030409C"/>
    <w:rsid w:val="003049E0"/>
    <w:rsid w:val="00304F5B"/>
    <w:rsid w:val="00306022"/>
    <w:rsid w:val="003063F8"/>
    <w:rsid w:val="003064E2"/>
    <w:rsid w:val="00306792"/>
    <w:rsid w:val="00306C26"/>
    <w:rsid w:val="00306CCB"/>
    <w:rsid w:val="00306F49"/>
    <w:rsid w:val="00307490"/>
    <w:rsid w:val="0030778D"/>
    <w:rsid w:val="00310071"/>
    <w:rsid w:val="0031021F"/>
    <w:rsid w:val="00310994"/>
    <w:rsid w:val="00310DF2"/>
    <w:rsid w:val="00311B9E"/>
    <w:rsid w:val="00312988"/>
    <w:rsid w:val="00312C98"/>
    <w:rsid w:val="00313320"/>
    <w:rsid w:val="003136B0"/>
    <w:rsid w:val="00313BC1"/>
    <w:rsid w:val="003140D9"/>
    <w:rsid w:val="00314647"/>
    <w:rsid w:val="00314658"/>
    <w:rsid w:val="00314B2F"/>
    <w:rsid w:val="003151E0"/>
    <w:rsid w:val="00315522"/>
    <w:rsid w:val="0031659A"/>
    <w:rsid w:val="003168DF"/>
    <w:rsid w:val="00320E02"/>
    <w:rsid w:val="003217CE"/>
    <w:rsid w:val="00321F2E"/>
    <w:rsid w:val="00322D0B"/>
    <w:rsid w:val="003231EC"/>
    <w:rsid w:val="003234C1"/>
    <w:rsid w:val="0032407C"/>
    <w:rsid w:val="00324B08"/>
    <w:rsid w:val="00325C40"/>
    <w:rsid w:val="00325CAC"/>
    <w:rsid w:val="003265D6"/>
    <w:rsid w:val="0032708A"/>
    <w:rsid w:val="003270B7"/>
    <w:rsid w:val="00327406"/>
    <w:rsid w:val="00327BDF"/>
    <w:rsid w:val="003309C8"/>
    <w:rsid w:val="00332FDC"/>
    <w:rsid w:val="003334FE"/>
    <w:rsid w:val="00333AF0"/>
    <w:rsid w:val="00334244"/>
    <w:rsid w:val="00334655"/>
    <w:rsid w:val="003348CD"/>
    <w:rsid w:val="00334C60"/>
    <w:rsid w:val="0033502C"/>
    <w:rsid w:val="003363E8"/>
    <w:rsid w:val="00336717"/>
    <w:rsid w:val="00336B84"/>
    <w:rsid w:val="00337648"/>
    <w:rsid w:val="00337891"/>
    <w:rsid w:val="00337BA5"/>
    <w:rsid w:val="00337C41"/>
    <w:rsid w:val="00340465"/>
    <w:rsid w:val="00340506"/>
    <w:rsid w:val="003415DE"/>
    <w:rsid w:val="003417F2"/>
    <w:rsid w:val="00342D95"/>
    <w:rsid w:val="00342F28"/>
    <w:rsid w:val="00343856"/>
    <w:rsid w:val="00343EBF"/>
    <w:rsid w:val="00343FC8"/>
    <w:rsid w:val="003442F1"/>
    <w:rsid w:val="0034434A"/>
    <w:rsid w:val="00344521"/>
    <w:rsid w:val="003447A4"/>
    <w:rsid w:val="0034488E"/>
    <w:rsid w:val="00344B2B"/>
    <w:rsid w:val="003461A1"/>
    <w:rsid w:val="00346F78"/>
    <w:rsid w:val="00347795"/>
    <w:rsid w:val="00347B8A"/>
    <w:rsid w:val="00350552"/>
    <w:rsid w:val="003516CF"/>
    <w:rsid w:val="00351DAF"/>
    <w:rsid w:val="00352A62"/>
    <w:rsid w:val="00353344"/>
    <w:rsid w:val="00353936"/>
    <w:rsid w:val="003539BF"/>
    <w:rsid w:val="00353E0B"/>
    <w:rsid w:val="00353F9D"/>
    <w:rsid w:val="00354211"/>
    <w:rsid w:val="003542C2"/>
    <w:rsid w:val="00354420"/>
    <w:rsid w:val="00354503"/>
    <w:rsid w:val="003548F1"/>
    <w:rsid w:val="00355DD6"/>
    <w:rsid w:val="0035674C"/>
    <w:rsid w:val="003569B0"/>
    <w:rsid w:val="00356E74"/>
    <w:rsid w:val="003576D1"/>
    <w:rsid w:val="003582F1"/>
    <w:rsid w:val="003606A4"/>
    <w:rsid w:val="00360A6A"/>
    <w:rsid w:val="00360D67"/>
    <w:rsid w:val="0036110D"/>
    <w:rsid w:val="00361111"/>
    <w:rsid w:val="00361D0B"/>
    <w:rsid w:val="00361EC2"/>
    <w:rsid w:val="00362C6D"/>
    <w:rsid w:val="0036347B"/>
    <w:rsid w:val="003638CB"/>
    <w:rsid w:val="00364606"/>
    <w:rsid w:val="00364B24"/>
    <w:rsid w:val="00364F4C"/>
    <w:rsid w:val="003658F3"/>
    <w:rsid w:val="00365A4C"/>
    <w:rsid w:val="00365C8F"/>
    <w:rsid w:val="00365D6E"/>
    <w:rsid w:val="00365DFF"/>
    <w:rsid w:val="00366008"/>
    <w:rsid w:val="003664F1"/>
    <w:rsid w:val="00366742"/>
    <w:rsid w:val="00366784"/>
    <w:rsid w:val="00366C46"/>
    <w:rsid w:val="00367725"/>
    <w:rsid w:val="00370A01"/>
    <w:rsid w:val="003711F5"/>
    <w:rsid w:val="00371385"/>
    <w:rsid w:val="00372E5E"/>
    <w:rsid w:val="00373881"/>
    <w:rsid w:val="00374117"/>
    <w:rsid w:val="00375690"/>
    <w:rsid w:val="00376123"/>
    <w:rsid w:val="003766F6"/>
    <w:rsid w:val="00377B30"/>
    <w:rsid w:val="00380687"/>
    <w:rsid w:val="0038083E"/>
    <w:rsid w:val="00380CF9"/>
    <w:rsid w:val="00380E04"/>
    <w:rsid w:val="00380F1C"/>
    <w:rsid w:val="00381255"/>
    <w:rsid w:val="003817E3"/>
    <w:rsid w:val="003818D6"/>
    <w:rsid w:val="00382129"/>
    <w:rsid w:val="0038255C"/>
    <w:rsid w:val="003825BF"/>
    <w:rsid w:val="0038280F"/>
    <w:rsid w:val="0038299E"/>
    <w:rsid w:val="0038303B"/>
    <w:rsid w:val="00383380"/>
    <w:rsid w:val="00383D6C"/>
    <w:rsid w:val="00383F74"/>
    <w:rsid w:val="0038406F"/>
    <w:rsid w:val="00384D50"/>
    <w:rsid w:val="00385099"/>
    <w:rsid w:val="00385312"/>
    <w:rsid w:val="00385675"/>
    <w:rsid w:val="00385682"/>
    <w:rsid w:val="00385975"/>
    <w:rsid w:val="0038628F"/>
    <w:rsid w:val="003875C6"/>
    <w:rsid w:val="003907BE"/>
    <w:rsid w:val="0039098E"/>
    <w:rsid w:val="00390C2C"/>
    <w:rsid w:val="00390EB1"/>
    <w:rsid w:val="003911AF"/>
    <w:rsid w:val="00391E49"/>
    <w:rsid w:val="00391EE0"/>
    <w:rsid w:val="0039236A"/>
    <w:rsid w:val="00392C42"/>
    <w:rsid w:val="00394802"/>
    <w:rsid w:val="003948C5"/>
    <w:rsid w:val="00394920"/>
    <w:rsid w:val="0039614F"/>
    <w:rsid w:val="003968E6"/>
    <w:rsid w:val="00396ABB"/>
    <w:rsid w:val="00396B5A"/>
    <w:rsid w:val="00397440"/>
    <w:rsid w:val="00397603"/>
    <w:rsid w:val="00397B49"/>
    <w:rsid w:val="00397B72"/>
    <w:rsid w:val="00397BC7"/>
    <w:rsid w:val="00397FA1"/>
    <w:rsid w:val="003A09E7"/>
    <w:rsid w:val="003A11F8"/>
    <w:rsid w:val="003A1C53"/>
    <w:rsid w:val="003A203D"/>
    <w:rsid w:val="003A2446"/>
    <w:rsid w:val="003A25F2"/>
    <w:rsid w:val="003A2F31"/>
    <w:rsid w:val="003A358D"/>
    <w:rsid w:val="003A40C5"/>
    <w:rsid w:val="003A422C"/>
    <w:rsid w:val="003A4702"/>
    <w:rsid w:val="003A496A"/>
    <w:rsid w:val="003A5B0C"/>
    <w:rsid w:val="003A5D1A"/>
    <w:rsid w:val="003A5DEE"/>
    <w:rsid w:val="003A62EA"/>
    <w:rsid w:val="003A6532"/>
    <w:rsid w:val="003A7846"/>
    <w:rsid w:val="003A7B70"/>
    <w:rsid w:val="003A7D37"/>
    <w:rsid w:val="003A7D6D"/>
    <w:rsid w:val="003A7F85"/>
    <w:rsid w:val="003B0473"/>
    <w:rsid w:val="003B04DD"/>
    <w:rsid w:val="003B11D5"/>
    <w:rsid w:val="003B14B2"/>
    <w:rsid w:val="003B2F8E"/>
    <w:rsid w:val="003B39CA"/>
    <w:rsid w:val="003B3E47"/>
    <w:rsid w:val="003B4368"/>
    <w:rsid w:val="003B49F7"/>
    <w:rsid w:val="003B4E74"/>
    <w:rsid w:val="003B58C3"/>
    <w:rsid w:val="003B62B5"/>
    <w:rsid w:val="003B6DC2"/>
    <w:rsid w:val="003B6F07"/>
    <w:rsid w:val="003B7363"/>
    <w:rsid w:val="003B794D"/>
    <w:rsid w:val="003C03EB"/>
    <w:rsid w:val="003C0421"/>
    <w:rsid w:val="003C04B0"/>
    <w:rsid w:val="003C0792"/>
    <w:rsid w:val="003C08A3"/>
    <w:rsid w:val="003C138B"/>
    <w:rsid w:val="003C176A"/>
    <w:rsid w:val="003C1B8F"/>
    <w:rsid w:val="003C1CA5"/>
    <w:rsid w:val="003C1D19"/>
    <w:rsid w:val="003C2059"/>
    <w:rsid w:val="003C2474"/>
    <w:rsid w:val="003C25A3"/>
    <w:rsid w:val="003C2B1A"/>
    <w:rsid w:val="003C4A4B"/>
    <w:rsid w:val="003C5859"/>
    <w:rsid w:val="003C5C52"/>
    <w:rsid w:val="003C5E24"/>
    <w:rsid w:val="003C6153"/>
    <w:rsid w:val="003C6A81"/>
    <w:rsid w:val="003C6FD6"/>
    <w:rsid w:val="003C7F0C"/>
    <w:rsid w:val="003D018B"/>
    <w:rsid w:val="003D034C"/>
    <w:rsid w:val="003D15CF"/>
    <w:rsid w:val="003D1DE3"/>
    <w:rsid w:val="003D1EAB"/>
    <w:rsid w:val="003D31A0"/>
    <w:rsid w:val="003D32AA"/>
    <w:rsid w:val="003D3C42"/>
    <w:rsid w:val="003D41C5"/>
    <w:rsid w:val="003D4A96"/>
    <w:rsid w:val="003D4C86"/>
    <w:rsid w:val="003D5C9F"/>
    <w:rsid w:val="003D5E93"/>
    <w:rsid w:val="003D5F7D"/>
    <w:rsid w:val="003D61DA"/>
    <w:rsid w:val="003D643E"/>
    <w:rsid w:val="003D6DFF"/>
    <w:rsid w:val="003D6ED1"/>
    <w:rsid w:val="003E0E76"/>
    <w:rsid w:val="003E0E99"/>
    <w:rsid w:val="003E1545"/>
    <w:rsid w:val="003E174D"/>
    <w:rsid w:val="003E1AD8"/>
    <w:rsid w:val="003E1CF5"/>
    <w:rsid w:val="003E3242"/>
    <w:rsid w:val="003E36B2"/>
    <w:rsid w:val="003E3F13"/>
    <w:rsid w:val="003E40E0"/>
    <w:rsid w:val="003E476E"/>
    <w:rsid w:val="003E4AEF"/>
    <w:rsid w:val="003E51A1"/>
    <w:rsid w:val="003E5CCD"/>
    <w:rsid w:val="003E6C8F"/>
    <w:rsid w:val="003E71B4"/>
    <w:rsid w:val="003E7814"/>
    <w:rsid w:val="003E782F"/>
    <w:rsid w:val="003E7D34"/>
    <w:rsid w:val="003F0005"/>
    <w:rsid w:val="003F11EC"/>
    <w:rsid w:val="003F1DDA"/>
    <w:rsid w:val="003F1ECE"/>
    <w:rsid w:val="003F2204"/>
    <w:rsid w:val="003F3219"/>
    <w:rsid w:val="003F323A"/>
    <w:rsid w:val="003F32FB"/>
    <w:rsid w:val="003F3311"/>
    <w:rsid w:val="003F38C1"/>
    <w:rsid w:val="003F3A9A"/>
    <w:rsid w:val="003F564D"/>
    <w:rsid w:val="003F5936"/>
    <w:rsid w:val="003F5B46"/>
    <w:rsid w:val="003F5C4A"/>
    <w:rsid w:val="003F5E38"/>
    <w:rsid w:val="003F647C"/>
    <w:rsid w:val="003F670F"/>
    <w:rsid w:val="003F6BD7"/>
    <w:rsid w:val="0040015A"/>
    <w:rsid w:val="004001E4"/>
    <w:rsid w:val="00400B47"/>
    <w:rsid w:val="00401A27"/>
    <w:rsid w:val="00401D64"/>
    <w:rsid w:val="00401F60"/>
    <w:rsid w:val="004021E0"/>
    <w:rsid w:val="00402B08"/>
    <w:rsid w:val="00402C0B"/>
    <w:rsid w:val="00402D7D"/>
    <w:rsid w:val="00402FF5"/>
    <w:rsid w:val="0040310C"/>
    <w:rsid w:val="004038C6"/>
    <w:rsid w:val="00403AFA"/>
    <w:rsid w:val="00403FBA"/>
    <w:rsid w:val="00403FE4"/>
    <w:rsid w:val="00404737"/>
    <w:rsid w:val="00405576"/>
    <w:rsid w:val="00405737"/>
    <w:rsid w:val="0040716D"/>
    <w:rsid w:val="00407AB1"/>
    <w:rsid w:val="00407D9D"/>
    <w:rsid w:val="00407E62"/>
    <w:rsid w:val="00407F97"/>
    <w:rsid w:val="00410496"/>
    <w:rsid w:val="0041092A"/>
    <w:rsid w:val="00410A72"/>
    <w:rsid w:val="00410F1B"/>
    <w:rsid w:val="00411C4C"/>
    <w:rsid w:val="00413457"/>
    <w:rsid w:val="004135F4"/>
    <w:rsid w:val="00413B4C"/>
    <w:rsid w:val="00413BD7"/>
    <w:rsid w:val="00413BE5"/>
    <w:rsid w:val="0041419B"/>
    <w:rsid w:val="004151A6"/>
    <w:rsid w:val="00415F0D"/>
    <w:rsid w:val="0041603F"/>
    <w:rsid w:val="004168F3"/>
    <w:rsid w:val="004177D6"/>
    <w:rsid w:val="00417803"/>
    <w:rsid w:val="00417A32"/>
    <w:rsid w:val="004206EA"/>
    <w:rsid w:val="00420971"/>
    <w:rsid w:val="00420A13"/>
    <w:rsid w:val="0042128A"/>
    <w:rsid w:val="0042193C"/>
    <w:rsid w:val="0042202B"/>
    <w:rsid w:val="00422ECC"/>
    <w:rsid w:val="004232AD"/>
    <w:rsid w:val="0042338B"/>
    <w:rsid w:val="00423439"/>
    <w:rsid w:val="00424BCB"/>
    <w:rsid w:val="0042504B"/>
    <w:rsid w:val="004254CF"/>
    <w:rsid w:val="004257A9"/>
    <w:rsid w:val="00425AF4"/>
    <w:rsid w:val="00425D75"/>
    <w:rsid w:val="00426681"/>
    <w:rsid w:val="004270D0"/>
    <w:rsid w:val="00427A71"/>
    <w:rsid w:val="00430643"/>
    <w:rsid w:val="004309C1"/>
    <w:rsid w:val="004311BD"/>
    <w:rsid w:val="004313CE"/>
    <w:rsid w:val="004317D6"/>
    <w:rsid w:val="00431D7B"/>
    <w:rsid w:val="004323D0"/>
    <w:rsid w:val="0043286F"/>
    <w:rsid w:val="004355E2"/>
    <w:rsid w:val="00436DE5"/>
    <w:rsid w:val="0043753E"/>
    <w:rsid w:val="004378F3"/>
    <w:rsid w:val="00440689"/>
    <w:rsid w:val="0044156F"/>
    <w:rsid w:val="004431FC"/>
    <w:rsid w:val="004437AB"/>
    <w:rsid w:val="004440FE"/>
    <w:rsid w:val="00444559"/>
    <w:rsid w:val="00445124"/>
    <w:rsid w:val="004454FF"/>
    <w:rsid w:val="00445BC5"/>
    <w:rsid w:val="004464FD"/>
    <w:rsid w:val="00447539"/>
    <w:rsid w:val="00447595"/>
    <w:rsid w:val="004478D7"/>
    <w:rsid w:val="00450A11"/>
    <w:rsid w:val="00451846"/>
    <w:rsid w:val="00452751"/>
    <w:rsid w:val="004539A9"/>
    <w:rsid w:val="00454E3A"/>
    <w:rsid w:val="00455410"/>
    <w:rsid w:val="00455945"/>
    <w:rsid w:val="00456B6C"/>
    <w:rsid w:val="00456DB3"/>
    <w:rsid w:val="00456E01"/>
    <w:rsid w:val="004576F0"/>
    <w:rsid w:val="00460190"/>
    <w:rsid w:val="004602EC"/>
    <w:rsid w:val="0046043D"/>
    <w:rsid w:val="004605A2"/>
    <w:rsid w:val="00460B5D"/>
    <w:rsid w:val="00460F1A"/>
    <w:rsid w:val="00462143"/>
    <w:rsid w:val="0046292B"/>
    <w:rsid w:val="004632B2"/>
    <w:rsid w:val="00463847"/>
    <w:rsid w:val="004639A5"/>
    <w:rsid w:val="00463A4D"/>
    <w:rsid w:val="00463B69"/>
    <w:rsid w:val="00463F86"/>
    <w:rsid w:val="00463FA6"/>
    <w:rsid w:val="00464003"/>
    <w:rsid w:val="004642B1"/>
    <w:rsid w:val="004642BD"/>
    <w:rsid w:val="00464387"/>
    <w:rsid w:val="004644C0"/>
    <w:rsid w:val="00465DFB"/>
    <w:rsid w:val="0046605B"/>
    <w:rsid w:val="004663B8"/>
    <w:rsid w:val="004667B8"/>
    <w:rsid w:val="004670C7"/>
    <w:rsid w:val="00467AB0"/>
    <w:rsid w:val="004701F6"/>
    <w:rsid w:val="00470665"/>
    <w:rsid w:val="004706E7"/>
    <w:rsid w:val="00471CFF"/>
    <w:rsid w:val="00471E26"/>
    <w:rsid w:val="004725A0"/>
    <w:rsid w:val="004725AB"/>
    <w:rsid w:val="00472FAC"/>
    <w:rsid w:val="004730C5"/>
    <w:rsid w:val="004734DC"/>
    <w:rsid w:val="00473AD9"/>
    <w:rsid w:val="00473D52"/>
    <w:rsid w:val="00475011"/>
    <w:rsid w:val="004751BB"/>
    <w:rsid w:val="004754E4"/>
    <w:rsid w:val="00476B76"/>
    <w:rsid w:val="00476E2D"/>
    <w:rsid w:val="00477F75"/>
    <w:rsid w:val="0047A202"/>
    <w:rsid w:val="0047AAE4"/>
    <w:rsid w:val="004809E5"/>
    <w:rsid w:val="0048132A"/>
    <w:rsid w:val="004814F6"/>
    <w:rsid w:val="00481609"/>
    <w:rsid w:val="0048180B"/>
    <w:rsid w:val="0048267D"/>
    <w:rsid w:val="00482E51"/>
    <w:rsid w:val="0048329C"/>
    <w:rsid w:val="00484AE3"/>
    <w:rsid w:val="004850DE"/>
    <w:rsid w:val="00485126"/>
    <w:rsid w:val="004854CD"/>
    <w:rsid w:val="00486D2E"/>
    <w:rsid w:val="0048704D"/>
    <w:rsid w:val="0048765A"/>
    <w:rsid w:val="00491512"/>
    <w:rsid w:val="00491571"/>
    <w:rsid w:val="004915B2"/>
    <w:rsid w:val="00492FAD"/>
    <w:rsid w:val="0049380A"/>
    <w:rsid w:val="00493A2E"/>
    <w:rsid w:val="00493A30"/>
    <w:rsid w:val="004943AF"/>
    <w:rsid w:val="00494527"/>
    <w:rsid w:val="0049489C"/>
    <w:rsid w:val="0049492C"/>
    <w:rsid w:val="00496632"/>
    <w:rsid w:val="0049720E"/>
    <w:rsid w:val="0049763D"/>
    <w:rsid w:val="00497D7E"/>
    <w:rsid w:val="004A01DE"/>
    <w:rsid w:val="004A0364"/>
    <w:rsid w:val="004A0C81"/>
    <w:rsid w:val="004A1692"/>
    <w:rsid w:val="004A1752"/>
    <w:rsid w:val="004A1BC3"/>
    <w:rsid w:val="004A292A"/>
    <w:rsid w:val="004A3281"/>
    <w:rsid w:val="004A3418"/>
    <w:rsid w:val="004A3679"/>
    <w:rsid w:val="004A38A8"/>
    <w:rsid w:val="004A3C85"/>
    <w:rsid w:val="004A3CA7"/>
    <w:rsid w:val="004A4007"/>
    <w:rsid w:val="004A4253"/>
    <w:rsid w:val="004A4955"/>
    <w:rsid w:val="004A5D0E"/>
    <w:rsid w:val="004A62C4"/>
    <w:rsid w:val="004A63A0"/>
    <w:rsid w:val="004A6A5D"/>
    <w:rsid w:val="004A6D1C"/>
    <w:rsid w:val="004A77DB"/>
    <w:rsid w:val="004A7A63"/>
    <w:rsid w:val="004A7F17"/>
    <w:rsid w:val="004B059D"/>
    <w:rsid w:val="004B066C"/>
    <w:rsid w:val="004B0814"/>
    <w:rsid w:val="004B107C"/>
    <w:rsid w:val="004B1522"/>
    <w:rsid w:val="004B2520"/>
    <w:rsid w:val="004B2BCA"/>
    <w:rsid w:val="004B322A"/>
    <w:rsid w:val="004B3F9A"/>
    <w:rsid w:val="004B4074"/>
    <w:rsid w:val="004B40E7"/>
    <w:rsid w:val="004B51B5"/>
    <w:rsid w:val="004B5433"/>
    <w:rsid w:val="004B5FF0"/>
    <w:rsid w:val="004B60D4"/>
    <w:rsid w:val="004B62C7"/>
    <w:rsid w:val="004B6A38"/>
    <w:rsid w:val="004B6F7F"/>
    <w:rsid w:val="004C07A9"/>
    <w:rsid w:val="004C07C6"/>
    <w:rsid w:val="004C08AD"/>
    <w:rsid w:val="004C1D68"/>
    <w:rsid w:val="004C3300"/>
    <w:rsid w:val="004C3B89"/>
    <w:rsid w:val="004C3BD1"/>
    <w:rsid w:val="004C4122"/>
    <w:rsid w:val="004C480C"/>
    <w:rsid w:val="004C4953"/>
    <w:rsid w:val="004C4D5C"/>
    <w:rsid w:val="004C510E"/>
    <w:rsid w:val="004C680A"/>
    <w:rsid w:val="004C739D"/>
    <w:rsid w:val="004C7584"/>
    <w:rsid w:val="004C75BE"/>
    <w:rsid w:val="004D0E5E"/>
    <w:rsid w:val="004D104E"/>
    <w:rsid w:val="004D1397"/>
    <w:rsid w:val="004D1D86"/>
    <w:rsid w:val="004D29FB"/>
    <w:rsid w:val="004D30A4"/>
    <w:rsid w:val="004D370D"/>
    <w:rsid w:val="004D3DEE"/>
    <w:rsid w:val="004D4849"/>
    <w:rsid w:val="004D48C6"/>
    <w:rsid w:val="004D4C3C"/>
    <w:rsid w:val="004D4F2D"/>
    <w:rsid w:val="004D56EC"/>
    <w:rsid w:val="004D57BB"/>
    <w:rsid w:val="004D5C14"/>
    <w:rsid w:val="004D5D61"/>
    <w:rsid w:val="004D5E2C"/>
    <w:rsid w:val="004D63C2"/>
    <w:rsid w:val="004D6BD1"/>
    <w:rsid w:val="004D74A2"/>
    <w:rsid w:val="004D7CAA"/>
    <w:rsid w:val="004D7FEE"/>
    <w:rsid w:val="004E0044"/>
    <w:rsid w:val="004E01FF"/>
    <w:rsid w:val="004E0768"/>
    <w:rsid w:val="004E0949"/>
    <w:rsid w:val="004E100C"/>
    <w:rsid w:val="004E190A"/>
    <w:rsid w:val="004E1DBA"/>
    <w:rsid w:val="004E20DA"/>
    <w:rsid w:val="004E30CB"/>
    <w:rsid w:val="004E3A55"/>
    <w:rsid w:val="004E57B5"/>
    <w:rsid w:val="004E5EF3"/>
    <w:rsid w:val="004E5FC7"/>
    <w:rsid w:val="004E6AA0"/>
    <w:rsid w:val="004E6DB4"/>
    <w:rsid w:val="004E6FF0"/>
    <w:rsid w:val="004E7BE3"/>
    <w:rsid w:val="004F0970"/>
    <w:rsid w:val="004F11C5"/>
    <w:rsid w:val="004F18CD"/>
    <w:rsid w:val="004F1BE5"/>
    <w:rsid w:val="004F1C83"/>
    <w:rsid w:val="004F2028"/>
    <w:rsid w:val="004F236E"/>
    <w:rsid w:val="004F26BF"/>
    <w:rsid w:val="004F3242"/>
    <w:rsid w:val="004F3477"/>
    <w:rsid w:val="004F3C74"/>
    <w:rsid w:val="004F4697"/>
    <w:rsid w:val="004F4737"/>
    <w:rsid w:val="004F4E02"/>
    <w:rsid w:val="004F55D0"/>
    <w:rsid w:val="004F5CEC"/>
    <w:rsid w:val="004F6324"/>
    <w:rsid w:val="004F71A3"/>
    <w:rsid w:val="00501CED"/>
    <w:rsid w:val="0050225F"/>
    <w:rsid w:val="0050287C"/>
    <w:rsid w:val="00502CA3"/>
    <w:rsid w:val="00502F19"/>
    <w:rsid w:val="0050317D"/>
    <w:rsid w:val="0050336D"/>
    <w:rsid w:val="00503750"/>
    <w:rsid w:val="00503AFF"/>
    <w:rsid w:val="0050516C"/>
    <w:rsid w:val="005062CD"/>
    <w:rsid w:val="005068C4"/>
    <w:rsid w:val="00507A67"/>
    <w:rsid w:val="00510198"/>
    <w:rsid w:val="00510715"/>
    <w:rsid w:val="0051079F"/>
    <w:rsid w:val="00510FC0"/>
    <w:rsid w:val="00511292"/>
    <w:rsid w:val="00511E80"/>
    <w:rsid w:val="0051245F"/>
    <w:rsid w:val="005135CF"/>
    <w:rsid w:val="00513642"/>
    <w:rsid w:val="0051423B"/>
    <w:rsid w:val="005147D7"/>
    <w:rsid w:val="00514864"/>
    <w:rsid w:val="00514E03"/>
    <w:rsid w:val="00515052"/>
    <w:rsid w:val="005153CC"/>
    <w:rsid w:val="00515462"/>
    <w:rsid w:val="005157A9"/>
    <w:rsid w:val="005167C5"/>
    <w:rsid w:val="00516D08"/>
    <w:rsid w:val="00516DFB"/>
    <w:rsid w:val="005170DF"/>
    <w:rsid w:val="005179EA"/>
    <w:rsid w:val="00517C7C"/>
    <w:rsid w:val="005209B1"/>
    <w:rsid w:val="00521D13"/>
    <w:rsid w:val="005231FF"/>
    <w:rsid w:val="00523334"/>
    <w:rsid w:val="00523696"/>
    <w:rsid w:val="00523C63"/>
    <w:rsid w:val="0052440D"/>
    <w:rsid w:val="00524577"/>
    <w:rsid w:val="00524FD6"/>
    <w:rsid w:val="00525300"/>
    <w:rsid w:val="00525AB4"/>
    <w:rsid w:val="00527080"/>
    <w:rsid w:val="00527288"/>
    <w:rsid w:val="00527524"/>
    <w:rsid w:val="00527828"/>
    <w:rsid w:val="00527A55"/>
    <w:rsid w:val="005301DF"/>
    <w:rsid w:val="005313B8"/>
    <w:rsid w:val="0053186B"/>
    <w:rsid w:val="00531BCA"/>
    <w:rsid w:val="005328FF"/>
    <w:rsid w:val="00532F70"/>
    <w:rsid w:val="005336E5"/>
    <w:rsid w:val="00534373"/>
    <w:rsid w:val="00534A90"/>
    <w:rsid w:val="00535D9F"/>
    <w:rsid w:val="005363BC"/>
    <w:rsid w:val="005370BF"/>
    <w:rsid w:val="005374C5"/>
    <w:rsid w:val="005405E1"/>
    <w:rsid w:val="00540E19"/>
    <w:rsid w:val="00541142"/>
    <w:rsid w:val="005413B8"/>
    <w:rsid w:val="00542017"/>
    <w:rsid w:val="00542163"/>
    <w:rsid w:val="005427DF"/>
    <w:rsid w:val="0054298E"/>
    <w:rsid w:val="00542D5F"/>
    <w:rsid w:val="00542D6E"/>
    <w:rsid w:val="005433D9"/>
    <w:rsid w:val="005434A7"/>
    <w:rsid w:val="005434E9"/>
    <w:rsid w:val="00543915"/>
    <w:rsid w:val="00543C23"/>
    <w:rsid w:val="00543CB3"/>
    <w:rsid w:val="00544044"/>
    <w:rsid w:val="005446F0"/>
    <w:rsid w:val="0054581D"/>
    <w:rsid w:val="00545EDA"/>
    <w:rsid w:val="00546BDF"/>
    <w:rsid w:val="0054787B"/>
    <w:rsid w:val="005478FE"/>
    <w:rsid w:val="00547B59"/>
    <w:rsid w:val="00547CF9"/>
    <w:rsid w:val="00547F31"/>
    <w:rsid w:val="00550971"/>
    <w:rsid w:val="00550EDA"/>
    <w:rsid w:val="005513D5"/>
    <w:rsid w:val="00551B29"/>
    <w:rsid w:val="00551B33"/>
    <w:rsid w:val="00551EEC"/>
    <w:rsid w:val="005528F6"/>
    <w:rsid w:val="00552910"/>
    <w:rsid w:val="00552DE3"/>
    <w:rsid w:val="00553467"/>
    <w:rsid w:val="005538FC"/>
    <w:rsid w:val="00553913"/>
    <w:rsid w:val="00553A8F"/>
    <w:rsid w:val="00553FC0"/>
    <w:rsid w:val="0055477B"/>
    <w:rsid w:val="00554D4D"/>
    <w:rsid w:val="00554EB0"/>
    <w:rsid w:val="005564B8"/>
    <w:rsid w:val="00556B95"/>
    <w:rsid w:val="00556C5E"/>
    <w:rsid w:val="005578CF"/>
    <w:rsid w:val="00560AFC"/>
    <w:rsid w:val="00560C63"/>
    <w:rsid w:val="00560CA4"/>
    <w:rsid w:val="00560DEE"/>
    <w:rsid w:val="0056166E"/>
    <w:rsid w:val="00561CF3"/>
    <w:rsid w:val="00562433"/>
    <w:rsid w:val="00563100"/>
    <w:rsid w:val="00563523"/>
    <w:rsid w:val="005636B2"/>
    <w:rsid w:val="005638B3"/>
    <w:rsid w:val="00564939"/>
    <w:rsid w:val="00565039"/>
    <w:rsid w:val="005653FE"/>
    <w:rsid w:val="005654A5"/>
    <w:rsid w:val="005656C2"/>
    <w:rsid w:val="00566184"/>
    <w:rsid w:val="0056648E"/>
    <w:rsid w:val="00566DFC"/>
    <w:rsid w:val="005673DE"/>
    <w:rsid w:val="00570447"/>
    <w:rsid w:val="005709B8"/>
    <w:rsid w:val="00570F68"/>
    <w:rsid w:val="0057178D"/>
    <w:rsid w:val="00571ADB"/>
    <w:rsid w:val="00572171"/>
    <w:rsid w:val="00572992"/>
    <w:rsid w:val="00572D78"/>
    <w:rsid w:val="0057311A"/>
    <w:rsid w:val="00573CC4"/>
    <w:rsid w:val="00573F7B"/>
    <w:rsid w:val="00574250"/>
    <w:rsid w:val="005744B5"/>
    <w:rsid w:val="005745AA"/>
    <w:rsid w:val="00575094"/>
    <w:rsid w:val="0057534C"/>
    <w:rsid w:val="00575FFE"/>
    <w:rsid w:val="0057619D"/>
    <w:rsid w:val="00576C3D"/>
    <w:rsid w:val="00577069"/>
    <w:rsid w:val="00577E20"/>
    <w:rsid w:val="00580D66"/>
    <w:rsid w:val="00580F6E"/>
    <w:rsid w:val="00580F7D"/>
    <w:rsid w:val="005819EC"/>
    <w:rsid w:val="00581C15"/>
    <w:rsid w:val="00581C1C"/>
    <w:rsid w:val="00581C25"/>
    <w:rsid w:val="0058249F"/>
    <w:rsid w:val="00582E36"/>
    <w:rsid w:val="00582FB0"/>
    <w:rsid w:val="005837E2"/>
    <w:rsid w:val="00584438"/>
    <w:rsid w:val="005845A7"/>
    <w:rsid w:val="00584A2E"/>
    <w:rsid w:val="00584C85"/>
    <w:rsid w:val="0058665E"/>
    <w:rsid w:val="0058670D"/>
    <w:rsid w:val="0058684B"/>
    <w:rsid w:val="00586D17"/>
    <w:rsid w:val="0058731B"/>
    <w:rsid w:val="0058751E"/>
    <w:rsid w:val="00587E37"/>
    <w:rsid w:val="005904C9"/>
    <w:rsid w:val="005904CF"/>
    <w:rsid w:val="005907DB"/>
    <w:rsid w:val="00590817"/>
    <w:rsid w:val="00590CDC"/>
    <w:rsid w:val="005914FB"/>
    <w:rsid w:val="00591C89"/>
    <w:rsid w:val="0059208D"/>
    <w:rsid w:val="0059231D"/>
    <w:rsid w:val="005923D2"/>
    <w:rsid w:val="0059253B"/>
    <w:rsid w:val="005934B2"/>
    <w:rsid w:val="00593C2B"/>
    <w:rsid w:val="0059401F"/>
    <w:rsid w:val="0059592A"/>
    <w:rsid w:val="00595AB2"/>
    <w:rsid w:val="00596537"/>
    <w:rsid w:val="005977C0"/>
    <w:rsid w:val="00597B49"/>
    <w:rsid w:val="00597BDF"/>
    <w:rsid w:val="005A01E6"/>
    <w:rsid w:val="005A2E41"/>
    <w:rsid w:val="005A403F"/>
    <w:rsid w:val="005A5586"/>
    <w:rsid w:val="005A5EDE"/>
    <w:rsid w:val="005A65D5"/>
    <w:rsid w:val="005A66CB"/>
    <w:rsid w:val="005A6791"/>
    <w:rsid w:val="005A6814"/>
    <w:rsid w:val="005A6E81"/>
    <w:rsid w:val="005A713B"/>
    <w:rsid w:val="005B089A"/>
    <w:rsid w:val="005B0C50"/>
    <w:rsid w:val="005B1182"/>
    <w:rsid w:val="005B18FA"/>
    <w:rsid w:val="005B1DD6"/>
    <w:rsid w:val="005B29C6"/>
    <w:rsid w:val="005B29E6"/>
    <w:rsid w:val="005B2F28"/>
    <w:rsid w:val="005B3226"/>
    <w:rsid w:val="005B3E3B"/>
    <w:rsid w:val="005B3FF0"/>
    <w:rsid w:val="005B4164"/>
    <w:rsid w:val="005B450D"/>
    <w:rsid w:val="005B4B80"/>
    <w:rsid w:val="005B675F"/>
    <w:rsid w:val="005B678B"/>
    <w:rsid w:val="005B7ACA"/>
    <w:rsid w:val="005C0316"/>
    <w:rsid w:val="005C0C79"/>
    <w:rsid w:val="005C1537"/>
    <w:rsid w:val="005C1636"/>
    <w:rsid w:val="005C1B9B"/>
    <w:rsid w:val="005C1CC6"/>
    <w:rsid w:val="005C259B"/>
    <w:rsid w:val="005C2619"/>
    <w:rsid w:val="005C2734"/>
    <w:rsid w:val="005C2CAD"/>
    <w:rsid w:val="005C39A4"/>
    <w:rsid w:val="005C3C96"/>
    <w:rsid w:val="005C4DB0"/>
    <w:rsid w:val="005C4E25"/>
    <w:rsid w:val="005C5E97"/>
    <w:rsid w:val="005C6713"/>
    <w:rsid w:val="005C7012"/>
    <w:rsid w:val="005C7F5D"/>
    <w:rsid w:val="005D01E1"/>
    <w:rsid w:val="005D050C"/>
    <w:rsid w:val="005D0F4A"/>
    <w:rsid w:val="005D0F59"/>
    <w:rsid w:val="005D144D"/>
    <w:rsid w:val="005D1B9C"/>
    <w:rsid w:val="005D2536"/>
    <w:rsid w:val="005D26DF"/>
    <w:rsid w:val="005D2BB0"/>
    <w:rsid w:val="005D2F8D"/>
    <w:rsid w:val="005D352E"/>
    <w:rsid w:val="005D4419"/>
    <w:rsid w:val="005D5E94"/>
    <w:rsid w:val="005E048C"/>
    <w:rsid w:val="005E05AF"/>
    <w:rsid w:val="005E17D2"/>
    <w:rsid w:val="005E25B8"/>
    <w:rsid w:val="005E265F"/>
    <w:rsid w:val="005E3B03"/>
    <w:rsid w:val="005E4193"/>
    <w:rsid w:val="005E43C5"/>
    <w:rsid w:val="005E4CD4"/>
    <w:rsid w:val="005E4DA3"/>
    <w:rsid w:val="005E5AB5"/>
    <w:rsid w:val="005E5C76"/>
    <w:rsid w:val="005E6240"/>
    <w:rsid w:val="005E6331"/>
    <w:rsid w:val="005E6464"/>
    <w:rsid w:val="005E68AA"/>
    <w:rsid w:val="005E6EC9"/>
    <w:rsid w:val="005E6F5A"/>
    <w:rsid w:val="005E788F"/>
    <w:rsid w:val="005F0116"/>
    <w:rsid w:val="005F0E91"/>
    <w:rsid w:val="005F16B0"/>
    <w:rsid w:val="005F22D3"/>
    <w:rsid w:val="005F2863"/>
    <w:rsid w:val="005F2925"/>
    <w:rsid w:val="005F2BA6"/>
    <w:rsid w:val="005F2DB9"/>
    <w:rsid w:val="005F31CE"/>
    <w:rsid w:val="005F3557"/>
    <w:rsid w:val="005F3671"/>
    <w:rsid w:val="005F44CA"/>
    <w:rsid w:val="005F48D5"/>
    <w:rsid w:val="005F4E92"/>
    <w:rsid w:val="005F502B"/>
    <w:rsid w:val="005F5143"/>
    <w:rsid w:val="005F51C6"/>
    <w:rsid w:val="005F51F2"/>
    <w:rsid w:val="005F5239"/>
    <w:rsid w:val="005F5E86"/>
    <w:rsid w:val="005F635C"/>
    <w:rsid w:val="005F65D9"/>
    <w:rsid w:val="005F6752"/>
    <w:rsid w:val="005F6E81"/>
    <w:rsid w:val="005F705E"/>
    <w:rsid w:val="006007CC"/>
    <w:rsid w:val="00600ACD"/>
    <w:rsid w:val="00600BA0"/>
    <w:rsid w:val="00600C67"/>
    <w:rsid w:val="00600F00"/>
    <w:rsid w:val="00601851"/>
    <w:rsid w:val="00602B11"/>
    <w:rsid w:val="00602F05"/>
    <w:rsid w:val="00603248"/>
    <w:rsid w:val="006035CD"/>
    <w:rsid w:val="0060430C"/>
    <w:rsid w:val="00605040"/>
    <w:rsid w:val="00605B59"/>
    <w:rsid w:val="00605C53"/>
    <w:rsid w:val="006060BA"/>
    <w:rsid w:val="006063A7"/>
    <w:rsid w:val="006066B4"/>
    <w:rsid w:val="0060739E"/>
    <w:rsid w:val="00607B18"/>
    <w:rsid w:val="00610249"/>
    <w:rsid w:val="00610B71"/>
    <w:rsid w:val="00610FFB"/>
    <w:rsid w:val="00611069"/>
    <w:rsid w:val="006113B7"/>
    <w:rsid w:val="00611DE7"/>
    <w:rsid w:val="0061201F"/>
    <w:rsid w:val="00612113"/>
    <w:rsid w:val="006121BF"/>
    <w:rsid w:val="00613154"/>
    <w:rsid w:val="006132CB"/>
    <w:rsid w:val="00613A2E"/>
    <w:rsid w:val="00613E05"/>
    <w:rsid w:val="00614473"/>
    <w:rsid w:val="00614813"/>
    <w:rsid w:val="00614FD4"/>
    <w:rsid w:val="00615669"/>
    <w:rsid w:val="006158A2"/>
    <w:rsid w:val="00616795"/>
    <w:rsid w:val="006168D0"/>
    <w:rsid w:val="00616B71"/>
    <w:rsid w:val="00616C48"/>
    <w:rsid w:val="00617885"/>
    <w:rsid w:val="006178D0"/>
    <w:rsid w:val="0062078F"/>
    <w:rsid w:val="00620A1A"/>
    <w:rsid w:val="00620EE2"/>
    <w:rsid w:val="00620FF4"/>
    <w:rsid w:val="006215C5"/>
    <w:rsid w:val="00621A35"/>
    <w:rsid w:val="00621E7E"/>
    <w:rsid w:val="00623C53"/>
    <w:rsid w:val="006249A0"/>
    <w:rsid w:val="006250C9"/>
    <w:rsid w:val="00625362"/>
    <w:rsid w:val="00625998"/>
    <w:rsid w:val="00625B75"/>
    <w:rsid w:val="00627413"/>
    <w:rsid w:val="00627747"/>
    <w:rsid w:val="00630371"/>
    <w:rsid w:val="00630489"/>
    <w:rsid w:val="006304DD"/>
    <w:rsid w:val="0063058B"/>
    <w:rsid w:val="006306C5"/>
    <w:rsid w:val="00633A0C"/>
    <w:rsid w:val="00633B13"/>
    <w:rsid w:val="006359B2"/>
    <w:rsid w:val="00635C39"/>
    <w:rsid w:val="00636237"/>
    <w:rsid w:val="00636ACA"/>
    <w:rsid w:val="00637CC7"/>
    <w:rsid w:val="0063EECE"/>
    <w:rsid w:val="0064042E"/>
    <w:rsid w:val="00640D1F"/>
    <w:rsid w:val="006410F8"/>
    <w:rsid w:val="00642501"/>
    <w:rsid w:val="006425DE"/>
    <w:rsid w:val="006428C2"/>
    <w:rsid w:val="006437CF"/>
    <w:rsid w:val="006447FD"/>
    <w:rsid w:val="00645292"/>
    <w:rsid w:val="006466CA"/>
    <w:rsid w:val="00646760"/>
    <w:rsid w:val="006469AE"/>
    <w:rsid w:val="00646C49"/>
    <w:rsid w:val="00646E3B"/>
    <w:rsid w:val="00647AF0"/>
    <w:rsid w:val="0065008C"/>
    <w:rsid w:val="00650AF0"/>
    <w:rsid w:val="00650DD0"/>
    <w:rsid w:val="00651998"/>
    <w:rsid w:val="006521C8"/>
    <w:rsid w:val="00652245"/>
    <w:rsid w:val="00652B6F"/>
    <w:rsid w:val="00653710"/>
    <w:rsid w:val="00653CC7"/>
    <w:rsid w:val="00653FE8"/>
    <w:rsid w:val="006543A1"/>
    <w:rsid w:val="00654C08"/>
    <w:rsid w:val="006555CE"/>
    <w:rsid w:val="006557FE"/>
    <w:rsid w:val="00655A36"/>
    <w:rsid w:val="006567EE"/>
    <w:rsid w:val="00656C64"/>
    <w:rsid w:val="00656EDF"/>
    <w:rsid w:val="00657BE4"/>
    <w:rsid w:val="00657C07"/>
    <w:rsid w:val="00657F43"/>
    <w:rsid w:val="00660730"/>
    <w:rsid w:val="00660EB8"/>
    <w:rsid w:val="00660FA3"/>
    <w:rsid w:val="006613AF"/>
    <w:rsid w:val="00661A5C"/>
    <w:rsid w:val="00661C8D"/>
    <w:rsid w:val="00662288"/>
    <w:rsid w:val="006624D9"/>
    <w:rsid w:val="00662D6B"/>
    <w:rsid w:val="00663629"/>
    <w:rsid w:val="00663D09"/>
    <w:rsid w:val="00664038"/>
    <w:rsid w:val="006643AB"/>
    <w:rsid w:val="0066499D"/>
    <w:rsid w:val="006649D1"/>
    <w:rsid w:val="00664EEC"/>
    <w:rsid w:val="00665F18"/>
    <w:rsid w:val="00665F80"/>
    <w:rsid w:val="00666A34"/>
    <w:rsid w:val="00666ADC"/>
    <w:rsid w:val="0066755D"/>
    <w:rsid w:val="00670932"/>
    <w:rsid w:val="006716B2"/>
    <w:rsid w:val="00671AE1"/>
    <w:rsid w:val="00671E14"/>
    <w:rsid w:val="006723C2"/>
    <w:rsid w:val="00672BFF"/>
    <w:rsid w:val="00672C49"/>
    <w:rsid w:val="00672CF2"/>
    <w:rsid w:val="00672EE0"/>
    <w:rsid w:val="00673DD7"/>
    <w:rsid w:val="00673F33"/>
    <w:rsid w:val="0067440D"/>
    <w:rsid w:val="00674BD2"/>
    <w:rsid w:val="0067513E"/>
    <w:rsid w:val="006758F6"/>
    <w:rsid w:val="00675D59"/>
    <w:rsid w:val="00675F4E"/>
    <w:rsid w:val="00676CF6"/>
    <w:rsid w:val="00677056"/>
    <w:rsid w:val="00677E48"/>
    <w:rsid w:val="006804C0"/>
    <w:rsid w:val="006808D5"/>
    <w:rsid w:val="006815A2"/>
    <w:rsid w:val="00681627"/>
    <w:rsid w:val="00681876"/>
    <w:rsid w:val="00681A69"/>
    <w:rsid w:val="00681AE1"/>
    <w:rsid w:val="00681B8A"/>
    <w:rsid w:val="00682165"/>
    <w:rsid w:val="006823C1"/>
    <w:rsid w:val="006824E1"/>
    <w:rsid w:val="00682537"/>
    <w:rsid w:val="00682679"/>
    <w:rsid w:val="00682C33"/>
    <w:rsid w:val="00682F0E"/>
    <w:rsid w:val="00682F86"/>
    <w:rsid w:val="00683DFF"/>
    <w:rsid w:val="00684775"/>
    <w:rsid w:val="00684FBC"/>
    <w:rsid w:val="00685EB5"/>
    <w:rsid w:val="00685ECB"/>
    <w:rsid w:val="00686281"/>
    <w:rsid w:val="0068695E"/>
    <w:rsid w:val="00686F07"/>
    <w:rsid w:val="006873AA"/>
    <w:rsid w:val="0068783F"/>
    <w:rsid w:val="00687D74"/>
    <w:rsid w:val="00687D75"/>
    <w:rsid w:val="00690DBC"/>
    <w:rsid w:val="00690FD3"/>
    <w:rsid w:val="006912FA"/>
    <w:rsid w:val="006918B7"/>
    <w:rsid w:val="0069234D"/>
    <w:rsid w:val="00692A6F"/>
    <w:rsid w:val="00692BDF"/>
    <w:rsid w:val="00692D3A"/>
    <w:rsid w:val="00692E5C"/>
    <w:rsid w:val="0069304A"/>
    <w:rsid w:val="0069429D"/>
    <w:rsid w:val="00694CAE"/>
    <w:rsid w:val="00695115"/>
    <w:rsid w:val="00695AAF"/>
    <w:rsid w:val="00695BDF"/>
    <w:rsid w:val="00695D9C"/>
    <w:rsid w:val="00695EC4"/>
    <w:rsid w:val="0069714E"/>
    <w:rsid w:val="00697C8D"/>
    <w:rsid w:val="006A0872"/>
    <w:rsid w:val="006A17CD"/>
    <w:rsid w:val="006A22E0"/>
    <w:rsid w:val="006A2523"/>
    <w:rsid w:val="006A3ACF"/>
    <w:rsid w:val="006A3C4B"/>
    <w:rsid w:val="006A4DCF"/>
    <w:rsid w:val="006A4FC1"/>
    <w:rsid w:val="006A54A6"/>
    <w:rsid w:val="006A5560"/>
    <w:rsid w:val="006A5A68"/>
    <w:rsid w:val="006A6AAF"/>
    <w:rsid w:val="006A7154"/>
    <w:rsid w:val="006B085A"/>
    <w:rsid w:val="006B1AC2"/>
    <w:rsid w:val="006B1DEC"/>
    <w:rsid w:val="006B21C0"/>
    <w:rsid w:val="006B2BEB"/>
    <w:rsid w:val="006B2CEB"/>
    <w:rsid w:val="006B2F21"/>
    <w:rsid w:val="006B3B26"/>
    <w:rsid w:val="006B3D98"/>
    <w:rsid w:val="006B4103"/>
    <w:rsid w:val="006B431C"/>
    <w:rsid w:val="006B4E03"/>
    <w:rsid w:val="006B5601"/>
    <w:rsid w:val="006B597C"/>
    <w:rsid w:val="006B5B1C"/>
    <w:rsid w:val="006B6C59"/>
    <w:rsid w:val="006B6F1E"/>
    <w:rsid w:val="006B70C4"/>
    <w:rsid w:val="006B726F"/>
    <w:rsid w:val="006B76D2"/>
    <w:rsid w:val="006C049E"/>
    <w:rsid w:val="006C2BD3"/>
    <w:rsid w:val="006C33DB"/>
    <w:rsid w:val="006C3BF3"/>
    <w:rsid w:val="006C45AF"/>
    <w:rsid w:val="006C569C"/>
    <w:rsid w:val="006C5E4C"/>
    <w:rsid w:val="006C5E65"/>
    <w:rsid w:val="006C5E69"/>
    <w:rsid w:val="006C62C5"/>
    <w:rsid w:val="006C68CA"/>
    <w:rsid w:val="006C6B27"/>
    <w:rsid w:val="006C73BB"/>
    <w:rsid w:val="006D0207"/>
    <w:rsid w:val="006D026F"/>
    <w:rsid w:val="006D04B5"/>
    <w:rsid w:val="006D0557"/>
    <w:rsid w:val="006D0A73"/>
    <w:rsid w:val="006D0CD9"/>
    <w:rsid w:val="006D15D3"/>
    <w:rsid w:val="006D1CA6"/>
    <w:rsid w:val="006D2067"/>
    <w:rsid w:val="006D2351"/>
    <w:rsid w:val="006D2B89"/>
    <w:rsid w:val="006D3743"/>
    <w:rsid w:val="006D3AE4"/>
    <w:rsid w:val="006D5A33"/>
    <w:rsid w:val="006D623F"/>
    <w:rsid w:val="006D663A"/>
    <w:rsid w:val="006D69D7"/>
    <w:rsid w:val="006D74D3"/>
    <w:rsid w:val="006E0699"/>
    <w:rsid w:val="006E0F9F"/>
    <w:rsid w:val="006E1476"/>
    <w:rsid w:val="006E14F5"/>
    <w:rsid w:val="006E1923"/>
    <w:rsid w:val="006E26DC"/>
    <w:rsid w:val="006E2C1E"/>
    <w:rsid w:val="006E36A5"/>
    <w:rsid w:val="006E381E"/>
    <w:rsid w:val="006E49B1"/>
    <w:rsid w:val="006E6AF2"/>
    <w:rsid w:val="006E6C3E"/>
    <w:rsid w:val="006E6FE4"/>
    <w:rsid w:val="006E7434"/>
    <w:rsid w:val="006E7B87"/>
    <w:rsid w:val="006F0282"/>
    <w:rsid w:val="006F06DE"/>
    <w:rsid w:val="006F07F2"/>
    <w:rsid w:val="006F1A62"/>
    <w:rsid w:val="006F2169"/>
    <w:rsid w:val="006F2788"/>
    <w:rsid w:val="006F3685"/>
    <w:rsid w:val="006F37EE"/>
    <w:rsid w:val="006F4008"/>
    <w:rsid w:val="006F402A"/>
    <w:rsid w:val="006F47C0"/>
    <w:rsid w:val="006F4DA5"/>
    <w:rsid w:val="006F4FD8"/>
    <w:rsid w:val="006F55DE"/>
    <w:rsid w:val="006F56E5"/>
    <w:rsid w:val="006F5ADB"/>
    <w:rsid w:val="006F5BDD"/>
    <w:rsid w:val="006F5F64"/>
    <w:rsid w:val="006F603F"/>
    <w:rsid w:val="006F703E"/>
    <w:rsid w:val="006F7FD7"/>
    <w:rsid w:val="0070097E"/>
    <w:rsid w:val="0070208D"/>
    <w:rsid w:val="007029E7"/>
    <w:rsid w:val="00702FF6"/>
    <w:rsid w:val="00703434"/>
    <w:rsid w:val="007038EF"/>
    <w:rsid w:val="007043C9"/>
    <w:rsid w:val="007049EF"/>
    <w:rsid w:val="00704A3C"/>
    <w:rsid w:val="00704CA6"/>
    <w:rsid w:val="00705890"/>
    <w:rsid w:val="00705A61"/>
    <w:rsid w:val="00706701"/>
    <w:rsid w:val="00706C06"/>
    <w:rsid w:val="007072F2"/>
    <w:rsid w:val="0071028B"/>
    <w:rsid w:val="00710879"/>
    <w:rsid w:val="007110F9"/>
    <w:rsid w:val="0071195E"/>
    <w:rsid w:val="007125C2"/>
    <w:rsid w:val="007130AF"/>
    <w:rsid w:val="0071310E"/>
    <w:rsid w:val="007139AA"/>
    <w:rsid w:val="00713B0A"/>
    <w:rsid w:val="00713EAE"/>
    <w:rsid w:val="00714E2C"/>
    <w:rsid w:val="00714E5C"/>
    <w:rsid w:val="007153ED"/>
    <w:rsid w:val="0071559B"/>
    <w:rsid w:val="007160BE"/>
    <w:rsid w:val="007165D1"/>
    <w:rsid w:val="00716706"/>
    <w:rsid w:val="00716DC4"/>
    <w:rsid w:val="00717009"/>
    <w:rsid w:val="007170DD"/>
    <w:rsid w:val="007179DE"/>
    <w:rsid w:val="0071BA43"/>
    <w:rsid w:val="0072015E"/>
    <w:rsid w:val="00720771"/>
    <w:rsid w:val="007207E7"/>
    <w:rsid w:val="00721BE9"/>
    <w:rsid w:val="00721D8C"/>
    <w:rsid w:val="00721EF2"/>
    <w:rsid w:val="0072204C"/>
    <w:rsid w:val="0072225F"/>
    <w:rsid w:val="0072279C"/>
    <w:rsid w:val="007242BA"/>
    <w:rsid w:val="007243ED"/>
    <w:rsid w:val="00724437"/>
    <w:rsid w:val="00724447"/>
    <w:rsid w:val="00724E53"/>
    <w:rsid w:val="0072598E"/>
    <w:rsid w:val="00725C2E"/>
    <w:rsid w:val="0072600B"/>
    <w:rsid w:val="007265B3"/>
    <w:rsid w:val="007278AE"/>
    <w:rsid w:val="00727924"/>
    <w:rsid w:val="00727BB3"/>
    <w:rsid w:val="00727C2E"/>
    <w:rsid w:val="0073052E"/>
    <w:rsid w:val="007306ED"/>
    <w:rsid w:val="007309A5"/>
    <w:rsid w:val="0073184A"/>
    <w:rsid w:val="007319CF"/>
    <w:rsid w:val="00731BA8"/>
    <w:rsid w:val="007327CD"/>
    <w:rsid w:val="00732EEC"/>
    <w:rsid w:val="00733563"/>
    <w:rsid w:val="007335BC"/>
    <w:rsid w:val="00734571"/>
    <w:rsid w:val="0073507C"/>
    <w:rsid w:val="00735A6D"/>
    <w:rsid w:val="007365BB"/>
    <w:rsid w:val="00736B85"/>
    <w:rsid w:val="00736EDF"/>
    <w:rsid w:val="00737120"/>
    <w:rsid w:val="007378E5"/>
    <w:rsid w:val="0074002F"/>
    <w:rsid w:val="00740D3D"/>
    <w:rsid w:val="00740F3F"/>
    <w:rsid w:val="00741023"/>
    <w:rsid w:val="007417C1"/>
    <w:rsid w:val="00742316"/>
    <w:rsid w:val="00742A08"/>
    <w:rsid w:val="00742DFB"/>
    <w:rsid w:val="0074351E"/>
    <w:rsid w:val="0074410D"/>
    <w:rsid w:val="00745666"/>
    <w:rsid w:val="00746977"/>
    <w:rsid w:val="00747D1B"/>
    <w:rsid w:val="00750307"/>
    <w:rsid w:val="00750821"/>
    <w:rsid w:val="00750A82"/>
    <w:rsid w:val="00750AA6"/>
    <w:rsid w:val="00750AF0"/>
    <w:rsid w:val="00751899"/>
    <w:rsid w:val="00751BF1"/>
    <w:rsid w:val="00751D64"/>
    <w:rsid w:val="00751E0C"/>
    <w:rsid w:val="007528BC"/>
    <w:rsid w:val="00752D54"/>
    <w:rsid w:val="00752D75"/>
    <w:rsid w:val="00753345"/>
    <w:rsid w:val="0075355F"/>
    <w:rsid w:val="00753964"/>
    <w:rsid w:val="00753D75"/>
    <w:rsid w:val="00754777"/>
    <w:rsid w:val="0075515A"/>
    <w:rsid w:val="00755E9B"/>
    <w:rsid w:val="007566CC"/>
    <w:rsid w:val="00757061"/>
    <w:rsid w:val="00757214"/>
    <w:rsid w:val="007578A2"/>
    <w:rsid w:val="00757C8F"/>
    <w:rsid w:val="0075CDBB"/>
    <w:rsid w:val="00760CCA"/>
    <w:rsid w:val="007612CB"/>
    <w:rsid w:val="0076132F"/>
    <w:rsid w:val="0076167F"/>
    <w:rsid w:val="0076173B"/>
    <w:rsid w:val="00761AE3"/>
    <w:rsid w:val="0076330E"/>
    <w:rsid w:val="00763536"/>
    <w:rsid w:val="00764394"/>
    <w:rsid w:val="00764AC3"/>
    <w:rsid w:val="00765A3B"/>
    <w:rsid w:val="00766C97"/>
    <w:rsid w:val="00766E79"/>
    <w:rsid w:val="007673EA"/>
    <w:rsid w:val="00767B62"/>
    <w:rsid w:val="00767CA1"/>
    <w:rsid w:val="0076A8A0"/>
    <w:rsid w:val="007707F8"/>
    <w:rsid w:val="007715BF"/>
    <w:rsid w:val="0077172A"/>
    <w:rsid w:val="00771886"/>
    <w:rsid w:val="007722E3"/>
    <w:rsid w:val="007724F5"/>
    <w:rsid w:val="00773A5A"/>
    <w:rsid w:val="00773F89"/>
    <w:rsid w:val="00774967"/>
    <w:rsid w:val="00774C8F"/>
    <w:rsid w:val="00774FE6"/>
    <w:rsid w:val="00775809"/>
    <w:rsid w:val="007766F4"/>
    <w:rsid w:val="00776893"/>
    <w:rsid w:val="00777A1C"/>
    <w:rsid w:val="00777F73"/>
    <w:rsid w:val="00779D7B"/>
    <w:rsid w:val="00780B9A"/>
    <w:rsid w:val="00780D27"/>
    <w:rsid w:val="00781D2A"/>
    <w:rsid w:val="00781DBD"/>
    <w:rsid w:val="00782BA4"/>
    <w:rsid w:val="00783BDD"/>
    <w:rsid w:val="00783F51"/>
    <w:rsid w:val="0078450C"/>
    <w:rsid w:val="00785463"/>
    <w:rsid w:val="00786338"/>
    <w:rsid w:val="007876CE"/>
    <w:rsid w:val="007879C2"/>
    <w:rsid w:val="00787FE6"/>
    <w:rsid w:val="0079127E"/>
    <w:rsid w:val="007912FE"/>
    <w:rsid w:val="0079155E"/>
    <w:rsid w:val="0079181B"/>
    <w:rsid w:val="00791ACC"/>
    <w:rsid w:val="00792306"/>
    <w:rsid w:val="007927C2"/>
    <w:rsid w:val="00792B66"/>
    <w:rsid w:val="007935E5"/>
    <w:rsid w:val="00793678"/>
    <w:rsid w:val="0079378E"/>
    <w:rsid w:val="00793B06"/>
    <w:rsid w:val="00793CAF"/>
    <w:rsid w:val="00793D58"/>
    <w:rsid w:val="0079401D"/>
    <w:rsid w:val="00794039"/>
    <w:rsid w:val="007947C9"/>
    <w:rsid w:val="00794B94"/>
    <w:rsid w:val="00794FF6"/>
    <w:rsid w:val="0079515A"/>
    <w:rsid w:val="00795223"/>
    <w:rsid w:val="0079565B"/>
    <w:rsid w:val="00797239"/>
    <w:rsid w:val="00797C30"/>
    <w:rsid w:val="00797CC1"/>
    <w:rsid w:val="007A099A"/>
    <w:rsid w:val="007A1E3C"/>
    <w:rsid w:val="007A2BCB"/>
    <w:rsid w:val="007A3158"/>
    <w:rsid w:val="007A33BE"/>
    <w:rsid w:val="007A35B5"/>
    <w:rsid w:val="007A3AA6"/>
    <w:rsid w:val="007A3DCB"/>
    <w:rsid w:val="007A3EA2"/>
    <w:rsid w:val="007A3ED2"/>
    <w:rsid w:val="007A3FFA"/>
    <w:rsid w:val="007A4836"/>
    <w:rsid w:val="007A4976"/>
    <w:rsid w:val="007A529B"/>
    <w:rsid w:val="007A58D0"/>
    <w:rsid w:val="007A594D"/>
    <w:rsid w:val="007A5AB9"/>
    <w:rsid w:val="007A5B66"/>
    <w:rsid w:val="007A5BB8"/>
    <w:rsid w:val="007A5C32"/>
    <w:rsid w:val="007A644B"/>
    <w:rsid w:val="007A65CD"/>
    <w:rsid w:val="007A6FE4"/>
    <w:rsid w:val="007B00E3"/>
    <w:rsid w:val="007B06AC"/>
    <w:rsid w:val="007B0791"/>
    <w:rsid w:val="007B0AE7"/>
    <w:rsid w:val="007B0ECB"/>
    <w:rsid w:val="007B113E"/>
    <w:rsid w:val="007B130A"/>
    <w:rsid w:val="007B14E8"/>
    <w:rsid w:val="007B1AEB"/>
    <w:rsid w:val="007B21EB"/>
    <w:rsid w:val="007B229C"/>
    <w:rsid w:val="007B3C0F"/>
    <w:rsid w:val="007B426D"/>
    <w:rsid w:val="007B49D9"/>
    <w:rsid w:val="007B4D07"/>
    <w:rsid w:val="007B4DE7"/>
    <w:rsid w:val="007B5164"/>
    <w:rsid w:val="007B527B"/>
    <w:rsid w:val="007B576D"/>
    <w:rsid w:val="007B5988"/>
    <w:rsid w:val="007B5A1A"/>
    <w:rsid w:val="007B6B39"/>
    <w:rsid w:val="007B70F3"/>
    <w:rsid w:val="007B7398"/>
    <w:rsid w:val="007B7432"/>
    <w:rsid w:val="007B7BBD"/>
    <w:rsid w:val="007B7CFD"/>
    <w:rsid w:val="007C0316"/>
    <w:rsid w:val="007C05EC"/>
    <w:rsid w:val="007C0867"/>
    <w:rsid w:val="007C0923"/>
    <w:rsid w:val="007C10B9"/>
    <w:rsid w:val="007C121E"/>
    <w:rsid w:val="007C197E"/>
    <w:rsid w:val="007C2462"/>
    <w:rsid w:val="007C289F"/>
    <w:rsid w:val="007C2F31"/>
    <w:rsid w:val="007C3CA0"/>
    <w:rsid w:val="007C3D3E"/>
    <w:rsid w:val="007C4850"/>
    <w:rsid w:val="007C48BE"/>
    <w:rsid w:val="007C49DB"/>
    <w:rsid w:val="007C4B46"/>
    <w:rsid w:val="007C4C15"/>
    <w:rsid w:val="007C4C2C"/>
    <w:rsid w:val="007C56C9"/>
    <w:rsid w:val="007C5824"/>
    <w:rsid w:val="007C5B4B"/>
    <w:rsid w:val="007C5D7E"/>
    <w:rsid w:val="007C64C8"/>
    <w:rsid w:val="007C68E0"/>
    <w:rsid w:val="007C6932"/>
    <w:rsid w:val="007C6F68"/>
    <w:rsid w:val="007C7D74"/>
    <w:rsid w:val="007D0317"/>
    <w:rsid w:val="007D095B"/>
    <w:rsid w:val="007D0FEC"/>
    <w:rsid w:val="007D238F"/>
    <w:rsid w:val="007D26EC"/>
    <w:rsid w:val="007D2801"/>
    <w:rsid w:val="007D2D4F"/>
    <w:rsid w:val="007D3613"/>
    <w:rsid w:val="007D3DA1"/>
    <w:rsid w:val="007D416E"/>
    <w:rsid w:val="007D4534"/>
    <w:rsid w:val="007D45F8"/>
    <w:rsid w:val="007D495C"/>
    <w:rsid w:val="007D4CA3"/>
    <w:rsid w:val="007D5407"/>
    <w:rsid w:val="007D5AC3"/>
    <w:rsid w:val="007D704C"/>
    <w:rsid w:val="007D71DA"/>
    <w:rsid w:val="007D722E"/>
    <w:rsid w:val="007D7F8A"/>
    <w:rsid w:val="007E089B"/>
    <w:rsid w:val="007E0A3D"/>
    <w:rsid w:val="007E0BE8"/>
    <w:rsid w:val="007E1621"/>
    <w:rsid w:val="007E2620"/>
    <w:rsid w:val="007E2AAA"/>
    <w:rsid w:val="007E423B"/>
    <w:rsid w:val="007E57AA"/>
    <w:rsid w:val="007E5998"/>
    <w:rsid w:val="007E65F8"/>
    <w:rsid w:val="007E6C1A"/>
    <w:rsid w:val="007E6F9D"/>
    <w:rsid w:val="007E7AFC"/>
    <w:rsid w:val="007F26B7"/>
    <w:rsid w:val="007F2B1E"/>
    <w:rsid w:val="007F3948"/>
    <w:rsid w:val="007F7667"/>
    <w:rsid w:val="007F76EE"/>
    <w:rsid w:val="008002ED"/>
    <w:rsid w:val="00800688"/>
    <w:rsid w:val="00800721"/>
    <w:rsid w:val="00800E51"/>
    <w:rsid w:val="00801A21"/>
    <w:rsid w:val="00802385"/>
    <w:rsid w:val="0080250E"/>
    <w:rsid w:val="00802671"/>
    <w:rsid w:val="008030AA"/>
    <w:rsid w:val="0080315C"/>
    <w:rsid w:val="008031C7"/>
    <w:rsid w:val="00803810"/>
    <w:rsid w:val="00803E7F"/>
    <w:rsid w:val="00805827"/>
    <w:rsid w:val="008058C7"/>
    <w:rsid w:val="00805C5E"/>
    <w:rsid w:val="00806C9E"/>
    <w:rsid w:val="00806F4B"/>
    <w:rsid w:val="00807756"/>
    <w:rsid w:val="0080790F"/>
    <w:rsid w:val="00807D49"/>
    <w:rsid w:val="0081044E"/>
    <w:rsid w:val="0081048B"/>
    <w:rsid w:val="0081123C"/>
    <w:rsid w:val="00811616"/>
    <w:rsid w:val="00811667"/>
    <w:rsid w:val="008119D8"/>
    <w:rsid w:val="00811B17"/>
    <w:rsid w:val="00811BE6"/>
    <w:rsid w:val="00812786"/>
    <w:rsid w:val="008136EC"/>
    <w:rsid w:val="008139E5"/>
    <w:rsid w:val="008139E9"/>
    <w:rsid w:val="008140EF"/>
    <w:rsid w:val="0081501A"/>
    <w:rsid w:val="00815244"/>
    <w:rsid w:val="008160C5"/>
    <w:rsid w:val="008168A3"/>
    <w:rsid w:val="00816CD8"/>
    <w:rsid w:val="008171C3"/>
    <w:rsid w:val="00817502"/>
    <w:rsid w:val="008177FA"/>
    <w:rsid w:val="00820899"/>
    <w:rsid w:val="008219DB"/>
    <w:rsid w:val="00821EE1"/>
    <w:rsid w:val="00822177"/>
    <w:rsid w:val="008223B4"/>
    <w:rsid w:val="00822D88"/>
    <w:rsid w:val="00823175"/>
    <w:rsid w:val="00823693"/>
    <w:rsid w:val="008238C2"/>
    <w:rsid w:val="00823C77"/>
    <w:rsid w:val="00823F13"/>
    <w:rsid w:val="00824AAB"/>
    <w:rsid w:val="00824BF6"/>
    <w:rsid w:val="00826407"/>
    <w:rsid w:val="0082730A"/>
    <w:rsid w:val="00827BAB"/>
    <w:rsid w:val="00831031"/>
    <w:rsid w:val="00831B71"/>
    <w:rsid w:val="00831F61"/>
    <w:rsid w:val="00832251"/>
    <w:rsid w:val="00832568"/>
    <w:rsid w:val="00832BD1"/>
    <w:rsid w:val="00832C07"/>
    <w:rsid w:val="0083440B"/>
    <w:rsid w:val="008345DA"/>
    <w:rsid w:val="00834AF4"/>
    <w:rsid w:val="00835070"/>
    <w:rsid w:val="00835F19"/>
    <w:rsid w:val="00835F1F"/>
    <w:rsid w:val="00835F2C"/>
    <w:rsid w:val="00836349"/>
    <w:rsid w:val="008371A8"/>
    <w:rsid w:val="00837258"/>
    <w:rsid w:val="008372B4"/>
    <w:rsid w:val="00837668"/>
    <w:rsid w:val="00837747"/>
    <w:rsid w:val="00837D64"/>
    <w:rsid w:val="00837DFC"/>
    <w:rsid w:val="00840A66"/>
    <w:rsid w:val="008418B0"/>
    <w:rsid w:val="00841E94"/>
    <w:rsid w:val="008426A4"/>
    <w:rsid w:val="0084313E"/>
    <w:rsid w:val="008431DE"/>
    <w:rsid w:val="00843309"/>
    <w:rsid w:val="00843556"/>
    <w:rsid w:val="00843E22"/>
    <w:rsid w:val="0084453E"/>
    <w:rsid w:val="0084584C"/>
    <w:rsid w:val="00845FDC"/>
    <w:rsid w:val="00846363"/>
    <w:rsid w:val="008468B5"/>
    <w:rsid w:val="00846B72"/>
    <w:rsid w:val="008472CD"/>
    <w:rsid w:val="00847341"/>
    <w:rsid w:val="008474AC"/>
    <w:rsid w:val="00847B18"/>
    <w:rsid w:val="00847D65"/>
    <w:rsid w:val="0084FFF5"/>
    <w:rsid w:val="00850148"/>
    <w:rsid w:val="00850A30"/>
    <w:rsid w:val="00850A58"/>
    <w:rsid w:val="00850AF5"/>
    <w:rsid w:val="00850C3E"/>
    <w:rsid w:val="00850E21"/>
    <w:rsid w:val="00851338"/>
    <w:rsid w:val="00851437"/>
    <w:rsid w:val="008518CC"/>
    <w:rsid w:val="00851C7C"/>
    <w:rsid w:val="0085232E"/>
    <w:rsid w:val="00852587"/>
    <w:rsid w:val="008528FF"/>
    <w:rsid w:val="00853CD8"/>
    <w:rsid w:val="008547D2"/>
    <w:rsid w:val="00854962"/>
    <w:rsid w:val="008550E1"/>
    <w:rsid w:val="00855157"/>
    <w:rsid w:val="00855271"/>
    <w:rsid w:val="00855F0F"/>
    <w:rsid w:val="0085634E"/>
    <w:rsid w:val="00856F5E"/>
    <w:rsid w:val="00857909"/>
    <w:rsid w:val="008602FC"/>
    <w:rsid w:val="008603E5"/>
    <w:rsid w:val="00861889"/>
    <w:rsid w:val="00861C1C"/>
    <w:rsid w:val="00862831"/>
    <w:rsid w:val="00862B0E"/>
    <w:rsid w:val="00862F7B"/>
    <w:rsid w:val="00862F9D"/>
    <w:rsid w:val="0086327E"/>
    <w:rsid w:val="008633BF"/>
    <w:rsid w:val="00863B24"/>
    <w:rsid w:val="00863D3C"/>
    <w:rsid w:val="00863E69"/>
    <w:rsid w:val="00864FA7"/>
    <w:rsid w:val="008654F2"/>
    <w:rsid w:val="0086569F"/>
    <w:rsid w:val="00865807"/>
    <w:rsid w:val="00865F36"/>
    <w:rsid w:val="0086642D"/>
    <w:rsid w:val="008665B2"/>
    <w:rsid w:val="008666B0"/>
    <w:rsid w:val="00867C2C"/>
    <w:rsid w:val="0086AAB2"/>
    <w:rsid w:val="00870538"/>
    <w:rsid w:val="00870A3D"/>
    <w:rsid w:val="00870B8D"/>
    <w:rsid w:val="00870E3A"/>
    <w:rsid w:val="0087125D"/>
    <w:rsid w:val="00871954"/>
    <w:rsid w:val="00871B21"/>
    <w:rsid w:val="00872148"/>
    <w:rsid w:val="0087265A"/>
    <w:rsid w:val="00872790"/>
    <w:rsid w:val="00872966"/>
    <w:rsid w:val="00873438"/>
    <w:rsid w:val="00873AE9"/>
    <w:rsid w:val="00874945"/>
    <w:rsid w:val="00874D3E"/>
    <w:rsid w:val="00874ED8"/>
    <w:rsid w:val="00875383"/>
    <w:rsid w:val="00875EBD"/>
    <w:rsid w:val="00876022"/>
    <w:rsid w:val="00876440"/>
    <w:rsid w:val="00876D5D"/>
    <w:rsid w:val="00877870"/>
    <w:rsid w:val="0088004C"/>
    <w:rsid w:val="00880373"/>
    <w:rsid w:val="00880F28"/>
    <w:rsid w:val="00881476"/>
    <w:rsid w:val="00881F0B"/>
    <w:rsid w:val="00882DD3"/>
    <w:rsid w:val="0088324F"/>
    <w:rsid w:val="00883C26"/>
    <w:rsid w:val="008843D4"/>
    <w:rsid w:val="00884FD0"/>
    <w:rsid w:val="00885311"/>
    <w:rsid w:val="0088598D"/>
    <w:rsid w:val="00886068"/>
    <w:rsid w:val="00886176"/>
    <w:rsid w:val="00886524"/>
    <w:rsid w:val="00887152"/>
    <w:rsid w:val="00890442"/>
    <w:rsid w:val="00890606"/>
    <w:rsid w:val="0089135E"/>
    <w:rsid w:val="00891705"/>
    <w:rsid w:val="00891907"/>
    <w:rsid w:val="00891AFF"/>
    <w:rsid w:val="00892470"/>
    <w:rsid w:val="00892D37"/>
    <w:rsid w:val="00892E8A"/>
    <w:rsid w:val="00894044"/>
    <w:rsid w:val="008943CC"/>
    <w:rsid w:val="00894984"/>
    <w:rsid w:val="008949A4"/>
    <w:rsid w:val="00894E22"/>
    <w:rsid w:val="008975BA"/>
    <w:rsid w:val="00897DF3"/>
    <w:rsid w:val="008A1639"/>
    <w:rsid w:val="008A23B1"/>
    <w:rsid w:val="008A3901"/>
    <w:rsid w:val="008A414C"/>
    <w:rsid w:val="008A427A"/>
    <w:rsid w:val="008A462A"/>
    <w:rsid w:val="008A4681"/>
    <w:rsid w:val="008A5180"/>
    <w:rsid w:val="008A5B87"/>
    <w:rsid w:val="008A64EE"/>
    <w:rsid w:val="008A6D87"/>
    <w:rsid w:val="008A7A0E"/>
    <w:rsid w:val="008A7E3A"/>
    <w:rsid w:val="008B04F8"/>
    <w:rsid w:val="008B0C0A"/>
    <w:rsid w:val="008B0D14"/>
    <w:rsid w:val="008B1906"/>
    <w:rsid w:val="008B1972"/>
    <w:rsid w:val="008B1CDF"/>
    <w:rsid w:val="008B1F95"/>
    <w:rsid w:val="008B2AD1"/>
    <w:rsid w:val="008B2BA4"/>
    <w:rsid w:val="008B3B8B"/>
    <w:rsid w:val="008B4433"/>
    <w:rsid w:val="008B48D6"/>
    <w:rsid w:val="008B4F08"/>
    <w:rsid w:val="008B514E"/>
    <w:rsid w:val="008B6AEF"/>
    <w:rsid w:val="008B7CB7"/>
    <w:rsid w:val="008C0E1A"/>
    <w:rsid w:val="008C0F84"/>
    <w:rsid w:val="008C1262"/>
    <w:rsid w:val="008C1C1B"/>
    <w:rsid w:val="008C2F97"/>
    <w:rsid w:val="008C338F"/>
    <w:rsid w:val="008C34B2"/>
    <w:rsid w:val="008C445C"/>
    <w:rsid w:val="008C4DB0"/>
    <w:rsid w:val="008C50DD"/>
    <w:rsid w:val="008C547F"/>
    <w:rsid w:val="008C5EDB"/>
    <w:rsid w:val="008C6001"/>
    <w:rsid w:val="008C6B5C"/>
    <w:rsid w:val="008C6E09"/>
    <w:rsid w:val="008C6ED4"/>
    <w:rsid w:val="008C7208"/>
    <w:rsid w:val="008C73C1"/>
    <w:rsid w:val="008C78BD"/>
    <w:rsid w:val="008C7D70"/>
    <w:rsid w:val="008D0097"/>
    <w:rsid w:val="008D0701"/>
    <w:rsid w:val="008D153A"/>
    <w:rsid w:val="008D1D6A"/>
    <w:rsid w:val="008D20D9"/>
    <w:rsid w:val="008D218D"/>
    <w:rsid w:val="008D27C4"/>
    <w:rsid w:val="008D2EFE"/>
    <w:rsid w:val="008D37EE"/>
    <w:rsid w:val="008D4E11"/>
    <w:rsid w:val="008D4FE8"/>
    <w:rsid w:val="008D5210"/>
    <w:rsid w:val="008D6839"/>
    <w:rsid w:val="008D6E55"/>
    <w:rsid w:val="008D6F96"/>
    <w:rsid w:val="008D6FCD"/>
    <w:rsid w:val="008D6FD5"/>
    <w:rsid w:val="008D7699"/>
    <w:rsid w:val="008D77BA"/>
    <w:rsid w:val="008D7976"/>
    <w:rsid w:val="008D7FD4"/>
    <w:rsid w:val="008E034D"/>
    <w:rsid w:val="008E076F"/>
    <w:rsid w:val="008E0E3D"/>
    <w:rsid w:val="008E0F33"/>
    <w:rsid w:val="008E0F5B"/>
    <w:rsid w:val="008E11D3"/>
    <w:rsid w:val="008E1E42"/>
    <w:rsid w:val="008E20A8"/>
    <w:rsid w:val="008E2AA2"/>
    <w:rsid w:val="008E2F54"/>
    <w:rsid w:val="008E3098"/>
    <w:rsid w:val="008E367E"/>
    <w:rsid w:val="008E3A89"/>
    <w:rsid w:val="008E4E6C"/>
    <w:rsid w:val="008E50F5"/>
    <w:rsid w:val="008E5187"/>
    <w:rsid w:val="008E5711"/>
    <w:rsid w:val="008E6106"/>
    <w:rsid w:val="008E7465"/>
    <w:rsid w:val="008E7B28"/>
    <w:rsid w:val="008F00B3"/>
    <w:rsid w:val="008F0319"/>
    <w:rsid w:val="008F081D"/>
    <w:rsid w:val="008F0ED1"/>
    <w:rsid w:val="008F128B"/>
    <w:rsid w:val="008F12DC"/>
    <w:rsid w:val="008F1B04"/>
    <w:rsid w:val="008F2431"/>
    <w:rsid w:val="008F24DA"/>
    <w:rsid w:val="008F274F"/>
    <w:rsid w:val="008F34F9"/>
    <w:rsid w:val="008F351B"/>
    <w:rsid w:val="008F4885"/>
    <w:rsid w:val="008F5F35"/>
    <w:rsid w:val="008F60B5"/>
    <w:rsid w:val="008F7A3E"/>
    <w:rsid w:val="008F7C16"/>
    <w:rsid w:val="009008AB"/>
    <w:rsid w:val="00900BAD"/>
    <w:rsid w:val="00901AD8"/>
    <w:rsid w:val="00901D74"/>
    <w:rsid w:val="00902F30"/>
    <w:rsid w:val="00902FD1"/>
    <w:rsid w:val="00903057"/>
    <w:rsid w:val="0090319C"/>
    <w:rsid w:val="0090335A"/>
    <w:rsid w:val="00903F68"/>
    <w:rsid w:val="0090426D"/>
    <w:rsid w:val="009046E5"/>
    <w:rsid w:val="00904FCD"/>
    <w:rsid w:val="009050C4"/>
    <w:rsid w:val="00905239"/>
    <w:rsid w:val="0090534F"/>
    <w:rsid w:val="00905DA6"/>
    <w:rsid w:val="00905E33"/>
    <w:rsid w:val="0090676A"/>
    <w:rsid w:val="00907127"/>
    <w:rsid w:val="009074AE"/>
    <w:rsid w:val="009100E9"/>
    <w:rsid w:val="00910441"/>
    <w:rsid w:val="00910495"/>
    <w:rsid w:val="00910969"/>
    <w:rsid w:val="00910E86"/>
    <w:rsid w:val="009114BE"/>
    <w:rsid w:val="009114CC"/>
    <w:rsid w:val="009116EA"/>
    <w:rsid w:val="00912975"/>
    <w:rsid w:val="00913102"/>
    <w:rsid w:val="009136F3"/>
    <w:rsid w:val="00913F65"/>
    <w:rsid w:val="009143DC"/>
    <w:rsid w:val="009147E8"/>
    <w:rsid w:val="009147FB"/>
    <w:rsid w:val="0091495C"/>
    <w:rsid w:val="00915C01"/>
    <w:rsid w:val="00915F71"/>
    <w:rsid w:val="00916592"/>
    <w:rsid w:val="00916CD3"/>
    <w:rsid w:val="009172BA"/>
    <w:rsid w:val="009176CB"/>
    <w:rsid w:val="00917996"/>
    <w:rsid w:val="0091DCF3"/>
    <w:rsid w:val="00920BB1"/>
    <w:rsid w:val="009219C4"/>
    <w:rsid w:val="00921B0B"/>
    <w:rsid w:val="00921BE1"/>
    <w:rsid w:val="00921EC7"/>
    <w:rsid w:val="009220AB"/>
    <w:rsid w:val="0092223C"/>
    <w:rsid w:val="00922842"/>
    <w:rsid w:val="00923B52"/>
    <w:rsid w:val="009242D5"/>
    <w:rsid w:val="00924DF0"/>
    <w:rsid w:val="0092534A"/>
    <w:rsid w:val="009259BD"/>
    <w:rsid w:val="00926142"/>
    <w:rsid w:val="00926416"/>
    <w:rsid w:val="009269F9"/>
    <w:rsid w:val="00926F5E"/>
    <w:rsid w:val="0092713D"/>
    <w:rsid w:val="00927C3F"/>
    <w:rsid w:val="0093005A"/>
    <w:rsid w:val="009300C1"/>
    <w:rsid w:val="00931135"/>
    <w:rsid w:val="009315C5"/>
    <w:rsid w:val="00931732"/>
    <w:rsid w:val="00931BC6"/>
    <w:rsid w:val="00931F20"/>
    <w:rsid w:val="00932437"/>
    <w:rsid w:val="00934501"/>
    <w:rsid w:val="009346BD"/>
    <w:rsid w:val="00935DE0"/>
    <w:rsid w:val="00937159"/>
    <w:rsid w:val="00937411"/>
    <w:rsid w:val="00937EAD"/>
    <w:rsid w:val="00937EC1"/>
    <w:rsid w:val="00940506"/>
    <w:rsid w:val="009407C6"/>
    <w:rsid w:val="00941397"/>
    <w:rsid w:val="009415BA"/>
    <w:rsid w:val="0094174B"/>
    <w:rsid w:val="00942826"/>
    <w:rsid w:val="00942B86"/>
    <w:rsid w:val="00942C38"/>
    <w:rsid w:val="00943B86"/>
    <w:rsid w:val="00943E7F"/>
    <w:rsid w:val="00944180"/>
    <w:rsid w:val="0094425C"/>
    <w:rsid w:val="009448C6"/>
    <w:rsid w:val="00944AF3"/>
    <w:rsid w:val="00944CEB"/>
    <w:rsid w:val="00944E64"/>
    <w:rsid w:val="00944FC6"/>
    <w:rsid w:val="00945F8E"/>
    <w:rsid w:val="00947274"/>
    <w:rsid w:val="00947357"/>
    <w:rsid w:val="00947D20"/>
    <w:rsid w:val="0095057D"/>
    <w:rsid w:val="00951BA4"/>
    <w:rsid w:val="009527BC"/>
    <w:rsid w:val="00952DFC"/>
    <w:rsid w:val="0095378E"/>
    <w:rsid w:val="009539F9"/>
    <w:rsid w:val="00953F72"/>
    <w:rsid w:val="009541A3"/>
    <w:rsid w:val="00954CD1"/>
    <w:rsid w:val="009558BD"/>
    <w:rsid w:val="00955930"/>
    <w:rsid w:val="00955A9F"/>
    <w:rsid w:val="00955CC9"/>
    <w:rsid w:val="0095669D"/>
    <w:rsid w:val="00956CAB"/>
    <w:rsid w:val="00960AB1"/>
    <w:rsid w:val="0096111A"/>
    <w:rsid w:val="00961897"/>
    <w:rsid w:val="00961A15"/>
    <w:rsid w:val="00961F81"/>
    <w:rsid w:val="009621B2"/>
    <w:rsid w:val="009624DF"/>
    <w:rsid w:val="0096297D"/>
    <w:rsid w:val="009629E4"/>
    <w:rsid w:val="00962E8D"/>
    <w:rsid w:val="0096328B"/>
    <w:rsid w:val="009632DA"/>
    <w:rsid w:val="00964197"/>
    <w:rsid w:val="009643D6"/>
    <w:rsid w:val="0096479F"/>
    <w:rsid w:val="00965618"/>
    <w:rsid w:val="00965DF8"/>
    <w:rsid w:val="0096685A"/>
    <w:rsid w:val="00966BEF"/>
    <w:rsid w:val="00967E56"/>
    <w:rsid w:val="00970010"/>
    <w:rsid w:val="00970778"/>
    <w:rsid w:val="00971308"/>
    <w:rsid w:val="00972003"/>
    <w:rsid w:val="00972014"/>
    <w:rsid w:val="00972F24"/>
    <w:rsid w:val="0097439A"/>
    <w:rsid w:val="00974CD9"/>
    <w:rsid w:val="009750A6"/>
    <w:rsid w:val="0097517E"/>
    <w:rsid w:val="00975912"/>
    <w:rsid w:val="00976326"/>
    <w:rsid w:val="00976B2D"/>
    <w:rsid w:val="00976D9F"/>
    <w:rsid w:val="00977C7C"/>
    <w:rsid w:val="00977CD8"/>
    <w:rsid w:val="00980C3B"/>
    <w:rsid w:val="00981217"/>
    <w:rsid w:val="00981257"/>
    <w:rsid w:val="009815F0"/>
    <w:rsid w:val="00981D88"/>
    <w:rsid w:val="00982DC7"/>
    <w:rsid w:val="009830A1"/>
    <w:rsid w:val="009830CC"/>
    <w:rsid w:val="009838C1"/>
    <w:rsid w:val="009847AE"/>
    <w:rsid w:val="00985117"/>
    <w:rsid w:val="00985215"/>
    <w:rsid w:val="009854C8"/>
    <w:rsid w:val="00985EE3"/>
    <w:rsid w:val="009861B9"/>
    <w:rsid w:val="00986200"/>
    <w:rsid w:val="00986219"/>
    <w:rsid w:val="009862C7"/>
    <w:rsid w:val="0098699F"/>
    <w:rsid w:val="00986C86"/>
    <w:rsid w:val="00987500"/>
    <w:rsid w:val="00987518"/>
    <w:rsid w:val="0098779B"/>
    <w:rsid w:val="00987849"/>
    <w:rsid w:val="00987CE7"/>
    <w:rsid w:val="0099023E"/>
    <w:rsid w:val="009903C8"/>
    <w:rsid w:val="00990905"/>
    <w:rsid w:val="009920DD"/>
    <w:rsid w:val="00992716"/>
    <w:rsid w:val="009937BC"/>
    <w:rsid w:val="00993879"/>
    <w:rsid w:val="0099462F"/>
    <w:rsid w:val="00995018"/>
    <w:rsid w:val="009955E4"/>
    <w:rsid w:val="00995667"/>
    <w:rsid w:val="009956F0"/>
    <w:rsid w:val="0099613D"/>
    <w:rsid w:val="0099644A"/>
    <w:rsid w:val="00996498"/>
    <w:rsid w:val="00996697"/>
    <w:rsid w:val="00996971"/>
    <w:rsid w:val="00996CFE"/>
    <w:rsid w:val="00996EFA"/>
    <w:rsid w:val="00997C40"/>
    <w:rsid w:val="00997CB1"/>
    <w:rsid w:val="009A0617"/>
    <w:rsid w:val="009A0DAD"/>
    <w:rsid w:val="009A1B4B"/>
    <w:rsid w:val="009A29E3"/>
    <w:rsid w:val="009A2EE2"/>
    <w:rsid w:val="009A322D"/>
    <w:rsid w:val="009A3252"/>
    <w:rsid w:val="009A4090"/>
    <w:rsid w:val="009A4B20"/>
    <w:rsid w:val="009A4E9A"/>
    <w:rsid w:val="009A4FD3"/>
    <w:rsid w:val="009A6178"/>
    <w:rsid w:val="009A6791"/>
    <w:rsid w:val="009A6ADA"/>
    <w:rsid w:val="009A6D40"/>
    <w:rsid w:val="009A760C"/>
    <w:rsid w:val="009B001F"/>
    <w:rsid w:val="009B0595"/>
    <w:rsid w:val="009B0BA6"/>
    <w:rsid w:val="009B1071"/>
    <w:rsid w:val="009B15C5"/>
    <w:rsid w:val="009B27D8"/>
    <w:rsid w:val="009B2AFA"/>
    <w:rsid w:val="009B3274"/>
    <w:rsid w:val="009B3320"/>
    <w:rsid w:val="009B33FC"/>
    <w:rsid w:val="009B4058"/>
    <w:rsid w:val="009B47F3"/>
    <w:rsid w:val="009B4901"/>
    <w:rsid w:val="009B4AFA"/>
    <w:rsid w:val="009B5080"/>
    <w:rsid w:val="009B5176"/>
    <w:rsid w:val="009B562D"/>
    <w:rsid w:val="009B645D"/>
    <w:rsid w:val="009B69BC"/>
    <w:rsid w:val="009B6D41"/>
    <w:rsid w:val="009B7350"/>
    <w:rsid w:val="009B7852"/>
    <w:rsid w:val="009C0113"/>
    <w:rsid w:val="009C0132"/>
    <w:rsid w:val="009C03FB"/>
    <w:rsid w:val="009C0923"/>
    <w:rsid w:val="009C117D"/>
    <w:rsid w:val="009C1183"/>
    <w:rsid w:val="009C1309"/>
    <w:rsid w:val="009C194A"/>
    <w:rsid w:val="009C19BF"/>
    <w:rsid w:val="009C2217"/>
    <w:rsid w:val="009C3620"/>
    <w:rsid w:val="009C37ED"/>
    <w:rsid w:val="009C3BFF"/>
    <w:rsid w:val="009C4A5E"/>
    <w:rsid w:val="009C50C3"/>
    <w:rsid w:val="009C5BC0"/>
    <w:rsid w:val="009C6612"/>
    <w:rsid w:val="009C6708"/>
    <w:rsid w:val="009C6853"/>
    <w:rsid w:val="009C6B1E"/>
    <w:rsid w:val="009C76B1"/>
    <w:rsid w:val="009D02DF"/>
    <w:rsid w:val="009D0A41"/>
    <w:rsid w:val="009D0C6E"/>
    <w:rsid w:val="009D0CB0"/>
    <w:rsid w:val="009D0E27"/>
    <w:rsid w:val="009D0EDA"/>
    <w:rsid w:val="009D1F27"/>
    <w:rsid w:val="009D1FCF"/>
    <w:rsid w:val="009D209E"/>
    <w:rsid w:val="009D21E8"/>
    <w:rsid w:val="009D27E4"/>
    <w:rsid w:val="009D2A88"/>
    <w:rsid w:val="009D3580"/>
    <w:rsid w:val="009D3724"/>
    <w:rsid w:val="009D39DA"/>
    <w:rsid w:val="009D3F3B"/>
    <w:rsid w:val="009D4172"/>
    <w:rsid w:val="009D462D"/>
    <w:rsid w:val="009D4BA7"/>
    <w:rsid w:val="009D4ECC"/>
    <w:rsid w:val="009D56F1"/>
    <w:rsid w:val="009D5C33"/>
    <w:rsid w:val="009D6FE2"/>
    <w:rsid w:val="009DCC97"/>
    <w:rsid w:val="009E0F22"/>
    <w:rsid w:val="009E12A8"/>
    <w:rsid w:val="009E1B06"/>
    <w:rsid w:val="009E1F46"/>
    <w:rsid w:val="009E2026"/>
    <w:rsid w:val="009E205F"/>
    <w:rsid w:val="009E252A"/>
    <w:rsid w:val="009E276F"/>
    <w:rsid w:val="009E2981"/>
    <w:rsid w:val="009E2C22"/>
    <w:rsid w:val="009E2C9F"/>
    <w:rsid w:val="009E2DBB"/>
    <w:rsid w:val="009E3546"/>
    <w:rsid w:val="009E36C8"/>
    <w:rsid w:val="009E3746"/>
    <w:rsid w:val="009E3A86"/>
    <w:rsid w:val="009E4158"/>
    <w:rsid w:val="009E41F2"/>
    <w:rsid w:val="009E4F5E"/>
    <w:rsid w:val="009E50B5"/>
    <w:rsid w:val="009E511F"/>
    <w:rsid w:val="009E65B9"/>
    <w:rsid w:val="009E6A4A"/>
    <w:rsid w:val="009E6F35"/>
    <w:rsid w:val="009E6FA2"/>
    <w:rsid w:val="009E78E4"/>
    <w:rsid w:val="009F132F"/>
    <w:rsid w:val="009F178A"/>
    <w:rsid w:val="009F22E0"/>
    <w:rsid w:val="009F29D7"/>
    <w:rsid w:val="009F2F6E"/>
    <w:rsid w:val="009F467B"/>
    <w:rsid w:val="009F47F6"/>
    <w:rsid w:val="009F4969"/>
    <w:rsid w:val="009F5195"/>
    <w:rsid w:val="009F53F0"/>
    <w:rsid w:val="009F57C3"/>
    <w:rsid w:val="009F5DD9"/>
    <w:rsid w:val="009F66B6"/>
    <w:rsid w:val="009F66BC"/>
    <w:rsid w:val="00A006B3"/>
    <w:rsid w:val="00A01153"/>
    <w:rsid w:val="00A01E3A"/>
    <w:rsid w:val="00A0235C"/>
    <w:rsid w:val="00A02BAF"/>
    <w:rsid w:val="00A0365D"/>
    <w:rsid w:val="00A04647"/>
    <w:rsid w:val="00A04CDB"/>
    <w:rsid w:val="00A0568A"/>
    <w:rsid w:val="00A061E6"/>
    <w:rsid w:val="00A06BB3"/>
    <w:rsid w:val="00A074D9"/>
    <w:rsid w:val="00A10234"/>
    <w:rsid w:val="00A1058F"/>
    <w:rsid w:val="00A10B5A"/>
    <w:rsid w:val="00A10FD6"/>
    <w:rsid w:val="00A11240"/>
    <w:rsid w:val="00A113A4"/>
    <w:rsid w:val="00A11410"/>
    <w:rsid w:val="00A12675"/>
    <w:rsid w:val="00A128E6"/>
    <w:rsid w:val="00A12E7C"/>
    <w:rsid w:val="00A12F3C"/>
    <w:rsid w:val="00A13898"/>
    <w:rsid w:val="00A13FF1"/>
    <w:rsid w:val="00A14026"/>
    <w:rsid w:val="00A141F3"/>
    <w:rsid w:val="00A14803"/>
    <w:rsid w:val="00A14D4C"/>
    <w:rsid w:val="00A157D7"/>
    <w:rsid w:val="00A15E81"/>
    <w:rsid w:val="00A16C16"/>
    <w:rsid w:val="00A16F12"/>
    <w:rsid w:val="00A17730"/>
    <w:rsid w:val="00A179AC"/>
    <w:rsid w:val="00A21564"/>
    <w:rsid w:val="00A217BC"/>
    <w:rsid w:val="00A218A1"/>
    <w:rsid w:val="00A21C38"/>
    <w:rsid w:val="00A21CAB"/>
    <w:rsid w:val="00A223D8"/>
    <w:rsid w:val="00A22ACC"/>
    <w:rsid w:val="00A2319D"/>
    <w:rsid w:val="00A23754"/>
    <w:rsid w:val="00A23E2F"/>
    <w:rsid w:val="00A2440C"/>
    <w:rsid w:val="00A24CC7"/>
    <w:rsid w:val="00A24EB5"/>
    <w:rsid w:val="00A25286"/>
    <w:rsid w:val="00A25564"/>
    <w:rsid w:val="00A2576C"/>
    <w:rsid w:val="00A25DA5"/>
    <w:rsid w:val="00A26FCB"/>
    <w:rsid w:val="00A27322"/>
    <w:rsid w:val="00A273F0"/>
    <w:rsid w:val="00A2749E"/>
    <w:rsid w:val="00A27B3D"/>
    <w:rsid w:val="00A27BDE"/>
    <w:rsid w:val="00A30BA6"/>
    <w:rsid w:val="00A31A9B"/>
    <w:rsid w:val="00A31C39"/>
    <w:rsid w:val="00A3291B"/>
    <w:rsid w:val="00A330BA"/>
    <w:rsid w:val="00A33F5E"/>
    <w:rsid w:val="00A34230"/>
    <w:rsid w:val="00A34D98"/>
    <w:rsid w:val="00A34EA8"/>
    <w:rsid w:val="00A34F9B"/>
    <w:rsid w:val="00A35243"/>
    <w:rsid w:val="00A3543E"/>
    <w:rsid w:val="00A354C9"/>
    <w:rsid w:val="00A37C78"/>
    <w:rsid w:val="00A37E94"/>
    <w:rsid w:val="00A405AF"/>
    <w:rsid w:val="00A40E3B"/>
    <w:rsid w:val="00A40EF8"/>
    <w:rsid w:val="00A41004"/>
    <w:rsid w:val="00A417BB"/>
    <w:rsid w:val="00A41E65"/>
    <w:rsid w:val="00A42D7E"/>
    <w:rsid w:val="00A42F84"/>
    <w:rsid w:val="00A434B1"/>
    <w:rsid w:val="00A43EEF"/>
    <w:rsid w:val="00A44152"/>
    <w:rsid w:val="00A454B5"/>
    <w:rsid w:val="00A45BEB"/>
    <w:rsid w:val="00A465B6"/>
    <w:rsid w:val="00A466EE"/>
    <w:rsid w:val="00A46D5B"/>
    <w:rsid w:val="00A46E57"/>
    <w:rsid w:val="00A47C4A"/>
    <w:rsid w:val="00A5031D"/>
    <w:rsid w:val="00A50610"/>
    <w:rsid w:val="00A511B2"/>
    <w:rsid w:val="00A515EF"/>
    <w:rsid w:val="00A516B0"/>
    <w:rsid w:val="00A51C1D"/>
    <w:rsid w:val="00A52505"/>
    <w:rsid w:val="00A52E16"/>
    <w:rsid w:val="00A531E6"/>
    <w:rsid w:val="00A543C1"/>
    <w:rsid w:val="00A54B8D"/>
    <w:rsid w:val="00A556F0"/>
    <w:rsid w:val="00A55A17"/>
    <w:rsid w:val="00A56A14"/>
    <w:rsid w:val="00A56BC1"/>
    <w:rsid w:val="00A56C73"/>
    <w:rsid w:val="00A56D5F"/>
    <w:rsid w:val="00A56E7F"/>
    <w:rsid w:val="00A57CFD"/>
    <w:rsid w:val="00A58CAE"/>
    <w:rsid w:val="00A60037"/>
    <w:rsid w:val="00A60DBE"/>
    <w:rsid w:val="00A614A2"/>
    <w:rsid w:val="00A61FB9"/>
    <w:rsid w:val="00A61FEB"/>
    <w:rsid w:val="00A62E7C"/>
    <w:rsid w:val="00A63D24"/>
    <w:rsid w:val="00A64448"/>
    <w:rsid w:val="00A645EE"/>
    <w:rsid w:val="00A6475D"/>
    <w:rsid w:val="00A64BD4"/>
    <w:rsid w:val="00A65048"/>
    <w:rsid w:val="00A6570F"/>
    <w:rsid w:val="00A66214"/>
    <w:rsid w:val="00A66733"/>
    <w:rsid w:val="00A67192"/>
    <w:rsid w:val="00A67448"/>
    <w:rsid w:val="00A676C7"/>
    <w:rsid w:val="00A677C6"/>
    <w:rsid w:val="00A67900"/>
    <w:rsid w:val="00A7026B"/>
    <w:rsid w:val="00A7028C"/>
    <w:rsid w:val="00A702F9"/>
    <w:rsid w:val="00A71062"/>
    <w:rsid w:val="00A71A02"/>
    <w:rsid w:val="00A71F8E"/>
    <w:rsid w:val="00A725FF"/>
    <w:rsid w:val="00A72F73"/>
    <w:rsid w:val="00A736B6"/>
    <w:rsid w:val="00A73D5A"/>
    <w:rsid w:val="00A74031"/>
    <w:rsid w:val="00A74C95"/>
    <w:rsid w:val="00A752CD"/>
    <w:rsid w:val="00A755EE"/>
    <w:rsid w:val="00A75FFB"/>
    <w:rsid w:val="00A76FBF"/>
    <w:rsid w:val="00A771EC"/>
    <w:rsid w:val="00A77231"/>
    <w:rsid w:val="00A77333"/>
    <w:rsid w:val="00A7764F"/>
    <w:rsid w:val="00A80309"/>
    <w:rsid w:val="00A80317"/>
    <w:rsid w:val="00A803DB"/>
    <w:rsid w:val="00A80E61"/>
    <w:rsid w:val="00A818C9"/>
    <w:rsid w:val="00A81A24"/>
    <w:rsid w:val="00A824A7"/>
    <w:rsid w:val="00A82C10"/>
    <w:rsid w:val="00A82E0E"/>
    <w:rsid w:val="00A8391C"/>
    <w:rsid w:val="00A839E4"/>
    <w:rsid w:val="00A83E33"/>
    <w:rsid w:val="00A848EF"/>
    <w:rsid w:val="00A856CD"/>
    <w:rsid w:val="00A86F3C"/>
    <w:rsid w:val="00A872A0"/>
    <w:rsid w:val="00A872B2"/>
    <w:rsid w:val="00A90683"/>
    <w:rsid w:val="00A90E90"/>
    <w:rsid w:val="00A9154A"/>
    <w:rsid w:val="00A915AA"/>
    <w:rsid w:val="00A91635"/>
    <w:rsid w:val="00A92E6E"/>
    <w:rsid w:val="00A92F5A"/>
    <w:rsid w:val="00A9392C"/>
    <w:rsid w:val="00A942BB"/>
    <w:rsid w:val="00A9443D"/>
    <w:rsid w:val="00A95AFE"/>
    <w:rsid w:val="00A96335"/>
    <w:rsid w:val="00A96AEB"/>
    <w:rsid w:val="00A96C70"/>
    <w:rsid w:val="00A96CD9"/>
    <w:rsid w:val="00A9739A"/>
    <w:rsid w:val="00AA0466"/>
    <w:rsid w:val="00AA057D"/>
    <w:rsid w:val="00AA0A36"/>
    <w:rsid w:val="00AA1D49"/>
    <w:rsid w:val="00AA204F"/>
    <w:rsid w:val="00AA22E2"/>
    <w:rsid w:val="00AA3932"/>
    <w:rsid w:val="00AA3A45"/>
    <w:rsid w:val="00AA3A96"/>
    <w:rsid w:val="00AA43DA"/>
    <w:rsid w:val="00AA46D7"/>
    <w:rsid w:val="00AA475A"/>
    <w:rsid w:val="00AA5566"/>
    <w:rsid w:val="00AA5DA3"/>
    <w:rsid w:val="00AA6266"/>
    <w:rsid w:val="00AA7155"/>
    <w:rsid w:val="00AA7D32"/>
    <w:rsid w:val="00AA7D7A"/>
    <w:rsid w:val="00AA7F23"/>
    <w:rsid w:val="00AB08A4"/>
    <w:rsid w:val="00AB0D0D"/>
    <w:rsid w:val="00AB1A8F"/>
    <w:rsid w:val="00AB1D64"/>
    <w:rsid w:val="00AB2183"/>
    <w:rsid w:val="00AB21AC"/>
    <w:rsid w:val="00AB274F"/>
    <w:rsid w:val="00AB2847"/>
    <w:rsid w:val="00AB2B1F"/>
    <w:rsid w:val="00AB3024"/>
    <w:rsid w:val="00AB36A2"/>
    <w:rsid w:val="00AB37AC"/>
    <w:rsid w:val="00AB3933"/>
    <w:rsid w:val="00AB4117"/>
    <w:rsid w:val="00AB49C1"/>
    <w:rsid w:val="00AB4A8A"/>
    <w:rsid w:val="00AB5357"/>
    <w:rsid w:val="00AB66A9"/>
    <w:rsid w:val="00AB7719"/>
    <w:rsid w:val="00AC0435"/>
    <w:rsid w:val="00AC0A96"/>
    <w:rsid w:val="00AC0E5F"/>
    <w:rsid w:val="00AC1420"/>
    <w:rsid w:val="00AC18C6"/>
    <w:rsid w:val="00AC2DCE"/>
    <w:rsid w:val="00AC3266"/>
    <w:rsid w:val="00AC34B7"/>
    <w:rsid w:val="00AC35EF"/>
    <w:rsid w:val="00AC49AE"/>
    <w:rsid w:val="00AC4E7C"/>
    <w:rsid w:val="00AC5467"/>
    <w:rsid w:val="00AC54A4"/>
    <w:rsid w:val="00AC6BEF"/>
    <w:rsid w:val="00AC6F34"/>
    <w:rsid w:val="00AC751B"/>
    <w:rsid w:val="00AC7AC9"/>
    <w:rsid w:val="00AC7E9A"/>
    <w:rsid w:val="00AC7F7E"/>
    <w:rsid w:val="00AD075B"/>
    <w:rsid w:val="00AD0956"/>
    <w:rsid w:val="00AD167D"/>
    <w:rsid w:val="00AD22B9"/>
    <w:rsid w:val="00AD28A1"/>
    <w:rsid w:val="00AD3582"/>
    <w:rsid w:val="00AD401A"/>
    <w:rsid w:val="00AD4107"/>
    <w:rsid w:val="00AD4FC1"/>
    <w:rsid w:val="00AD4FF4"/>
    <w:rsid w:val="00AD512C"/>
    <w:rsid w:val="00AD5400"/>
    <w:rsid w:val="00AD5508"/>
    <w:rsid w:val="00AD5915"/>
    <w:rsid w:val="00AD5BCA"/>
    <w:rsid w:val="00AD5E9F"/>
    <w:rsid w:val="00AD6857"/>
    <w:rsid w:val="00AD6E06"/>
    <w:rsid w:val="00AE02C5"/>
    <w:rsid w:val="00AE061B"/>
    <w:rsid w:val="00AE0C43"/>
    <w:rsid w:val="00AE1DA4"/>
    <w:rsid w:val="00AE258C"/>
    <w:rsid w:val="00AE3249"/>
    <w:rsid w:val="00AE3484"/>
    <w:rsid w:val="00AE3804"/>
    <w:rsid w:val="00AE3A10"/>
    <w:rsid w:val="00AE3BC0"/>
    <w:rsid w:val="00AE4413"/>
    <w:rsid w:val="00AE4820"/>
    <w:rsid w:val="00AE4C45"/>
    <w:rsid w:val="00AE5CA3"/>
    <w:rsid w:val="00AE6C49"/>
    <w:rsid w:val="00AE7511"/>
    <w:rsid w:val="00AE78BD"/>
    <w:rsid w:val="00AE7BD5"/>
    <w:rsid w:val="00AE7C70"/>
    <w:rsid w:val="00AE7CA9"/>
    <w:rsid w:val="00AF124E"/>
    <w:rsid w:val="00AF1668"/>
    <w:rsid w:val="00AF18C8"/>
    <w:rsid w:val="00AF21D2"/>
    <w:rsid w:val="00AF27E0"/>
    <w:rsid w:val="00AF2DAB"/>
    <w:rsid w:val="00AF3424"/>
    <w:rsid w:val="00AF3674"/>
    <w:rsid w:val="00AF4036"/>
    <w:rsid w:val="00AF4167"/>
    <w:rsid w:val="00AF41CE"/>
    <w:rsid w:val="00AF4FCC"/>
    <w:rsid w:val="00AF51B8"/>
    <w:rsid w:val="00AF558E"/>
    <w:rsid w:val="00AF5D28"/>
    <w:rsid w:val="00AF6D6F"/>
    <w:rsid w:val="00AF6DE5"/>
    <w:rsid w:val="00AF6F94"/>
    <w:rsid w:val="00AF71F2"/>
    <w:rsid w:val="00AF7F0E"/>
    <w:rsid w:val="00AF7FA8"/>
    <w:rsid w:val="00B00A23"/>
    <w:rsid w:val="00B01A92"/>
    <w:rsid w:val="00B02ED9"/>
    <w:rsid w:val="00B033CB"/>
    <w:rsid w:val="00B03B35"/>
    <w:rsid w:val="00B047FF"/>
    <w:rsid w:val="00B0502C"/>
    <w:rsid w:val="00B056B6"/>
    <w:rsid w:val="00B06061"/>
    <w:rsid w:val="00B0698F"/>
    <w:rsid w:val="00B073A4"/>
    <w:rsid w:val="00B1003F"/>
    <w:rsid w:val="00B10274"/>
    <w:rsid w:val="00B10378"/>
    <w:rsid w:val="00B107DA"/>
    <w:rsid w:val="00B11BE4"/>
    <w:rsid w:val="00B11C86"/>
    <w:rsid w:val="00B129F8"/>
    <w:rsid w:val="00B12AE6"/>
    <w:rsid w:val="00B12BF4"/>
    <w:rsid w:val="00B12EE8"/>
    <w:rsid w:val="00B12FA3"/>
    <w:rsid w:val="00B13272"/>
    <w:rsid w:val="00B13C24"/>
    <w:rsid w:val="00B13E4F"/>
    <w:rsid w:val="00B148A3"/>
    <w:rsid w:val="00B14E15"/>
    <w:rsid w:val="00B15B7D"/>
    <w:rsid w:val="00B16F53"/>
    <w:rsid w:val="00B170A6"/>
    <w:rsid w:val="00B17E56"/>
    <w:rsid w:val="00B2001B"/>
    <w:rsid w:val="00B219CA"/>
    <w:rsid w:val="00B21AE8"/>
    <w:rsid w:val="00B21C65"/>
    <w:rsid w:val="00B21F9E"/>
    <w:rsid w:val="00B22BBC"/>
    <w:rsid w:val="00B22CE2"/>
    <w:rsid w:val="00B2317B"/>
    <w:rsid w:val="00B23626"/>
    <w:rsid w:val="00B23BD3"/>
    <w:rsid w:val="00B23F30"/>
    <w:rsid w:val="00B24444"/>
    <w:rsid w:val="00B24AA4"/>
    <w:rsid w:val="00B24DF6"/>
    <w:rsid w:val="00B2525E"/>
    <w:rsid w:val="00B25453"/>
    <w:rsid w:val="00B2718A"/>
    <w:rsid w:val="00B276B4"/>
    <w:rsid w:val="00B279B0"/>
    <w:rsid w:val="00B30C29"/>
    <w:rsid w:val="00B30E32"/>
    <w:rsid w:val="00B31814"/>
    <w:rsid w:val="00B31A17"/>
    <w:rsid w:val="00B31F2E"/>
    <w:rsid w:val="00B3267C"/>
    <w:rsid w:val="00B326C4"/>
    <w:rsid w:val="00B32A4D"/>
    <w:rsid w:val="00B32AE0"/>
    <w:rsid w:val="00B32BF1"/>
    <w:rsid w:val="00B33984"/>
    <w:rsid w:val="00B34C7D"/>
    <w:rsid w:val="00B34F3A"/>
    <w:rsid w:val="00B351A5"/>
    <w:rsid w:val="00B35585"/>
    <w:rsid w:val="00B35A26"/>
    <w:rsid w:val="00B36060"/>
    <w:rsid w:val="00B36190"/>
    <w:rsid w:val="00B407C8"/>
    <w:rsid w:val="00B40DAA"/>
    <w:rsid w:val="00B414FB"/>
    <w:rsid w:val="00B41585"/>
    <w:rsid w:val="00B42043"/>
    <w:rsid w:val="00B421B9"/>
    <w:rsid w:val="00B42424"/>
    <w:rsid w:val="00B42A03"/>
    <w:rsid w:val="00B43043"/>
    <w:rsid w:val="00B43408"/>
    <w:rsid w:val="00B435CC"/>
    <w:rsid w:val="00B446AD"/>
    <w:rsid w:val="00B450E8"/>
    <w:rsid w:val="00B457B3"/>
    <w:rsid w:val="00B458ED"/>
    <w:rsid w:val="00B46DE7"/>
    <w:rsid w:val="00B471D6"/>
    <w:rsid w:val="00B47951"/>
    <w:rsid w:val="00B50B08"/>
    <w:rsid w:val="00B51065"/>
    <w:rsid w:val="00B5109B"/>
    <w:rsid w:val="00B512F7"/>
    <w:rsid w:val="00B515A8"/>
    <w:rsid w:val="00B519F2"/>
    <w:rsid w:val="00B51D53"/>
    <w:rsid w:val="00B52948"/>
    <w:rsid w:val="00B5301D"/>
    <w:rsid w:val="00B53705"/>
    <w:rsid w:val="00B53BAD"/>
    <w:rsid w:val="00B53F94"/>
    <w:rsid w:val="00B541A8"/>
    <w:rsid w:val="00B541D9"/>
    <w:rsid w:val="00B5436B"/>
    <w:rsid w:val="00B5459D"/>
    <w:rsid w:val="00B549D0"/>
    <w:rsid w:val="00B550CF"/>
    <w:rsid w:val="00B57ED7"/>
    <w:rsid w:val="00B57FEC"/>
    <w:rsid w:val="00B60CA4"/>
    <w:rsid w:val="00B60D8C"/>
    <w:rsid w:val="00B610BB"/>
    <w:rsid w:val="00B619FC"/>
    <w:rsid w:val="00B62F7B"/>
    <w:rsid w:val="00B63128"/>
    <w:rsid w:val="00B636FF"/>
    <w:rsid w:val="00B64098"/>
    <w:rsid w:val="00B642CF"/>
    <w:rsid w:val="00B642EA"/>
    <w:rsid w:val="00B645F5"/>
    <w:rsid w:val="00B64781"/>
    <w:rsid w:val="00B648BE"/>
    <w:rsid w:val="00B657B4"/>
    <w:rsid w:val="00B65964"/>
    <w:rsid w:val="00B6630E"/>
    <w:rsid w:val="00B664BC"/>
    <w:rsid w:val="00B6780E"/>
    <w:rsid w:val="00B67B1F"/>
    <w:rsid w:val="00B703F4"/>
    <w:rsid w:val="00B71047"/>
    <w:rsid w:val="00B7166D"/>
    <w:rsid w:val="00B717A4"/>
    <w:rsid w:val="00B71841"/>
    <w:rsid w:val="00B72A36"/>
    <w:rsid w:val="00B73040"/>
    <w:rsid w:val="00B73B4C"/>
    <w:rsid w:val="00B73EFB"/>
    <w:rsid w:val="00B741F7"/>
    <w:rsid w:val="00B742B7"/>
    <w:rsid w:val="00B75D00"/>
    <w:rsid w:val="00B768E1"/>
    <w:rsid w:val="00B8130C"/>
    <w:rsid w:val="00B8183F"/>
    <w:rsid w:val="00B82A8E"/>
    <w:rsid w:val="00B833EC"/>
    <w:rsid w:val="00B8360E"/>
    <w:rsid w:val="00B8374C"/>
    <w:rsid w:val="00B8395C"/>
    <w:rsid w:val="00B84453"/>
    <w:rsid w:val="00B84864"/>
    <w:rsid w:val="00B853CD"/>
    <w:rsid w:val="00B85970"/>
    <w:rsid w:val="00B85EA6"/>
    <w:rsid w:val="00B860BB"/>
    <w:rsid w:val="00B86272"/>
    <w:rsid w:val="00B86EC1"/>
    <w:rsid w:val="00B8702D"/>
    <w:rsid w:val="00B9025F"/>
    <w:rsid w:val="00B9030F"/>
    <w:rsid w:val="00B90728"/>
    <w:rsid w:val="00B9094E"/>
    <w:rsid w:val="00B9102F"/>
    <w:rsid w:val="00B910CE"/>
    <w:rsid w:val="00B916D3"/>
    <w:rsid w:val="00B9179C"/>
    <w:rsid w:val="00B91E21"/>
    <w:rsid w:val="00B91EDA"/>
    <w:rsid w:val="00B92314"/>
    <w:rsid w:val="00B9253C"/>
    <w:rsid w:val="00B9285D"/>
    <w:rsid w:val="00B93595"/>
    <w:rsid w:val="00B93B76"/>
    <w:rsid w:val="00B944AC"/>
    <w:rsid w:val="00B94B33"/>
    <w:rsid w:val="00B94DCF"/>
    <w:rsid w:val="00B950CE"/>
    <w:rsid w:val="00B951F0"/>
    <w:rsid w:val="00B95A9E"/>
    <w:rsid w:val="00B95ADF"/>
    <w:rsid w:val="00B9651D"/>
    <w:rsid w:val="00B96F39"/>
    <w:rsid w:val="00B975A3"/>
    <w:rsid w:val="00B976A1"/>
    <w:rsid w:val="00B97736"/>
    <w:rsid w:val="00BA0E09"/>
    <w:rsid w:val="00BA0E0C"/>
    <w:rsid w:val="00BA0F5B"/>
    <w:rsid w:val="00BA12AE"/>
    <w:rsid w:val="00BA160F"/>
    <w:rsid w:val="00BA1F24"/>
    <w:rsid w:val="00BA23B6"/>
    <w:rsid w:val="00BA26D3"/>
    <w:rsid w:val="00BA2851"/>
    <w:rsid w:val="00BA3141"/>
    <w:rsid w:val="00BA3149"/>
    <w:rsid w:val="00BA3D96"/>
    <w:rsid w:val="00BA3E5D"/>
    <w:rsid w:val="00BA46DA"/>
    <w:rsid w:val="00BA4C4F"/>
    <w:rsid w:val="00BA501B"/>
    <w:rsid w:val="00BA5226"/>
    <w:rsid w:val="00BA5249"/>
    <w:rsid w:val="00BA5598"/>
    <w:rsid w:val="00BA56C0"/>
    <w:rsid w:val="00BA596C"/>
    <w:rsid w:val="00BA6A59"/>
    <w:rsid w:val="00BA7593"/>
    <w:rsid w:val="00BA7BF9"/>
    <w:rsid w:val="00BA7F19"/>
    <w:rsid w:val="00BB023C"/>
    <w:rsid w:val="00BB05CE"/>
    <w:rsid w:val="00BB110B"/>
    <w:rsid w:val="00BB2373"/>
    <w:rsid w:val="00BB2678"/>
    <w:rsid w:val="00BB29E7"/>
    <w:rsid w:val="00BB3049"/>
    <w:rsid w:val="00BB3D82"/>
    <w:rsid w:val="00BB3E05"/>
    <w:rsid w:val="00BB4039"/>
    <w:rsid w:val="00BB4355"/>
    <w:rsid w:val="00BB4770"/>
    <w:rsid w:val="00BB5265"/>
    <w:rsid w:val="00BB545D"/>
    <w:rsid w:val="00BB6CBF"/>
    <w:rsid w:val="00BB767A"/>
    <w:rsid w:val="00BB787F"/>
    <w:rsid w:val="00BB78ED"/>
    <w:rsid w:val="00BB79F5"/>
    <w:rsid w:val="00BC00B6"/>
    <w:rsid w:val="00BC116A"/>
    <w:rsid w:val="00BC12F5"/>
    <w:rsid w:val="00BC135B"/>
    <w:rsid w:val="00BC2A0C"/>
    <w:rsid w:val="00BC2AF8"/>
    <w:rsid w:val="00BC2E96"/>
    <w:rsid w:val="00BC2F6F"/>
    <w:rsid w:val="00BC3DE6"/>
    <w:rsid w:val="00BC3F5D"/>
    <w:rsid w:val="00BC430F"/>
    <w:rsid w:val="00BC4ADA"/>
    <w:rsid w:val="00BC55BB"/>
    <w:rsid w:val="00BC5765"/>
    <w:rsid w:val="00BC5EB8"/>
    <w:rsid w:val="00BC65B0"/>
    <w:rsid w:val="00BC6BA7"/>
    <w:rsid w:val="00BC78E7"/>
    <w:rsid w:val="00BC7DEA"/>
    <w:rsid w:val="00BC7EB7"/>
    <w:rsid w:val="00BD003B"/>
    <w:rsid w:val="00BD087C"/>
    <w:rsid w:val="00BD0AF5"/>
    <w:rsid w:val="00BD0D48"/>
    <w:rsid w:val="00BD1AEC"/>
    <w:rsid w:val="00BD2968"/>
    <w:rsid w:val="00BD305F"/>
    <w:rsid w:val="00BD3836"/>
    <w:rsid w:val="00BD4B31"/>
    <w:rsid w:val="00BD4B95"/>
    <w:rsid w:val="00BD5E2C"/>
    <w:rsid w:val="00BD68E3"/>
    <w:rsid w:val="00BD6D8C"/>
    <w:rsid w:val="00BD6F18"/>
    <w:rsid w:val="00BD74A7"/>
    <w:rsid w:val="00BE04CB"/>
    <w:rsid w:val="00BE0E02"/>
    <w:rsid w:val="00BE0EA6"/>
    <w:rsid w:val="00BE1F9F"/>
    <w:rsid w:val="00BE21A9"/>
    <w:rsid w:val="00BE23A8"/>
    <w:rsid w:val="00BE283E"/>
    <w:rsid w:val="00BE3281"/>
    <w:rsid w:val="00BE3338"/>
    <w:rsid w:val="00BE35EA"/>
    <w:rsid w:val="00BE3E09"/>
    <w:rsid w:val="00BE4481"/>
    <w:rsid w:val="00BE4794"/>
    <w:rsid w:val="00BE4948"/>
    <w:rsid w:val="00BE5294"/>
    <w:rsid w:val="00BE5820"/>
    <w:rsid w:val="00BE6005"/>
    <w:rsid w:val="00BE64BD"/>
    <w:rsid w:val="00BE6945"/>
    <w:rsid w:val="00BE6C63"/>
    <w:rsid w:val="00BF008C"/>
    <w:rsid w:val="00BF102C"/>
    <w:rsid w:val="00BF1813"/>
    <w:rsid w:val="00BF21F5"/>
    <w:rsid w:val="00BF280A"/>
    <w:rsid w:val="00BF2CDA"/>
    <w:rsid w:val="00BF456B"/>
    <w:rsid w:val="00BF496E"/>
    <w:rsid w:val="00BF4AA9"/>
    <w:rsid w:val="00BF4EBB"/>
    <w:rsid w:val="00BF4FDE"/>
    <w:rsid w:val="00BF53BF"/>
    <w:rsid w:val="00BF5C73"/>
    <w:rsid w:val="00BF63CD"/>
    <w:rsid w:val="00BF65FF"/>
    <w:rsid w:val="00BF678D"/>
    <w:rsid w:val="00BF6828"/>
    <w:rsid w:val="00BF6BFF"/>
    <w:rsid w:val="00BF7537"/>
    <w:rsid w:val="00BF76ED"/>
    <w:rsid w:val="00BF7C03"/>
    <w:rsid w:val="00BF7C07"/>
    <w:rsid w:val="00BFB0AF"/>
    <w:rsid w:val="00C00285"/>
    <w:rsid w:val="00C0039A"/>
    <w:rsid w:val="00C008BB"/>
    <w:rsid w:val="00C0135A"/>
    <w:rsid w:val="00C026FF"/>
    <w:rsid w:val="00C030C4"/>
    <w:rsid w:val="00C0332A"/>
    <w:rsid w:val="00C03AE0"/>
    <w:rsid w:val="00C03B43"/>
    <w:rsid w:val="00C03ECD"/>
    <w:rsid w:val="00C049E3"/>
    <w:rsid w:val="00C04CFB"/>
    <w:rsid w:val="00C0527C"/>
    <w:rsid w:val="00C05305"/>
    <w:rsid w:val="00C05B33"/>
    <w:rsid w:val="00C0645C"/>
    <w:rsid w:val="00C07010"/>
    <w:rsid w:val="00C07846"/>
    <w:rsid w:val="00C07FF0"/>
    <w:rsid w:val="00C106DA"/>
    <w:rsid w:val="00C10AA3"/>
    <w:rsid w:val="00C112AF"/>
    <w:rsid w:val="00C117C5"/>
    <w:rsid w:val="00C11D8D"/>
    <w:rsid w:val="00C1279A"/>
    <w:rsid w:val="00C12C7F"/>
    <w:rsid w:val="00C12E00"/>
    <w:rsid w:val="00C13789"/>
    <w:rsid w:val="00C138A0"/>
    <w:rsid w:val="00C13A40"/>
    <w:rsid w:val="00C13CF5"/>
    <w:rsid w:val="00C14D3F"/>
    <w:rsid w:val="00C15457"/>
    <w:rsid w:val="00C15E6E"/>
    <w:rsid w:val="00C16324"/>
    <w:rsid w:val="00C167D9"/>
    <w:rsid w:val="00C17714"/>
    <w:rsid w:val="00C1784B"/>
    <w:rsid w:val="00C17889"/>
    <w:rsid w:val="00C17C78"/>
    <w:rsid w:val="00C1FB5A"/>
    <w:rsid w:val="00C20304"/>
    <w:rsid w:val="00C209D5"/>
    <w:rsid w:val="00C20B96"/>
    <w:rsid w:val="00C212F7"/>
    <w:rsid w:val="00C227B9"/>
    <w:rsid w:val="00C2355F"/>
    <w:rsid w:val="00C23A52"/>
    <w:rsid w:val="00C24CE7"/>
    <w:rsid w:val="00C24D48"/>
    <w:rsid w:val="00C259FA"/>
    <w:rsid w:val="00C25C21"/>
    <w:rsid w:val="00C26C82"/>
    <w:rsid w:val="00C26DD2"/>
    <w:rsid w:val="00C271B1"/>
    <w:rsid w:val="00C3069B"/>
    <w:rsid w:val="00C309C3"/>
    <w:rsid w:val="00C3105F"/>
    <w:rsid w:val="00C3162D"/>
    <w:rsid w:val="00C319FE"/>
    <w:rsid w:val="00C323DF"/>
    <w:rsid w:val="00C3250E"/>
    <w:rsid w:val="00C333FB"/>
    <w:rsid w:val="00C3466F"/>
    <w:rsid w:val="00C34681"/>
    <w:rsid w:val="00C34D5D"/>
    <w:rsid w:val="00C34D9D"/>
    <w:rsid w:val="00C34E72"/>
    <w:rsid w:val="00C353E8"/>
    <w:rsid w:val="00C35DFC"/>
    <w:rsid w:val="00C366FE"/>
    <w:rsid w:val="00C36D5B"/>
    <w:rsid w:val="00C37778"/>
    <w:rsid w:val="00C377F1"/>
    <w:rsid w:val="00C37B6E"/>
    <w:rsid w:val="00C37C89"/>
    <w:rsid w:val="00C37D95"/>
    <w:rsid w:val="00C40D57"/>
    <w:rsid w:val="00C412F0"/>
    <w:rsid w:val="00C4133C"/>
    <w:rsid w:val="00C41512"/>
    <w:rsid w:val="00C41A25"/>
    <w:rsid w:val="00C422E9"/>
    <w:rsid w:val="00C424C9"/>
    <w:rsid w:val="00C42544"/>
    <w:rsid w:val="00C437AC"/>
    <w:rsid w:val="00C44006"/>
    <w:rsid w:val="00C441E6"/>
    <w:rsid w:val="00C4459C"/>
    <w:rsid w:val="00C44B9E"/>
    <w:rsid w:val="00C44F35"/>
    <w:rsid w:val="00C46724"/>
    <w:rsid w:val="00C46B98"/>
    <w:rsid w:val="00C47F34"/>
    <w:rsid w:val="00C509B0"/>
    <w:rsid w:val="00C509C5"/>
    <w:rsid w:val="00C50B04"/>
    <w:rsid w:val="00C50CF2"/>
    <w:rsid w:val="00C50F10"/>
    <w:rsid w:val="00C5176C"/>
    <w:rsid w:val="00C518E6"/>
    <w:rsid w:val="00C51B8E"/>
    <w:rsid w:val="00C51D4B"/>
    <w:rsid w:val="00C51F65"/>
    <w:rsid w:val="00C52487"/>
    <w:rsid w:val="00C5255F"/>
    <w:rsid w:val="00C52FA1"/>
    <w:rsid w:val="00C53198"/>
    <w:rsid w:val="00C5350E"/>
    <w:rsid w:val="00C53961"/>
    <w:rsid w:val="00C53DC7"/>
    <w:rsid w:val="00C542C5"/>
    <w:rsid w:val="00C54D80"/>
    <w:rsid w:val="00C54DFC"/>
    <w:rsid w:val="00C55EB5"/>
    <w:rsid w:val="00C5607C"/>
    <w:rsid w:val="00C563B2"/>
    <w:rsid w:val="00C56600"/>
    <w:rsid w:val="00C56E21"/>
    <w:rsid w:val="00C578A3"/>
    <w:rsid w:val="00C57909"/>
    <w:rsid w:val="00C57B1D"/>
    <w:rsid w:val="00C5E46F"/>
    <w:rsid w:val="00C6043F"/>
    <w:rsid w:val="00C605EE"/>
    <w:rsid w:val="00C60750"/>
    <w:rsid w:val="00C60D15"/>
    <w:rsid w:val="00C60D42"/>
    <w:rsid w:val="00C613EF"/>
    <w:rsid w:val="00C61A85"/>
    <w:rsid w:val="00C61B37"/>
    <w:rsid w:val="00C61E49"/>
    <w:rsid w:val="00C620DA"/>
    <w:rsid w:val="00C62323"/>
    <w:rsid w:val="00C6288D"/>
    <w:rsid w:val="00C62FD6"/>
    <w:rsid w:val="00C630E1"/>
    <w:rsid w:val="00C632CA"/>
    <w:rsid w:val="00C63368"/>
    <w:rsid w:val="00C63CA6"/>
    <w:rsid w:val="00C642ED"/>
    <w:rsid w:val="00C64671"/>
    <w:rsid w:val="00C647B5"/>
    <w:rsid w:val="00C65797"/>
    <w:rsid w:val="00C66624"/>
    <w:rsid w:val="00C66E65"/>
    <w:rsid w:val="00C67949"/>
    <w:rsid w:val="00C70474"/>
    <w:rsid w:val="00C7095D"/>
    <w:rsid w:val="00C710C6"/>
    <w:rsid w:val="00C71140"/>
    <w:rsid w:val="00C713BF"/>
    <w:rsid w:val="00C71CE2"/>
    <w:rsid w:val="00C722B0"/>
    <w:rsid w:val="00C72785"/>
    <w:rsid w:val="00C72A35"/>
    <w:rsid w:val="00C72FA7"/>
    <w:rsid w:val="00C735B6"/>
    <w:rsid w:val="00C73A26"/>
    <w:rsid w:val="00C73DB9"/>
    <w:rsid w:val="00C7438C"/>
    <w:rsid w:val="00C74AE7"/>
    <w:rsid w:val="00C751E7"/>
    <w:rsid w:val="00C7564B"/>
    <w:rsid w:val="00C75D9D"/>
    <w:rsid w:val="00C76A76"/>
    <w:rsid w:val="00C773E9"/>
    <w:rsid w:val="00C8044F"/>
    <w:rsid w:val="00C807B6"/>
    <w:rsid w:val="00C81213"/>
    <w:rsid w:val="00C81644"/>
    <w:rsid w:val="00C81C3A"/>
    <w:rsid w:val="00C826EB"/>
    <w:rsid w:val="00C827E3"/>
    <w:rsid w:val="00C831F3"/>
    <w:rsid w:val="00C83686"/>
    <w:rsid w:val="00C83B3A"/>
    <w:rsid w:val="00C842C9"/>
    <w:rsid w:val="00C85C02"/>
    <w:rsid w:val="00C86198"/>
    <w:rsid w:val="00C8620A"/>
    <w:rsid w:val="00C870F3"/>
    <w:rsid w:val="00C87C6E"/>
    <w:rsid w:val="00C9019F"/>
    <w:rsid w:val="00C90F3E"/>
    <w:rsid w:val="00C9106F"/>
    <w:rsid w:val="00C91E0D"/>
    <w:rsid w:val="00C92AFD"/>
    <w:rsid w:val="00C93091"/>
    <w:rsid w:val="00C9356D"/>
    <w:rsid w:val="00C93BF6"/>
    <w:rsid w:val="00C93EF4"/>
    <w:rsid w:val="00C941A2"/>
    <w:rsid w:val="00C9486F"/>
    <w:rsid w:val="00C94D8C"/>
    <w:rsid w:val="00C954E7"/>
    <w:rsid w:val="00C959E7"/>
    <w:rsid w:val="00C9617B"/>
    <w:rsid w:val="00C962E2"/>
    <w:rsid w:val="00C96581"/>
    <w:rsid w:val="00C975C2"/>
    <w:rsid w:val="00C9771A"/>
    <w:rsid w:val="00C97EAE"/>
    <w:rsid w:val="00CA057F"/>
    <w:rsid w:val="00CA0AFE"/>
    <w:rsid w:val="00CA0CF2"/>
    <w:rsid w:val="00CA1202"/>
    <w:rsid w:val="00CA2909"/>
    <w:rsid w:val="00CA2F6C"/>
    <w:rsid w:val="00CA3B9B"/>
    <w:rsid w:val="00CA44E7"/>
    <w:rsid w:val="00CA45EC"/>
    <w:rsid w:val="00CA5678"/>
    <w:rsid w:val="00CA7433"/>
    <w:rsid w:val="00CA74DB"/>
    <w:rsid w:val="00CA7682"/>
    <w:rsid w:val="00CA78F1"/>
    <w:rsid w:val="00CA7BD9"/>
    <w:rsid w:val="00CA7D5B"/>
    <w:rsid w:val="00CB0965"/>
    <w:rsid w:val="00CB098F"/>
    <w:rsid w:val="00CB133C"/>
    <w:rsid w:val="00CB1985"/>
    <w:rsid w:val="00CB1A4F"/>
    <w:rsid w:val="00CB269D"/>
    <w:rsid w:val="00CB316C"/>
    <w:rsid w:val="00CB3171"/>
    <w:rsid w:val="00CB3313"/>
    <w:rsid w:val="00CB337D"/>
    <w:rsid w:val="00CB344A"/>
    <w:rsid w:val="00CB3746"/>
    <w:rsid w:val="00CB3D15"/>
    <w:rsid w:val="00CB6C2E"/>
    <w:rsid w:val="00CB729E"/>
    <w:rsid w:val="00CC0937"/>
    <w:rsid w:val="00CC0AE9"/>
    <w:rsid w:val="00CC16A2"/>
    <w:rsid w:val="00CC1759"/>
    <w:rsid w:val="00CC1B2B"/>
    <w:rsid w:val="00CC348C"/>
    <w:rsid w:val="00CC392A"/>
    <w:rsid w:val="00CC3CA3"/>
    <w:rsid w:val="00CC4ABC"/>
    <w:rsid w:val="00CC50D8"/>
    <w:rsid w:val="00CC5DF4"/>
    <w:rsid w:val="00CC6B5D"/>
    <w:rsid w:val="00CC6C4A"/>
    <w:rsid w:val="00CC6E4B"/>
    <w:rsid w:val="00CD19F9"/>
    <w:rsid w:val="00CD19FF"/>
    <w:rsid w:val="00CD1F87"/>
    <w:rsid w:val="00CD2DB3"/>
    <w:rsid w:val="00CD4027"/>
    <w:rsid w:val="00CD5976"/>
    <w:rsid w:val="00CD61A8"/>
    <w:rsid w:val="00CD6382"/>
    <w:rsid w:val="00CD66D5"/>
    <w:rsid w:val="00CD69CB"/>
    <w:rsid w:val="00CD6C77"/>
    <w:rsid w:val="00CD70E8"/>
    <w:rsid w:val="00CD7C08"/>
    <w:rsid w:val="00CD7DDD"/>
    <w:rsid w:val="00CD89DE"/>
    <w:rsid w:val="00CE11E1"/>
    <w:rsid w:val="00CE15DA"/>
    <w:rsid w:val="00CE19EE"/>
    <w:rsid w:val="00CE21C6"/>
    <w:rsid w:val="00CE2CC0"/>
    <w:rsid w:val="00CE3BB5"/>
    <w:rsid w:val="00CE3D20"/>
    <w:rsid w:val="00CE58F0"/>
    <w:rsid w:val="00CE6BD4"/>
    <w:rsid w:val="00CE6EC9"/>
    <w:rsid w:val="00CE7275"/>
    <w:rsid w:val="00CE79AC"/>
    <w:rsid w:val="00CE7B7B"/>
    <w:rsid w:val="00CF0070"/>
    <w:rsid w:val="00CF015E"/>
    <w:rsid w:val="00CF0926"/>
    <w:rsid w:val="00CF0C79"/>
    <w:rsid w:val="00CF0CA7"/>
    <w:rsid w:val="00CF0D57"/>
    <w:rsid w:val="00CF1137"/>
    <w:rsid w:val="00CF163E"/>
    <w:rsid w:val="00CF179E"/>
    <w:rsid w:val="00CF1913"/>
    <w:rsid w:val="00CF1A1C"/>
    <w:rsid w:val="00CF22B1"/>
    <w:rsid w:val="00CF230F"/>
    <w:rsid w:val="00CF29D5"/>
    <w:rsid w:val="00CF4FB3"/>
    <w:rsid w:val="00CF544E"/>
    <w:rsid w:val="00CF6E04"/>
    <w:rsid w:val="00CF708F"/>
    <w:rsid w:val="00CF725C"/>
    <w:rsid w:val="00CF7468"/>
    <w:rsid w:val="00CF756A"/>
    <w:rsid w:val="00CF7E22"/>
    <w:rsid w:val="00D00CEC"/>
    <w:rsid w:val="00D0100B"/>
    <w:rsid w:val="00D01018"/>
    <w:rsid w:val="00D0124D"/>
    <w:rsid w:val="00D014F9"/>
    <w:rsid w:val="00D01C58"/>
    <w:rsid w:val="00D030D8"/>
    <w:rsid w:val="00D0313B"/>
    <w:rsid w:val="00D03253"/>
    <w:rsid w:val="00D03327"/>
    <w:rsid w:val="00D03B59"/>
    <w:rsid w:val="00D046E5"/>
    <w:rsid w:val="00D047CF"/>
    <w:rsid w:val="00D04ECC"/>
    <w:rsid w:val="00D053B7"/>
    <w:rsid w:val="00D056A9"/>
    <w:rsid w:val="00D05B62"/>
    <w:rsid w:val="00D05D40"/>
    <w:rsid w:val="00D0621E"/>
    <w:rsid w:val="00D07268"/>
    <w:rsid w:val="00D072E0"/>
    <w:rsid w:val="00D073B8"/>
    <w:rsid w:val="00D07E16"/>
    <w:rsid w:val="00D10212"/>
    <w:rsid w:val="00D10B4B"/>
    <w:rsid w:val="00D11F31"/>
    <w:rsid w:val="00D1260D"/>
    <w:rsid w:val="00D127F3"/>
    <w:rsid w:val="00D13454"/>
    <w:rsid w:val="00D13635"/>
    <w:rsid w:val="00D13D01"/>
    <w:rsid w:val="00D1404F"/>
    <w:rsid w:val="00D14293"/>
    <w:rsid w:val="00D144C5"/>
    <w:rsid w:val="00D14F76"/>
    <w:rsid w:val="00D153D1"/>
    <w:rsid w:val="00D15694"/>
    <w:rsid w:val="00D16276"/>
    <w:rsid w:val="00D16649"/>
    <w:rsid w:val="00D16F82"/>
    <w:rsid w:val="00D175C1"/>
    <w:rsid w:val="00D2008F"/>
    <w:rsid w:val="00D203B6"/>
    <w:rsid w:val="00D20532"/>
    <w:rsid w:val="00D20C34"/>
    <w:rsid w:val="00D21293"/>
    <w:rsid w:val="00D212B3"/>
    <w:rsid w:val="00D21DC2"/>
    <w:rsid w:val="00D22273"/>
    <w:rsid w:val="00D231F5"/>
    <w:rsid w:val="00D239A7"/>
    <w:rsid w:val="00D23E39"/>
    <w:rsid w:val="00D2504D"/>
    <w:rsid w:val="00D26039"/>
    <w:rsid w:val="00D2625E"/>
    <w:rsid w:val="00D262FF"/>
    <w:rsid w:val="00D2671D"/>
    <w:rsid w:val="00D26971"/>
    <w:rsid w:val="00D27510"/>
    <w:rsid w:val="00D27FA9"/>
    <w:rsid w:val="00D30582"/>
    <w:rsid w:val="00D30D22"/>
    <w:rsid w:val="00D30E41"/>
    <w:rsid w:val="00D3257E"/>
    <w:rsid w:val="00D32C67"/>
    <w:rsid w:val="00D330D7"/>
    <w:rsid w:val="00D33378"/>
    <w:rsid w:val="00D338FA"/>
    <w:rsid w:val="00D33B11"/>
    <w:rsid w:val="00D34209"/>
    <w:rsid w:val="00D3460F"/>
    <w:rsid w:val="00D34CAF"/>
    <w:rsid w:val="00D352B3"/>
    <w:rsid w:val="00D357C0"/>
    <w:rsid w:val="00D3651C"/>
    <w:rsid w:val="00D36F79"/>
    <w:rsid w:val="00D3767E"/>
    <w:rsid w:val="00D37B07"/>
    <w:rsid w:val="00D37E4E"/>
    <w:rsid w:val="00D40708"/>
    <w:rsid w:val="00D40F68"/>
    <w:rsid w:val="00D421E5"/>
    <w:rsid w:val="00D42398"/>
    <w:rsid w:val="00D430B4"/>
    <w:rsid w:val="00D438D3"/>
    <w:rsid w:val="00D43E39"/>
    <w:rsid w:val="00D43ECC"/>
    <w:rsid w:val="00D44482"/>
    <w:rsid w:val="00D44542"/>
    <w:rsid w:val="00D45C53"/>
    <w:rsid w:val="00D45DE9"/>
    <w:rsid w:val="00D46168"/>
    <w:rsid w:val="00D46423"/>
    <w:rsid w:val="00D475E5"/>
    <w:rsid w:val="00D477A0"/>
    <w:rsid w:val="00D507F2"/>
    <w:rsid w:val="00D514AF"/>
    <w:rsid w:val="00D51CCB"/>
    <w:rsid w:val="00D52428"/>
    <w:rsid w:val="00D52521"/>
    <w:rsid w:val="00D52DC2"/>
    <w:rsid w:val="00D54F95"/>
    <w:rsid w:val="00D55561"/>
    <w:rsid w:val="00D56216"/>
    <w:rsid w:val="00D56AC6"/>
    <w:rsid w:val="00D570AA"/>
    <w:rsid w:val="00D601CF"/>
    <w:rsid w:val="00D602BA"/>
    <w:rsid w:val="00D60F42"/>
    <w:rsid w:val="00D610C7"/>
    <w:rsid w:val="00D61190"/>
    <w:rsid w:val="00D61385"/>
    <w:rsid w:val="00D61580"/>
    <w:rsid w:val="00D61C53"/>
    <w:rsid w:val="00D620E3"/>
    <w:rsid w:val="00D623B3"/>
    <w:rsid w:val="00D62803"/>
    <w:rsid w:val="00D628C1"/>
    <w:rsid w:val="00D62DB1"/>
    <w:rsid w:val="00D6374E"/>
    <w:rsid w:val="00D64337"/>
    <w:rsid w:val="00D651B3"/>
    <w:rsid w:val="00D65301"/>
    <w:rsid w:val="00D654BD"/>
    <w:rsid w:val="00D70161"/>
    <w:rsid w:val="00D7127E"/>
    <w:rsid w:val="00D714D9"/>
    <w:rsid w:val="00D718E6"/>
    <w:rsid w:val="00D71A97"/>
    <w:rsid w:val="00D721AB"/>
    <w:rsid w:val="00D72370"/>
    <w:rsid w:val="00D72C23"/>
    <w:rsid w:val="00D73363"/>
    <w:rsid w:val="00D73FBE"/>
    <w:rsid w:val="00D74001"/>
    <w:rsid w:val="00D74686"/>
    <w:rsid w:val="00D7476B"/>
    <w:rsid w:val="00D74C74"/>
    <w:rsid w:val="00D74CD3"/>
    <w:rsid w:val="00D74EA5"/>
    <w:rsid w:val="00D8020E"/>
    <w:rsid w:val="00D8054F"/>
    <w:rsid w:val="00D81120"/>
    <w:rsid w:val="00D8142E"/>
    <w:rsid w:val="00D817C3"/>
    <w:rsid w:val="00D819B7"/>
    <w:rsid w:val="00D81C0E"/>
    <w:rsid w:val="00D83008"/>
    <w:rsid w:val="00D83AFA"/>
    <w:rsid w:val="00D84407"/>
    <w:rsid w:val="00D852FC"/>
    <w:rsid w:val="00D85404"/>
    <w:rsid w:val="00D8547D"/>
    <w:rsid w:val="00D85693"/>
    <w:rsid w:val="00D85AA3"/>
    <w:rsid w:val="00D8702F"/>
    <w:rsid w:val="00D870B2"/>
    <w:rsid w:val="00D87614"/>
    <w:rsid w:val="00D90442"/>
    <w:rsid w:val="00D90B75"/>
    <w:rsid w:val="00D910C4"/>
    <w:rsid w:val="00D913E6"/>
    <w:rsid w:val="00D91729"/>
    <w:rsid w:val="00D91A98"/>
    <w:rsid w:val="00D91FD3"/>
    <w:rsid w:val="00D923C6"/>
    <w:rsid w:val="00D925FB"/>
    <w:rsid w:val="00D93278"/>
    <w:rsid w:val="00D9327C"/>
    <w:rsid w:val="00D9451E"/>
    <w:rsid w:val="00D94D74"/>
    <w:rsid w:val="00D95293"/>
    <w:rsid w:val="00D954E7"/>
    <w:rsid w:val="00D956EA"/>
    <w:rsid w:val="00D95AB7"/>
    <w:rsid w:val="00D95C0B"/>
    <w:rsid w:val="00D95E89"/>
    <w:rsid w:val="00D972E8"/>
    <w:rsid w:val="00D97617"/>
    <w:rsid w:val="00D97A98"/>
    <w:rsid w:val="00D97F89"/>
    <w:rsid w:val="00DA15F5"/>
    <w:rsid w:val="00DA1CD6"/>
    <w:rsid w:val="00DA1D8A"/>
    <w:rsid w:val="00DA3495"/>
    <w:rsid w:val="00DA39AC"/>
    <w:rsid w:val="00DA3B9F"/>
    <w:rsid w:val="00DA55A8"/>
    <w:rsid w:val="00DA63D8"/>
    <w:rsid w:val="00DA66DB"/>
    <w:rsid w:val="00DA6C6E"/>
    <w:rsid w:val="00DA703F"/>
    <w:rsid w:val="00DA7160"/>
    <w:rsid w:val="00DA7232"/>
    <w:rsid w:val="00DB00DF"/>
    <w:rsid w:val="00DB02ED"/>
    <w:rsid w:val="00DB172F"/>
    <w:rsid w:val="00DB1C4E"/>
    <w:rsid w:val="00DB1CB3"/>
    <w:rsid w:val="00DB1DB3"/>
    <w:rsid w:val="00DB1F09"/>
    <w:rsid w:val="00DB2704"/>
    <w:rsid w:val="00DB2B03"/>
    <w:rsid w:val="00DB3360"/>
    <w:rsid w:val="00DB36CF"/>
    <w:rsid w:val="00DB3B16"/>
    <w:rsid w:val="00DB4CC9"/>
    <w:rsid w:val="00DB505C"/>
    <w:rsid w:val="00DB5AC6"/>
    <w:rsid w:val="00DB668A"/>
    <w:rsid w:val="00DB6794"/>
    <w:rsid w:val="00DB6C08"/>
    <w:rsid w:val="00DB6C3A"/>
    <w:rsid w:val="00DB77F8"/>
    <w:rsid w:val="00DB7AB5"/>
    <w:rsid w:val="00DB7B95"/>
    <w:rsid w:val="00DB7F84"/>
    <w:rsid w:val="00DB7FB4"/>
    <w:rsid w:val="00DC046D"/>
    <w:rsid w:val="00DC0596"/>
    <w:rsid w:val="00DC09EF"/>
    <w:rsid w:val="00DC0A63"/>
    <w:rsid w:val="00DC15E6"/>
    <w:rsid w:val="00DC1C97"/>
    <w:rsid w:val="00DC258A"/>
    <w:rsid w:val="00DC309C"/>
    <w:rsid w:val="00DC4429"/>
    <w:rsid w:val="00DC4E09"/>
    <w:rsid w:val="00DC4E56"/>
    <w:rsid w:val="00DC5B60"/>
    <w:rsid w:val="00DC664F"/>
    <w:rsid w:val="00DC6BA5"/>
    <w:rsid w:val="00DC7273"/>
    <w:rsid w:val="00DC7E02"/>
    <w:rsid w:val="00DD1006"/>
    <w:rsid w:val="00DD11C8"/>
    <w:rsid w:val="00DD1252"/>
    <w:rsid w:val="00DD18D9"/>
    <w:rsid w:val="00DD1AEB"/>
    <w:rsid w:val="00DD2099"/>
    <w:rsid w:val="00DD3512"/>
    <w:rsid w:val="00DD38A7"/>
    <w:rsid w:val="00DD470D"/>
    <w:rsid w:val="00DD4B0E"/>
    <w:rsid w:val="00DD4C33"/>
    <w:rsid w:val="00DD4CE8"/>
    <w:rsid w:val="00DD4D9E"/>
    <w:rsid w:val="00DD4F9F"/>
    <w:rsid w:val="00DD534D"/>
    <w:rsid w:val="00DD53EE"/>
    <w:rsid w:val="00DD5B11"/>
    <w:rsid w:val="00DD5B79"/>
    <w:rsid w:val="00DD5BE7"/>
    <w:rsid w:val="00DD62F4"/>
    <w:rsid w:val="00DD648C"/>
    <w:rsid w:val="00DD6A1A"/>
    <w:rsid w:val="00DD78E1"/>
    <w:rsid w:val="00DE0036"/>
    <w:rsid w:val="00DE00E3"/>
    <w:rsid w:val="00DE024D"/>
    <w:rsid w:val="00DE08A3"/>
    <w:rsid w:val="00DE09C0"/>
    <w:rsid w:val="00DE0E73"/>
    <w:rsid w:val="00DE12BF"/>
    <w:rsid w:val="00DE15AA"/>
    <w:rsid w:val="00DE3BF7"/>
    <w:rsid w:val="00DE44F1"/>
    <w:rsid w:val="00DE48B7"/>
    <w:rsid w:val="00DE50BC"/>
    <w:rsid w:val="00DE564D"/>
    <w:rsid w:val="00DE5877"/>
    <w:rsid w:val="00DE5FCB"/>
    <w:rsid w:val="00DE6253"/>
    <w:rsid w:val="00DE6CCB"/>
    <w:rsid w:val="00DE77F6"/>
    <w:rsid w:val="00DE7823"/>
    <w:rsid w:val="00DF0261"/>
    <w:rsid w:val="00DF0635"/>
    <w:rsid w:val="00DF0CD4"/>
    <w:rsid w:val="00DF0CE5"/>
    <w:rsid w:val="00DF1300"/>
    <w:rsid w:val="00DF2607"/>
    <w:rsid w:val="00DF2C14"/>
    <w:rsid w:val="00DF372E"/>
    <w:rsid w:val="00DF3945"/>
    <w:rsid w:val="00DF3E10"/>
    <w:rsid w:val="00DF472F"/>
    <w:rsid w:val="00DF5014"/>
    <w:rsid w:val="00DF581E"/>
    <w:rsid w:val="00DF6000"/>
    <w:rsid w:val="00DF63A5"/>
    <w:rsid w:val="00DF6CFA"/>
    <w:rsid w:val="00DF78CA"/>
    <w:rsid w:val="00E00BF5"/>
    <w:rsid w:val="00E00D90"/>
    <w:rsid w:val="00E00FD0"/>
    <w:rsid w:val="00E018E3"/>
    <w:rsid w:val="00E01900"/>
    <w:rsid w:val="00E01D3D"/>
    <w:rsid w:val="00E0323D"/>
    <w:rsid w:val="00E0418C"/>
    <w:rsid w:val="00E04E63"/>
    <w:rsid w:val="00E0514D"/>
    <w:rsid w:val="00E052F4"/>
    <w:rsid w:val="00E05849"/>
    <w:rsid w:val="00E0643D"/>
    <w:rsid w:val="00E06B8A"/>
    <w:rsid w:val="00E071DA"/>
    <w:rsid w:val="00E07A92"/>
    <w:rsid w:val="00E07C77"/>
    <w:rsid w:val="00E104DE"/>
    <w:rsid w:val="00E1051E"/>
    <w:rsid w:val="00E106ED"/>
    <w:rsid w:val="00E107CA"/>
    <w:rsid w:val="00E111F1"/>
    <w:rsid w:val="00E11811"/>
    <w:rsid w:val="00E11D0F"/>
    <w:rsid w:val="00E12081"/>
    <w:rsid w:val="00E1227F"/>
    <w:rsid w:val="00E12437"/>
    <w:rsid w:val="00E13493"/>
    <w:rsid w:val="00E13624"/>
    <w:rsid w:val="00E1369A"/>
    <w:rsid w:val="00E14F70"/>
    <w:rsid w:val="00E15216"/>
    <w:rsid w:val="00E154E6"/>
    <w:rsid w:val="00E1589A"/>
    <w:rsid w:val="00E15984"/>
    <w:rsid w:val="00E15CF8"/>
    <w:rsid w:val="00E165E9"/>
    <w:rsid w:val="00E171FF"/>
    <w:rsid w:val="00E1756B"/>
    <w:rsid w:val="00E177F1"/>
    <w:rsid w:val="00E17975"/>
    <w:rsid w:val="00E17EDE"/>
    <w:rsid w:val="00E17F9F"/>
    <w:rsid w:val="00E202D4"/>
    <w:rsid w:val="00E206B0"/>
    <w:rsid w:val="00E20AF4"/>
    <w:rsid w:val="00E20C73"/>
    <w:rsid w:val="00E212EC"/>
    <w:rsid w:val="00E21651"/>
    <w:rsid w:val="00E21B27"/>
    <w:rsid w:val="00E22113"/>
    <w:rsid w:val="00E22911"/>
    <w:rsid w:val="00E22C8A"/>
    <w:rsid w:val="00E2473A"/>
    <w:rsid w:val="00E269FC"/>
    <w:rsid w:val="00E305BF"/>
    <w:rsid w:val="00E3083A"/>
    <w:rsid w:val="00E308AE"/>
    <w:rsid w:val="00E30AA3"/>
    <w:rsid w:val="00E30E2C"/>
    <w:rsid w:val="00E31129"/>
    <w:rsid w:val="00E318E0"/>
    <w:rsid w:val="00E31E8A"/>
    <w:rsid w:val="00E3388E"/>
    <w:rsid w:val="00E33E6A"/>
    <w:rsid w:val="00E34707"/>
    <w:rsid w:val="00E34914"/>
    <w:rsid w:val="00E3495F"/>
    <w:rsid w:val="00E363FA"/>
    <w:rsid w:val="00E366B9"/>
    <w:rsid w:val="00E367EE"/>
    <w:rsid w:val="00E36ACC"/>
    <w:rsid w:val="00E40594"/>
    <w:rsid w:val="00E40747"/>
    <w:rsid w:val="00E4075E"/>
    <w:rsid w:val="00E40EAC"/>
    <w:rsid w:val="00E41816"/>
    <w:rsid w:val="00E41A20"/>
    <w:rsid w:val="00E41AA9"/>
    <w:rsid w:val="00E42831"/>
    <w:rsid w:val="00E42E87"/>
    <w:rsid w:val="00E43629"/>
    <w:rsid w:val="00E43717"/>
    <w:rsid w:val="00E438BB"/>
    <w:rsid w:val="00E44280"/>
    <w:rsid w:val="00E449E8"/>
    <w:rsid w:val="00E44C08"/>
    <w:rsid w:val="00E44D35"/>
    <w:rsid w:val="00E44D8C"/>
    <w:rsid w:val="00E463AD"/>
    <w:rsid w:val="00E46775"/>
    <w:rsid w:val="00E46C6E"/>
    <w:rsid w:val="00E47939"/>
    <w:rsid w:val="00E5015B"/>
    <w:rsid w:val="00E50A59"/>
    <w:rsid w:val="00E50B1B"/>
    <w:rsid w:val="00E50D5D"/>
    <w:rsid w:val="00E51488"/>
    <w:rsid w:val="00E5233A"/>
    <w:rsid w:val="00E52689"/>
    <w:rsid w:val="00E52715"/>
    <w:rsid w:val="00E529A3"/>
    <w:rsid w:val="00E52A9E"/>
    <w:rsid w:val="00E53720"/>
    <w:rsid w:val="00E53FFB"/>
    <w:rsid w:val="00E54137"/>
    <w:rsid w:val="00E54284"/>
    <w:rsid w:val="00E544AA"/>
    <w:rsid w:val="00E55143"/>
    <w:rsid w:val="00E55A22"/>
    <w:rsid w:val="00E563C0"/>
    <w:rsid w:val="00E566C6"/>
    <w:rsid w:val="00E566DF"/>
    <w:rsid w:val="00E5676A"/>
    <w:rsid w:val="00E567CB"/>
    <w:rsid w:val="00E5684A"/>
    <w:rsid w:val="00E56B33"/>
    <w:rsid w:val="00E57041"/>
    <w:rsid w:val="00E576B2"/>
    <w:rsid w:val="00E577E8"/>
    <w:rsid w:val="00E578E0"/>
    <w:rsid w:val="00E57E9E"/>
    <w:rsid w:val="00E60061"/>
    <w:rsid w:val="00E60194"/>
    <w:rsid w:val="00E6074E"/>
    <w:rsid w:val="00E6086D"/>
    <w:rsid w:val="00E60A93"/>
    <w:rsid w:val="00E61370"/>
    <w:rsid w:val="00E614EA"/>
    <w:rsid w:val="00E61898"/>
    <w:rsid w:val="00E62BB4"/>
    <w:rsid w:val="00E632EA"/>
    <w:rsid w:val="00E63F14"/>
    <w:rsid w:val="00E6478C"/>
    <w:rsid w:val="00E6538A"/>
    <w:rsid w:val="00E6573D"/>
    <w:rsid w:val="00E65D70"/>
    <w:rsid w:val="00E67430"/>
    <w:rsid w:val="00E674DD"/>
    <w:rsid w:val="00E6750D"/>
    <w:rsid w:val="00E71FB5"/>
    <w:rsid w:val="00E728AA"/>
    <w:rsid w:val="00E72E26"/>
    <w:rsid w:val="00E72F7F"/>
    <w:rsid w:val="00E7342D"/>
    <w:rsid w:val="00E7350F"/>
    <w:rsid w:val="00E73C52"/>
    <w:rsid w:val="00E74107"/>
    <w:rsid w:val="00E7446F"/>
    <w:rsid w:val="00E75466"/>
    <w:rsid w:val="00E75780"/>
    <w:rsid w:val="00E75B5D"/>
    <w:rsid w:val="00E75FC9"/>
    <w:rsid w:val="00E760EE"/>
    <w:rsid w:val="00E76219"/>
    <w:rsid w:val="00E77270"/>
    <w:rsid w:val="00E77670"/>
    <w:rsid w:val="00E779F9"/>
    <w:rsid w:val="00E800DA"/>
    <w:rsid w:val="00E80556"/>
    <w:rsid w:val="00E80A77"/>
    <w:rsid w:val="00E82BC7"/>
    <w:rsid w:val="00E82CDD"/>
    <w:rsid w:val="00E84C20"/>
    <w:rsid w:val="00E85DAF"/>
    <w:rsid w:val="00E85E2C"/>
    <w:rsid w:val="00E860DA"/>
    <w:rsid w:val="00E862A1"/>
    <w:rsid w:val="00E86748"/>
    <w:rsid w:val="00E86777"/>
    <w:rsid w:val="00E8678C"/>
    <w:rsid w:val="00E86DC8"/>
    <w:rsid w:val="00E86E80"/>
    <w:rsid w:val="00E86E81"/>
    <w:rsid w:val="00E8743F"/>
    <w:rsid w:val="00E87898"/>
    <w:rsid w:val="00E87E0D"/>
    <w:rsid w:val="00E8EE02"/>
    <w:rsid w:val="00E90444"/>
    <w:rsid w:val="00E9059B"/>
    <w:rsid w:val="00E9083B"/>
    <w:rsid w:val="00E90DA1"/>
    <w:rsid w:val="00E90DC3"/>
    <w:rsid w:val="00E91F49"/>
    <w:rsid w:val="00E921D3"/>
    <w:rsid w:val="00E9302D"/>
    <w:rsid w:val="00E943E1"/>
    <w:rsid w:val="00E94596"/>
    <w:rsid w:val="00E95458"/>
    <w:rsid w:val="00E960AF"/>
    <w:rsid w:val="00E96F24"/>
    <w:rsid w:val="00E97327"/>
    <w:rsid w:val="00E985A2"/>
    <w:rsid w:val="00EA0604"/>
    <w:rsid w:val="00EA0794"/>
    <w:rsid w:val="00EA0BB2"/>
    <w:rsid w:val="00EA0CDD"/>
    <w:rsid w:val="00EA180E"/>
    <w:rsid w:val="00EA1825"/>
    <w:rsid w:val="00EA2928"/>
    <w:rsid w:val="00EA386E"/>
    <w:rsid w:val="00EA412E"/>
    <w:rsid w:val="00EA5228"/>
    <w:rsid w:val="00EA5B59"/>
    <w:rsid w:val="00EA5BA5"/>
    <w:rsid w:val="00EA5E93"/>
    <w:rsid w:val="00EA6D02"/>
    <w:rsid w:val="00EA7187"/>
    <w:rsid w:val="00EA71BB"/>
    <w:rsid w:val="00EA7D7A"/>
    <w:rsid w:val="00EB022B"/>
    <w:rsid w:val="00EB03A1"/>
    <w:rsid w:val="00EB0A1E"/>
    <w:rsid w:val="00EB0E9F"/>
    <w:rsid w:val="00EB0FDE"/>
    <w:rsid w:val="00EB1483"/>
    <w:rsid w:val="00EB22DE"/>
    <w:rsid w:val="00EB26D9"/>
    <w:rsid w:val="00EB3567"/>
    <w:rsid w:val="00EB35AC"/>
    <w:rsid w:val="00EB375E"/>
    <w:rsid w:val="00EB3BDB"/>
    <w:rsid w:val="00EB3FD5"/>
    <w:rsid w:val="00EB43C2"/>
    <w:rsid w:val="00EB43E2"/>
    <w:rsid w:val="00EB575A"/>
    <w:rsid w:val="00EB6154"/>
    <w:rsid w:val="00EB63CA"/>
    <w:rsid w:val="00EB6C0E"/>
    <w:rsid w:val="00EB6EB2"/>
    <w:rsid w:val="00EB6F04"/>
    <w:rsid w:val="00EB7A9B"/>
    <w:rsid w:val="00EC01BF"/>
    <w:rsid w:val="00EC049E"/>
    <w:rsid w:val="00EC1158"/>
    <w:rsid w:val="00EC2007"/>
    <w:rsid w:val="00EC205B"/>
    <w:rsid w:val="00EC223C"/>
    <w:rsid w:val="00EC2A60"/>
    <w:rsid w:val="00EC391C"/>
    <w:rsid w:val="00EC3ACF"/>
    <w:rsid w:val="00EC3CC1"/>
    <w:rsid w:val="00EC3EEA"/>
    <w:rsid w:val="00EC4024"/>
    <w:rsid w:val="00EC431D"/>
    <w:rsid w:val="00EC488B"/>
    <w:rsid w:val="00EC504A"/>
    <w:rsid w:val="00EC5363"/>
    <w:rsid w:val="00EC5A0B"/>
    <w:rsid w:val="00EC5FAA"/>
    <w:rsid w:val="00EC6571"/>
    <w:rsid w:val="00EC69D1"/>
    <w:rsid w:val="00EC6D18"/>
    <w:rsid w:val="00EC75D2"/>
    <w:rsid w:val="00EC7A91"/>
    <w:rsid w:val="00EC7B3A"/>
    <w:rsid w:val="00EC7EC3"/>
    <w:rsid w:val="00ED0AB7"/>
    <w:rsid w:val="00ED1BB1"/>
    <w:rsid w:val="00ED1E96"/>
    <w:rsid w:val="00ED2405"/>
    <w:rsid w:val="00ED3AFD"/>
    <w:rsid w:val="00ED3CA1"/>
    <w:rsid w:val="00ED3E96"/>
    <w:rsid w:val="00ED3FC7"/>
    <w:rsid w:val="00ED4FEC"/>
    <w:rsid w:val="00ED4FF6"/>
    <w:rsid w:val="00ED50CD"/>
    <w:rsid w:val="00ED519A"/>
    <w:rsid w:val="00ED5392"/>
    <w:rsid w:val="00ED571B"/>
    <w:rsid w:val="00ED58A6"/>
    <w:rsid w:val="00ED5D1E"/>
    <w:rsid w:val="00ED6342"/>
    <w:rsid w:val="00ED6FE5"/>
    <w:rsid w:val="00ED7102"/>
    <w:rsid w:val="00ED79EE"/>
    <w:rsid w:val="00ED7F83"/>
    <w:rsid w:val="00EE06FF"/>
    <w:rsid w:val="00EE18B4"/>
    <w:rsid w:val="00EE18EC"/>
    <w:rsid w:val="00EE1BE1"/>
    <w:rsid w:val="00EE2A88"/>
    <w:rsid w:val="00EE3461"/>
    <w:rsid w:val="00EE3626"/>
    <w:rsid w:val="00EE3B5F"/>
    <w:rsid w:val="00EE3EDB"/>
    <w:rsid w:val="00EE44BC"/>
    <w:rsid w:val="00EE4EA7"/>
    <w:rsid w:val="00EE516A"/>
    <w:rsid w:val="00EE563C"/>
    <w:rsid w:val="00EE5939"/>
    <w:rsid w:val="00EE602F"/>
    <w:rsid w:val="00EE6271"/>
    <w:rsid w:val="00EE7256"/>
    <w:rsid w:val="00EE7AC9"/>
    <w:rsid w:val="00EE7D15"/>
    <w:rsid w:val="00EF0519"/>
    <w:rsid w:val="00EF0831"/>
    <w:rsid w:val="00EF0D9F"/>
    <w:rsid w:val="00EF15B9"/>
    <w:rsid w:val="00EF18C1"/>
    <w:rsid w:val="00EF1A6F"/>
    <w:rsid w:val="00EF1C9D"/>
    <w:rsid w:val="00EF1FCF"/>
    <w:rsid w:val="00EF39FA"/>
    <w:rsid w:val="00EF3EF6"/>
    <w:rsid w:val="00EF540B"/>
    <w:rsid w:val="00EF5764"/>
    <w:rsid w:val="00EF65B9"/>
    <w:rsid w:val="00EF67AB"/>
    <w:rsid w:val="00EF7BBE"/>
    <w:rsid w:val="00F01596"/>
    <w:rsid w:val="00F01CC9"/>
    <w:rsid w:val="00F02305"/>
    <w:rsid w:val="00F02495"/>
    <w:rsid w:val="00F026C7"/>
    <w:rsid w:val="00F02AD3"/>
    <w:rsid w:val="00F02E8A"/>
    <w:rsid w:val="00F03724"/>
    <w:rsid w:val="00F03EFB"/>
    <w:rsid w:val="00F047CA"/>
    <w:rsid w:val="00F049B8"/>
    <w:rsid w:val="00F04D15"/>
    <w:rsid w:val="00F04D3B"/>
    <w:rsid w:val="00F059CB"/>
    <w:rsid w:val="00F05CFA"/>
    <w:rsid w:val="00F07922"/>
    <w:rsid w:val="00F07B5D"/>
    <w:rsid w:val="00F10192"/>
    <w:rsid w:val="00F102F1"/>
    <w:rsid w:val="00F10583"/>
    <w:rsid w:val="00F10989"/>
    <w:rsid w:val="00F1121F"/>
    <w:rsid w:val="00F123A4"/>
    <w:rsid w:val="00F124B6"/>
    <w:rsid w:val="00F124F2"/>
    <w:rsid w:val="00F12C82"/>
    <w:rsid w:val="00F12D24"/>
    <w:rsid w:val="00F12EC8"/>
    <w:rsid w:val="00F13680"/>
    <w:rsid w:val="00F13979"/>
    <w:rsid w:val="00F145CB"/>
    <w:rsid w:val="00F14FB6"/>
    <w:rsid w:val="00F15453"/>
    <w:rsid w:val="00F15A3D"/>
    <w:rsid w:val="00F163FC"/>
    <w:rsid w:val="00F16C09"/>
    <w:rsid w:val="00F20EFE"/>
    <w:rsid w:val="00F216F4"/>
    <w:rsid w:val="00F21E84"/>
    <w:rsid w:val="00F22621"/>
    <w:rsid w:val="00F22AB0"/>
    <w:rsid w:val="00F22EB4"/>
    <w:rsid w:val="00F2320F"/>
    <w:rsid w:val="00F238E9"/>
    <w:rsid w:val="00F239D1"/>
    <w:rsid w:val="00F23B0A"/>
    <w:rsid w:val="00F24A2C"/>
    <w:rsid w:val="00F24D28"/>
    <w:rsid w:val="00F252F5"/>
    <w:rsid w:val="00F25FD4"/>
    <w:rsid w:val="00F2608C"/>
    <w:rsid w:val="00F26B1C"/>
    <w:rsid w:val="00F26B9A"/>
    <w:rsid w:val="00F27703"/>
    <w:rsid w:val="00F27AA3"/>
    <w:rsid w:val="00F30158"/>
    <w:rsid w:val="00F30AF4"/>
    <w:rsid w:val="00F30BAB"/>
    <w:rsid w:val="00F31184"/>
    <w:rsid w:val="00F3274E"/>
    <w:rsid w:val="00F32B44"/>
    <w:rsid w:val="00F32B94"/>
    <w:rsid w:val="00F32D8A"/>
    <w:rsid w:val="00F342A1"/>
    <w:rsid w:val="00F35505"/>
    <w:rsid w:val="00F35BB7"/>
    <w:rsid w:val="00F35D50"/>
    <w:rsid w:val="00F361EC"/>
    <w:rsid w:val="00F3671D"/>
    <w:rsid w:val="00F3717A"/>
    <w:rsid w:val="00F375F5"/>
    <w:rsid w:val="00F37E75"/>
    <w:rsid w:val="00F4002A"/>
    <w:rsid w:val="00F402B5"/>
    <w:rsid w:val="00F40ABD"/>
    <w:rsid w:val="00F41F9D"/>
    <w:rsid w:val="00F42042"/>
    <w:rsid w:val="00F421E7"/>
    <w:rsid w:val="00F42BE0"/>
    <w:rsid w:val="00F42D92"/>
    <w:rsid w:val="00F42ED1"/>
    <w:rsid w:val="00F437F4"/>
    <w:rsid w:val="00F438DB"/>
    <w:rsid w:val="00F4418E"/>
    <w:rsid w:val="00F4433B"/>
    <w:rsid w:val="00F44BAB"/>
    <w:rsid w:val="00F45883"/>
    <w:rsid w:val="00F45E06"/>
    <w:rsid w:val="00F460EA"/>
    <w:rsid w:val="00F461A6"/>
    <w:rsid w:val="00F46C2F"/>
    <w:rsid w:val="00F46C5D"/>
    <w:rsid w:val="00F47142"/>
    <w:rsid w:val="00F507B1"/>
    <w:rsid w:val="00F51357"/>
    <w:rsid w:val="00F51F1E"/>
    <w:rsid w:val="00F5272F"/>
    <w:rsid w:val="00F527BC"/>
    <w:rsid w:val="00F52F32"/>
    <w:rsid w:val="00F52F36"/>
    <w:rsid w:val="00F54016"/>
    <w:rsid w:val="00F5454B"/>
    <w:rsid w:val="00F5479A"/>
    <w:rsid w:val="00F54D6D"/>
    <w:rsid w:val="00F5530E"/>
    <w:rsid w:val="00F56083"/>
    <w:rsid w:val="00F5627D"/>
    <w:rsid w:val="00F56775"/>
    <w:rsid w:val="00F569A7"/>
    <w:rsid w:val="00F569E5"/>
    <w:rsid w:val="00F56A06"/>
    <w:rsid w:val="00F574AC"/>
    <w:rsid w:val="00F57DDD"/>
    <w:rsid w:val="00F601F6"/>
    <w:rsid w:val="00F60547"/>
    <w:rsid w:val="00F608C1"/>
    <w:rsid w:val="00F60EA6"/>
    <w:rsid w:val="00F614EB"/>
    <w:rsid w:val="00F62EA6"/>
    <w:rsid w:val="00F63A8E"/>
    <w:rsid w:val="00F63F1A"/>
    <w:rsid w:val="00F64A8C"/>
    <w:rsid w:val="00F64D7F"/>
    <w:rsid w:val="00F650B0"/>
    <w:rsid w:val="00F65E8C"/>
    <w:rsid w:val="00F6635C"/>
    <w:rsid w:val="00F667BD"/>
    <w:rsid w:val="00F67266"/>
    <w:rsid w:val="00F67578"/>
    <w:rsid w:val="00F70B78"/>
    <w:rsid w:val="00F70CA4"/>
    <w:rsid w:val="00F70FBD"/>
    <w:rsid w:val="00F71044"/>
    <w:rsid w:val="00F713AD"/>
    <w:rsid w:val="00F72A7F"/>
    <w:rsid w:val="00F737BD"/>
    <w:rsid w:val="00F73B1B"/>
    <w:rsid w:val="00F74275"/>
    <w:rsid w:val="00F74595"/>
    <w:rsid w:val="00F758D8"/>
    <w:rsid w:val="00F75A16"/>
    <w:rsid w:val="00F75B38"/>
    <w:rsid w:val="00F76110"/>
    <w:rsid w:val="00F763B3"/>
    <w:rsid w:val="00F768B9"/>
    <w:rsid w:val="00F76BE7"/>
    <w:rsid w:val="00F773C1"/>
    <w:rsid w:val="00F800C9"/>
    <w:rsid w:val="00F81200"/>
    <w:rsid w:val="00F826B7"/>
    <w:rsid w:val="00F8271C"/>
    <w:rsid w:val="00F8369F"/>
    <w:rsid w:val="00F83761"/>
    <w:rsid w:val="00F83F7A"/>
    <w:rsid w:val="00F8420C"/>
    <w:rsid w:val="00F843BE"/>
    <w:rsid w:val="00F8490F"/>
    <w:rsid w:val="00F84941"/>
    <w:rsid w:val="00F84D1D"/>
    <w:rsid w:val="00F85B28"/>
    <w:rsid w:val="00F90694"/>
    <w:rsid w:val="00F909B0"/>
    <w:rsid w:val="00F912DF"/>
    <w:rsid w:val="00F915C1"/>
    <w:rsid w:val="00F9175E"/>
    <w:rsid w:val="00F91C8E"/>
    <w:rsid w:val="00F91F08"/>
    <w:rsid w:val="00F920BE"/>
    <w:rsid w:val="00F9225C"/>
    <w:rsid w:val="00F935C0"/>
    <w:rsid w:val="00F93BB0"/>
    <w:rsid w:val="00F93D94"/>
    <w:rsid w:val="00F944AB"/>
    <w:rsid w:val="00F9485D"/>
    <w:rsid w:val="00F94EB9"/>
    <w:rsid w:val="00F9526F"/>
    <w:rsid w:val="00F958FF"/>
    <w:rsid w:val="00F9592C"/>
    <w:rsid w:val="00F95CC5"/>
    <w:rsid w:val="00F967AB"/>
    <w:rsid w:val="00F96C65"/>
    <w:rsid w:val="00F96FE9"/>
    <w:rsid w:val="00F977FB"/>
    <w:rsid w:val="00F97935"/>
    <w:rsid w:val="00F97E88"/>
    <w:rsid w:val="00FA008C"/>
    <w:rsid w:val="00FA0209"/>
    <w:rsid w:val="00FA0773"/>
    <w:rsid w:val="00FA11ED"/>
    <w:rsid w:val="00FA123F"/>
    <w:rsid w:val="00FA1671"/>
    <w:rsid w:val="00FA17DF"/>
    <w:rsid w:val="00FA1B13"/>
    <w:rsid w:val="00FA1DCB"/>
    <w:rsid w:val="00FA1E7C"/>
    <w:rsid w:val="00FA34B7"/>
    <w:rsid w:val="00FA3835"/>
    <w:rsid w:val="00FA3BDD"/>
    <w:rsid w:val="00FA5770"/>
    <w:rsid w:val="00FA59D9"/>
    <w:rsid w:val="00FA5B3E"/>
    <w:rsid w:val="00FA6105"/>
    <w:rsid w:val="00FA74CD"/>
    <w:rsid w:val="00FB098D"/>
    <w:rsid w:val="00FB0F9A"/>
    <w:rsid w:val="00FB12D8"/>
    <w:rsid w:val="00FB12FB"/>
    <w:rsid w:val="00FB1699"/>
    <w:rsid w:val="00FB1BB9"/>
    <w:rsid w:val="00FB1F2A"/>
    <w:rsid w:val="00FB3794"/>
    <w:rsid w:val="00FB3920"/>
    <w:rsid w:val="00FB4489"/>
    <w:rsid w:val="00FB4789"/>
    <w:rsid w:val="00FB4C13"/>
    <w:rsid w:val="00FB4DAD"/>
    <w:rsid w:val="00FB5149"/>
    <w:rsid w:val="00FB52D9"/>
    <w:rsid w:val="00FB6476"/>
    <w:rsid w:val="00FB6A53"/>
    <w:rsid w:val="00FB6BC0"/>
    <w:rsid w:val="00FB6C6F"/>
    <w:rsid w:val="00FB6D96"/>
    <w:rsid w:val="00FB743C"/>
    <w:rsid w:val="00FC00AF"/>
    <w:rsid w:val="00FC1C5B"/>
    <w:rsid w:val="00FC2AA4"/>
    <w:rsid w:val="00FC2C9C"/>
    <w:rsid w:val="00FC3143"/>
    <w:rsid w:val="00FC3DC9"/>
    <w:rsid w:val="00FC5063"/>
    <w:rsid w:val="00FC521A"/>
    <w:rsid w:val="00FC530C"/>
    <w:rsid w:val="00FC5A35"/>
    <w:rsid w:val="00FC5C1D"/>
    <w:rsid w:val="00FC64D3"/>
    <w:rsid w:val="00FC6948"/>
    <w:rsid w:val="00FC6B58"/>
    <w:rsid w:val="00FD0958"/>
    <w:rsid w:val="00FD0B11"/>
    <w:rsid w:val="00FD0F72"/>
    <w:rsid w:val="00FD1A26"/>
    <w:rsid w:val="00FD1FF5"/>
    <w:rsid w:val="00FD3A65"/>
    <w:rsid w:val="00FD3EDC"/>
    <w:rsid w:val="00FD457D"/>
    <w:rsid w:val="00FD5151"/>
    <w:rsid w:val="00FD6481"/>
    <w:rsid w:val="00FD666E"/>
    <w:rsid w:val="00FD70A5"/>
    <w:rsid w:val="00FD74DC"/>
    <w:rsid w:val="00FD7DEA"/>
    <w:rsid w:val="00FE0224"/>
    <w:rsid w:val="00FE0E44"/>
    <w:rsid w:val="00FE176B"/>
    <w:rsid w:val="00FE1D24"/>
    <w:rsid w:val="00FE2115"/>
    <w:rsid w:val="00FE2E31"/>
    <w:rsid w:val="00FE34A7"/>
    <w:rsid w:val="00FE353E"/>
    <w:rsid w:val="00FE3AD6"/>
    <w:rsid w:val="00FE3BD9"/>
    <w:rsid w:val="00FE4F39"/>
    <w:rsid w:val="00FE525C"/>
    <w:rsid w:val="00FE5280"/>
    <w:rsid w:val="00FE5CA3"/>
    <w:rsid w:val="00FE5F46"/>
    <w:rsid w:val="00FE6356"/>
    <w:rsid w:val="00FE6AC0"/>
    <w:rsid w:val="00FE6ECD"/>
    <w:rsid w:val="00FE7B87"/>
    <w:rsid w:val="00FF00BC"/>
    <w:rsid w:val="00FF138A"/>
    <w:rsid w:val="00FF13AB"/>
    <w:rsid w:val="00FF1683"/>
    <w:rsid w:val="00FF37C5"/>
    <w:rsid w:val="00FF3BA9"/>
    <w:rsid w:val="00FF47D3"/>
    <w:rsid w:val="00FF4BF5"/>
    <w:rsid w:val="00FF69E4"/>
    <w:rsid w:val="00FF6D05"/>
    <w:rsid w:val="00FF78B1"/>
    <w:rsid w:val="00FF7C7B"/>
    <w:rsid w:val="00FF7E9D"/>
    <w:rsid w:val="01022A96"/>
    <w:rsid w:val="0102EEB8"/>
    <w:rsid w:val="0104FBC1"/>
    <w:rsid w:val="010A8FF7"/>
    <w:rsid w:val="010D7501"/>
    <w:rsid w:val="010E2153"/>
    <w:rsid w:val="0113D941"/>
    <w:rsid w:val="0118D508"/>
    <w:rsid w:val="01203E3D"/>
    <w:rsid w:val="0121A449"/>
    <w:rsid w:val="0129319F"/>
    <w:rsid w:val="012E65CC"/>
    <w:rsid w:val="0130D79A"/>
    <w:rsid w:val="013728CE"/>
    <w:rsid w:val="013FC72A"/>
    <w:rsid w:val="0147370C"/>
    <w:rsid w:val="014A8D27"/>
    <w:rsid w:val="015950B6"/>
    <w:rsid w:val="015CA653"/>
    <w:rsid w:val="01628FCB"/>
    <w:rsid w:val="0164ED9C"/>
    <w:rsid w:val="01678C23"/>
    <w:rsid w:val="016BAFD6"/>
    <w:rsid w:val="017A5A34"/>
    <w:rsid w:val="017B0A71"/>
    <w:rsid w:val="017E14F2"/>
    <w:rsid w:val="017E4FC8"/>
    <w:rsid w:val="017FD33B"/>
    <w:rsid w:val="018AEA91"/>
    <w:rsid w:val="0192D38C"/>
    <w:rsid w:val="019E1EA0"/>
    <w:rsid w:val="019FA248"/>
    <w:rsid w:val="01A133AF"/>
    <w:rsid w:val="01A72E83"/>
    <w:rsid w:val="01A95339"/>
    <w:rsid w:val="01AE977C"/>
    <w:rsid w:val="01B90EF8"/>
    <w:rsid w:val="01C1E4B6"/>
    <w:rsid w:val="01C5F32D"/>
    <w:rsid w:val="01CA6350"/>
    <w:rsid w:val="01CB5274"/>
    <w:rsid w:val="01CB7478"/>
    <w:rsid w:val="01CBFAB4"/>
    <w:rsid w:val="01D8C657"/>
    <w:rsid w:val="01DE02AC"/>
    <w:rsid w:val="01DF4257"/>
    <w:rsid w:val="01E24B00"/>
    <w:rsid w:val="01E82C54"/>
    <w:rsid w:val="01E85360"/>
    <w:rsid w:val="01F0BA82"/>
    <w:rsid w:val="01F48484"/>
    <w:rsid w:val="01F50841"/>
    <w:rsid w:val="01F859E5"/>
    <w:rsid w:val="01FA14A6"/>
    <w:rsid w:val="0204FDE4"/>
    <w:rsid w:val="020956F6"/>
    <w:rsid w:val="020DB369"/>
    <w:rsid w:val="02103F44"/>
    <w:rsid w:val="02144E7A"/>
    <w:rsid w:val="0218980F"/>
    <w:rsid w:val="021CB012"/>
    <w:rsid w:val="02222F52"/>
    <w:rsid w:val="02252F6C"/>
    <w:rsid w:val="0228ABA5"/>
    <w:rsid w:val="022C92CF"/>
    <w:rsid w:val="023CB22A"/>
    <w:rsid w:val="023FDC39"/>
    <w:rsid w:val="0244EF90"/>
    <w:rsid w:val="0245FA91"/>
    <w:rsid w:val="024CF403"/>
    <w:rsid w:val="024E33EB"/>
    <w:rsid w:val="025998B5"/>
    <w:rsid w:val="0262BAAE"/>
    <w:rsid w:val="02723B3E"/>
    <w:rsid w:val="027562B2"/>
    <w:rsid w:val="027562DF"/>
    <w:rsid w:val="027FDD3F"/>
    <w:rsid w:val="02810D54"/>
    <w:rsid w:val="02885DEE"/>
    <w:rsid w:val="0288E832"/>
    <w:rsid w:val="0292877A"/>
    <w:rsid w:val="029B2671"/>
    <w:rsid w:val="02A0E640"/>
    <w:rsid w:val="02A9830C"/>
    <w:rsid w:val="02B581FF"/>
    <w:rsid w:val="02B58BFC"/>
    <w:rsid w:val="02B7EF12"/>
    <w:rsid w:val="02BC5ED1"/>
    <w:rsid w:val="02C427B0"/>
    <w:rsid w:val="02C78CBC"/>
    <w:rsid w:val="02CD44B3"/>
    <w:rsid w:val="02D483AD"/>
    <w:rsid w:val="02D5E85A"/>
    <w:rsid w:val="02DE4F51"/>
    <w:rsid w:val="02DF3051"/>
    <w:rsid w:val="02E1EA5B"/>
    <w:rsid w:val="02E1F0A1"/>
    <w:rsid w:val="02E69365"/>
    <w:rsid w:val="02EC4D9D"/>
    <w:rsid w:val="02EF2137"/>
    <w:rsid w:val="03005CF8"/>
    <w:rsid w:val="030068E2"/>
    <w:rsid w:val="0305E1CA"/>
    <w:rsid w:val="0307D792"/>
    <w:rsid w:val="0308835B"/>
    <w:rsid w:val="0308C39E"/>
    <w:rsid w:val="03122EA7"/>
    <w:rsid w:val="031F4A99"/>
    <w:rsid w:val="0321AE5F"/>
    <w:rsid w:val="0328CBDC"/>
    <w:rsid w:val="032D20FC"/>
    <w:rsid w:val="032F0BE1"/>
    <w:rsid w:val="0336AD88"/>
    <w:rsid w:val="0337EBE4"/>
    <w:rsid w:val="0344193D"/>
    <w:rsid w:val="03472458"/>
    <w:rsid w:val="034B2819"/>
    <w:rsid w:val="034FF86E"/>
    <w:rsid w:val="035062F2"/>
    <w:rsid w:val="03554FBB"/>
    <w:rsid w:val="035B8D46"/>
    <w:rsid w:val="0364D8C4"/>
    <w:rsid w:val="036A451A"/>
    <w:rsid w:val="036B432A"/>
    <w:rsid w:val="036F5A35"/>
    <w:rsid w:val="0373E1B8"/>
    <w:rsid w:val="037C703E"/>
    <w:rsid w:val="03802745"/>
    <w:rsid w:val="0387A94D"/>
    <w:rsid w:val="0389906F"/>
    <w:rsid w:val="0389AEE8"/>
    <w:rsid w:val="038BC653"/>
    <w:rsid w:val="0398DEF7"/>
    <w:rsid w:val="039B144B"/>
    <w:rsid w:val="039E6F6F"/>
    <w:rsid w:val="039EA6C5"/>
    <w:rsid w:val="03A5793C"/>
    <w:rsid w:val="03A92393"/>
    <w:rsid w:val="03ABD333"/>
    <w:rsid w:val="03ACB210"/>
    <w:rsid w:val="03B75FDE"/>
    <w:rsid w:val="03BE41FB"/>
    <w:rsid w:val="03C2E1B6"/>
    <w:rsid w:val="03C72FD6"/>
    <w:rsid w:val="03C93BA5"/>
    <w:rsid w:val="03CAFBF5"/>
    <w:rsid w:val="03CD785A"/>
    <w:rsid w:val="03D05E16"/>
    <w:rsid w:val="03DA0CC1"/>
    <w:rsid w:val="03DDF019"/>
    <w:rsid w:val="03E28B7E"/>
    <w:rsid w:val="03E2AC46"/>
    <w:rsid w:val="03E64459"/>
    <w:rsid w:val="03E7099C"/>
    <w:rsid w:val="03EC0190"/>
    <w:rsid w:val="03EC23A8"/>
    <w:rsid w:val="03EF6938"/>
    <w:rsid w:val="03FC4C2F"/>
    <w:rsid w:val="03FCE225"/>
    <w:rsid w:val="04077D0C"/>
    <w:rsid w:val="0413B489"/>
    <w:rsid w:val="041A0657"/>
    <w:rsid w:val="04239B50"/>
    <w:rsid w:val="0428222A"/>
    <w:rsid w:val="0432AA5E"/>
    <w:rsid w:val="04336C90"/>
    <w:rsid w:val="043BC57A"/>
    <w:rsid w:val="043C83D0"/>
    <w:rsid w:val="043DAAF6"/>
    <w:rsid w:val="043E6DB2"/>
    <w:rsid w:val="04438849"/>
    <w:rsid w:val="04494A96"/>
    <w:rsid w:val="0464F933"/>
    <w:rsid w:val="047673E4"/>
    <w:rsid w:val="04776973"/>
    <w:rsid w:val="04819C8E"/>
    <w:rsid w:val="04898A14"/>
    <w:rsid w:val="0489A837"/>
    <w:rsid w:val="0492F789"/>
    <w:rsid w:val="0496EB07"/>
    <w:rsid w:val="04B04F1D"/>
    <w:rsid w:val="04B2DF1B"/>
    <w:rsid w:val="04DAE967"/>
    <w:rsid w:val="04DDEB47"/>
    <w:rsid w:val="04E9B000"/>
    <w:rsid w:val="04EC14BF"/>
    <w:rsid w:val="04EE3DEB"/>
    <w:rsid w:val="04EF6A5E"/>
    <w:rsid w:val="04F7AAF1"/>
    <w:rsid w:val="050917C9"/>
    <w:rsid w:val="0516B25D"/>
    <w:rsid w:val="0526A72E"/>
    <w:rsid w:val="05319782"/>
    <w:rsid w:val="05351755"/>
    <w:rsid w:val="0536154B"/>
    <w:rsid w:val="053AA8D2"/>
    <w:rsid w:val="053FD2AA"/>
    <w:rsid w:val="0543383B"/>
    <w:rsid w:val="05473AA3"/>
    <w:rsid w:val="05495A6B"/>
    <w:rsid w:val="054C2CC0"/>
    <w:rsid w:val="054E4B02"/>
    <w:rsid w:val="0550F553"/>
    <w:rsid w:val="055AAB70"/>
    <w:rsid w:val="05615133"/>
    <w:rsid w:val="056B8E94"/>
    <w:rsid w:val="056D53F3"/>
    <w:rsid w:val="0572AB76"/>
    <w:rsid w:val="057E6080"/>
    <w:rsid w:val="0588499A"/>
    <w:rsid w:val="0588BB74"/>
    <w:rsid w:val="058B9544"/>
    <w:rsid w:val="058C00C8"/>
    <w:rsid w:val="058CB2C0"/>
    <w:rsid w:val="0591494A"/>
    <w:rsid w:val="05951E7E"/>
    <w:rsid w:val="05A2ABF3"/>
    <w:rsid w:val="05A690A6"/>
    <w:rsid w:val="05ABD9C8"/>
    <w:rsid w:val="05AC7A7E"/>
    <w:rsid w:val="05ADF5F9"/>
    <w:rsid w:val="05B3099E"/>
    <w:rsid w:val="05B73CE9"/>
    <w:rsid w:val="05BE37B1"/>
    <w:rsid w:val="05BE52E5"/>
    <w:rsid w:val="05BFF8BA"/>
    <w:rsid w:val="05C61615"/>
    <w:rsid w:val="05C87B09"/>
    <w:rsid w:val="05C8B186"/>
    <w:rsid w:val="05CEAFB2"/>
    <w:rsid w:val="05D6B100"/>
    <w:rsid w:val="05D90976"/>
    <w:rsid w:val="05E048B3"/>
    <w:rsid w:val="05EDCB10"/>
    <w:rsid w:val="05F03AEE"/>
    <w:rsid w:val="05F31C0C"/>
    <w:rsid w:val="05F42C90"/>
    <w:rsid w:val="05F9751C"/>
    <w:rsid w:val="05FB3C8D"/>
    <w:rsid w:val="060456E3"/>
    <w:rsid w:val="0606BD07"/>
    <w:rsid w:val="0608D511"/>
    <w:rsid w:val="0609D9B4"/>
    <w:rsid w:val="061038C6"/>
    <w:rsid w:val="06139937"/>
    <w:rsid w:val="06165DA6"/>
    <w:rsid w:val="0628B41C"/>
    <w:rsid w:val="062E9FB3"/>
    <w:rsid w:val="06371DB2"/>
    <w:rsid w:val="0639FDB2"/>
    <w:rsid w:val="0644D348"/>
    <w:rsid w:val="0652B6F7"/>
    <w:rsid w:val="065AA119"/>
    <w:rsid w:val="065E50FD"/>
    <w:rsid w:val="066269A3"/>
    <w:rsid w:val="0664E7F8"/>
    <w:rsid w:val="06692F56"/>
    <w:rsid w:val="067162BD"/>
    <w:rsid w:val="06718FC3"/>
    <w:rsid w:val="0679F53A"/>
    <w:rsid w:val="067A00AC"/>
    <w:rsid w:val="067A47EA"/>
    <w:rsid w:val="06900560"/>
    <w:rsid w:val="069C6D1C"/>
    <w:rsid w:val="06AA11D9"/>
    <w:rsid w:val="06AD4805"/>
    <w:rsid w:val="06B33928"/>
    <w:rsid w:val="06B349EA"/>
    <w:rsid w:val="06B52787"/>
    <w:rsid w:val="06B62ACA"/>
    <w:rsid w:val="06C23399"/>
    <w:rsid w:val="06D17D15"/>
    <w:rsid w:val="06D907C8"/>
    <w:rsid w:val="06E0BA29"/>
    <w:rsid w:val="06E19894"/>
    <w:rsid w:val="06EC7873"/>
    <w:rsid w:val="06ED6581"/>
    <w:rsid w:val="06F762E2"/>
    <w:rsid w:val="06FC7C58"/>
    <w:rsid w:val="06FE60F3"/>
    <w:rsid w:val="06FFBF11"/>
    <w:rsid w:val="07072C47"/>
    <w:rsid w:val="070D5070"/>
    <w:rsid w:val="070EAE73"/>
    <w:rsid w:val="071A58A4"/>
    <w:rsid w:val="071DFCFF"/>
    <w:rsid w:val="071E3A14"/>
    <w:rsid w:val="072174F6"/>
    <w:rsid w:val="0723FAFC"/>
    <w:rsid w:val="0739E997"/>
    <w:rsid w:val="073AB314"/>
    <w:rsid w:val="074723C5"/>
    <w:rsid w:val="07472984"/>
    <w:rsid w:val="074DA2B4"/>
    <w:rsid w:val="075DF401"/>
    <w:rsid w:val="075E3EF1"/>
    <w:rsid w:val="076658BB"/>
    <w:rsid w:val="077CF42F"/>
    <w:rsid w:val="0782126F"/>
    <w:rsid w:val="0782666D"/>
    <w:rsid w:val="078A450A"/>
    <w:rsid w:val="078EA9F3"/>
    <w:rsid w:val="0792D1B3"/>
    <w:rsid w:val="07A55E00"/>
    <w:rsid w:val="07AE9553"/>
    <w:rsid w:val="07AFD326"/>
    <w:rsid w:val="07B2A2CE"/>
    <w:rsid w:val="07BA29ED"/>
    <w:rsid w:val="07BCC5D1"/>
    <w:rsid w:val="07C2ABA8"/>
    <w:rsid w:val="07C607E4"/>
    <w:rsid w:val="07C9671B"/>
    <w:rsid w:val="07CA9C76"/>
    <w:rsid w:val="07CFAACC"/>
    <w:rsid w:val="07D5F719"/>
    <w:rsid w:val="07DAEAC9"/>
    <w:rsid w:val="07E1347B"/>
    <w:rsid w:val="07E1DA15"/>
    <w:rsid w:val="07E1F59B"/>
    <w:rsid w:val="07F0EB18"/>
    <w:rsid w:val="07F3FB77"/>
    <w:rsid w:val="07F66B63"/>
    <w:rsid w:val="07FFB8CD"/>
    <w:rsid w:val="080219BB"/>
    <w:rsid w:val="080468B6"/>
    <w:rsid w:val="0805AB3A"/>
    <w:rsid w:val="08075F42"/>
    <w:rsid w:val="0810AE92"/>
    <w:rsid w:val="08137CB5"/>
    <w:rsid w:val="081E72D3"/>
    <w:rsid w:val="0824102F"/>
    <w:rsid w:val="08242145"/>
    <w:rsid w:val="0826DA3A"/>
    <w:rsid w:val="0831D0F4"/>
    <w:rsid w:val="0832C05C"/>
    <w:rsid w:val="08404985"/>
    <w:rsid w:val="08461AE5"/>
    <w:rsid w:val="0856CE7D"/>
    <w:rsid w:val="08601599"/>
    <w:rsid w:val="0868C4B4"/>
    <w:rsid w:val="086D2694"/>
    <w:rsid w:val="087117FC"/>
    <w:rsid w:val="08782814"/>
    <w:rsid w:val="087A0AAE"/>
    <w:rsid w:val="08845DBE"/>
    <w:rsid w:val="08B50F45"/>
    <w:rsid w:val="08B8D882"/>
    <w:rsid w:val="08DEA5E2"/>
    <w:rsid w:val="08E36D17"/>
    <w:rsid w:val="08E76B06"/>
    <w:rsid w:val="08EEC97C"/>
    <w:rsid w:val="08F2C2CC"/>
    <w:rsid w:val="08F7D4A5"/>
    <w:rsid w:val="08FE9E9E"/>
    <w:rsid w:val="09015669"/>
    <w:rsid w:val="09024CA1"/>
    <w:rsid w:val="0903F9CF"/>
    <w:rsid w:val="090D8DCA"/>
    <w:rsid w:val="09118FFE"/>
    <w:rsid w:val="09286E41"/>
    <w:rsid w:val="092B7CA9"/>
    <w:rsid w:val="09403B79"/>
    <w:rsid w:val="0942A3EA"/>
    <w:rsid w:val="0943D2DA"/>
    <w:rsid w:val="09464E2B"/>
    <w:rsid w:val="095A735B"/>
    <w:rsid w:val="095E89D0"/>
    <w:rsid w:val="095E8B3F"/>
    <w:rsid w:val="095F1BC7"/>
    <w:rsid w:val="096CFF82"/>
    <w:rsid w:val="096D0EB2"/>
    <w:rsid w:val="097284F9"/>
    <w:rsid w:val="0978AA3F"/>
    <w:rsid w:val="097D69ED"/>
    <w:rsid w:val="0982D787"/>
    <w:rsid w:val="0987869E"/>
    <w:rsid w:val="09896300"/>
    <w:rsid w:val="098ADEC9"/>
    <w:rsid w:val="098D4873"/>
    <w:rsid w:val="098F32DC"/>
    <w:rsid w:val="099A9317"/>
    <w:rsid w:val="099F964E"/>
    <w:rsid w:val="09A073F1"/>
    <w:rsid w:val="09AC12C3"/>
    <w:rsid w:val="09BE526C"/>
    <w:rsid w:val="09CCC023"/>
    <w:rsid w:val="09CD3B91"/>
    <w:rsid w:val="09D1544B"/>
    <w:rsid w:val="09D4218F"/>
    <w:rsid w:val="09D6B7C3"/>
    <w:rsid w:val="09D8A308"/>
    <w:rsid w:val="09E515E6"/>
    <w:rsid w:val="09EF986C"/>
    <w:rsid w:val="0A0101A7"/>
    <w:rsid w:val="0A0508A5"/>
    <w:rsid w:val="0A0B7A8A"/>
    <w:rsid w:val="0A0F7A6D"/>
    <w:rsid w:val="0A0FEA14"/>
    <w:rsid w:val="0A1CD73E"/>
    <w:rsid w:val="0A2B443D"/>
    <w:rsid w:val="0A2F4F04"/>
    <w:rsid w:val="0A3324F1"/>
    <w:rsid w:val="0A37EEA8"/>
    <w:rsid w:val="0A38C2C1"/>
    <w:rsid w:val="0A41039E"/>
    <w:rsid w:val="0A52152E"/>
    <w:rsid w:val="0A58EB15"/>
    <w:rsid w:val="0A5B270D"/>
    <w:rsid w:val="0A5E05C7"/>
    <w:rsid w:val="0A5F7B46"/>
    <w:rsid w:val="0A6CF5C3"/>
    <w:rsid w:val="0A7522B8"/>
    <w:rsid w:val="0A8206A4"/>
    <w:rsid w:val="0A853C7C"/>
    <w:rsid w:val="0A8634E7"/>
    <w:rsid w:val="0A8AF6FD"/>
    <w:rsid w:val="0A8F776C"/>
    <w:rsid w:val="0A98E713"/>
    <w:rsid w:val="0AA3E3F0"/>
    <w:rsid w:val="0AA42E19"/>
    <w:rsid w:val="0AB9E06F"/>
    <w:rsid w:val="0ABD1188"/>
    <w:rsid w:val="0AC1FBC5"/>
    <w:rsid w:val="0ACB63BE"/>
    <w:rsid w:val="0ACD6F6C"/>
    <w:rsid w:val="0ACF0BFD"/>
    <w:rsid w:val="0AD0C881"/>
    <w:rsid w:val="0AD8FD05"/>
    <w:rsid w:val="0ADDDE11"/>
    <w:rsid w:val="0AE1220F"/>
    <w:rsid w:val="0AFA331C"/>
    <w:rsid w:val="0AFA57EC"/>
    <w:rsid w:val="0AFCCA02"/>
    <w:rsid w:val="0B0295A8"/>
    <w:rsid w:val="0B1DD235"/>
    <w:rsid w:val="0B243B6F"/>
    <w:rsid w:val="0B24B3A6"/>
    <w:rsid w:val="0B250C9D"/>
    <w:rsid w:val="0B2866EF"/>
    <w:rsid w:val="0B2D03C9"/>
    <w:rsid w:val="0B2D94BF"/>
    <w:rsid w:val="0B3A7A8D"/>
    <w:rsid w:val="0B4FAD96"/>
    <w:rsid w:val="0B528229"/>
    <w:rsid w:val="0B54C085"/>
    <w:rsid w:val="0B55D2B8"/>
    <w:rsid w:val="0B5A27AB"/>
    <w:rsid w:val="0B6305C1"/>
    <w:rsid w:val="0B654513"/>
    <w:rsid w:val="0B80743D"/>
    <w:rsid w:val="0B80B70D"/>
    <w:rsid w:val="0B816E4D"/>
    <w:rsid w:val="0B874A6D"/>
    <w:rsid w:val="0B8DA82F"/>
    <w:rsid w:val="0B93D4EC"/>
    <w:rsid w:val="0B968F29"/>
    <w:rsid w:val="0B98EE7F"/>
    <w:rsid w:val="0B9E397F"/>
    <w:rsid w:val="0BA0BAE8"/>
    <w:rsid w:val="0BAC6EEB"/>
    <w:rsid w:val="0BB29097"/>
    <w:rsid w:val="0BC9599C"/>
    <w:rsid w:val="0BC9A0A3"/>
    <w:rsid w:val="0BD5BFC6"/>
    <w:rsid w:val="0BD7A5A9"/>
    <w:rsid w:val="0BDC10FA"/>
    <w:rsid w:val="0BDCBB38"/>
    <w:rsid w:val="0BDFAA3F"/>
    <w:rsid w:val="0BE7D3E8"/>
    <w:rsid w:val="0BF59DB0"/>
    <w:rsid w:val="0BF672A3"/>
    <w:rsid w:val="0BFAA766"/>
    <w:rsid w:val="0C06C758"/>
    <w:rsid w:val="0C07A928"/>
    <w:rsid w:val="0C07BA65"/>
    <w:rsid w:val="0C0F1FA2"/>
    <w:rsid w:val="0C110CCB"/>
    <w:rsid w:val="0C2209AA"/>
    <w:rsid w:val="0C22D318"/>
    <w:rsid w:val="0C298C82"/>
    <w:rsid w:val="0C31B398"/>
    <w:rsid w:val="0C3262A2"/>
    <w:rsid w:val="0C355109"/>
    <w:rsid w:val="0C37C733"/>
    <w:rsid w:val="0C3F1F7C"/>
    <w:rsid w:val="0C43B864"/>
    <w:rsid w:val="0C45BAF0"/>
    <w:rsid w:val="0C4724AA"/>
    <w:rsid w:val="0C55D2D8"/>
    <w:rsid w:val="0C59188A"/>
    <w:rsid w:val="0C643B9D"/>
    <w:rsid w:val="0C659BE7"/>
    <w:rsid w:val="0C6ADC0F"/>
    <w:rsid w:val="0C8E54E0"/>
    <w:rsid w:val="0C9564B8"/>
    <w:rsid w:val="0CA4F7C4"/>
    <w:rsid w:val="0CA54EC9"/>
    <w:rsid w:val="0CA864B7"/>
    <w:rsid w:val="0CA9EEC2"/>
    <w:rsid w:val="0CADD78D"/>
    <w:rsid w:val="0CAEA221"/>
    <w:rsid w:val="0CB13410"/>
    <w:rsid w:val="0CB56828"/>
    <w:rsid w:val="0CBAB75D"/>
    <w:rsid w:val="0CC93249"/>
    <w:rsid w:val="0CD05673"/>
    <w:rsid w:val="0CD5F155"/>
    <w:rsid w:val="0CD7915A"/>
    <w:rsid w:val="0CD91F9D"/>
    <w:rsid w:val="0CDF4B0C"/>
    <w:rsid w:val="0CED557B"/>
    <w:rsid w:val="0CF2122C"/>
    <w:rsid w:val="0CF8E3A0"/>
    <w:rsid w:val="0CFAE57E"/>
    <w:rsid w:val="0D04DAF9"/>
    <w:rsid w:val="0D15AC91"/>
    <w:rsid w:val="0D1A1D69"/>
    <w:rsid w:val="0D1E3AC1"/>
    <w:rsid w:val="0D209D93"/>
    <w:rsid w:val="0D2EE97C"/>
    <w:rsid w:val="0D308645"/>
    <w:rsid w:val="0D36A057"/>
    <w:rsid w:val="0D36D70E"/>
    <w:rsid w:val="0D392C05"/>
    <w:rsid w:val="0D3CA967"/>
    <w:rsid w:val="0D43B7E1"/>
    <w:rsid w:val="0D4B7B70"/>
    <w:rsid w:val="0D50051B"/>
    <w:rsid w:val="0D50BD33"/>
    <w:rsid w:val="0D512BD0"/>
    <w:rsid w:val="0D516C16"/>
    <w:rsid w:val="0D540AA3"/>
    <w:rsid w:val="0D5CB71C"/>
    <w:rsid w:val="0D7016BE"/>
    <w:rsid w:val="0D819FCB"/>
    <w:rsid w:val="0D81C322"/>
    <w:rsid w:val="0D860328"/>
    <w:rsid w:val="0D8C2B81"/>
    <w:rsid w:val="0D9044B4"/>
    <w:rsid w:val="0D966B62"/>
    <w:rsid w:val="0D9B4F30"/>
    <w:rsid w:val="0DA26217"/>
    <w:rsid w:val="0DA6E9C9"/>
    <w:rsid w:val="0DAAF514"/>
    <w:rsid w:val="0DAB890A"/>
    <w:rsid w:val="0DABE5D9"/>
    <w:rsid w:val="0DB3ED9E"/>
    <w:rsid w:val="0DB4B40D"/>
    <w:rsid w:val="0DBA5226"/>
    <w:rsid w:val="0DBEF0EC"/>
    <w:rsid w:val="0DC5C6B4"/>
    <w:rsid w:val="0DC9BB03"/>
    <w:rsid w:val="0DCA7D6C"/>
    <w:rsid w:val="0DD2F694"/>
    <w:rsid w:val="0DD46546"/>
    <w:rsid w:val="0DD6C302"/>
    <w:rsid w:val="0DD853C8"/>
    <w:rsid w:val="0DDA7254"/>
    <w:rsid w:val="0DDD4FF7"/>
    <w:rsid w:val="0DDF88C5"/>
    <w:rsid w:val="0DF5D6F7"/>
    <w:rsid w:val="0DF7C8FA"/>
    <w:rsid w:val="0DFC359D"/>
    <w:rsid w:val="0DFE76AF"/>
    <w:rsid w:val="0DFF0EF3"/>
    <w:rsid w:val="0E070EE8"/>
    <w:rsid w:val="0E0BE040"/>
    <w:rsid w:val="0E0D8477"/>
    <w:rsid w:val="0E0DB267"/>
    <w:rsid w:val="0E0E86F1"/>
    <w:rsid w:val="0E11D6D9"/>
    <w:rsid w:val="0E1291C9"/>
    <w:rsid w:val="0E162901"/>
    <w:rsid w:val="0E199F6B"/>
    <w:rsid w:val="0E1CA26F"/>
    <w:rsid w:val="0E1EF729"/>
    <w:rsid w:val="0E2A99D2"/>
    <w:rsid w:val="0E2E2C88"/>
    <w:rsid w:val="0E353A05"/>
    <w:rsid w:val="0E3A6F31"/>
    <w:rsid w:val="0E409A8C"/>
    <w:rsid w:val="0E40FA09"/>
    <w:rsid w:val="0E4828CB"/>
    <w:rsid w:val="0E492EE9"/>
    <w:rsid w:val="0E493EF3"/>
    <w:rsid w:val="0E6737D0"/>
    <w:rsid w:val="0E6B213E"/>
    <w:rsid w:val="0E7016EC"/>
    <w:rsid w:val="0E70A629"/>
    <w:rsid w:val="0E711957"/>
    <w:rsid w:val="0E7192DB"/>
    <w:rsid w:val="0E72A9C3"/>
    <w:rsid w:val="0E794423"/>
    <w:rsid w:val="0E7B4DD8"/>
    <w:rsid w:val="0E7CA85B"/>
    <w:rsid w:val="0E837C36"/>
    <w:rsid w:val="0E8B0E95"/>
    <w:rsid w:val="0EA2E442"/>
    <w:rsid w:val="0EA70B65"/>
    <w:rsid w:val="0EAD9A06"/>
    <w:rsid w:val="0EADB944"/>
    <w:rsid w:val="0EAF920C"/>
    <w:rsid w:val="0EB032B8"/>
    <w:rsid w:val="0EB070C1"/>
    <w:rsid w:val="0EB493BC"/>
    <w:rsid w:val="0EB9133E"/>
    <w:rsid w:val="0EC1CD3D"/>
    <w:rsid w:val="0EC21B4F"/>
    <w:rsid w:val="0ED7446D"/>
    <w:rsid w:val="0EDF2AF8"/>
    <w:rsid w:val="0EE59202"/>
    <w:rsid w:val="0EE5C748"/>
    <w:rsid w:val="0EF70E64"/>
    <w:rsid w:val="0EFA4F81"/>
    <w:rsid w:val="0F036D6D"/>
    <w:rsid w:val="0F0856FD"/>
    <w:rsid w:val="0F10F270"/>
    <w:rsid w:val="0F124EF0"/>
    <w:rsid w:val="0F1AF978"/>
    <w:rsid w:val="0F1F1B5D"/>
    <w:rsid w:val="0F25FC0B"/>
    <w:rsid w:val="0F267CBC"/>
    <w:rsid w:val="0F290463"/>
    <w:rsid w:val="0F296E41"/>
    <w:rsid w:val="0F2EE5CC"/>
    <w:rsid w:val="0F30F7CD"/>
    <w:rsid w:val="0F3210D5"/>
    <w:rsid w:val="0F322219"/>
    <w:rsid w:val="0F3E9447"/>
    <w:rsid w:val="0F423121"/>
    <w:rsid w:val="0F4B6299"/>
    <w:rsid w:val="0F4DFA92"/>
    <w:rsid w:val="0F5004DB"/>
    <w:rsid w:val="0F529B39"/>
    <w:rsid w:val="0F5C08A6"/>
    <w:rsid w:val="0F5E6047"/>
    <w:rsid w:val="0F5F5DCD"/>
    <w:rsid w:val="0F65495B"/>
    <w:rsid w:val="0F6EE89E"/>
    <w:rsid w:val="0F7347C7"/>
    <w:rsid w:val="0F7A2659"/>
    <w:rsid w:val="0F7B5926"/>
    <w:rsid w:val="0F81C033"/>
    <w:rsid w:val="0F87CEA0"/>
    <w:rsid w:val="0F8E03EC"/>
    <w:rsid w:val="0FA262A8"/>
    <w:rsid w:val="0FA44630"/>
    <w:rsid w:val="0FAC5647"/>
    <w:rsid w:val="0FAEA95D"/>
    <w:rsid w:val="0FB0FE15"/>
    <w:rsid w:val="0FB274F1"/>
    <w:rsid w:val="0FB52985"/>
    <w:rsid w:val="0FBD834A"/>
    <w:rsid w:val="0FD591C5"/>
    <w:rsid w:val="0FD5FB0E"/>
    <w:rsid w:val="0FE690FB"/>
    <w:rsid w:val="0FEC8D13"/>
    <w:rsid w:val="0FECEF38"/>
    <w:rsid w:val="0FED08EA"/>
    <w:rsid w:val="0FF2D6AF"/>
    <w:rsid w:val="0FF43EFE"/>
    <w:rsid w:val="0FF84C82"/>
    <w:rsid w:val="0FFD42D7"/>
    <w:rsid w:val="0FFEC7BC"/>
    <w:rsid w:val="1005DAAE"/>
    <w:rsid w:val="1006DE73"/>
    <w:rsid w:val="101AF9AD"/>
    <w:rsid w:val="1024FB3C"/>
    <w:rsid w:val="10251A2B"/>
    <w:rsid w:val="102A4C05"/>
    <w:rsid w:val="102EA6B1"/>
    <w:rsid w:val="102F0BA6"/>
    <w:rsid w:val="103D1BA9"/>
    <w:rsid w:val="1048BB22"/>
    <w:rsid w:val="104CB3B2"/>
    <w:rsid w:val="105A370D"/>
    <w:rsid w:val="105CABC5"/>
    <w:rsid w:val="105E416E"/>
    <w:rsid w:val="105F552C"/>
    <w:rsid w:val="1061EF92"/>
    <w:rsid w:val="1063E552"/>
    <w:rsid w:val="106A71AC"/>
    <w:rsid w:val="106B2CCC"/>
    <w:rsid w:val="106C9862"/>
    <w:rsid w:val="106E867E"/>
    <w:rsid w:val="106F42FE"/>
    <w:rsid w:val="10742933"/>
    <w:rsid w:val="107A65D0"/>
    <w:rsid w:val="10860BD2"/>
    <w:rsid w:val="10901C9F"/>
    <w:rsid w:val="109F8188"/>
    <w:rsid w:val="10A1970B"/>
    <w:rsid w:val="10A5B857"/>
    <w:rsid w:val="10A5E409"/>
    <w:rsid w:val="10A65A4F"/>
    <w:rsid w:val="10AFAF12"/>
    <w:rsid w:val="10B34D08"/>
    <w:rsid w:val="10BC4089"/>
    <w:rsid w:val="10BE804A"/>
    <w:rsid w:val="10C32A8E"/>
    <w:rsid w:val="10D4D845"/>
    <w:rsid w:val="10D963EC"/>
    <w:rsid w:val="10E123CA"/>
    <w:rsid w:val="10F2F9FD"/>
    <w:rsid w:val="10FDBF37"/>
    <w:rsid w:val="11059581"/>
    <w:rsid w:val="11095679"/>
    <w:rsid w:val="111387C8"/>
    <w:rsid w:val="111923E9"/>
    <w:rsid w:val="11198F5E"/>
    <w:rsid w:val="111A3AD1"/>
    <w:rsid w:val="111CB82C"/>
    <w:rsid w:val="11232431"/>
    <w:rsid w:val="11249861"/>
    <w:rsid w:val="112EEE8A"/>
    <w:rsid w:val="11328C47"/>
    <w:rsid w:val="113C2406"/>
    <w:rsid w:val="113D02D0"/>
    <w:rsid w:val="113E02E1"/>
    <w:rsid w:val="1142B8AE"/>
    <w:rsid w:val="1149900D"/>
    <w:rsid w:val="114F2296"/>
    <w:rsid w:val="1150D2C0"/>
    <w:rsid w:val="1153C49E"/>
    <w:rsid w:val="115A4926"/>
    <w:rsid w:val="115A6EF0"/>
    <w:rsid w:val="115B973A"/>
    <w:rsid w:val="11606BFC"/>
    <w:rsid w:val="1168AA00"/>
    <w:rsid w:val="1169D10D"/>
    <w:rsid w:val="1174786B"/>
    <w:rsid w:val="1175331B"/>
    <w:rsid w:val="11763A75"/>
    <w:rsid w:val="117F096F"/>
    <w:rsid w:val="117F7814"/>
    <w:rsid w:val="118053FC"/>
    <w:rsid w:val="1187C8AE"/>
    <w:rsid w:val="1188F9CB"/>
    <w:rsid w:val="11924EA4"/>
    <w:rsid w:val="119D9C58"/>
    <w:rsid w:val="11AAE689"/>
    <w:rsid w:val="11AD89E2"/>
    <w:rsid w:val="11B085A7"/>
    <w:rsid w:val="11BF4C57"/>
    <w:rsid w:val="11C00F5A"/>
    <w:rsid w:val="11C92C0D"/>
    <w:rsid w:val="11DAC596"/>
    <w:rsid w:val="11DCE56A"/>
    <w:rsid w:val="11EFE422"/>
    <w:rsid w:val="11F14C3A"/>
    <w:rsid w:val="11F2E630"/>
    <w:rsid w:val="11F55DFC"/>
    <w:rsid w:val="120478EF"/>
    <w:rsid w:val="12062190"/>
    <w:rsid w:val="120E1F92"/>
    <w:rsid w:val="1213A30B"/>
    <w:rsid w:val="121F2F84"/>
    <w:rsid w:val="121F7E53"/>
    <w:rsid w:val="1227E17C"/>
    <w:rsid w:val="123C3DD5"/>
    <w:rsid w:val="124BFCBC"/>
    <w:rsid w:val="12576B0A"/>
    <w:rsid w:val="12614252"/>
    <w:rsid w:val="126EDA5D"/>
    <w:rsid w:val="127159D1"/>
    <w:rsid w:val="127F2FB0"/>
    <w:rsid w:val="1286215F"/>
    <w:rsid w:val="1286CA03"/>
    <w:rsid w:val="128943AD"/>
    <w:rsid w:val="128FC4C3"/>
    <w:rsid w:val="1298B0C1"/>
    <w:rsid w:val="129A99E7"/>
    <w:rsid w:val="12A0A4F6"/>
    <w:rsid w:val="12A392C9"/>
    <w:rsid w:val="12A7932B"/>
    <w:rsid w:val="12AA4DE5"/>
    <w:rsid w:val="12AA75A2"/>
    <w:rsid w:val="12AB275D"/>
    <w:rsid w:val="12B0060B"/>
    <w:rsid w:val="12B1C92C"/>
    <w:rsid w:val="12BD9DB6"/>
    <w:rsid w:val="12C254B8"/>
    <w:rsid w:val="12CE175C"/>
    <w:rsid w:val="12D07952"/>
    <w:rsid w:val="12D1D6E4"/>
    <w:rsid w:val="12D5740F"/>
    <w:rsid w:val="12E3C9EB"/>
    <w:rsid w:val="12EA65F6"/>
    <w:rsid w:val="12EB87ED"/>
    <w:rsid w:val="12F2BDC7"/>
    <w:rsid w:val="12F6B614"/>
    <w:rsid w:val="12FDAEDE"/>
    <w:rsid w:val="130062EE"/>
    <w:rsid w:val="1303FA90"/>
    <w:rsid w:val="13053C5E"/>
    <w:rsid w:val="13069176"/>
    <w:rsid w:val="1307A728"/>
    <w:rsid w:val="131E055F"/>
    <w:rsid w:val="13231AA0"/>
    <w:rsid w:val="132D6633"/>
    <w:rsid w:val="132F28E6"/>
    <w:rsid w:val="132FCDBA"/>
    <w:rsid w:val="13309246"/>
    <w:rsid w:val="133195A9"/>
    <w:rsid w:val="133FCA47"/>
    <w:rsid w:val="13447E3F"/>
    <w:rsid w:val="134C6B3D"/>
    <w:rsid w:val="134FFA31"/>
    <w:rsid w:val="13523438"/>
    <w:rsid w:val="135BDBDA"/>
    <w:rsid w:val="13695395"/>
    <w:rsid w:val="1373E2FC"/>
    <w:rsid w:val="1375D25B"/>
    <w:rsid w:val="137BB178"/>
    <w:rsid w:val="138553E6"/>
    <w:rsid w:val="13861670"/>
    <w:rsid w:val="13947433"/>
    <w:rsid w:val="139DCB46"/>
    <w:rsid w:val="13A70670"/>
    <w:rsid w:val="13C80940"/>
    <w:rsid w:val="13CC3199"/>
    <w:rsid w:val="13DA823E"/>
    <w:rsid w:val="13EB1538"/>
    <w:rsid w:val="13F4FA8F"/>
    <w:rsid w:val="13F82A0B"/>
    <w:rsid w:val="1403D64F"/>
    <w:rsid w:val="140B7E32"/>
    <w:rsid w:val="140E30D3"/>
    <w:rsid w:val="141A0404"/>
    <w:rsid w:val="1421E505"/>
    <w:rsid w:val="14282FF8"/>
    <w:rsid w:val="142D2B69"/>
    <w:rsid w:val="142FB740"/>
    <w:rsid w:val="1446F424"/>
    <w:rsid w:val="144B773C"/>
    <w:rsid w:val="144D1A68"/>
    <w:rsid w:val="145DA467"/>
    <w:rsid w:val="14601E41"/>
    <w:rsid w:val="146259E5"/>
    <w:rsid w:val="1479DBCE"/>
    <w:rsid w:val="14821E93"/>
    <w:rsid w:val="14846CED"/>
    <w:rsid w:val="1484CB49"/>
    <w:rsid w:val="14880181"/>
    <w:rsid w:val="1497E240"/>
    <w:rsid w:val="1499E21B"/>
    <w:rsid w:val="14A902E8"/>
    <w:rsid w:val="14ADBECD"/>
    <w:rsid w:val="14AF6EC0"/>
    <w:rsid w:val="14B0D2CE"/>
    <w:rsid w:val="14B44028"/>
    <w:rsid w:val="14BBB9C1"/>
    <w:rsid w:val="14BED922"/>
    <w:rsid w:val="14C1E6BC"/>
    <w:rsid w:val="14C4349D"/>
    <w:rsid w:val="14C6ACBD"/>
    <w:rsid w:val="14DDE47E"/>
    <w:rsid w:val="14F12808"/>
    <w:rsid w:val="14F5BF4E"/>
    <w:rsid w:val="14F8825A"/>
    <w:rsid w:val="14FC34BB"/>
    <w:rsid w:val="150359E4"/>
    <w:rsid w:val="150A79F9"/>
    <w:rsid w:val="150AD041"/>
    <w:rsid w:val="15115FD2"/>
    <w:rsid w:val="1512025F"/>
    <w:rsid w:val="152433C1"/>
    <w:rsid w:val="152F7B0C"/>
    <w:rsid w:val="1531E552"/>
    <w:rsid w:val="15328D69"/>
    <w:rsid w:val="153362FB"/>
    <w:rsid w:val="15394772"/>
    <w:rsid w:val="154495C8"/>
    <w:rsid w:val="1544A045"/>
    <w:rsid w:val="1546B9CB"/>
    <w:rsid w:val="154B1D9E"/>
    <w:rsid w:val="15593A07"/>
    <w:rsid w:val="155CF880"/>
    <w:rsid w:val="155FBBF0"/>
    <w:rsid w:val="15615357"/>
    <w:rsid w:val="1563D4F5"/>
    <w:rsid w:val="1567E690"/>
    <w:rsid w:val="156892A3"/>
    <w:rsid w:val="156E6982"/>
    <w:rsid w:val="15729598"/>
    <w:rsid w:val="157889EF"/>
    <w:rsid w:val="15878B6A"/>
    <w:rsid w:val="159A5D31"/>
    <w:rsid w:val="159B14A3"/>
    <w:rsid w:val="159D886B"/>
    <w:rsid w:val="15A317CB"/>
    <w:rsid w:val="15A7A58C"/>
    <w:rsid w:val="15B3C789"/>
    <w:rsid w:val="15B6132D"/>
    <w:rsid w:val="15C6428B"/>
    <w:rsid w:val="15E85CF3"/>
    <w:rsid w:val="15F5620A"/>
    <w:rsid w:val="15FAAA9D"/>
    <w:rsid w:val="15FB9B65"/>
    <w:rsid w:val="16002EF3"/>
    <w:rsid w:val="1600478B"/>
    <w:rsid w:val="16027EDC"/>
    <w:rsid w:val="160EDCD0"/>
    <w:rsid w:val="1620014D"/>
    <w:rsid w:val="162152FC"/>
    <w:rsid w:val="162319F3"/>
    <w:rsid w:val="1623889E"/>
    <w:rsid w:val="1628CF68"/>
    <w:rsid w:val="162E2E95"/>
    <w:rsid w:val="163329DB"/>
    <w:rsid w:val="16347BEF"/>
    <w:rsid w:val="163EC5A7"/>
    <w:rsid w:val="164514C8"/>
    <w:rsid w:val="164B2043"/>
    <w:rsid w:val="164C0148"/>
    <w:rsid w:val="164C9468"/>
    <w:rsid w:val="1653F446"/>
    <w:rsid w:val="165BFDEB"/>
    <w:rsid w:val="165D16FC"/>
    <w:rsid w:val="1662802B"/>
    <w:rsid w:val="16744DA7"/>
    <w:rsid w:val="16761546"/>
    <w:rsid w:val="16885213"/>
    <w:rsid w:val="168914FE"/>
    <w:rsid w:val="168B0021"/>
    <w:rsid w:val="1696DB3A"/>
    <w:rsid w:val="1698479D"/>
    <w:rsid w:val="169A71DE"/>
    <w:rsid w:val="16A9C51D"/>
    <w:rsid w:val="16AEF0A2"/>
    <w:rsid w:val="16B58E48"/>
    <w:rsid w:val="16B7684C"/>
    <w:rsid w:val="16B7C8D2"/>
    <w:rsid w:val="16BDDAE4"/>
    <w:rsid w:val="16C1FD5B"/>
    <w:rsid w:val="16C23215"/>
    <w:rsid w:val="16D3431A"/>
    <w:rsid w:val="16D7113A"/>
    <w:rsid w:val="16DA2C91"/>
    <w:rsid w:val="16E5287D"/>
    <w:rsid w:val="16F07E9C"/>
    <w:rsid w:val="16F625CE"/>
    <w:rsid w:val="17137EF4"/>
    <w:rsid w:val="171F6DDF"/>
    <w:rsid w:val="17200F04"/>
    <w:rsid w:val="1725335C"/>
    <w:rsid w:val="172AAD01"/>
    <w:rsid w:val="172C6852"/>
    <w:rsid w:val="172EA896"/>
    <w:rsid w:val="17325E88"/>
    <w:rsid w:val="173CECAC"/>
    <w:rsid w:val="173DCBFD"/>
    <w:rsid w:val="17405DFF"/>
    <w:rsid w:val="1741A21B"/>
    <w:rsid w:val="174A7785"/>
    <w:rsid w:val="174B0E90"/>
    <w:rsid w:val="1752A8D4"/>
    <w:rsid w:val="17548F6A"/>
    <w:rsid w:val="175A6E5C"/>
    <w:rsid w:val="175AA6CE"/>
    <w:rsid w:val="175B45D1"/>
    <w:rsid w:val="17626A60"/>
    <w:rsid w:val="1765AF78"/>
    <w:rsid w:val="1772BDCD"/>
    <w:rsid w:val="17733C6F"/>
    <w:rsid w:val="17779A0B"/>
    <w:rsid w:val="1777A1AE"/>
    <w:rsid w:val="1779EF9C"/>
    <w:rsid w:val="1799AFF3"/>
    <w:rsid w:val="179CCA9C"/>
    <w:rsid w:val="17AA49F1"/>
    <w:rsid w:val="17AD4685"/>
    <w:rsid w:val="17B7CE16"/>
    <w:rsid w:val="17BC3F5B"/>
    <w:rsid w:val="17BCF211"/>
    <w:rsid w:val="17C7C37D"/>
    <w:rsid w:val="17CCD35A"/>
    <w:rsid w:val="17D0DA01"/>
    <w:rsid w:val="17D42053"/>
    <w:rsid w:val="17DD766E"/>
    <w:rsid w:val="17DEB604"/>
    <w:rsid w:val="17EA8C5A"/>
    <w:rsid w:val="17FA2A90"/>
    <w:rsid w:val="18040334"/>
    <w:rsid w:val="180B5A3F"/>
    <w:rsid w:val="181A2FE5"/>
    <w:rsid w:val="181D8922"/>
    <w:rsid w:val="182C6DA1"/>
    <w:rsid w:val="18378DD5"/>
    <w:rsid w:val="1845E50B"/>
    <w:rsid w:val="1849BFF5"/>
    <w:rsid w:val="1867BDF0"/>
    <w:rsid w:val="186F573A"/>
    <w:rsid w:val="186F803E"/>
    <w:rsid w:val="187A7B90"/>
    <w:rsid w:val="187D5DE2"/>
    <w:rsid w:val="18813F6F"/>
    <w:rsid w:val="188661A9"/>
    <w:rsid w:val="188A659C"/>
    <w:rsid w:val="188FF992"/>
    <w:rsid w:val="1892BB06"/>
    <w:rsid w:val="18A70379"/>
    <w:rsid w:val="18AB03A5"/>
    <w:rsid w:val="18AE1585"/>
    <w:rsid w:val="18B25203"/>
    <w:rsid w:val="18B28240"/>
    <w:rsid w:val="18B3276B"/>
    <w:rsid w:val="18C07401"/>
    <w:rsid w:val="18CBF066"/>
    <w:rsid w:val="18CCAA6F"/>
    <w:rsid w:val="18D86E91"/>
    <w:rsid w:val="18D8AFD1"/>
    <w:rsid w:val="18FB36B0"/>
    <w:rsid w:val="18FF52D1"/>
    <w:rsid w:val="1901B6F4"/>
    <w:rsid w:val="190654DF"/>
    <w:rsid w:val="190BD8B1"/>
    <w:rsid w:val="190DC5A3"/>
    <w:rsid w:val="19139B41"/>
    <w:rsid w:val="19230244"/>
    <w:rsid w:val="19274A43"/>
    <w:rsid w:val="1927CCA7"/>
    <w:rsid w:val="192850F1"/>
    <w:rsid w:val="193A8840"/>
    <w:rsid w:val="194330E8"/>
    <w:rsid w:val="1947BF48"/>
    <w:rsid w:val="194969B3"/>
    <w:rsid w:val="194C475F"/>
    <w:rsid w:val="19507E86"/>
    <w:rsid w:val="195F6B63"/>
    <w:rsid w:val="1961E4DA"/>
    <w:rsid w:val="19636203"/>
    <w:rsid w:val="197874F8"/>
    <w:rsid w:val="197A3262"/>
    <w:rsid w:val="197D49AA"/>
    <w:rsid w:val="197F5C64"/>
    <w:rsid w:val="1985C214"/>
    <w:rsid w:val="198805AD"/>
    <w:rsid w:val="1988A000"/>
    <w:rsid w:val="198E6FCC"/>
    <w:rsid w:val="1995EF2B"/>
    <w:rsid w:val="19A33924"/>
    <w:rsid w:val="19A77341"/>
    <w:rsid w:val="19BA7E35"/>
    <w:rsid w:val="19BBEEFA"/>
    <w:rsid w:val="19BE0FCC"/>
    <w:rsid w:val="19BF93A9"/>
    <w:rsid w:val="19C52153"/>
    <w:rsid w:val="19CC1F78"/>
    <w:rsid w:val="19CEE30C"/>
    <w:rsid w:val="19D29254"/>
    <w:rsid w:val="19D54D58"/>
    <w:rsid w:val="19EAE245"/>
    <w:rsid w:val="19F09965"/>
    <w:rsid w:val="19F4D3CC"/>
    <w:rsid w:val="19F895FE"/>
    <w:rsid w:val="19FE30D0"/>
    <w:rsid w:val="1A13986E"/>
    <w:rsid w:val="1A1425A7"/>
    <w:rsid w:val="1A15276E"/>
    <w:rsid w:val="1A1D2775"/>
    <w:rsid w:val="1A2F67E6"/>
    <w:rsid w:val="1A40C9CF"/>
    <w:rsid w:val="1A42004B"/>
    <w:rsid w:val="1A456616"/>
    <w:rsid w:val="1A4A800F"/>
    <w:rsid w:val="1A55F5DC"/>
    <w:rsid w:val="1A5A38A5"/>
    <w:rsid w:val="1A5A3997"/>
    <w:rsid w:val="1A5C22C6"/>
    <w:rsid w:val="1A5F2493"/>
    <w:rsid w:val="1A6566A4"/>
    <w:rsid w:val="1A94D4BB"/>
    <w:rsid w:val="1A969DE7"/>
    <w:rsid w:val="1A999DB4"/>
    <w:rsid w:val="1A99BDDB"/>
    <w:rsid w:val="1A9FBF49"/>
    <w:rsid w:val="1AA05607"/>
    <w:rsid w:val="1ABDF773"/>
    <w:rsid w:val="1AC14FC5"/>
    <w:rsid w:val="1AC4210F"/>
    <w:rsid w:val="1AD73C69"/>
    <w:rsid w:val="1ADC3DF5"/>
    <w:rsid w:val="1AE1104D"/>
    <w:rsid w:val="1AE7D0AF"/>
    <w:rsid w:val="1AEAFCB5"/>
    <w:rsid w:val="1AEBAA47"/>
    <w:rsid w:val="1AEBB017"/>
    <w:rsid w:val="1AEF84A9"/>
    <w:rsid w:val="1AF40938"/>
    <w:rsid w:val="1AFB9FD1"/>
    <w:rsid w:val="1AFC10BA"/>
    <w:rsid w:val="1B023CEC"/>
    <w:rsid w:val="1B0516FB"/>
    <w:rsid w:val="1B124419"/>
    <w:rsid w:val="1B14582E"/>
    <w:rsid w:val="1B18446C"/>
    <w:rsid w:val="1B26496E"/>
    <w:rsid w:val="1B280895"/>
    <w:rsid w:val="1B2891C5"/>
    <w:rsid w:val="1B28D06E"/>
    <w:rsid w:val="1B2B4077"/>
    <w:rsid w:val="1B2BC757"/>
    <w:rsid w:val="1B2F3626"/>
    <w:rsid w:val="1B349FF0"/>
    <w:rsid w:val="1B364921"/>
    <w:rsid w:val="1B36ADAB"/>
    <w:rsid w:val="1B3BAFA2"/>
    <w:rsid w:val="1B4AD194"/>
    <w:rsid w:val="1B57CD69"/>
    <w:rsid w:val="1B696F43"/>
    <w:rsid w:val="1B6F76DB"/>
    <w:rsid w:val="1B7D88FE"/>
    <w:rsid w:val="1B8523DA"/>
    <w:rsid w:val="1B852A8A"/>
    <w:rsid w:val="1B8DACB9"/>
    <w:rsid w:val="1B9CD1F9"/>
    <w:rsid w:val="1BA2B120"/>
    <w:rsid w:val="1BAEAB81"/>
    <w:rsid w:val="1BAF832C"/>
    <w:rsid w:val="1BB2FF42"/>
    <w:rsid w:val="1BB75858"/>
    <w:rsid w:val="1BBE195D"/>
    <w:rsid w:val="1BCE204C"/>
    <w:rsid w:val="1BD11ED8"/>
    <w:rsid w:val="1BD6FB37"/>
    <w:rsid w:val="1BDA367C"/>
    <w:rsid w:val="1BDBC877"/>
    <w:rsid w:val="1BE6EA31"/>
    <w:rsid w:val="1BE71755"/>
    <w:rsid w:val="1BEAC126"/>
    <w:rsid w:val="1BEB9F1F"/>
    <w:rsid w:val="1BEDA32D"/>
    <w:rsid w:val="1BF2DF02"/>
    <w:rsid w:val="1BF3781C"/>
    <w:rsid w:val="1BF49A43"/>
    <w:rsid w:val="1C095D27"/>
    <w:rsid w:val="1C0B9647"/>
    <w:rsid w:val="1C0D8FE9"/>
    <w:rsid w:val="1C0DBAEF"/>
    <w:rsid w:val="1C1387B0"/>
    <w:rsid w:val="1C13DB3E"/>
    <w:rsid w:val="1C14D38D"/>
    <w:rsid w:val="1C1ACE09"/>
    <w:rsid w:val="1C26F9B3"/>
    <w:rsid w:val="1C2C01DC"/>
    <w:rsid w:val="1C323D20"/>
    <w:rsid w:val="1C33B0DE"/>
    <w:rsid w:val="1C34F8CE"/>
    <w:rsid w:val="1C39D564"/>
    <w:rsid w:val="1C3B4480"/>
    <w:rsid w:val="1C40FD29"/>
    <w:rsid w:val="1C54E010"/>
    <w:rsid w:val="1C55E88F"/>
    <w:rsid w:val="1C5B187F"/>
    <w:rsid w:val="1C633FDC"/>
    <w:rsid w:val="1C762282"/>
    <w:rsid w:val="1C76459F"/>
    <w:rsid w:val="1C7E5939"/>
    <w:rsid w:val="1C7F6142"/>
    <w:rsid w:val="1C866EEA"/>
    <w:rsid w:val="1C909AE0"/>
    <w:rsid w:val="1C9567C6"/>
    <w:rsid w:val="1C9D16E4"/>
    <w:rsid w:val="1CA15581"/>
    <w:rsid w:val="1CABB16B"/>
    <w:rsid w:val="1CADDCC6"/>
    <w:rsid w:val="1CB038B5"/>
    <w:rsid w:val="1CB10DDB"/>
    <w:rsid w:val="1CB95C30"/>
    <w:rsid w:val="1CC9F95E"/>
    <w:rsid w:val="1CCA5BDD"/>
    <w:rsid w:val="1CD069FD"/>
    <w:rsid w:val="1CD84A92"/>
    <w:rsid w:val="1CDC3076"/>
    <w:rsid w:val="1CDE1E7D"/>
    <w:rsid w:val="1CF0191C"/>
    <w:rsid w:val="1CF308AA"/>
    <w:rsid w:val="1CF3CC14"/>
    <w:rsid w:val="1CF9167E"/>
    <w:rsid w:val="1CFCCEEC"/>
    <w:rsid w:val="1D0B38F5"/>
    <w:rsid w:val="1D118CD8"/>
    <w:rsid w:val="1D14380F"/>
    <w:rsid w:val="1D170438"/>
    <w:rsid w:val="1D1C6625"/>
    <w:rsid w:val="1D1E610E"/>
    <w:rsid w:val="1D30FC91"/>
    <w:rsid w:val="1D31EBCA"/>
    <w:rsid w:val="1D338F78"/>
    <w:rsid w:val="1D355E76"/>
    <w:rsid w:val="1D36EE59"/>
    <w:rsid w:val="1D37BEE7"/>
    <w:rsid w:val="1D3FFAC1"/>
    <w:rsid w:val="1D441759"/>
    <w:rsid w:val="1D4D3E1B"/>
    <w:rsid w:val="1D50ED3E"/>
    <w:rsid w:val="1D514D80"/>
    <w:rsid w:val="1D519CE0"/>
    <w:rsid w:val="1D5318D0"/>
    <w:rsid w:val="1D542208"/>
    <w:rsid w:val="1D5893B8"/>
    <w:rsid w:val="1D5DD5AE"/>
    <w:rsid w:val="1D608D44"/>
    <w:rsid w:val="1D73F663"/>
    <w:rsid w:val="1D7AB0CF"/>
    <w:rsid w:val="1D83B1FF"/>
    <w:rsid w:val="1D875692"/>
    <w:rsid w:val="1D88838F"/>
    <w:rsid w:val="1D8DB1D9"/>
    <w:rsid w:val="1DA05DB9"/>
    <w:rsid w:val="1DA19CB1"/>
    <w:rsid w:val="1DAAAC35"/>
    <w:rsid w:val="1DB0753A"/>
    <w:rsid w:val="1DB7CA32"/>
    <w:rsid w:val="1DC023C6"/>
    <w:rsid w:val="1DC900C4"/>
    <w:rsid w:val="1DC9E1F7"/>
    <w:rsid w:val="1DCC79E0"/>
    <w:rsid w:val="1DD51D86"/>
    <w:rsid w:val="1DDDC4D3"/>
    <w:rsid w:val="1DE18E66"/>
    <w:rsid w:val="1DE22969"/>
    <w:rsid w:val="1DE2CA69"/>
    <w:rsid w:val="1DEAB913"/>
    <w:rsid w:val="1DF1FA88"/>
    <w:rsid w:val="1DFE5A69"/>
    <w:rsid w:val="1E001A27"/>
    <w:rsid w:val="1E0299FF"/>
    <w:rsid w:val="1E059192"/>
    <w:rsid w:val="1E0A6D1C"/>
    <w:rsid w:val="1E1925A3"/>
    <w:rsid w:val="1E2378C9"/>
    <w:rsid w:val="1E274708"/>
    <w:rsid w:val="1E30F048"/>
    <w:rsid w:val="1E3AD33F"/>
    <w:rsid w:val="1E3B0421"/>
    <w:rsid w:val="1E3EF1CE"/>
    <w:rsid w:val="1E4AF85C"/>
    <w:rsid w:val="1E63B1D6"/>
    <w:rsid w:val="1E66B67B"/>
    <w:rsid w:val="1E671D10"/>
    <w:rsid w:val="1E6A91CA"/>
    <w:rsid w:val="1E6F4C07"/>
    <w:rsid w:val="1E79EF7B"/>
    <w:rsid w:val="1E7A35F5"/>
    <w:rsid w:val="1E84D890"/>
    <w:rsid w:val="1E92ABED"/>
    <w:rsid w:val="1E945D15"/>
    <w:rsid w:val="1E9CA486"/>
    <w:rsid w:val="1E9F4567"/>
    <w:rsid w:val="1EA1481C"/>
    <w:rsid w:val="1EA8926F"/>
    <w:rsid w:val="1EAD5D39"/>
    <w:rsid w:val="1EADEBD1"/>
    <w:rsid w:val="1EB979E2"/>
    <w:rsid w:val="1EBB255E"/>
    <w:rsid w:val="1EBC6DDD"/>
    <w:rsid w:val="1EC1AFF4"/>
    <w:rsid w:val="1EC2243E"/>
    <w:rsid w:val="1EC75E79"/>
    <w:rsid w:val="1ED3EF68"/>
    <w:rsid w:val="1ED8CF74"/>
    <w:rsid w:val="1EDDD406"/>
    <w:rsid w:val="1EE26C24"/>
    <w:rsid w:val="1EF03DAC"/>
    <w:rsid w:val="1EF41A92"/>
    <w:rsid w:val="1EF4BB91"/>
    <w:rsid w:val="1EFE4F6A"/>
    <w:rsid w:val="1F021E5B"/>
    <w:rsid w:val="1F024155"/>
    <w:rsid w:val="1F0CD8FE"/>
    <w:rsid w:val="1F15FAF5"/>
    <w:rsid w:val="1F21FA84"/>
    <w:rsid w:val="1F2391E6"/>
    <w:rsid w:val="1F2725F4"/>
    <w:rsid w:val="1F2E0845"/>
    <w:rsid w:val="1F4136CA"/>
    <w:rsid w:val="1F4514A4"/>
    <w:rsid w:val="1F48CE89"/>
    <w:rsid w:val="1F4BF015"/>
    <w:rsid w:val="1F4D701D"/>
    <w:rsid w:val="1F5CA639"/>
    <w:rsid w:val="1F609203"/>
    <w:rsid w:val="1F618B30"/>
    <w:rsid w:val="1F6C4AD4"/>
    <w:rsid w:val="1F77A37E"/>
    <w:rsid w:val="1F7CEC46"/>
    <w:rsid w:val="1F916B14"/>
    <w:rsid w:val="1F9AE09E"/>
    <w:rsid w:val="1F9DA605"/>
    <w:rsid w:val="1F9E38D3"/>
    <w:rsid w:val="1FA0C11D"/>
    <w:rsid w:val="1FA8AD0F"/>
    <w:rsid w:val="1FADB427"/>
    <w:rsid w:val="1FAEF5CB"/>
    <w:rsid w:val="1FB3EF25"/>
    <w:rsid w:val="1FB60E39"/>
    <w:rsid w:val="1FB6B9D6"/>
    <w:rsid w:val="1FB822C6"/>
    <w:rsid w:val="1FC57E8E"/>
    <w:rsid w:val="1FD671E4"/>
    <w:rsid w:val="1FD6C5EB"/>
    <w:rsid w:val="1FE2C405"/>
    <w:rsid w:val="1FE57B77"/>
    <w:rsid w:val="1FEFA6AF"/>
    <w:rsid w:val="1FF69BBC"/>
    <w:rsid w:val="1FFD84FF"/>
    <w:rsid w:val="2000FFE2"/>
    <w:rsid w:val="20032CB4"/>
    <w:rsid w:val="2005FD13"/>
    <w:rsid w:val="200BA744"/>
    <w:rsid w:val="200E5D03"/>
    <w:rsid w:val="200EF7DA"/>
    <w:rsid w:val="2017D9FA"/>
    <w:rsid w:val="2034AC48"/>
    <w:rsid w:val="2038F39E"/>
    <w:rsid w:val="203C0AE0"/>
    <w:rsid w:val="203D84CC"/>
    <w:rsid w:val="204182E5"/>
    <w:rsid w:val="2043FCD2"/>
    <w:rsid w:val="20492D9A"/>
    <w:rsid w:val="2050E634"/>
    <w:rsid w:val="20518141"/>
    <w:rsid w:val="20574018"/>
    <w:rsid w:val="206594C5"/>
    <w:rsid w:val="20668234"/>
    <w:rsid w:val="2067E67A"/>
    <w:rsid w:val="20684232"/>
    <w:rsid w:val="206E86D7"/>
    <w:rsid w:val="207B56D6"/>
    <w:rsid w:val="2081D432"/>
    <w:rsid w:val="20824280"/>
    <w:rsid w:val="208577F0"/>
    <w:rsid w:val="20858840"/>
    <w:rsid w:val="2085CA63"/>
    <w:rsid w:val="208EF8D3"/>
    <w:rsid w:val="20914ACA"/>
    <w:rsid w:val="2097C7F5"/>
    <w:rsid w:val="209D9142"/>
    <w:rsid w:val="20B031D0"/>
    <w:rsid w:val="20BCE79D"/>
    <w:rsid w:val="20BE629F"/>
    <w:rsid w:val="20BEC681"/>
    <w:rsid w:val="20C76BC3"/>
    <w:rsid w:val="20C824AA"/>
    <w:rsid w:val="20CB3816"/>
    <w:rsid w:val="20D5405F"/>
    <w:rsid w:val="20D604CF"/>
    <w:rsid w:val="20D82AF7"/>
    <w:rsid w:val="20DA1DCC"/>
    <w:rsid w:val="20E8032A"/>
    <w:rsid w:val="20EA39AC"/>
    <w:rsid w:val="20F0B67F"/>
    <w:rsid w:val="20F55938"/>
    <w:rsid w:val="20F72084"/>
    <w:rsid w:val="20FAB24D"/>
    <w:rsid w:val="20FC86EB"/>
    <w:rsid w:val="20FFDBFF"/>
    <w:rsid w:val="21007905"/>
    <w:rsid w:val="21033A8C"/>
    <w:rsid w:val="210A98CA"/>
    <w:rsid w:val="210C8614"/>
    <w:rsid w:val="210F30BC"/>
    <w:rsid w:val="2112EACB"/>
    <w:rsid w:val="2113040E"/>
    <w:rsid w:val="21131E99"/>
    <w:rsid w:val="2116873E"/>
    <w:rsid w:val="212077EC"/>
    <w:rsid w:val="2128BF68"/>
    <w:rsid w:val="212D3B75"/>
    <w:rsid w:val="212E5B9E"/>
    <w:rsid w:val="213227A4"/>
    <w:rsid w:val="2134A3EA"/>
    <w:rsid w:val="21358633"/>
    <w:rsid w:val="213B3235"/>
    <w:rsid w:val="213B4917"/>
    <w:rsid w:val="213FC924"/>
    <w:rsid w:val="2142F5F2"/>
    <w:rsid w:val="2145A93F"/>
    <w:rsid w:val="21474EF8"/>
    <w:rsid w:val="214D7F6B"/>
    <w:rsid w:val="215477A5"/>
    <w:rsid w:val="215F3CE2"/>
    <w:rsid w:val="21609D76"/>
    <w:rsid w:val="216128D9"/>
    <w:rsid w:val="2164392C"/>
    <w:rsid w:val="21650889"/>
    <w:rsid w:val="216BE541"/>
    <w:rsid w:val="216CEB5B"/>
    <w:rsid w:val="2172181B"/>
    <w:rsid w:val="217C0A8B"/>
    <w:rsid w:val="217CB37C"/>
    <w:rsid w:val="217EDCC6"/>
    <w:rsid w:val="218DB2F2"/>
    <w:rsid w:val="218EE178"/>
    <w:rsid w:val="219411BF"/>
    <w:rsid w:val="219FEC41"/>
    <w:rsid w:val="21A63F3D"/>
    <w:rsid w:val="21ACE1D6"/>
    <w:rsid w:val="21B75B66"/>
    <w:rsid w:val="21BB62F5"/>
    <w:rsid w:val="21C79369"/>
    <w:rsid w:val="21C7DDB9"/>
    <w:rsid w:val="21C8D5F1"/>
    <w:rsid w:val="21CA31DD"/>
    <w:rsid w:val="21CE8439"/>
    <w:rsid w:val="21D36A6B"/>
    <w:rsid w:val="21E74200"/>
    <w:rsid w:val="21E8667E"/>
    <w:rsid w:val="21EB1C83"/>
    <w:rsid w:val="21F23CC2"/>
    <w:rsid w:val="21F37430"/>
    <w:rsid w:val="21F4E05F"/>
    <w:rsid w:val="220874E8"/>
    <w:rsid w:val="220B4A52"/>
    <w:rsid w:val="220E86A7"/>
    <w:rsid w:val="221A0CFC"/>
    <w:rsid w:val="221AECF5"/>
    <w:rsid w:val="221B3E36"/>
    <w:rsid w:val="221C1EEF"/>
    <w:rsid w:val="222D85BE"/>
    <w:rsid w:val="2230435C"/>
    <w:rsid w:val="2230AB52"/>
    <w:rsid w:val="223661CA"/>
    <w:rsid w:val="22376045"/>
    <w:rsid w:val="223DF2C7"/>
    <w:rsid w:val="223F465B"/>
    <w:rsid w:val="224A342E"/>
    <w:rsid w:val="2250F047"/>
    <w:rsid w:val="225B1BB0"/>
    <w:rsid w:val="225FFD08"/>
    <w:rsid w:val="22684B3C"/>
    <w:rsid w:val="22691BD1"/>
    <w:rsid w:val="2272832D"/>
    <w:rsid w:val="22768E12"/>
    <w:rsid w:val="2277967C"/>
    <w:rsid w:val="228CCFBE"/>
    <w:rsid w:val="2292C008"/>
    <w:rsid w:val="229F18D0"/>
    <w:rsid w:val="22A3F294"/>
    <w:rsid w:val="22AB65E1"/>
    <w:rsid w:val="22B16324"/>
    <w:rsid w:val="22B47E28"/>
    <w:rsid w:val="22BBDD47"/>
    <w:rsid w:val="22BD51BE"/>
    <w:rsid w:val="22CA479E"/>
    <w:rsid w:val="22D31524"/>
    <w:rsid w:val="22D70296"/>
    <w:rsid w:val="22D9174D"/>
    <w:rsid w:val="22DF1F50"/>
    <w:rsid w:val="22E8309A"/>
    <w:rsid w:val="22EBEAAF"/>
    <w:rsid w:val="22EE5E53"/>
    <w:rsid w:val="22F31525"/>
    <w:rsid w:val="22F99E62"/>
    <w:rsid w:val="22FABDC9"/>
    <w:rsid w:val="2302A02F"/>
    <w:rsid w:val="231005DE"/>
    <w:rsid w:val="23101B51"/>
    <w:rsid w:val="2316883A"/>
    <w:rsid w:val="231A1C50"/>
    <w:rsid w:val="231C6F6B"/>
    <w:rsid w:val="231FEABD"/>
    <w:rsid w:val="232CCAC0"/>
    <w:rsid w:val="2338E3DC"/>
    <w:rsid w:val="233D9DD5"/>
    <w:rsid w:val="233E2ADA"/>
    <w:rsid w:val="235270F1"/>
    <w:rsid w:val="23679858"/>
    <w:rsid w:val="2369F3D7"/>
    <w:rsid w:val="237D094E"/>
    <w:rsid w:val="237D8ACB"/>
    <w:rsid w:val="23924F58"/>
    <w:rsid w:val="2398C5E1"/>
    <w:rsid w:val="23A15449"/>
    <w:rsid w:val="23A747D1"/>
    <w:rsid w:val="23A9C64A"/>
    <w:rsid w:val="23ACCE57"/>
    <w:rsid w:val="23ADEA5F"/>
    <w:rsid w:val="23B06DA2"/>
    <w:rsid w:val="23B1E826"/>
    <w:rsid w:val="23B31BED"/>
    <w:rsid w:val="23B65EE5"/>
    <w:rsid w:val="23B94A32"/>
    <w:rsid w:val="23C39986"/>
    <w:rsid w:val="23D7CAC0"/>
    <w:rsid w:val="23D96E49"/>
    <w:rsid w:val="23DD61FF"/>
    <w:rsid w:val="23E43897"/>
    <w:rsid w:val="23EEDC7D"/>
    <w:rsid w:val="23F65942"/>
    <w:rsid w:val="23FDF0E7"/>
    <w:rsid w:val="240877F8"/>
    <w:rsid w:val="240E12F9"/>
    <w:rsid w:val="241F7062"/>
    <w:rsid w:val="24209C13"/>
    <w:rsid w:val="242224D6"/>
    <w:rsid w:val="24294326"/>
    <w:rsid w:val="2429AE37"/>
    <w:rsid w:val="24317A5B"/>
    <w:rsid w:val="24384F19"/>
    <w:rsid w:val="243B3DA5"/>
    <w:rsid w:val="243BB3C1"/>
    <w:rsid w:val="24431171"/>
    <w:rsid w:val="24431D99"/>
    <w:rsid w:val="244B9797"/>
    <w:rsid w:val="244CBBB6"/>
    <w:rsid w:val="244DEEE5"/>
    <w:rsid w:val="2451EEA6"/>
    <w:rsid w:val="2453ED7E"/>
    <w:rsid w:val="2456D4E3"/>
    <w:rsid w:val="24597749"/>
    <w:rsid w:val="245C9162"/>
    <w:rsid w:val="2462856E"/>
    <w:rsid w:val="24662215"/>
    <w:rsid w:val="2467A489"/>
    <w:rsid w:val="247129CC"/>
    <w:rsid w:val="2471C7C1"/>
    <w:rsid w:val="2473A484"/>
    <w:rsid w:val="247F6584"/>
    <w:rsid w:val="248B9B94"/>
    <w:rsid w:val="2490B8EA"/>
    <w:rsid w:val="2495ACEF"/>
    <w:rsid w:val="24A5CBA2"/>
    <w:rsid w:val="24A78A9C"/>
    <w:rsid w:val="24AC4D3B"/>
    <w:rsid w:val="24AC659B"/>
    <w:rsid w:val="24AD2C2A"/>
    <w:rsid w:val="24AED63C"/>
    <w:rsid w:val="24AF039A"/>
    <w:rsid w:val="24B2FCA9"/>
    <w:rsid w:val="24C99A47"/>
    <w:rsid w:val="24DA7007"/>
    <w:rsid w:val="24F09B15"/>
    <w:rsid w:val="24F94EF5"/>
    <w:rsid w:val="24FF9AF6"/>
    <w:rsid w:val="2505CE29"/>
    <w:rsid w:val="250B8B27"/>
    <w:rsid w:val="250BCA4C"/>
    <w:rsid w:val="250EE3A3"/>
    <w:rsid w:val="2514BDDA"/>
    <w:rsid w:val="2515C55F"/>
    <w:rsid w:val="25162C9A"/>
    <w:rsid w:val="25184F85"/>
    <w:rsid w:val="251A10DD"/>
    <w:rsid w:val="251EDE1F"/>
    <w:rsid w:val="2521E315"/>
    <w:rsid w:val="25283C26"/>
    <w:rsid w:val="253C8E8B"/>
    <w:rsid w:val="253E3E8F"/>
    <w:rsid w:val="2544104B"/>
    <w:rsid w:val="25478CCE"/>
    <w:rsid w:val="25496CF2"/>
    <w:rsid w:val="25744559"/>
    <w:rsid w:val="25760E01"/>
    <w:rsid w:val="25762B56"/>
    <w:rsid w:val="25775632"/>
    <w:rsid w:val="257891F7"/>
    <w:rsid w:val="2578AD2C"/>
    <w:rsid w:val="258D7E9F"/>
    <w:rsid w:val="258DC761"/>
    <w:rsid w:val="2592C15D"/>
    <w:rsid w:val="2597A1CB"/>
    <w:rsid w:val="2599C148"/>
    <w:rsid w:val="259D8302"/>
    <w:rsid w:val="25AE8294"/>
    <w:rsid w:val="25AF7511"/>
    <w:rsid w:val="25B86E81"/>
    <w:rsid w:val="25BCD58C"/>
    <w:rsid w:val="25BE1E4B"/>
    <w:rsid w:val="25CF6E8C"/>
    <w:rsid w:val="25D23510"/>
    <w:rsid w:val="25DAC76E"/>
    <w:rsid w:val="25DEB9F0"/>
    <w:rsid w:val="25E70EF5"/>
    <w:rsid w:val="25F532FF"/>
    <w:rsid w:val="25F5AA9E"/>
    <w:rsid w:val="25F64CAA"/>
    <w:rsid w:val="25F6F6F4"/>
    <w:rsid w:val="25FC308B"/>
    <w:rsid w:val="260113B2"/>
    <w:rsid w:val="260366CC"/>
    <w:rsid w:val="260F9BB2"/>
    <w:rsid w:val="2610DE8B"/>
    <w:rsid w:val="26147BFA"/>
    <w:rsid w:val="2617F81C"/>
    <w:rsid w:val="261BF1D5"/>
    <w:rsid w:val="261EA6DD"/>
    <w:rsid w:val="26238D61"/>
    <w:rsid w:val="26247BD1"/>
    <w:rsid w:val="26260FE5"/>
    <w:rsid w:val="26460C9F"/>
    <w:rsid w:val="26558E09"/>
    <w:rsid w:val="265ACF6C"/>
    <w:rsid w:val="265D279B"/>
    <w:rsid w:val="266B9609"/>
    <w:rsid w:val="26786DFA"/>
    <w:rsid w:val="267CCD9C"/>
    <w:rsid w:val="267CFE2F"/>
    <w:rsid w:val="267D6028"/>
    <w:rsid w:val="2689429F"/>
    <w:rsid w:val="26925958"/>
    <w:rsid w:val="26955354"/>
    <w:rsid w:val="26990105"/>
    <w:rsid w:val="26AEA3E5"/>
    <w:rsid w:val="26B3A5AA"/>
    <w:rsid w:val="26B4990E"/>
    <w:rsid w:val="26CCCD6A"/>
    <w:rsid w:val="26DC9083"/>
    <w:rsid w:val="26DF93E6"/>
    <w:rsid w:val="26E2F74E"/>
    <w:rsid w:val="26E31FF2"/>
    <w:rsid w:val="26E9A9F8"/>
    <w:rsid w:val="26F22817"/>
    <w:rsid w:val="26F3D611"/>
    <w:rsid w:val="26F54F0D"/>
    <w:rsid w:val="26F56C4D"/>
    <w:rsid w:val="26FEDFC9"/>
    <w:rsid w:val="2702EA17"/>
    <w:rsid w:val="27055161"/>
    <w:rsid w:val="27061142"/>
    <w:rsid w:val="270F9EDB"/>
    <w:rsid w:val="27183C0B"/>
    <w:rsid w:val="271CAA03"/>
    <w:rsid w:val="2722C2FF"/>
    <w:rsid w:val="27234D88"/>
    <w:rsid w:val="273D52CD"/>
    <w:rsid w:val="275B2834"/>
    <w:rsid w:val="275D8B1E"/>
    <w:rsid w:val="27666EBE"/>
    <w:rsid w:val="27667ABE"/>
    <w:rsid w:val="276A48F9"/>
    <w:rsid w:val="27853B49"/>
    <w:rsid w:val="278C91F3"/>
    <w:rsid w:val="278EBD0E"/>
    <w:rsid w:val="27964A9D"/>
    <w:rsid w:val="27AB7B8A"/>
    <w:rsid w:val="27AFFF7C"/>
    <w:rsid w:val="27B20E18"/>
    <w:rsid w:val="27B6DCA5"/>
    <w:rsid w:val="27BC6463"/>
    <w:rsid w:val="27C44FC3"/>
    <w:rsid w:val="27CE8F96"/>
    <w:rsid w:val="27D037E4"/>
    <w:rsid w:val="27D24FA5"/>
    <w:rsid w:val="27D3B65B"/>
    <w:rsid w:val="27D9553C"/>
    <w:rsid w:val="27E11815"/>
    <w:rsid w:val="27FC5122"/>
    <w:rsid w:val="27FC857F"/>
    <w:rsid w:val="2805120B"/>
    <w:rsid w:val="28066C72"/>
    <w:rsid w:val="28081967"/>
    <w:rsid w:val="280CDFFF"/>
    <w:rsid w:val="28153AC2"/>
    <w:rsid w:val="281E5EC2"/>
    <w:rsid w:val="281F0C09"/>
    <w:rsid w:val="282F98C0"/>
    <w:rsid w:val="284A07EA"/>
    <w:rsid w:val="28510B24"/>
    <w:rsid w:val="2853DE2E"/>
    <w:rsid w:val="285581B8"/>
    <w:rsid w:val="285A9658"/>
    <w:rsid w:val="2870F83C"/>
    <w:rsid w:val="287180BF"/>
    <w:rsid w:val="28774CE2"/>
    <w:rsid w:val="2878F8BD"/>
    <w:rsid w:val="2884895E"/>
    <w:rsid w:val="288D013A"/>
    <w:rsid w:val="289DF986"/>
    <w:rsid w:val="28A735AD"/>
    <w:rsid w:val="28B41927"/>
    <w:rsid w:val="28BC15C2"/>
    <w:rsid w:val="28BFACC9"/>
    <w:rsid w:val="28C21D23"/>
    <w:rsid w:val="28D78B9D"/>
    <w:rsid w:val="28DF512F"/>
    <w:rsid w:val="28E33D42"/>
    <w:rsid w:val="28EA3082"/>
    <w:rsid w:val="28EA31F7"/>
    <w:rsid w:val="28EBE0EF"/>
    <w:rsid w:val="28F2E756"/>
    <w:rsid w:val="28F603EC"/>
    <w:rsid w:val="29058551"/>
    <w:rsid w:val="29070C14"/>
    <w:rsid w:val="2917BE90"/>
    <w:rsid w:val="291A6AB3"/>
    <w:rsid w:val="291B7942"/>
    <w:rsid w:val="2920D00E"/>
    <w:rsid w:val="292CDFB9"/>
    <w:rsid w:val="29363E68"/>
    <w:rsid w:val="293671C5"/>
    <w:rsid w:val="29473B7D"/>
    <w:rsid w:val="294C70DB"/>
    <w:rsid w:val="2960E15B"/>
    <w:rsid w:val="2968ED06"/>
    <w:rsid w:val="296A5115"/>
    <w:rsid w:val="296A9F58"/>
    <w:rsid w:val="2972957A"/>
    <w:rsid w:val="2975FFAA"/>
    <w:rsid w:val="297859FE"/>
    <w:rsid w:val="29861E68"/>
    <w:rsid w:val="298C8C05"/>
    <w:rsid w:val="299C7A40"/>
    <w:rsid w:val="299DABBE"/>
    <w:rsid w:val="29A2AF79"/>
    <w:rsid w:val="29ACFBDC"/>
    <w:rsid w:val="29B4B2DB"/>
    <w:rsid w:val="29B7F845"/>
    <w:rsid w:val="29B8D906"/>
    <w:rsid w:val="29CB57E4"/>
    <w:rsid w:val="29D08555"/>
    <w:rsid w:val="29D223E5"/>
    <w:rsid w:val="29DBB374"/>
    <w:rsid w:val="29DD0903"/>
    <w:rsid w:val="29DF6D3E"/>
    <w:rsid w:val="29E2A215"/>
    <w:rsid w:val="29E2D8C3"/>
    <w:rsid w:val="29E579C4"/>
    <w:rsid w:val="29E73650"/>
    <w:rsid w:val="29EE4D8F"/>
    <w:rsid w:val="29F11F97"/>
    <w:rsid w:val="29F29700"/>
    <w:rsid w:val="29FC0EE8"/>
    <w:rsid w:val="2A04C358"/>
    <w:rsid w:val="2A0B5181"/>
    <w:rsid w:val="2A154BB0"/>
    <w:rsid w:val="2A183035"/>
    <w:rsid w:val="2A23F360"/>
    <w:rsid w:val="2A2E1740"/>
    <w:rsid w:val="2A3B55B9"/>
    <w:rsid w:val="2A3E6A8E"/>
    <w:rsid w:val="2A40F4F9"/>
    <w:rsid w:val="2A497544"/>
    <w:rsid w:val="2A530350"/>
    <w:rsid w:val="2A545D6F"/>
    <w:rsid w:val="2A5DE5E0"/>
    <w:rsid w:val="2A5E8886"/>
    <w:rsid w:val="2A61E2BA"/>
    <w:rsid w:val="2A61F6A0"/>
    <w:rsid w:val="2A625404"/>
    <w:rsid w:val="2A67BF04"/>
    <w:rsid w:val="2A687208"/>
    <w:rsid w:val="2A6D326B"/>
    <w:rsid w:val="2A77D603"/>
    <w:rsid w:val="2A7821E7"/>
    <w:rsid w:val="2A7A5C31"/>
    <w:rsid w:val="2A821326"/>
    <w:rsid w:val="2A871F97"/>
    <w:rsid w:val="2A87D837"/>
    <w:rsid w:val="2A88D0FF"/>
    <w:rsid w:val="2A89F186"/>
    <w:rsid w:val="2A8B4531"/>
    <w:rsid w:val="2A8B58B5"/>
    <w:rsid w:val="2A8C59D7"/>
    <w:rsid w:val="2A8F3289"/>
    <w:rsid w:val="2A95E0DD"/>
    <w:rsid w:val="2A97D2AF"/>
    <w:rsid w:val="2A9A7D06"/>
    <w:rsid w:val="2A9D40A6"/>
    <w:rsid w:val="2AA43429"/>
    <w:rsid w:val="2AA71758"/>
    <w:rsid w:val="2AAD563F"/>
    <w:rsid w:val="2AB08504"/>
    <w:rsid w:val="2AB40544"/>
    <w:rsid w:val="2AC3E5BF"/>
    <w:rsid w:val="2ACCAC2C"/>
    <w:rsid w:val="2AD726E3"/>
    <w:rsid w:val="2AD85B37"/>
    <w:rsid w:val="2AECF96E"/>
    <w:rsid w:val="2AEE8FDF"/>
    <w:rsid w:val="2AEE93AE"/>
    <w:rsid w:val="2AF02B72"/>
    <w:rsid w:val="2AF73A91"/>
    <w:rsid w:val="2AFC6CCE"/>
    <w:rsid w:val="2AFF66E3"/>
    <w:rsid w:val="2AFF8FFB"/>
    <w:rsid w:val="2B034511"/>
    <w:rsid w:val="2B12A0D8"/>
    <w:rsid w:val="2B17D39D"/>
    <w:rsid w:val="2B2BD22F"/>
    <w:rsid w:val="2B38234C"/>
    <w:rsid w:val="2B457659"/>
    <w:rsid w:val="2B45DF5B"/>
    <w:rsid w:val="2B45FECC"/>
    <w:rsid w:val="2B461FF3"/>
    <w:rsid w:val="2B4AE7FD"/>
    <w:rsid w:val="2B4CE803"/>
    <w:rsid w:val="2B4DB6B5"/>
    <w:rsid w:val="2B513091"/>
    <w:rsid w:val="2B5D8354"/>
    <w:rsid w:val="2B5ECFD5"/>
    <w:rsid w:val="2B60B1A4"/>
    <w:rsid w:val="2B6E5E6D"/>
    <w:rsid w:val="2B77312A"/>
    <w:rsid w:val="2B8337D1"/>
    <w:rsid w:val="2B88D40C"/>
    <w:rsid w:val="2B98BA62"/>
    <w:rsid w:val="2BA446F0"/>
    <w:rsid w:val="2BA4D6C6"/>
    <w:rsid w:val="2BB21289"/>
    <w:rsid w:val="2BB3455D"/>
    <w:rsid w:val="2BB8D4B0"/>
    <w:rsid w:val="2BC1BC1B"/>
    <w:rsid w:val="2BCB56AF"/>
    <w:rsid w:val="2BCD4D65"/>
    <w:rsid w:val="2BCDEEB1"/>
    <w:rsid w:val="2BCDF55E"/>
    <w:rsid w:val="2BD61BAC"/>
    <w:rsid w:val="2BDB9FA8"/>
    <w:rsid w:val="2BDBD5C7"/>
    <w:rsid w:val="2BEB86DB"/>
    <w:rsid w:val="2BEC7E06"/>
    <w:rsid w:val="2C0002D6"/>
    <w:rsid w:val="2C01E76D"/>
    <w:rsid w:val="2C0902CC"/>
    <w:rsid w:val="2C0FFC87"/>
    <w:rsid w:val="2C155026"/>
    <w:rsid w:val="2C289088"/>
    <w:rsid w:val="2C2D6DC3"/>
    <w:rsid w:val="2C4129C6"/>
    <w:rsid w:val="2C49D2BF"/>
    <w:rsid w:val="2C4CE120"/>
    <w:rsid w:val="2C535C6F"/>
    <w:rsid w:val="2C545252"/>
    <w:rsid w:val="2C5F910C"/>
    <w:rsid w:val="2C68BA20"/>
    <w:rsid w:val="2C6E3D19"/>
    <w:rsid w:val="2C7D54E3"/>
    <w:rsid w:val="2C8573C4"/>
    <w:rsid w:val="2C862007"/>
    <w:rsid w:val="2C869747"/>
    <w:rsid w:val="2C8BDAB8"/>
    <w:rsid w:val="2C8D447B"/>
    <w:rsid w:val="2C8F5215"/>
    <w:rsid w:val="2C930AF2"/>
    <w:rsid w:val="2C94408A"/>
    <w:rsid w:val="2C9BE511"/>
    <w:rsid w:val="2CA137E8"/>
    <w:rsid w:val="2CA23BD5"/>
    <w:rsid w:val="2CA5A9AA"/>
    <w:rsid w:val="2CCB6F48"/>
    <w:rsid w:val="2CD22C6D"/>
    <w:rsid w:val="2CD48423"/>
    <w:rsid w:val="2CD6885F"/>
    <w:rsid w:val="2CD98E71"/>
    <w:rsid w:val="2CDAA3CF"/>
    <w:rsid w:val="2CE39D62"/>
    <w:rsid w:val="2CE58915"/>
    <w:rsid w:val="2CEDE084"/>
    <w:rsid w:val="2CF20601"/>
    <w:rsid w:val="2CFA333F"/>
    <w:rsid w:val="2CFB16E8"/>
    <w:rsid w:val="2D035864"/>
    <w:rsid w:val="2D095583"/>
    <w:rsid w:val="2D098EF7"/>
    <w:rsid w:val="2D0D11E6"/>
    <w:rsid w:val="2D0EB29E"/>
    <w:rsid w:val="2D2AB90F"/>
    <w:rsid w:val="2D2B1DB6"/>
    <w:rsid w:val="2D2C347C"/>
    <w:rsid w:val="2D3FC2D7"/>
    <w:rsid w:val="2D4A06D4"/>
    <w:rsid w:val="2D4B186D"/>
    <w:rsid w:val="2D6B6B8C"/>
    <w:rsid w:val="2D6BF8BE"/>
    <w:rsid w:val="2D748D48"/>
    <w:rsid w:val="2D76C4BD"/>
    <w:rsid w:val="2D811606"/>
    <w:rsid w:val="2D8320BF"/>
    <w:rsid w:val="2D83FD4B"/>
    <w:rsid w:val="2DA38D95"/>
    <w:rsid w:val="2DA44C1C"/>
    <w:rsid w:val="2DABE519"/>
    <w:rsid w:val="2DADCC32"/>
    <w:rsid w:val="2DB17AAB"/>
    <w:rsid w:val="2DB8FABA"/>
    <w:rsid w:val="2DBF8F48"/>
    <w:rsid w:val="2DC1E467"/>
    <w:rsid w:val="2DCA6E05"/>
    <w:rsid w:val="2DCCB6CD"/>
    <w:rsid w:val="2DCE7CC9"/>
    <w:rsid w:val="2DD2AF6D"/>
    <w:rsid w:val="2DDEA436"/>
    <w:rsid w:val="2DEA285E"/>
    <w:rsid w:val="2DF70BED"/>
    <w:rsid w:val="2DFE75EA"/>
    <w:rsid w:val="2E0FD66B"/>
    <w:rsid w:val="2E12B0DA"/>
    <w:rsid w:val="2E13ED34"/>
    <w:rsid w:val="2E1A86CA"/>
    <w:rsid w:val="2E1E4C8A"/>
    <w:rsid w:val="2E1EAA17"/>
    <w:rsid w:val="2E1F1C21"/>
    <w:rsid w:val="2E21DE21"/>
    <w:rsid w:val="2E233ED4"/>
    <w:rsid w:val="2E296F4C"/>
    <w:rsid w:val="2E2E04FB"/>
    <w:rsid w:val="2E2F7B8B"/>
    <w:rsid w:val="2E310D07"/>
    <w:rsid w:val="2E3316F2"/>
    <w:rsid w:val="2E33FC51"/>
    <w:rsid w:val="2E37B02F"/>
    <w:rsid w:val="2E3DEAEE"/>
    <w:rsid w:val="2E404BB8"/>
    <w:rsid w:val="2E44765E"/>
    <w:rsid w:val="2E4B6482"/>
    <w:rsid w:val="2E4F8B7B"/>
    <w:rsid w:val="2E50D422"/>
    <w:rsid w:val="2E50DDEB"/>
    <w:rsid w:val="2E5F16A9"/>
    <w:rsid w:val="2E5F943E"/>
    <w:rsid w:val="2E60FFE1"/>
    <w:rsid w:val="2E643702"/>
    <w:rsid w:val="2E6E08E1"/>
    <w:rsid w:val="2E733AF4"/>
    <w:rsid w:val="2E78F74F"/>
    <w:rsid w:val="2E7A2B60"/>
    <w:rsid w:val="2E800759"/>
    <w:rsid w:val="2E85F2B9"/>
    <w:rsid w:val="2E8C9B35"/>
    <w:rsid w:val="2E8DF4AC"/>
    <w:rsid w:val="2E8E94DB"/>
    <w:rsid w:val="2E91E526"/>
    <w:rsid w:val="2E959AAF"/>
    <w:rsid w:val="2E975F60"/>
    <w:rsid w:val="2E99850D"/>
    <w:rsid w:val="2E9B58A4"/>
    <w:rsid w:val="2EA538E0"/>
    <w:rsid w:val="2EA96C6E"/>
    <w:rsid w:val="2EACB878"/>
    <w:rsid w:val="2EADDCE0"/>
    <w:rsid w:val="2EBBD5FD"/>
    <w:rsid w:val="2EBD8856"/>
    <w:rsid w:val="2EC2170A"/>
    <w:rsid w:val="2EC4FD02"/>
    <w:rsid w:val="2EC5F7C0"/>
    <w:rsid w:val="2EC81309"/>
    <w:rsid w:val="2EC92225"/>
    <w:rsid w:val="2ECE658A"/>
    <w:rsid w:val="2ED52081"/>
    <w:rsid w:val="2ED58180"/>
    <w:rsid w:val="2EDAB6FD"/>
    <w:rsid w:val="2EE64D72"/>
    <w:rsid w:val="2EF90CC7"/>
    <w:rsid w:val="2EFDE98B"/>
    <w:rsid w:val="2F00AC14"/>
    <w:rsid w:val="2F02B835"/>
    <w:rsid w:val="2F046A18"/>
    <w:rsid w:val="2F0A5F04"/>
    <w:rsid w:val="2F0CFCE0"/>
    <w:rsid w:val="2F0ECFC1"/>
    <w:rsid w:val="2F0FBB56"/>
    <w:rsid w:val="2F144846"/>
    <w:rsid w:val="2F1A2BFE"/>
    <w:rsid w:val="2F40A38E"/>
    <w:rsid w:val="2F44BFBD"/>
    <w:rsid w:val="2F4B7BD9"/>
    <w:rsid w:val="2F4DF9D4"/>
    <w:rsid w:val="2F4F1636"/>
    <w:rsid w:val="2F541EBB"/>
    <w:rsid w:val="2F54DC59"/>
    <w:rsid w:val="2F577600"/>
    <w:rsid w:val="2F5AB626"/>
    <w:rsid w:val="2F68E5DB"/>
    <w:rsid w:val="2F6DB88F"/>
    <w:rsid w:val="2F7139B2"/>
    <w:rsid w:val="2F7A43BF"/>
    <w:rsid w:val="2F82D95D"/>
    <w:rsid w:val="2F831461"/>
    <w:rsid w:val="2F86CBAB"/>
    <w:rsid w:val="2F875728"/>
    <w:rsid w:val="2F973877"/>
    <w:rsid w:val="2F9C8E3D"/>
    <w:rsid w:val="2FABC407"/>
    <w:rsid w:val="2FB71AC7"/>
    <w:rsid w:val="2FB7607E"/>
    <w:rsid w:val="2FBAD18A"/>
    <w:rsid w:val="2FC27AB4"/>
    <w:rsid w:val="2FC9E6AA"/>
    <w:rsid w:val="2FCCB505"/>
    <w:rsid w:val="2FD7A266"/>
    <w:rsid w:val="2FD89EC4"/>
    <w:rsid w:val="2FEB1AC4"/>
    <w:rsid w:val="2FEDB61E"/>
    <w:rsid w:val="2FEE243F"/>
    <w:rsid w:val="2FF25875"/>
    <w:rsid w:val="2FF4525E"/>
    <w:rsid w:val="2FF52AD4"/>
    <w:rsid w:val="2FF72CE4"/>
    <w:rsid w:val="30044066"/>
    <w:rsid w:val="3011425B"/>
    <w:rsid w:val="3019507E"/>
    <w:rsid w:val="302FC211"/>
    <w:rsid w:val="3035BA51"/>
    <w:rsid w:val="303B8097"/>
    <w:rsid w:val="304A0F9B"/>
    <w:rsid w:val="305DED5E"/>
    <w:rsid w:val="305EB1F5"/>
    <w:rsid w:val="30604EAD"/>
    <w:rsid w:val="306789CF"/>
    <w:rsid w:val="306A78C0"/>
    <w:rsid w:val="306C6FB9"/>
    <w:rsid w:val="30778191"/>
    <w:rsid w:val="30836955"/>
    <w:rsid w:val="3086A670"/>
    <w:rsid w:val="3088C4E9"/>
    <w:rsid w:val="3098CCDD"/>
    <w:rsid w:val="30996455"/>
    <w:rsid w:val="309F0901"/>
    <w:rsid w:val="30B9BB8B"/>
    <w:rsid w:val="30BA83A7"/>
    <w:rsid w:val="30C50F72"/>
    <w:rsid w:val="30C67E7D"/>
    <w:rsid w:val="30C9643D"/>
    <w:rsid w:val="30D60A4F"/>
    <w:rsid w:val="30D7498B"/>
    <w:rsid w:val="30EB7D66"/>
    <w:rsid w:val="30EF19EE"/>
    <w:rsid w:val="30F196AC"/>
    <w:rsid w:val="30F5D514"/>
    <w:rsid w:val="30F6A211"/>
    <w:rsid w:val="30FB3AAE"/>
    <w:rsid w:val="3103CE14"/>
    <w:rsid w:val="3103EDF9"/>
    <w:rsid w:val="31162C11"/>
    <w:rsid w:val="31181CB3"/>
    <w:rsid w:val="31197828"/>
    <w:rsid w:val="3119A96E"/>
    <w:rsid w:val="311AD258"/>
    <w:rsid w:val="311CC3C3"/>
    <w:rsid w:val="311FD8AA"/>
    <w:rsid w:val="3122B944"/>
    <w:rsid w:val="31273EF5"/>
    <w:rsid w:val="313E8D8E"/>
    <w:rsid w:val="3149DA84"/>
    <w:rsid w:val="314A9C39"/>
    <w:rsid w:val="314BC103"/>
    <w:rsid w:val="31569492"/>
    <w:rsid w:val="3156B554"/>
    <w:rsid w:val="3163BF42"/>
    <w:rsid w:val="31743996"/>
    <w:rsid w:val="318319D9"/>
    <w:rsid w:val="31875ACA"/>
    <w:rsid w:val="319D4DE7"/>
    <w:rsid w:val="31A33E98"/>
    <w:rsid w:val="31A86C0A"/>
    <w:rsid w:val="31A8A270"/>
    <w:rsid w:val="31B04916"/>
    <w:rsid w:val="31B2A97B"/>
    <w:rsid w:val="31B3684F"/>
    <w:rsid w:val="31B4EDB7"/>
    <w:rsid w:val="31B80D8E"/>
    <w:rsid w:val="31B9AE73"/>
    <w:rsid w:val="31C4586F"/>
    <w:rsid w:val="31C65D1F"/>
    <w:rsid w:val="31C69F40"/>
    <w:rsid w:val="31C8A3F1"/>
    <w:rsid w:val="31DC6B9A"/>
    <w:rsid w:val="31DD168C"/>
    <w:rsid w:val="31E987A2"/>
    <w:rsid w:val="31ED6F95"/>
    <w:rsid w:val="31EE9975"/>
    <w:rsid w:val="31FE1923"/>
    <w:rsid w:val="31FF1942"/>
    <w:rsid w:val="31FF1BC3"/>
    <w:rsid w:val="320480FA"/>
    <w:rsid w:val="320B2217"/>
    <w:rsid w:val="32144430"/>
    <w:rsid w:val="32169023"/>
    <w:rsid w:val="321C0197"/>
    <w:rsid w:val="32258884"/>
    <w:rsid w:val="3225B7A5"/>
    <w:rsid w:val="3227A8D2"/>
    <w:rsid w:val="32322CB1"/>
    <w:rsid w:val="3238D0C6"/>
    <w:rsid w:val="32412B41"/>
    <w:rsid w:val="324268E6"/>
    <w:rsid w:val="32465089"/>
    <w:rsid w:val="324B9C5C"/>
    <w:rsid w:val="3251136D"/>
    <w:rsid w:val="325807E8"/>
    <w:rsid w:val="32623F53"/>
    <w:rsid w:val="326455C9"/>
    <w:rsid w:val="326CBCE6"/>
    <w:rsid w:val="327656AA"/>
    <w:rsid w:val="327BFFBA"/>
    <w:rsid w:val="327C56B4"/>
    <w:rsid w:val="3281BF97"/>
    <w:rsid w:val="32892E5D"/>
    <w:rsid w:val="32893AB7"/>
    <w:rsid w:val="328A4D20"/>
    <w:rsid w:val="328BDEC7"/>
    <w:rsid w:val="32909588"/>
    <w:rsid w:val="3295FF4C"/>
    <w:rsid w:val="329E56B9"/>
    <w:rsid w:val="32A4F3B4"/>
    <w:rsid w:val="32A51ABE"/>
    <w:rsid w:val="32A5C2F9"/>
    <w:rsid w:val="32AC2370"/>
    <w:rsid w:val="32B81D92"/>
    <w:rsid w:val="32B87352"/>
    <w:rsid w:val="32B9A817"/>
    <w:rsid w:val="32BFF86C"/>
    <w:rsid w:val="32D0854A"/>
    <w:rsid w:val="32DD0990"/>
    <w:rsid w:val="32E17D79"/>
    <w:rsid w:val="32E71C93"/>
    <w:rsid w:val="32E81DBC"/>
    <w:rsid w:val="32F5EA9B"/>
    <w:rsid w:val="32F938BF"/>
    <w:rsid w:val="32FAF790"/>
    <w:rsid w:val="33059AA5"/>
    <w:rsid w:val="330FB68F"/>
    <w:rsid w:val="3322B787"/>
    <w:rsid w:val="3323E844"/>
    <w:rsid w:val="3328E5E4"/>
    <w:rsid w:val="33328916"/>
    <w:rsid w:val="333648B8"/>
    <w:rsid w:val="333A2D64"/>
    <w:rsid w:val="3348C261"/>
    <w:rsid w:val="334DE64F"/>
    <w:rsid w:val="33536DDA"/>
    <w:rsid w:val="335E745C"/>
    <w:rsid w:val="336B95DF"/>
    <w:rsid w:val="338336C6"/>
    <w:rsid w:val="3384EE22"/>
    <w:rsid w:val="338557B0"/>
    <w:rsid w:val="3387A9CE"/>
    <w:rsid w:val="33888D16"/>
    <w:rsid w:val="33957CF0"/>
    <w:rsid w:val="339CD7A2"/>
    <w:rsid w:val="33A45D21"/>
    <w:rsid w:val="33A53092"/>
    <w:rsid w:val="33AF1771"/>
    <w:rsid w:val="33AF5D85"/>
    <w:rsid w:val="33BCC719"/>
    <w:rsid w:val="33C33FC0"/>
    <w:rsid w:val="33D17547"/>
    <w:rsid w:val="33D3DDC9"/>
    <w:rsid w:val="33DB40CD"/>
    <w:rsid w:val="33DD2082"/>
    <w:rsid w:val="33E983EE"/>
    <w:rsid w:val="34026B3A"/>
    <w:rsid w:val="340B0E66"/>
    <w:rsid w:val="340D9E08"/>
    <w:rsid w:val="342EEB05"/>
    <w:rsid w:val="3437F6EA"/>
    <w:rsid w:val="343A59A3"/>
    <w:rsid w:val="343E1A3F"/>
    <w:rsid w:val="34458914"/>
    <w:rsid w:val="34574149"/>
    <w:rsid w:val="3457FD4B"/>
    <w:rsid w:val="345E12F9"/>
    <w:rsid w:val="34656025"/>
    <w:rsid w:val="346D37E5"/>
    <w:rsid w:val="346F569E"/>
    <w:rsid w:val="34765718"/>
    <w:rsid w:val="347769BE"/>
    <w:rsid w:val="347EE82A"/>
    <w:rsid w:val="34878D84"/>
    <w:rsid w:val="348A84CE"/>
    <w:rsid w:val="348C326C"/>
    <w:rsid w:val="34960271"/>
    <w:rsid w:val="34A3095F"/>
    <w:rsid w:val="34A4E65A"/>
    <w:rsid w:val="34AC3725"/>
    <w:rsid w:val="34B5E0D1"/>
    <w:rsid w:val="34B660E7"/>
    <w:rsid w:val="34BD71CF"/>
    <w:rsid w:val="34C4A04F"/>
    <w:rsid w:val="34C53844"/>
    <w:rsid w:val="34D3A416"/>
    <w:rsid w:val="34DA9536"/>
    <w:rsid w:val="34E2FC79"/>
    <w:rsid w:val="34E75C10"/>
    <w:rsid w:val="34E8E675"/>
    <w:rsid w:val="34F1DC19"/>
    <w:rsid w:val="34F6E17A"/>
    <w:rsid w:val="35004999"/>
    <w:rsid w:val="3511F9D6"/>
    <w:rsid w:val="351449B1"/>
    <w:rsid w:val="3525989F"/>
    <w:rsid w:val="3528A8D2"/>
    <w:rsid w:val="3540238D"/>
    <w:rsid w:val="354140B2"/>
    <w:rsid w:val="35438C5F"/>
    <w:rsid w:val="3546C570"/>
    <w:rsid w:val="354956BA"/>
    <w:rsid w:val="3556E374"/>
    <w:rsid w:val="3558CF4B"/>
    <w:rsid w:val="355C9795"/>
    <w:rsid w:val="355CB28C"/>
    <w:rsid w:val="3564C695"/>
    <w:rsid w:val="356A3FBB"/>
    <w:rsid w:val="356A809D"/>
    <w:rsid w:val="356E62D1"/>
    <w:rsid w:val="3570FDEC"/>
    <w:rsid w:val="35766BC5"/>
    <w:rsid w:val="357963F0"/>
    <w:rsid w:val="35875B04"/>
    <w:rsid w:val="35880C81"/>
    <w:rsid w:val="35918F6C"/>
    <w:rsid w:val="3593A0A8"/>
    <w:rsid w:val="359CD050"/>
    <w:rsid w:val="359D3B73"/>
    <w:rsid w:val="35AAE2E6"/>
    <w:rsid w:val="35AC56AC"/>
    <w:rsid w:val="35AE50FC"/>
    <w:rsid w:val="35B5EDB4"/>
    <w:rsid w:val="35B931D2"/>
    <w:rsid w:val="35C1F365"/>
    <w:rsid w:val="35C7B603"/>
    <w:rsid w:val="35D45A9E"/>
    <w:rsid w:val="35DC8336"/>
    <w:rsid w:val="35E2854D"/>
    <w:rsid w:val="35E32E26"/>
    <w:rsid w:val="35E5E2D9"/>
    <w:rsid w:val="35E6DEAD"/>
    <w:rsid w:val="35E8AE88"/>
    <w:rsid w:val="35E9C648"/>
    <w:rsid w:val="35EDC0EA"/>
    <w:rsid w:val="35F45ADE"/>
    <w:rsid w:val="35F55317"/>
    <w:rsid w:val="3616ECE8"/>
    <w:rsid w:val="361ADA73"/>
    <w:rsid w:val="361D9E6B"/>
    <w:rsid w:val="3622D04E"/>
    <w:rsid w:val="36275B20"/>
    <w:rsid w:val="36293670"/>
    <w:rsid w:val="362BA2CB"/>
    <w:rsid w:val="362F927A"/>
    <w:rsid w:val="363F1544"/>
    <w:rsid w:val="36416A7E"/>
    <w:rsid w:val="36435ECF"/>
    <w:rsid w:val="364C6653"/>
    <w:rsid w:val="364FF34B"/>
    <w:rsid w:val="3654469B"/>
    <w:rsid w:val="3657412C"/>
    <w:rsid w:val="365A45D9"/>
    <w:rsid w:val="3665D77F"/>
    <w:rsid w:val="3666770A"/>
    <w:rsid w:val="366F3C2C"/>
    <w:rsid w:val="36727F2E"/>
    <w:rsid w:val="3672C2F3"/>
    <w:rsid w:val="3676C7B6"/>
    <w:rsid w:val="367A30A9"/>
    <w:rsid w:val="3690E13D"/>
    <w:rsid w:val="3692B1DB"/>
    <w:rsid w:val="36979A76"/>
    <w:rsid w:val="3698CC85"/>
    <w:rsid w:val="36998F8B"/>
    <w:rsid w:val="36A3329F"/>
    <w:rsid w:val="36A4B19F"/>
    <w:rsid w:val="36B8BEA0"/>
    <w:rsid w:val="36B961E9"/>
    <w:rsid w:val="36C590D9"/>
    <w:rsid w:val="36C64375"/>
    <w:rsid w:val="36D397C0"/>
    <w:rsid w:val="36E0812C"/>
    <w:rsid w:val="36E4B17E"/>
    <w:rsid w:val="36F8229E"/>
    <w:rsid w:val="3707938F"/>
    <w:rsid w:val="3722F5B0"/>
    <w:rsid w:val="372415D7"/>
    <w:rsid w:val="37269362"/>
    <w:rsid w:val="372A379A"/>
    <w:rsid w:val="372DF7D9"/>
    <w:rsid w:val="372F0974"/>
    <w:rsid w:val="374972BD"/>
    <w:rsid w:val="37546589"/>
    <w:rsid w:val="37624010"/>
    <w:rsid w:val="376C3EA0"/>
    <w:rsid w:val="376D7A2C"/>
    <w:rsid w:val="3770A309"/>
    <w:rsid w:val="3771C990"/>
    <w:rsid w:val="3774383C"/>
    <w:rsid w:val="3774A174"/>
    <w:rsid w:val="37774979"/>
    <w:rsid w:val="37845D81"/>
    <w:rsid w:val="378D1C42"/>
    <w:rsid w:val="378E0D2B"/>
    <w:rsid w:val="3790247E"/>
    <w:rsid w:val="379C1912"/>
    <w:rsid w:val="37A806A0"/>
    <w:rsid w:val="37ABD800"/>
    <w:rsid w:val="37ACE6D3"/>
    <w:rsid w:val="37AD08DB"/>
    <w:rsid w:val="37AFE707"/>
    <w:rsid w:val="37B91EF2"/>
    <w:rsid w:val="37C74ECA"/>
    <w:rsid w:val="37D284D6"/>
    <w:rsid w:val="37D972A0"/>
    <w:rsid w:val="37E0E731"/>
    <w:rsid w:val="37FB0926"/>
    <w:rsid w:val="37FD5422"/>
    <w:rsid w:val="38023657"/>
    <w:rsid w:val="380C59E8"/>
    <w:rsid w:val="380E3083"/>
    <w:rsid w:val="380ED05F"/>
    <w:rsid w:val="38109138"/>
    <w:rsid w:val="38121542"/>
    <w:rsid w:val="3821A966"/>
    <w:rsid w:val="382BF947"/>
    <w:rsid w:val="382E5302"/>
    <w:rsid w:val="3837B5E5"/>
    <w:rsid w:val="383F196A"/>
    <w:rsid w:val="3845B4B4"/>
    <w:rsid w:val="3846333B"/>
    <w:rsid w:val="3846650C"/>
    <w:rsid w:val="3859B260"/>
    <w:rsid w:val="385E11C5"/>
    <w:rsid w:val="386401BF"/>
    <w:rsid w:val="386581C4"/>
    <w:rsid w:val="38675F7E"/>
    <w:rsid w:val="386B1D0A"/>
    <w:rsid w:val="386DA949"/>
    <w:rsid w:val="38703510"/>
    <w:rsid w:val="3870BD53"/>
    <w:rsid w:val="3871A966"/>
    <w:rsid w:val="38798B5A"/>
    <w:rsid w:val="387DD731"/>
    <w:rsid w:val="387F6CCD"/>
    <w:rsid w:val="387FFFF4"/>
    <w:rsid w:val="3892BB3C"/>
    <w:rsid w:val="38953ABB"/>
    <w:rsid w:val="38983B09"/>
    <w:rsid w:val="38A1868F"/>
    <w:rsid w:val="38A9656A"/>
    <w:rsid w:val="38ABCE5E"/>
    <w:rsid w:val="38AC5A48"/>
    <w:rsid w:val="38B11C22"/>
    <w:rsid w:val="38B19C1D"/>
    <w:rsid w:val="38B281A6"/>
    <w:rsid w:val="38C30515"/>
    <w:rsid w:val="38C34E72"/>
    <w:rsid w:val="38CB4C74"/>
    <w:rsid w:val="38CC751A"/>
    <w:rsid w:val="38D07122"/>
    <w:rsid w:val="38D26042"/>
    <w:rsid w:val="38D98010"/>
    <w:rsid w:val="38DA7437"/>
    <w:rsid w:val="38DE1EC7"/>
    <w:rsid w:val="38E6C210"/>
    <w:rsid w:val="38EC710C"/>
    <w:rsid w:val="38EFA4B4"/>
    <w:rsid w:val="38F344AA"/>
    <w:rsid w:val="38F61B93"/>
    <w:rsid w:val="38FB65C1"/>
    <w:rsid w:val="38FC8391"/>
    <w:rsid w:val="3903EEF5"/>
    <w:rsid w:val="3907A1EA"/>
    <w:rsid w:val="390B7DAD"/>
    <w:rsid w:val="39127D82"/>
    <w:rsid w:val="391386D0"/>
    <w:rsid w:val="391C2FF8"/>
    <w:rsid w:val="3927AB2B"/>
    <w:rsid w:val="392817DB"/>
    <w:rsid w:val="392C09E5"/>
    <w:rsid w:val="392CA00B"/>
    <w:rsid w:val="3931EB2B"/>
    <w:rsid w:val="3933376E"/>
    <w:rsid w:val="3934C8ED"/>
    <w:rsid w:val="393ECCD1"/>
    <w:rsid w:val="394EFE97"/>
    <w:rsid w:val="394F89B2"/>
    <w:rsid w:val="3952D204"/>
    <w:rsid w:val="3956D7EB"/>
    <w:rsid w:val="3956E481"/>
    <w:rsid w:val="395E3110"/>
    <w:rsid w:val="39727A69"/>
    <w:rsid w:val="3975EE40"/>
    <w:rsid w:val="397A6111"/>
    <w:rsid w:val="397C091A"/>
    <w:rsid w:val="3984A124"/>
    <w:rsid w:val="398A4CC2"/>
    <w:rsid w:val="398F1D77"/>
    <w:rsid w:val="398F9B1C"/>
    <w:rsid w:val="39901A99"/>
    <w:rsid w:val="3994DF32"/>
    <w:rsid w:val="3995AB69"/>
    <w:rsid w:val="3996D987"/>
    <w:rsid w:val="39A2E1C4"/>
    <w:rsid w:val="39A5DFC3"/>
    <w:rsid w:val="39AE88D8"/>
    <w:rsid w:val="39B176FD"/>
    <w:rsid w:val="39B2F5E9"/>
    <w:rsid w:val="39B5BACA"/>
    <w:rsid w:val="39B865FD"/>
    <w:rsid w:val="39BC7960"/>
    <w:rsid w:val="39D000B7"/>
    <w:rsid w:val="39D3947E"/>
    <w:rsid w:val="39D66E05"/>
    <w:rsid w:val="39DB2D48"/>
    <w:rsid w:val="39E25B0A"/>
    <w:rsid w:val="39F0FE83"/>
    <w:rsid w:val="39F20F0A"/>
    <w:rsid w:val="39F447CC"/>
    <w:rsid w:val="39F618DC"/>
    <w:rsid w:val="39F6CD2A"/>
    <w:rsid w:val="3A03A4AD"/>
    <w:rsid w:val="3A05259A"/>
    <w:rsid w:val="3A07B651"/>
    <w:rsid w:val="3A0F6BE2"/>
    <w:rsid w:val="3A1174D3"/>
    <w:rsid w:val="3A119372"/>
    <w:rsid w:val="3A27A086"/>
    <w:rsid w:val="3A3094FC"/>
    <w:rsid w:val="3A372088"/>
    <w:rsid w:val="3A37979F"/>
    <w:rsid w:val="3A3D88B1"/>
    <w:rsid w:val="3A40A37A"/>
    <w:rsid w:val="3A40E01A"/>
    <w:rsid w:val="3A40FD4A"/>
    <w:rsid w:val="3A494B51"/>
    <w:rsid w:val="3A629E3B"/>
    <w:rsid w:val="3A646FB9"/>
    <w:rsid w:val="3A65BE46"/>
    <w:rsid w:val="3A71E702"/>
    <w:rsid w:val="3A775D2F"/>
    <w:rsid w:val="3A83B5B0"/>
    <w:rsid w:val="3A86D8CA"/>
    <w:rsid w:val="3A941A7C"/>
    <w:rsid w:val="3A961AD4"/>
    <w:rsid w:val="3A977873"/>
    <w:rsid w:val="3A9FCC8D"/>
    <w:rsid w:val="3AA42616"/>
    <w:rsid w:val="3AB4922E"/>
    <w:rsid w:val="3ABA5D94"/>
    <w:rsid w:val="3ABEB478"/>
    <w:rsid w:val="3AC20E5F"/>
    <w:rsid w:val="3AC81144"/>
    <w:rsid w:val="3AD0838D"/>
    <w:rsid w:val="3ADA5D09"/>
    <w:rsid w:val="3ADB4072"/>
    <w:rsid w:val="3AF6E700"/>
    <w:rsid w:val="3AF8DEA3"/>
    <w:rsid w:val="3AFB8880"/>
    <w:rsid w:val="3B0AC9E7"/>
    <w:rsid w:val="3B0E91ED"/>
    <w:rsid w:val="3B11F1C9"/>
    <w:rsid w:val="3B1F2180"/>
    <w:rsid w:val="3B3A2EB6"/>
    <w:rsid w:val="3B3A5BC4"/>
    <w:rsid w:val="3B50F7A6"/>
    <w:rsid w:val="3B596FCF"/>
    <w:rsid w:val="3B5CA46F"/>
    <w:rsid w:val="3B6766DB"/>
    <w:rsid w:val="3B6A4FBF"/>
    <w:rsid w:val="3B7154C3"/>
    <w:rsid w:val="3B72DC70"/>
    <w:rsid w:val="3B741CBB"/>
    <w:rsid w:val="3B773681"/>
    <w:rsid w:val="3B78A1B2"/>
    <w:rsid w:val="3B7F5D3B"/>
    <w:rsid w:val="3B812042"/>
    <w:rsid w:val="3B994308"/>
    <w:rsid w:val="3BAC4B29"/>
    <w:rsid w:val="3BAF94AB"/>
    <w:rsid w:val="3BB6EBBD"/>
    <w:rsid w:val="3BC22787"/>
    <w:rsid w:val="3BC5E055"/>
    <w:rsid w:val="3BC5FC3B"/>
    <w:rsid w:val="3BC898AF"/>
    <w:rsid w:val="3BD048CA"/>
    <w:rsid w:val="3BD182FB"/>
    <w:rsid w:val="3BD1BA74"/>
    <w:rsid w:val="3BDF97CC"/>
    <w:rsid w:val="3BE3B422"/>
    <w:rsid w:val="3BE72862"/>
    <w:rsid w:val="3BEA0CE4"/>
    <w:rsid w:val="3BEAC848"/>
    <w:rsid w:val="3BFDA6F9"/>
    <w:rsid w:val="3C032031"/>
    <w:rsid w:val="3C10547A"/>
    <w:rsid w:val="3C196BDC"/>
    <w:rsid w:val="3C2836FE"/>
    <w:rsid w:val="3C2BEE58"/>
    <w:rsid w:val="3C308284"/>
    <w:rsid w:val="3C364C90"/>
    <w:rsid w:val="3C3B7F50"/>
    <w:rsid w:val="3C3C0EB0"/>
    <w:rsid w:val="3C3C92E2"/>
    <w:rsid w:val="3C3FC150"/>
    <w:rsid w:val="3C59C631"/>
    <w:rsid w:val="3C5BED47"/>
    <w:rsid w:val="3C637FBC"/>
    <w:rsid w:val="3C64262F"/>
    <w:rsid w:val="3C6B8B66"/>
    <w:rsid w:val="3C74BACC"/>
    <w:rsid w:val="3C7740C1"/>
    <w:rsid w:val="3C7A0562"/>
    <w:rsid w:val="3C7E5237"/>
    <w:rsid w:val="3C849336"/>
    <w:rsid w:val="3C8538F8"/>
    <w:rsid w:val="3C89A853"/>
    <w:rsid w:val="3C8B9DA4"/>
    <w:rsid w:val="3C8C0F65"/>
    <w:rsid w:val="3C923A9E"/>
    <w:rsid w:val="3C93C17B"/>
    <w:rsid w:val="3C99E78F"/>
    <w:rsid w:val="3CABD0D4"/>
    <w:rsid w:val="3CB0E2D5"/>
    <w:rsid w:val="3CB20187"/>
    <w:rsid w:val="3CB21EED"/>
    <w:rsid w:val="3CB362B9"/>
    <w:rsid w:val="3CBB3D8C"/>
    <w:rsid w:val="3CCFD60F"/>
    <w:rsid w:val="3CD29C76"/>
    <w:rsid w:val="3CD9A48A"/>
    <w:rsid w:val="3CE846A8"/>
    <w:rsid w:val="3CEA747C"/>
    <w:rsid w:val="3CF3EE42"/>
    <w:rsid w:val="3D02E860"/>
    <w:rsid w:val="3D0FC7C1"/>
    <w:rsid w:val="3D122AFD"/>
    <w:rsid w:val="3D1620EB"/>
    <w:rsid w:val="3D19469A"/>
    <w:rsid w:val="3D318FA8"/>
    <w:rsid w:val="3D5273A9"/>
    <w:rsid w:val="3D56C88E"/>
    <w:rsid w:val="3D574DA9"/>
    <w:rsid w:val="3D5971D9"/>
    <w:rsid w:val="3D59F9A3"/>
    <w:rsid w:val="3D6E0294"/>
    <w:rsid w:val="3D714258"/>
    <w:rsid w:val="3D758EF7"/>
    <w:rsid w:val="3D8013E1"/>
    <w:rsid w:val="3D81C76C"/>
    <w:rsid w:val="3D85FEF9"/>
    <w:rsid w:val="3DAF4206"/>
    <w:rsid w:val="3DB83126"/>
    <w:rsid w:val="3DBADCF3"/>
    <w:rsid w:val="3DC1E5C7"/>
    <w:rsid w:val="3DC50821"/>
    <w:rsid w:val="3DCD4FD5"/>
    <w:rsid w:val="3DCEF89C"/>
    <w:rsid w:val="3DDA8C7F"/>
    <w:rsid w:val="3DDC0607"/>
    <w:rsid w:val="3DE6B7A2"/>
    <w:rsid w:val="3DF3C06D"/>
    <w:rsid w:val="3DFC47A3"/>
    <w:rsid w:val="3E067A31"/>
    <w:rsid w:val="3E08A6FF"/>
    <w:rsid w:val="3E0A889B"/>
    <w:rsid w:val="3E190D7B"/>
    <w:rsid w:val="3E1C8CE0"/>
    <w:rsid w:val="3E2020AD"/>
    <w:rsid w:val="3E2DEE13"/>
    <w:rsid w:val="3E32F9E4"/>
    <w:rsid w:val="3E360ABD"/>
    <w:rsid w:val="3E3B3C8B"/>
    <w:rsid w:val="3E3F1374"/>
    <w:rsid w:val="3E5606D7"/>
    <w:rsid w:val="3E68BFA1"/>
    <w:rsid w:val="3E6D4724"/>
    <w:rsid w:val="3E706076"/>
    <w:rsid w:val="3E70D847"/>
    <w:rsid w:val="3E785D33"/>
    <w:rsid w:val="3E7B13FD"/>
    <w:rsid w:val="3E7FCD90"/>
    <w:rsid w:val="3E833C7D"/>
    <w:rsid w:val="3E847D41"/>
    <w:rsid w:val="3E8E8EA1"/>
    <w:rsid w:val="3E937D4F"/>
    <w:rsid w:val="3EA9C0DA"/>
    <w:rsid w:val="3EBA2161"/>
    <w:rsid w:val="3EC15D27"/>
    <w:rsid w:val="3EC26EF1"/>
    <w:rsid w:val="3EC49BFF"/>
    <w:rsid w:val="3EC9846A"/>
    <w:rsid w:val="3ECEB498"/>
    <w:rsid w:val="3ECF03A7"/>
    <w:rsid w:val="3ED3F75C"/>
    <w:rsid w:val="3ED628E7"/>
    <w:rsid w:val="3EDA073D"/>
    <w:rsid w:val="3EDBE1FF"/>
    <w:rsid w:val="3EDC5872"/>
    <w:rsid w:val="3EE0EB4A"/>
    <w:rsid w:val="3EE125A1"/>
    <w:rsid w:val="3EE73C4C"/>
    <w:rsid w:val="3EEA53C8"/>
    <w:rsid w:val="3EEAF5F5"/>
    <w:rsid w:val="3EED5C56"/>
    <w:rsid w:val="3EF45729"/>
    <w:rsid w:val="3EF7E22C"/>
    <w:rsid w:val="3F0540C7"/>
    <w:rsid w:val="3F06B66E"/>
    <w:rsid w:val="3F0FF696"/>
    <w:rsid w:val="3F13AF30"/>
    <w:rsid w:val="3F142A83"/>
    <w:rsid w:val="3F186EA5"/>
    <w:rsid w:val="3F1AA82A"/>
    <w:rsid w:val="3F1C8001"/>
    <w:rsid w:val="3F1CBC74"/>
    <w:rsid w:val="3F3E71CC"/>
    <w:rsid w:val="3F44EBDD"/>
    <w:rsid w:val="3F470AB7"/>
    <w:rsid w:val="3F4AC363"/>
    <w:rsid w:val="3F54A223"/>
    <w:rsid w:val="3F5BEBFE"/>
    <w:rsid w:val="3F6257CE"/>
    <w:rsid w:val="3F64BF80"/>
    <w:rsid w:val="3F67BAEB"/>
    <w:rsid w:val="3F6A6CB1"/>
    <w:rsid w:val="3F722F93"/>
    <w:rsid w:val="3F73B500"/>
    <w:rsid w:val="3F7BBBD3"/>
    <w:rsid w:val="3F7DB8E6"/>
    <w:rsid w:val="3F87FB44"/>
    <w:rsid w:val="3F8832BC"/>
    <w:rsid w:val="3F8A11BA"/>
    <w:rsid w:val="3F979B2A"/>
    <w:rsid w:val="3FA36069"/>
    <w:rsid w:val="3FAF257F"/>
    <w:rsid w:val="3FB0FBD2"/>
    <w:rsid w:val="3FBBC52C"/>
    <w:rsid w:val="3FC2C3EF"/>
    <w:rsid w:val="3FCA25C7"/>
    <w:rsid w:val="3FCFCAD2"/>
    <w:rsid w:val="3FD147C0"/>
    <w:rsid w:val="3FD1BB3F"/>
    <w:rsid w:val="3FD53CD8"/>
    <w:rsid w:val="3FDAFA3F"/>
    <w:rsid w:val="3FE48BEF"/>
    <w:rsid w:val="3FE9948C"/>
    <w:rsid w:val="3FEE4930"/>
    <w:rsid w:val="3FF987A0"/>
    <w:rsid w:val="3FFC7586"/>
    <w:rsid w:val="40094C6D"/>
    <w:rsid w:val="400D43F7"/>
    <w:rsid w:val="4014006E"/>
    <w:rsid w:val="4016084E"/>
    <w:rsid w:val="401683BB"/>
    <w:rsid w:val="4018FF1B"/>
    <w:rsid w:val="40194CE9"/>
    <w:rsid w:val="402031AF"/>
    <w:rsid w:val="40271161"/>
    <w:rsid w:val="402D787F"/>
    <w:rsid w:val="402FBAE6"/>
    <w:rsid w:val="4036B623"/>
    <w:rsid w:val="403DA25B"/>
    <w:rsid w:val="404E8A77"/>
    <w:rsid w:val="40517D07"/>
    <w:rsid w:val="4052E25A"/>
    <w:rsid w:val="40589AB6"/>
    <w:rsid w:val="406177E9"/>
    <w:rsid w:val="406A492F"/>
    <w:rsid w:val="406A4F38"/>
    <w:rsid w:val="406D0F82"/>
    <w:rsid w:val="406E6E02"/>
    <w:rsid w:val="4071FDAB"/>
    <w:rsid w:val="407385F7"/>
    <w:rsid w:val="407467AC"/>
    <w:rsid w:val="407B1370"/>
    <w:rsid w:val="4083CAC4"/>
    <w:rsid w:val="4092F029"/>
    <w:rsid w:val="409769E1"/>
    <w:rsid w:val="40A383D7"/>
    <w:rsid w:val="40B5482A"/>
    <w:rsid w:val="40B5AAC4"/>
    <w:rsid w:val="40B744CD"/>
    <w:rsid w:val="40B7F70B"/>
    <w:rsid w:val="40B8E513"/>
    <w:rsid w:val="40C5181E"/>
    <w:rsid w:val="40CB8958"/>
    <w:rsid w:val="40CFE92C"/>
    <w:rsid w:val="40D89A0D"/>
    <w:rsid w:val="40DC792F"/>
    <w:rsid w:val="40E17533"/>
    <w:rsid w:val="40EE00C7"/>
    <w:rsid w:val="40EE372D"/>
    <w:rsid w:val="40F2D12F"/>
    <w:rsid w:val="40FE1520"/>
    <w:rsid w:val="40FEC176"/>
    <w:rsid w:val="410F8561"/>
    <w:rsid w:val="4110EA1A"/>
    <w:rsid w:val="4113C161"/>
    <w:rsid w:val="411AE633"/>
    <w:rsid w:val="412704BD"/>
    <w:rsid w:val="41396A6B"/>
    <w:rsid w:val="414652F0"/>
    <w:rsid w:val="41470076"/>
    <w:rsid w:val="414B071C"/>
    <w:rsid w:val="414BBE21"/>
    <w:rsid w:val="415841CD"/>
    <w:rsid w:val="415EB880"/>
    <w:rsid w:val="41646B38"/>
    <w:rsid w:val="41674EB1"/>
    <w:rsid w:val="416F3BE9"/>
    <w:rsid w:val="4189F6D7"/>
    <w:rsid w:val="418AE1D6"/>
    <w:rsid w:val="418C2818"/>
    <w:rsid w:val="418F1AE3"/>
    <w:rsid w:val="419278D5"/>
    <w:rsid w:val="419A77CE"/>
    <w:rsid w:val="419EC39F"/>
    <w:rsid w:val="41A5623E"/>
    <w:rsid w:val="41AA3106"/>
    <w:rsid w:val="41B16400"/>
    <w:rsid w:val="41BD613B"/>
    <w:rsid w:val="41C476BA"/>
    <w:rsid w:val="41C9DECF"/>
    <w:rsid w:val="41CA8994"/>
    <w:rsid w:val="41CE3B4C"/>
    <w:rsid w:val="41CFA774"/>
    <w:rsid w:val="41DA1530"/>
    <w:rsid w:val="41DCEA8F"/>
    <w:rsid w:val="41DFC998"/>
    <w:rsid w:val="41E10DB0"/>
    <w:rsid w:val="41E48E40"/>
    <w:rsid w:val="41E7A980"/>
    <w:rsid w:val="41E8798A"/>
    <w:rsid w:val="41EA8EBB"/>
    <w:rsid w:val="420371C7"/>
    <w:rsid w:val="42063B77"/>
    <w:rsid w:val="420CE5B9"/>
    <w:rsid w:val="421CA029"/>
    <w:rsid w:val="4228EF8B"/>
    <w:rsid w:val="422A85D3"/>
    <w:rsid w:val="422AD293"/>
    <w:rsid w:val="422B5E4E"/>
    <w:rsid w:val="4234A96F"/>
    <w:rsid w:val="42360619"/>
    <w:rsid w:val="423B45DB"/>
    <w:rsid w:val="42408C9E"/>
    <w:rsid w:val="424701A1"/>
    <w:rsid w:val="4248D487"/>
    <w:rsid w:val="424AD5E4"/>
    <w:rsid w:val="42530D6E"/>
    <w:rsid w:val="4260E87F"/>
    <w:rsid w:val="426476DC"/>
    <w:rsid w:val="426B4A0B"/>
    <w:rsid w:val="426D43B5"/>
    <w:rsid w:val="4270A010"/>
    <w:rsid w:val="42759A52"/>
    <w:rsid w:val="4278A84D"/>
    <w:rsid w:val="427D2D43"/>
    <w:rsid w:val="42826CF4"/>
    <w:rsid w:val="42845B18"/>
    <w:rsid w:val="428498C4"/>
    <w:rsid w:val="42993914"/>
    <w:rsid w:val="429E3B3F"/>
    <w:rsid w:val="42A18221"/>
    <w:rsid w:val="42A3C94B"/>
    <w:rsid w:val="42AACFFE"/>
    <w:rsid w:val="42B09FE6"/>
    <w:rsid w:val="42BCA416"/>
    <w:rsid w:val="42CF60E9"/>
    <w:rsid w:val="42D505BD"/>
    <w:rsid w:val="42D89436"/>
    <w:rsid w:val="42D898D2"/>
    <w:rsid w:val="42D9E47D"/>
    <w:rsid w:val="42E8276C"/>
    <w:rsid w:val="42EE63A8"/>
    <w:rsid w:val="42F41FCB"/>
    <w:rsid w:val="42F65073"/>
    <w:rsid w:val="42FDDA25"/>
    <w:rsid w:val="43017619"/>
    <w:rsid w:val="4309F860"/>
    <w:rsid w:val="4310839C"/>
    <w:rsid w:val="431D6559"/>
    <w:rsid w:val="4323A8C0"/>
    <w:rsid w:val="432792C8"/>
    <w:rsid w:val="432A683E"/>
    <w:rsid w:val="432C2346"/>
    <w:rsid w:val="4336F494"/>
    <w:rsid w:val="4337996F"/>
    <w:rsid w:val="4338AF80"/>
    <w:rsid w:val="433D0DBF"/>
    <w:rsid w:val="433E5EC7"/>
    <w:rsid w:val="4340D6AA"/>
    <w:rsid w:val="43418D30"/>
    <w:rsid w:val="4342F087"/>
    <w:rsid w:val="4345CDA9"/>
    <w:rsid w:val="4355C90B"/>
    <w:rsid w:val="43664DB5"/>
    <w:rsid w:val="436A464D"/>
    <w:rsid w:val="4373D54E"/>
    <w:rsid w:val="43854F11"/>
    <w:rsid w:val="4387455B"/>
    <w:rsid w:val="439B6580"/>
    <w:rsid w:val="439DC4F3"/>
    <w:rsid w:val="43A14FBF"/>
    <w:rsid w:val="43B8C1B4"/>
    <w:rsid w:val="43CB71F3"/>
    <w:rsid w:val="43D0D134"/>
    <w:rsid w:val="43D3D83D"/>
    <w:rsid w:val="43D52C60"/>
    <w:rsid w:val="43E3FC0E"/>
    <w:rsid w:val="43E8156A"/>
    <w:rsid w:val="43E91B74"/>
    <w:rsid w:val="43F06C2E"/>
    <w:rsid w:val="43F206D3"/>
    <w:rsid w:val="43F3DE9E"/>
    <w:rsid w:val="43F7F8DE"/>
    <w:rsid w:val="43FCB8E0"/>
    <w:rsid w:val="4407D1AD"/>
    <w:rsid w:val="4408B1B8"/>
    <w:rsid w:val="44094905"/>
    <w:rsid w:val="4409B9A0"/>
    <w:rsid w:val="4410F531"/>
    <w:rsid w:val="442A37E3"/>
    <w:rsid w:val="442AAD14"/>
    <w:rsid w:val="4446D7D5"/>
    <w:rsid w:val="4451C2D6"/>
    <w:rsid w:val="445CDF4B"/>
    <w:rsid w:val="4460A56D"/>
    <w:rsid w:val="4462EDD3"/>
    <w:rsid w:val="44630114"/>
    <w:rsid w:val="4463A4BF"/>
    <w:rsid w:val="447611E5"/>
    <w:rsid w:val="447C6AC6"/>
    <w:rsid w:val="448C8FD4"/>
    <w:rsid w:val="44905ED6"/>
    <w:rsid w:val="4490EBAA"/>
    <w:rsid w:val="44944715"/>
    <w:rsid w:val="449671AE"/>
    <w:rsid w:val="449EBE84"/>
    <w:rsid w:val="449FA51B"/>
    <w:rsid w:val="44A728EC"/>
    <w:rsid w:val="44AE3DC6"/>
    <w:rsid w:val="44B815C4"/>
    <w:rsid w:val="44B862CA"/>
    <w:rsid w:val="44BCACA1"/>
    <w:rsid w:val="44BF304C"/>
    <w:rsid w:val="44C22C11"/>
    <w:rsid w:val="44CA17CA"/>
    <w:rsid w:val="44CAF280"/>
    <w:rsid w:val="44CE4F60"/>
    <w:rsid w:val="44E115EA"/>
    <w:rsid w:val="44E27F72"/>
    <w:rsid w:val="44E71FF5"/>
    <w:rsid w:val="44E9B14C"/>
    <w:rsid w:val="44EA514B"/>
    <w:rsid w:val="44EA942E"/>
    <w:rsid w:val="44EFE418"/>
    <w:rsid w:val="44F1F871"/>
    <w:rsid w:val="45000B03"/>
    <w:rsid w:val="45001C55"/>
    <w:rsid w:val="4502690C"/>
    <w:rsid w:val="45027057"/>
    <w:rsid w:val="450A32B7"/>
    <w:rsid w:val="450F2DEE"/>
    <w:rsid w:val="45146B72"/>
    <w:rsid w:val="4514A664"/>
    <w:rsid w:val="4514C38E"/>
    <w:rsid w:val="451EA45E"/>
    <w:rsid w:val="452B7720"/>
    <w:rsid w:val="452C40D4"/>
    <w:rsid w:val="45422132"/>
    <w:rsid w:val="4542B7EC"/>
    <w:rsid w:val="4553DE75"/>
    <w:rsid w:val="455441A8"/>
    <w:rsid w:val="4555DBF7"/>
    <w:rsid w:val="45600FDC"/>
    <w:rsid w:val="4562CCC4"/>
    <w:rsid w:val="456EB64D"/>
    <w:rsid w:val="45707012"/>
    <w:rsid w:val="457E4A10"/>
    <w:rsid w:val="458467B6"/>
    <w:rsid w:val="45863450"/>
    <w:rsid w:val="458A0D50"/>
    <w:rsid w:val="458A8727"/>
    <w:rsid w:val="458AC7F7"/>
    <w:rsid w:val="4591474E"/>
    <w:rsid w:val="459374FA"/>
    <w:rsid w:val="45A074B9"/>
    <w:rsid w:val="45A9D1D8"/>
    <w:rsid w:val="45B5D3FB"/>
    <w:rsid w:val="45B95055"/>
    <w:rsid w:val="45BB7F82"/>
    <w:rsid w:val="45BDB801"/>
    <w:rsid w:val="45C28C57"/>
    <w:rsid w:val="45CA0869"/>
    <w:rsid w:val="45CEF102"/>
    <w:rsid w:val="45DB88E8"/>
    <w:rsid w:val="45DB932F"/>
    <w:rsid w:val="45E758C3"/>
    <w:rsid w:val="45EAE044"/>
    <w:rsid w:val="45EE126F"/>
    <w:rsid w:val="45F0BE32"/>
    <w:rsid w:val="45F2FAD5"/>
    <w:rsid w:val="45FD70C0"/>
    <w:rsid w:val="4606659A"/>
    <w:rsid w:val="460D8BCE"/>
    <w:rsid w:val="46106483"/>
    <w:rsid w:val="461087B8"/>
    <w:rsid w:val="4612609B"/>
    <w:rsid w:val="461512A5"/>
    <w:rsid w:val="462A81A2"/>
    <w:rsid w:val="4636083C"/>
    <w:rsid w:val="463F0387"/>
    <w:rsid w:val="46427A3C"/>
    <w:rsid w:val="4647D3E8"/>
    <w:rsid w:val="4671FFBD"/>
    <w:rsid w:val="4672F295"/>
    <w:rsid w:val="46741A1A"/>
    <w:rsid w:val="467AD8D5"/>
    <w:rsid w:val="46C09B0E"/>
    <w:rsid w:val="46C76E63"/>
    <w:rsid w:val="46D00DC2"/>
    <w:rsid w:val="46D049C3"/>
    <w:rsid w:val="46E96A1C"/>
    <w:rsid w:val="46ECDA96"/>
    <w:rsid w:val="46F66545"/>
    <w:rsid w:val="46F9B554"/>
    <w:rsid w:val="46FB1948"/>
    <w:rsid w:val="4704B5E4"/>
    <w:rsid w:val="471090F3"/>
    <w:rsid w:val="4721C3E1"/>
    <w:rsid w:val="472CB7D3"/>
    <w:rsid w:val="472E20FF"/>
    <w:rsid w:val="47320747"/>
    <w:rsid w:val="4746B066"/>
    <w:rsid w:val="474749C9"/>
    <w:rsid w:val="47476D96"/>
    <w:rsid w:val="47493B16"/>
    <w:rsid w:val="475CD4BF"/>
    <w:rsid w:val="475E017C"/>
    <w:rsid w:val="475E95AC"/>
    <w:rsid w:val="476C7893"/>
    <w:rsid w:val="477329B9"/>
    <w:rsid w:val="477CD9C5"/>
    <w:rsid w:val="477E3857"/>
    <w:rsid w:val="478AD8E0"/>
    <w:rsid w:val="4795EEEF"/>
    <w:rsid w:val="47A105DB"/>
    <w:rsid w:val="47A38683"/>
    <w:rsid w:val="47A7B4A4"/>
    <w:rsid w:val="47AEEA84"/>
    <w:rsid w:val="47C238F2"/>
    <w:rsid w:val="47C29990"/>
    <w:rsid w:val="47C93957"/>
    <w:rsid w:val="47CDD961"/>
    <w:rsid w:val="47D78CDA"/>
    <w:rsid w:val="47E12FDF"/>
    <w:rsid w:val="47E1D194"/>
    <w:rsid w:val="47ED2E68"/>
    <w:rsid w:val="47FF1C0C"/>
    <w:rsid w:val="4800AB5B"/>
    <w:rsid w:val="48087924"/>
    <w:rsid w:val="4808BC57"/>
    <w:rsid w:val="481A70A4"/>
    <w:rsid w:val="482DB7C9"/>
    <w:rsid w:val="482E7801"/>
    <w:rsid w:val="4835AA51"/>
    <w:rsid w:val="4835DD8A"/>
    <w:rsid w:val="48382972"/>
    <w:rsid w:val="48391DD5"/>
    <w:rsid w:val="4848C3ED"/>
    <w:rsid w:val="4849B262"/>
    <w:rsid w:val="4849CE11"/>
    <w:rsid w:val="48525340"/>
    <w:rsid w:val="4852A677"/>
    <w:rsid w:val="48543920"/>
    <w:rsid w:val="485D9C06"/>
    <w:rsid w:val="4866607C"/>
    <w:rsid w:val="486B785B"/>
    <w:rsid w:val="4870BEFA"/>
    <w:rsid w:val="487C5FB6"/>
    <w:rsid w:val="487D6631"/>
    <w:rsid w:val="48802AE9"/>
    <w:rsid w:val="488191B3"/>
    <w:rsid w:val="4885D6BB"/>
    <w:rsid w:val="48894664"/>
    <w:rsid w:val="488F8FE5"/>
    <w:rsid w:val="4896A5C5"/>
    <w:rsid w:val="489BE487"/>
    <w:rsid w:val="489EC7FC"/>
    <w:rsid w:val="48A3D714"/>
    <w:rsid w:val="48AEB45F"/>
    <w:rsid w:val="48B36B3C"/>
    <w:rsid w:val="48B39DCC"/>
    <w:rsid w:val="48BF605C"/>
    <w:rsid w:val="48CA4F6B"/>
    <w:rsid w:val="48E42972"/>
    <w:rsid w:val="48E76C06"/>
    <w:rsid w:val="48E8C13A"/>
    <w:rsid w:val="48EE6CBA"/>
    <w:rsid w:val="48EEA123"/>
    <w:rsid w:val="48FB5C2B"/>
    <w:rsid w:val="48FC113D"/>
    <w:rsid w:val="48FC8432"/>
    <w:rsid w:val="48FEF97B"/>
    <w:rsid w:val="4901D22D"/>
    <w:rsid w:val="490236ED"/>
    <w:rsid w:val="490246A6"/>
    <w:rsid w:val="490C68F1"/>
    <w:rsid w:val="490EE61B"/>
    <w:rsid w:val="4913922B"/>
    <w:rsid w:val="4916C7A3"/>
    <w:rsid w:val="4918B2B9"/>
    <w:rsid w:val="4918E181"/>
    <w:rsid w:val="492FC160"/>
    <w:rsid w:val="49311B3E"/>
    <w:rsid w:val="493DFCE5"/>
    <w:rsid w:val="49402FCC"/>
    <w:rsid w:val="4948287A"/>
    <w:rsid w:val="49495911"/>
    <w:rsid w:val="494E87CD"/>
    <w:rsid w:val="49535049"/>
    <w:rsid w:val="4955206B"/>
    <w:rsid w:val="49558C55"/>
    <w:rsid w:val="495D35E1"/>
    <w:rsid w:val="49613DE0"/>
    <w:rsid w:val="49647AEB"/>
    <w:rsid w:val="496F81DE"/>
    <w:rsid w:val="497133EC"/>
    <w:rsid w:val="4972855D"/>
    <w:rsid w:val="497C761C"/>
    <w:rsid w:val="497FC245"/>
    <w:rsid w:val="498A9379"/>
    <w:rsid w:val="4990F7A6"/>
    <w:rsid w:val="49970815"/>
    <w:rsid w:val="49A72F69"/>
    <w:rsid w:val="49A7410B"/>
    <w:rsid w:val="49ACB734"/>
    <w:rsid w:val="49AFA19E"/>
    <w:rsid w:val="49BA6237"/>
    <w:rsid w:val="49C017FA"/>
    <w:rsid w:val="49CC9322"/>
    <w:rsid w:val="49CE7C07"/>
    <w:rsid w:val="49DDB66E"/>
    <w:rsid w:val="49E96B7E"/>
    <w:rsid w:val="49EF63ED"/>
    <w:rsid w:val="49F77C90"/>
    <w:rsid w:val="4A020ADE"/>
    <w:rsid w:val="4A02E6A5"/>
    <w:rsid w:val="4A09768B"/>
    <w:rsid w:val="4A1C4A88"/>
    <w:rsid w:val="4A1E4935"/>
    <w:rsid w:val="4A2311FE"/>
    <w:rsid w:val="4A251481"/>
    <w:rsid w:val="4A31BCC2"/>
    <w:rsid w:val="4A327626"/>
    <w:rsid w:val="4A37B40B"/>
    <w:rsid w:val="4A3FF881"/>
    <w:rsid w:val="4A4478CB"/>
    <w:rsid w:val="4A459828"/>
    <w:rsid w:val="4A4F0E94"/>
    <w:rsid w:val="4A515989"/>
    <w:rsid w:val="4A51D9C4"/>
    <w:rsid w:val="4A5C7137"/>
    <w:rsid w:val="4A60D6E5"/>
    <w:rsid w:val="4A6D90AA"/>
    <w:rsid w:val="4A78A7C2"/>
    <w:rsid w:val="4A7C8ADA"/>
    <w:rsid w:val="4A7E3D5B"/>
    <w:rsid w:val="4A8A84A9"/>
    <w:rsid w:val="4A8CD6B7"/>
    <w:rsid w:val="4A927562"/>
    <w:rsid w:val="4AA174DD"/>
    <w:rsid w:val="4AA4B1F7"/>
    <w:rsid w:val="4AB7E17C"/>
    <w:rsid w:val="4ABA66E1"/>
    <w:rsid w:val="4ABC8CA2"/>
    <w:rsid w:val="4ABED5BC"/>
    <w:rsid w:val="4AD5C127"/>
    <w:rsid w:val="4AD815FD"/>
    <w:rsid w:val="4AD82CBA"/>
    <w:rsid w:val="4AE3F8DB"/>
    <w:rsid w:val="4AEC70C8"/>
    <w:rsid w:val="4AF1FF33"/>
    <w:rsid w:val="4AFDF2C5"/>
    <w:rsid w:val="4AFF0A37"/>
    <w:rsid w:val="4B054B83"/>
    <w:rsid w:val="4B06A192"/>
    <w:rsid w:val="4B345BB0"/>
    <w:rsid w:val="4B39BBDC"/>
    <w:rsid w:val="4B41204A"/>
    <w:rsid w:val="4B431135"/>
    <w:rsid w:val="4B43F285"/>
    <w:rsid w:val="4B4B1D4A"/>
    <w:rsid w:val="4B4C83C3"/>
    <w:rsid w:val="4B50CE96"/>
    <w:rsid w:val="4B5F2445"/>
    <w:rsid w:val="4B6424CF"/>
    <w:rsid w:val="4B66CA67"/>
    <w:rsid w:val="4B70B1E6"/>
    <w:rsid w:val="4B8C242D"/>
    <w:rsid w:val="4B9D2887"/>
    <w:rsid w:val="4B9E2096"/>
    <w:rsid w:val="4BA021B5"/>
    <w:rsid w:val="4BAB24EB"/>
    <w:rsid w:val="4BB0F2B8"/>
    <w:rsid w:val="4BB640D3"/>
    <w:rsid w:val="4BB6E96B"/>
    <w:rsid w:val="4BB7C4ED"/>
    <w:rsid w:val="4BB9DA34"/>
    <w:rsid w:val="4BC193AB"/>
    <w:rsid w:val="4BC9FE40"/>
    <w:rsid w:val="4BD68E70"/>
    <w:rsid w:val="4BD711C5"/>
    <w:rsid w:val="4BD8A36D"/>
    <w:rsid w:val="4BEAAD59"/>
    <w:rsid w:val="4BEB062E"/>
    <w:rsid w:val="4BEB929E"/>
    <w:rsid w:val="4BF2C11D"/>
    <w:rsid w:val="4BFC4353"/>
    <w:rsid w:val="4BFDC56D"/>
    <w:rsid w:val="4BFDF62F"/>
    <w:rsid w:val="4BFFE654"/>
    <w:rsid w:val="4C00161E"/>
    <w:rsid w:val="4C046C93"/>
    <w:rsid w:val="4C083D06"/>
    <w:rsid w:val="4C1CDB63"/>
    <w:rsid w:val="4C21258F"/>
    <w:rsid w:val="4C2AA33C"/>
    <w:rsid w:val="4C2EE459"/>
    <w:rsid w:val="4C36D02E"/>
    <w:rsid w:val="4C45C648"/>
    <w:rsid w:val="4C4B055A"/>
    <w:rsid w:val="4C519692"/>
    <w:rsid w:val="4C61A738"/>
    <w:rsid w:val="4C676222"/>
    <w:rsid w:val="4C6B28C9"/>
    <w:rsid w:val="4C6B7EAA"/>
    <w:rsid w:val="4C71BC2B"/>
    <w:rsid w:val="4C759EFA"/>
    <w:rsid w:val="4C75AFE3"/>
    <w:rsid w:val="4C787F5D"/>
    <w:rsid w:val="4C7A4E9C"/>
    <w:rsid w:val="4C7DF51B"/>
    <w:rsid w:val="4C802288"/>
    <w:rsid w:val="4C805E45"/>
    <w:rsid w:val="4C8D6E13"/>
    <w:rsid w:val="4C98857D"/>
    <w:rsid w:val="4C99C326"/>
    <w:rsid w:val="4CA08DC4"/>
    <w:rsid w:val="4CB9FD52"/>
    <w:rsid w:val="4CBC1E3A"/>
    <w:rsid w:val="4CBFCC8C"/>
    <w:rsid w:val="4CD80521"/>
    <w:rsid w:val="4CDBF7B6"/>
    <w:rsid w:val="4CF1B93E"/>
    <w:rsid w:val="4CF40F66"/>
    <w:rsid w:val="4CF41555"/>
    <w:rsid w:val="4CFCA931"/>
    <w:rsid w:val="4CFE12F3"/>
    <w:rsid w:val="4D005798"/>
    <w:rsid w:val="4D0B8AA9"/>
    <w:rsid w:val="4D0BD862"/>
    <w:rsid w:val="4D0CB7BA"/>
    <w:rsid w:val="4D11B9A3"/>
    <w:rsid w:val="4D1827FB"/>
    <w:rsid w:val="4D1A11C2"/>
    <w:rsid w:val="4D1AE99D"/>
    <w:rsid w:val="4D203E57"/>
    <w:rsid w:val="4D34126A"/>
    <w:rsid w:val="4D394AAC"/>
    <w:rsid w:val="4D482A27"/>
    <w:rsid w:val="4D497F49"/>
    <w:rsid w:val="4D4B8DCB"/>
    <w:rsid w:val="4D505A32"/>
    <w:rsid w:val="4D5428C0"/>
    <w:rsid w:val="4D54DE2A"/>
    <w:rsid w:val="4D65C049"/>
    <w:rsid w:val="4D890648"/>
    <w:rsid w:val="4D8CE9D8"/>
    <w:rsid w:val="4D91FF70"/>
    <w:rsid w:val="4D949AC2"/>
    <w:rsid w:val="4D9D6283"/>
    <w:rsid w:val="4D9DCE91"/>
    <w:rsid w:val="4DA0239E"/>
    <w:rsid w:val="4DA966A7"/>
    <w:rsid w:val="4DB7B022"/>
    <w:rsid w:val="4DBAC0A8"/>
    <w:rsid w:val="4DC21425"/>
    <w:rsid w:val="4DC3ECD2"/>
    <w:rsid w:val="4DD08C3B"/>
    <w:rsid w:val="4DD2F77E"/>
    <w:rsid w:val="4DD644C5"/>
    <w:rsid w:val="4DE83729"/>
    <w:rsid w:val="4DE9D5A4"/>
    <w:rsid w:val="4DF2A7A8"/>
    <w:rsid w:val="4DFF4B7A"/>
    <w:rsid w:val="4E0A340D"/>
    <w:rsid w:val="4E0FA593"/>
    <w:rsid w:val="4E14AA99"/>
    <w:rsid w:val="4E15DA9C"/>
    <w:rsid w:val="4E1B73C2"/>
    <w:rsid w:val="4E240DB2"/>
    <w:rsid w:val="4E251913"/>
    <w:rsid w:val="4E2BBE11"/>
    <w:rsid w:val="4E30FDB4"/>
    <w:rsid w:val="4E315770"/>
    <w:rsid w:val="4E3A6FE3"/>
    <w:rsid w:val="4E4070DD"/>
    <w:rsid w:val="4E419705"/>
    <w:rsid w:val="4E473C5F"/>
    <w:rsid w:val="4E4CC9DB"/>
    <w:rsid w:val="4E68FA9F"/>
    <w:rsid w:val="4E6D6448"/>
    <w:rsid w:val="4E720928"/>
    <w:rsid w:val="4E882E87"/>
    <w:rsid w:val="4E8B9D33"/>
    <w:rsid w:val="4E8C8D78"/>
    <w:rsid w:val="4E8F4615"/>
    <w:rsid w:val="4E923FA3"/>
    <w:rsid w:val="4E9A8633"/>
    <w:rsid w:val="4EA2604D"/>
    <w:rsid w:val="4EA28E6E"/>
    <w:rsid w:val="4EAA399C"/>
    <w:rsid w:val="4EAB9A8A"/>
    <w:rsid w:val="4EAC444C"/>
    <w:rsid w:val="4EB4A3D9"/>
    <w:rsid w:val="4EBD63D2"/>
    <w:rsid w:val="4EC2B482"/>
    <w:rsid w:val="4EC3C4EF"/>
    <w:rsid w:val="4ECB1A02"/>
    <w:rsid w:val="4ECB4821"/>
    <w:rsid w:val="4ED47377"/>
    <w:rsid w:val="4EE3B34C"/>
    <w:rsid w:val="4EF3BFB4"/>
    <w:rsid w:val="4EFB79A9"/>
    <w:rsid w:val="4F03AAFB"/>
    <w:rsid w:val="4F043A5D"/>
    <w:rsid w:val="4F04D3A9"/>
    <w:rsid w:val="4F08A39B"/>
    <w:rsid w:val="4F12BF0D"/>
    <w:rsid w:val="4F18338C"/>
    <w:rsid w:val="4F1D0539"/>
    <w:rsid w:val="4F30F138"/>
    <w:rsid w:val="4F47E0A6"/>
    <w:rsid w:val="4F4E128F"/>
    <w:rsid w:val="4F55E3C2"/>
    <w:rsid w:val="4F573EAC"/>
    <w:rsid w:val="4F5820A5"/>
    <w:rsid w:val="4F59A350"/>
    <w:rsid w:val="4F600AF3"/>
    <w:rsid w:val="4F629688"/>
    <w:rsid w:val="4F6824CE"/>
    <w:rsid w:val="4F68E667"/>
    <w:rsid w:val="4F6D2EC7"/>
    <w:rsid w:val="4F722696"/>
    <w:rsid w:val="4F7F2CBB"/>
    <w:rsid w:val="4F846247"/>
    <w:rsid w:val="4F910ABC"/>
    <w:rsid w:val="4F97E289"/>
    <w:rsid w:val="4F99C958"/>
    <w:rsid w:val="4F9ED441"/>
    <w:rsid w:val="4FA3015D"/>
    <w:rsid w:val="4FABAA70"/>
    <w:rsid w:val="4FB9767F"/>
    <w:rsid w:val="4FC9D5E3"/>
    <w:rsid w:val="4FCFEE44"/>
    <w:rsid w:val="4FD21F2C"/>
    <w:rsid w:val="4FD5E410"/>
    <w:rsid w:val="4FD841C0"/>
    <w:rsid w:val="4FE10F2C"/>
    <w:rsid w:val="4FE2B30D"/>
    <w:rsid w:val="4FF6094C"/>
    <w:rsid w:val="4FFBB8CF"/>
    <w:rsid w:val="500E3FB8"/>
    <w:rsid w:val="500FA5E3"/>
    <w:rsid w:val="5011E78D"/>
    <w:rsid w:val="5019ED06"/>
    <w:rsid w:val="50328EE0"/>
    <w:rsid w:val="503677A4"/>
    <w:rsid w:val="50412420"/>
    <w:rsid w:val="505DA2DF"/>
    <w:rsid w:val="50679399"/>
    <w:rsid w:val="506B69F5"/>
    <w:rsid w:val="506C09CC"/>
    <w:rsid w:val="5076D9D6"/>
    <w:rsid w:val="507B7D04"/>
    <w:rsid w:val="5080439D"/>
    <w:rsid w:val="50820AFE"/>
    <w:rsid w:val="5083E0FD"/>
    <w:rsid w:val="5097E519"/>
    <w:rsid w:val="509A7704"/>
    <w:rsid w:val="50A12F24"/>
    <w:rsid w:val="50A27D3F"/>
    <w:rsid w:val="50A54C1A"/>
    <w:rsid w:val="50ACBCDA"/>
    <w:rsid w:val="50AEB28E"/>
    <w:rsid w:val="50AEDDEA"/>
    <w:rsid w:val="50CB0041"/>
    <w:rsid w:val="50CBCC12"/>
    <w:rsid w:val="50D49D09"/>
    <w:rsid w:val="50D8B145"/>
    <w:rsid w:val="50DA329F"/>
    <w:rsid w:val="50E1AA1A"/>
    <w:rsid w:val="50EA3CB7"/>
    <w:rsid w:val="50ED553A"/>
    <w:rsid w:val="50FD6C3F"/>
    <w:rsid w:val="5105AA80"/>
    <w:rsid w:val="5113FBBC"/>
    <w:rsid w:val="5117CEE9"/>
    <w:rsid w:val="511E4556"/>
    <w:rsid w:val="5126A18F"/>
    <w:rsid w:val="512EE834"/>
    <w:rsid w:val="51318366"/>
    <w:rsid w:val="513262CD"/>
    <w:rsid w:val="5134AFE5"/>
    <w:rsid w:val="51363EB2"/>
    <w:rsid w:val="513894A4"/>
    <w:rsid w:val="5143EE96"/>
    <w:rsid w:val="5148C4A2"/>
    <w:rsid w:val="514AD4B0"/>
    <w:rsid w:val="5153227B"/>
    <w:rsid w:val="51585B33"/>
    <w:rsid w:val="515CCF6F"/>
    <w:rsid w:val="51677890"/>
    <w:rsid w:val="516CE451"/>
    <w:rsid w:val="51711A9A"/>
    <w:rsid w:val="5175E1B8"/>
    <w:rsid w:val="517F7DB3"/>
    <w:rsid w:val="518034F9"/>
    <w:rsid w:val="519215AF"/>
    <w:rsid w:val="51A80CF1"/>
    <w:rsid w:val="51ABCCBC"/>
    <w:rsid w:val="51AFBA67"/>
    <w:rsid w:val="51B23029"/>
    <w:rsid w:val="51B5A50C"/>
    <w:rsid w:val="51C2C094"/>
    <w:rsid w:val="51CC8735"/>
    <w:rsid w:val="51CD58A6"/>
    <w:rsid w:val="51D1D1BE"/>
    <w:rsid w:val="51F2067F"/>
    <w:rsid w:val="51F9620A"/>
    <w:rsid w:val="51FDACB4"/>
    <w:rsid w:val="5202100C"/>
    <w:rsid w:val="520EAC99"/>
    <w:rsid w:val="52131DEE"/>
    <w:rsid w:val="521C32F3"/>
    <w:rsid w:val="5224B5B9"/>
    <w:rsid w:val="52253B79"/>
    <w:rsid w:val="52265CF1"/>
    <w:rsid w:val="522A5E92"/>
    <w:rsid w:val="5233535F"/>
    <w:rsid w:val="524177BE"/>
    <w:rsid w:val="5246F8A4"/>
    <w:rsid w:val="5250D584"/>
    <w:rsid w:val="525281B6"/>
    <w:rsid w:val="525343FF"/>
    <w:rsid w:val="52609370"/>
    <w:rsid w:val="52622C47"/>
    <w:rsid w:val="52659522"/>
    <w:rsid w:val="526BBEAA"/>
    <w:rsid w:val="52715D29"/>
    <w:rsid w:val="5272D0A2"/>
    <w:rsid w:val="52773DF8"/>
    <w:rsid w:val="528819D1"/>
    <w:rsid w:val="528BB2A3"/>
    <w:rsid w:val="528F74F5"/>
    <w:rsid w:val="52957173"/>
    <w:rsid w:val="52A62368"/>
    <w:rsid w:val="52A91545"/>
    <w:rsid w:val="52BA06A4"/>
    <w:rsid w:val="52C4A0E4"/>
    <w:rsid w:val="52CCEFAB"/>
    <w:rsid w:val="52E0C726"/>
    <w:rsid w:val="52E334C1"/>
    <w:rsid w:val="52EF6512"/>
    <w:rsid w:val="52F05C6D"/>
    <w:rsid w:val="53009796"/>
    <w:rsid w:val="53021CDF"/>
    <w:rsid w:val="5305ED87"/>
    <w:rsid w:val="53069668"/>
    <w:rsid w:val="5307BE07"/>
    <w:rsid w:val="530C3E59"/>
    <w:rsid w:val="5311446D"/>
    <w:rsid w:val="53162724"/>
    <w:rsid w:val="531B90A4"/>
    <w:rsid w:val="531D0E26"/>
    <w:rsid w:val="53219DBE"/>
    <w:rsid w:val="5329F14B"/>
    <w:rsid w:val="532CA661"/>
    <w:rsid w:val="532FC659"/>
    <w:rsid w:val="53320C23"/>
    <w:rsid w:val="53333235"/>
    <w:rsid w:val="5333C7DB"/>
    <w:rsid w:val="53343BC7"/>
    <w:rsid w:val="53363625"/>
    <w:rsid w:val="533B2BAA"/>
    <w:rsid w:val="5343B67A"/>
    <w:rsid w:val="53506220"/>
    <w:rsid w:val="535119F4"/>
    <w:rsid w:val="5353E794"/>
    <w:rsid w:val="53561654"/>
    <w:rsid w:val="535B4F9E"/>
    <w:rsid w:val="535D62D7"/>
    <w:rsid w:val="535DE57A"/>
    <w:rsid w:val="5361BC4C"/>
    <w:rsid w:val="5367B39C"/>
    <w:rsid w:val="536AC6CD"/>
    <w:rsid w:val="53863282"/>
    <w:rsid w:val="539671EE"/>
    <w:rsid w:val="5399D2A5"/>
    <w:rsid w:val="539F0CD0"/>
    <w:rsid w:val="53B30F55"/>
    <w:rsid w:val="53BC9A98"/>
    <w:rsid w:val="53C04B57"/>
    <w:rsid w:val="53CC2101"/>
    <w:rsid w:val="53CCD682"/>
    <w:rsid w:val="53D52019"/>
    <w:rsid w:val="53D887EB"/>
    <w:rsid w:val="53E3AAC7"/>
    <w:rsid w:val="53E9923E"/>
    <w:rsid w:val="53FB831B"/>
    <w:rsid w:val="5404326F"/>
    <w:rsid w:val="54057BCE"/>
    <w:rsid w:val="5405C890"/>
    <w:rsid w:val="540718A0"/>
    <w:rsid w:val="54127D07"/>
    <w:rsid w:val="5414005E"/>
    <w:rsid w:val="541C2629"/>
    <w:rsid w:val="5427EC85"/>
    <w:rsid w:val="542A81D6"/>
    <w:rsid w:val="542E0AA2"/>
    <w:rsid w:val="543143BC"/>
    <w:rsid w:val="543707A8"/>
    <w:rsid w:val="54383A84"/>
    <w:rsid w:val="543AE4DE"/>
    <w:rsid w:val="54416C54"/>
    <w:rsid w:val="544BE281"/>
    <w:rsid w:val="54503751"/>
    <w:rsid w:val="545396FA"/>
    <w:rsid w:val="5453DE24"/>
    <w:rsid w:val="5454466F"/>
    <w:rsid w:val="54545D79"/>
    <w:rsid w:val="54560A97"/>
    <w:rsid w:val="545C9C2B"/>
    <w:rsid w:val="54658A62"/>
    <w:rsid w:val="546C1171"/>
    <w:rsid w:val="5470059C"/>
    <w:rsid w:val="54707293"/>
    <w:rsid w:val="5475BDBA"/>
    <w:rsid w:val="5478E554"/>
    <w:rsid w:val="547BBD3A"/>
    <w:rsid w:val="547C517A"/>
    <w:rsid w:val="54851164"/>
    <w:rsid w:val="5485DD6C"/>
    <w:rsid w:val="548A3252"/>
    <w:rsid w:val="54938E36"/>
    <w:rsid w:val="549603FE"/>
    <w:rsid w:val="5496041A"/>
    <w:rsid w:val="549772C6"/>
    <w:rsid w:val="549A5BF2"/>
    <w:rsid w:val="549DCED6"/>
    <w:rsid w:val="54A0EDCA"/>
    <w:rsid w:val="54AC987C"/>
    <w:rsid w:val="54AFF3DF"/>
    <w:rsid w:val="54B1C0DE"/>
    <w:rsid w:val="54B91567"/>
    <w:rsid w:val="54B9CD14"/>
    <w:rsid w:val="54B9E69A"/>
    <w:rsid w:val="54BF0BFF"/>
    <w:rsid w:val="54C15BC6"/>
    <w:rsid w:val="54CC5991"/>
    <w:rsid w:val="54D638F3"/>
    <w:rsid w:val="54D65EF9"/>
    <w:rsid w:val="54D8D72A"/>
    <w:rsid w:val="54DC2FF7"/>
    <w:rsid w:val="54DDE5A4"/>
    <w:rsid w:val="54E09D29"/>
    <w:rsid w:val="54E57973"/>
    <w:rsid w:val="54E93404"/>
    <w:rsid w:val="54E9FD63"/>
    <w:rsid w:val="54EA686E"/>
    <w:rsid w:val="54ED276D"/>
    <w:rsid w:val="54F8E872"/>
    <w:rsid w:val="54FF5B87"/>
    <w:rsid w:val="5501F693"/>
    <w:rsid w:val="5511EC18"/>
    <w:rsid w:val="55163D62"/>
    <w:rsid w:val="55178296"/>
    <w:rsid w:val="551B3903"/>
    <w:rsid w:val="55292216"/>
    <w:rsid w:val="55382B21"/>
    <w:rsid w:val="553A3D21"/>
    <w:rsid w:val="5540D99C"/>
    <w:rsid w:val="5546FF88"/>
    <w:rsid w:val="554D6ACE"/>
    <w:rsid w:val="5552E37F"/>
    <w:rsid w:val="5559E0EE"/>
    <w:rsid w:val="555B429F"/>
    <w:rsid w:val="555FA3EA"/>
    <w:rsid w:val="55632DD3"/>
    <w:rsid w:val="557CABF2"/>
    <w:rsid w:val="557F15CA"/>
    <w:rsid w:val="557FA609"/>
    <w:rsid w:val="5586DCED"/>
    <w:rsid w:val="558D34A4"/>
    <w:rsid w:val="5591C0A0"/>
    <w:rsid w:val="5591C8F5"/>
    <w:rsid w:val="55975D8B"/>
    <w:rsid w:val="55A09E58"/>
    <w:rsid w:val="55ADB5DF"/>
    <w:rsid w:val="55ADF6A7"/>
    <w:rsid w:val="55B061EE"/>
    <w:rsid w:val="55BF3B80"/>
    <w:rsid w:val="55C0052E"/>
    <w:rsid w:val="55C4D4D0"/>
    <w:rsid w:val="55C52816"/>
    <w:rsid w:val="55CC868D"/>
    <w:rsid w:val="55CC929D"/>
    <w:rsid w:val="55D754C5"/>
    <w:rsid w:val="55E23BC0"/>
    <w:rsid w:val="55E43B5C"/>
    <w:rsid w:val="55EC4B04"/>
    <w:rsid w:val="55ECC21D"/>
    <w:rsid w:val="55EE7308"/>
    <w:rsid w:val="55F3884A"/>
    <w:rsid w:val="55F9DEF0"/>
    <w:rsid w:val="560715B0"/>
    <w:rsid w:val="56083CC8"/>
    <w:rsid w:val="56084838"/>
    <w:rsid w:val="56114A69"/>
    <w:rsid w:val="56119684"/>
    <w:rsid w:val="5615BF99"/>
    <w:rsid w:val="56164238"/>
    <w:rsid w:val="56320695"/>
    <w:rsid w:val="56324AC2"/>
    <w:rsid w:val="56366870"/>
    <w:rsid w:val="56398320"/>
    <w:rsid w:val="564DCE37"/>
    <w:rsid w:val="565A4F3C"/>
    <w:rsid w:val="56621F79"/>
    <w:rsid w:val="56637B1B"/>
    <w:rsid w:val="56781DA1"/>
    <w:rsid w:val="56796A76"/>
    <w:rsid w:val="567B24BA"/>
    <w:rsid w:val="567C32E7"/>
    <w:rsid w:val="567CBC58"/>
    <w:rsid w:val="5681923B"/>
    <w:rsid w:val="56846D6B"/>
    <w:rsid w:val="5686ED59"/>
    <w:rsid w:val="5688F589"/>
    <w:rsid w:val="568D3164"/>
    <w:rsid w:val="5697CCD1"/>
    <w:rsid w:val="569B7FBD"/>
    <w:rsid w:val="56A13149"/>
    <w:rsid w:val="56A95619"/>
    <w:rsid w:val="56B530CC"/>
    <w:rsid w:val="56BA78D6"/>
    <w:rsid w:val="56D54F18"/>
    <w:rsid w:val="56EA3337"/>
    <w:rsid w:val="56EAC0E7"/>
    <w:rsid w:val="56EE60B6"/>
    <w:rsid w:val="56FA7436"/>
    <w:rsid w:val="56FFAA6F"/>
    <w:rsid w:val="57027F16"/>
    <w:rsid w:val="57048911"/>
    <w:rsid w:val="570E351D"/>
    <w:rsid w:val="570F020E"/>
    <w:rsid w:val="5716F386"/>
    <w:rsid w:val="572031C3"/>
    <w:rsid w:val="57206666"/>
    <w:rsid w:val="5720F318"/>
    <w:rsid w:val="57243B71"/>
    <w:rsid w:val="57259842"/>
    <w:rsid w:val="573073B2"/>
    <w:rsid w:val="5733452D"/>
    <w:rsid w:val="573502BA"/>
    <w:rsid w:val="5739B367"/>
    <w:rsid w:val="573BC2A6"/>
    <w:rsid w:val="575ABC06"/>
    <w:rsid w:val="576152C6"/>
    <w:rsid w:val="5762FD7C"/>
    <w:rsid w:val="5764D48A"/>
    <w:rsid w:val="576F2E62"/>
    <w:rsid w:val="579B60AB"/>
    <w:rsid w:val="57A6571F"/>
    <w:rsid w:val="57A6BD56"/>
    <w:rsid w:val="57AAD9D6"/>
    <w:rsid w:val="57B180E2"/>
    <w:rsid w:val="57C35E9F"/>
    <w:rsid w:val="57C851D1"/>
    <w:rsid w:val="57CC8949"/>
    <w:rsid w:val="57E44611"/>
    <w:rsid w:val="57F2E301"/>
    <w:rsid w:val="57FAFE53"/>
    <w:rsid w:val="581029DE"/>
    <w:rsid w:val="581160B6"/>
    <w:rsid w:val="5811E702"/>
    <w:rsid w:val="5823E47D"/>
    <w:rsid w:val="5829A986"/>
    <w:rsid w:val="582A03B6"/>
    <w:rsid w:val="582E6EE6"/>
    <w:rsid w:val="583AA47B"/>
    <w:rsid w:val="583F8E9B"/>
    <w:rsid w:val="58408ECD"/>
    <w:rsid w:val="5859306B"/>
    <w:rsid w:val="585C0DAD"/>
    <w:rsid w:val="585CC58E"/>
    <w:rsid w:val="585E7FC7"/>
    <w:rsid w:val="585E955A"/>
    <w:rsid w:val="58692866"/>
    <w:rsid w:val="586B58D9"/>
    <w:rsid w:val="586D581B"/>
    <w:rsid w:val="58719EBF"/>
    <w:rsid w:val="5881B795"/>
    <w:rsid w:val="58841B9E"/>
    <w:rsid w:val="588AFD91"/>
    <w:rsid w:val="58957E96"/>
    <w:rsid w:val="58A047A5"/>
    <w:rsid w:val="58A1B16D"/>
    <w:rsid w:val="58A784EB"/>
    <w:rsid w:val="58A7E9B8"/>
    <w:rsid w:val="58A90463"/>
    <w:rsid w:val="58A9F327"/>
    <w:rsid w:val="58B22C01"/>
    <w:rsid w:val="58B393E2"/>
    <w:rsid w:val="58B45142"/>
    <w:rsid w:val="58B886F8"/>
    <w:rsid w:val="58BB1FBA"/>
    <w:rsid w:val="58C1FFE7"/>
    <w:rsid w:val="58C76E55"/>
    <w:rsid w:val="58CDB133"/>
    <w:rsid w:val="58CF5970"/>
    <w:rsid w:val="58D0526C"/>
    <w:rsid w:val="58D14219"/>
    <w:rsid w:val="58D7CF13"/>
    <w:rsid w:val="58E0152A"/>
    <w:rsid w:val="58E52D81"/>
    <w:rsid w:val="58F2D0FD"/>
    <w:rsid w:val="58FF7ED3"/>
    <w:rsid w:val="59015059"/>
    <w:rsid w:val="5906CFEB"/>
    <w:rsid w:val="59117050"/>
    <w:rsid w:val="59136945"/>
    <w:rsid w:val="5917A123"/>
    <w:rsid w:val="5917A56E"/>
    <w:rsid w:val="5918070A"/>
    <w:rsid w:val="591E6883"/>
    <w:rsid w:val="59200345"/>
    <w:rsid w:val="5922788E"/>
    <w:rsid w:val="59239690"/>
    <w:rsid w:val="5924287B"/>
    <w:rsid w:val="592CA234"/>
    <w:rsid w:val="59335321"/>
    <w:rsid w:val="593D947D"/>
    <w:rsid w:val="5941F840"/>
    <w:rsid w:val="5948BD6D"/>
    <w:rsid w:val="59523D1C"/>
    <w:rsid w:val="59603A5F"/>
    <w:rsid w:val="59629023"/>
    <w:rsid w:val="5963BCFB"/>
    <w:rsid w:val="59647942"/>
    <w:rsid w:val="59697946"/>
    <w:rsid w:val="5977DDCE"/>
    <w:rsid w:val="597E8921"/>
    <w:rsid w:val="59807994"/>
    <w:rsid w:val="59821C87"/>
    <w:rsid w:val="59822395"/>
    <w:rsid w:val="598CA0B0"/>
    <w:rsid w:val="59909F26"/>
    <w:rsid w:val="59955777"/>
    <w:rsid w:val="599AE57B"/>
    <w:rsid w:val="599DF3DF"/>
    <w:rsid w:val="59A08C82"/>
    <w:rsid w:val="59A4F9BA"/>
    <w:rsid w:val="59B0C50F"/>
    <w:rsid w:val="59BD3F3D"/>
    <w:rsid w:val="59C5436D"/>
    <w:rsid w:val="59CDD1D5"/>
    <w:rsid w:val="59D33891"/>
    <w:rsid w:val="59D55589"/>
    <w:rsid w:val="59D8728C"/>
    <w:rsid w:val="59DC04B6"/>
    <w:rsid w:val="59E32E69"/>
    <w:rsid w:val="59F2E4B0"/>
    <w:rsid w:val="59F56A78"/>
    <w:rsid w:val="59F5F1EB"/>
    <w:rsid w:val="59F763F6"/>
    <w:rsid w:val="59F8872D"/>
    <w:rsid w:val="5A0AE3A8"/>
    <w:rsid w:val="5A0E5474"/>
    <w:rsid w:val="5A0E9D4B"/>
    <w:rsid w:val="5A1F8FB2"/>
    <w:rsid w:val="5A2221C4"/>
    <w:rsid w:val="5A2871A0"/>
    <w:rsid w:val="5A2F1EFA"/>
    <w:rsid w:val="5A3308A0"/>
    <w:rsid w:val="5A3C9C4E"/>
    <w:rsid w:val="5A46E93C"/>
    <w:rsid w:val="5A4D868A"/>
    <w:rsid w:val="5A4D8E01"/>
    <w:rsid w:val="5A4D8E31"/>
    <w:rsid w:val="5A529FB5"/>
    <w:rsid w:val="5A59A996"/>
    <w:rsid w:val="5A5B4355"/>
    <w:rsid w:val="5A60ED96"/>
    <w:rsid w:val="5A618AFB"/>
    <w:rsid w:val="5A619C7D"/>
    <w:rsid w:val="5A8F7967"/>
    <w:rsid w:val="5A9147D5"/>
    <w:rsid w:val="5A9CEC31"/>
    <w:rsid w:val="5A9E84AB"/>
    <w:rsid w:val="5A9FF6A9"/>
    <w:rsid w:val="5AA3480A"/>
    <w:rsid w:val="5AAB3956"/>
    <w:rsid w:val="5AACAD89"/>
    <w:rsid w:val="5AB4C842"/>
    <w:rsid w:val="5AB57AB2"/>
    <w:rsid w:val="5ABE54A7"/>
    <w:rsid w:val="5AC05710"/>
    <w:rsid w:val="5AC77216"/>
    <w:rsid w:val="5ACACE8E"/>
    <w:rsid w:val="5ACBCA47"/>
    <w:rsid w:val="5ACC63C2"/>
    <w:rsid w:val="5AE013BE"/>
    <w:rsid w:val="5AF426DC"/>
    <w:rsid w:val="5AF6F709"/>
    <w:rsid w:val="5B07719B"/>
    <w:rsid w:val="5B0BC385"/>
    <w:rsid w:val="5B0F90D8"/>
    <w:rsid w:val="5B177086"/>
    <w:rsid w:val="5B1818F7"/>
    <w:rsid w:val="5B22864D"/>
    <w:rsid w:val="5B2EF707"/>
    <w:rsid w:val="5B36F021"/>
    <w:rsid w:val="5B3B007A"/>
    <w:rsid w:val="5B3E53C9"/>
    <w:rsid w:val="5B42087D"/>
    <w:rsid w:val="5B45F2CB"/>
    <w:rsid w:val="5B46AB39"/>
    <w:rsid w:val="5B49B976"/>
    <w:rsid w:val="5B4BA441"/>
    <w:rsid w:val="5B580345"/>
    <w:rsid w:val="5B5AF89B"/>
    <w:rsid w:val="5B61587C"/>
    <w:rsid w:val="5B68BAF7"/>
    <w:rsid w:val="5B6B9E09"/>
    <w:rsid w:val="5B766714"/>
    <w:rsid w:val="5B78035E"/>
    <w:rsid w:val="5B7AFAD0"/>
    <w:rsid w:val="5B85940C"/>
    <w:rsid w:val="5B863F90"/>
    <w:rsid w:val="5B8C8FCB"/>
    <w:rsid w:val="5B9537B1"/>
    <w:rsid w:val="5B9B59CA"/>
    <w:rsid w:val="5BA1531C"/>
    <w:rsid w:val="5BA77D0E"/>
    <w:rsid w:val="5BAA3DE9"/>
    <w:rsid w:val="5BB18A7D"/>
    <w:rsid w:val="5BB1A326"/>
    <w:rsid w:val="5BB5C228"/>
    <w:rsid w:val="5BD17AF8"/>
    <w:rsid w:val="5BE1033C"/>
    <w:rsid w:val="5BE4ECC3"/>
    <w:rsid w:val="5BE645F2"/>
    <w:rsid w:val="5BEB846B"/>
    <w:rsid w:val="5BEEA2B6"/>
    <w:rsid w:val="5BEEB125"/>
    <w:rsid w:val="5BEFAEEF"/>
    <w:rsid w:val="5BFAB7A0"/>
    <w:rsid w:val="5BFB09EA"/>
    <w:rsid w:val="5C09ACF9"/>
    <w:rsid w:val="5C1AEFDB"/>
    <w:rsid w:val="5C1C1D5F"/>
    <w:rsid w:val="5C1DE252"/>
    <w:rsid w:val="5C1EC2D1"/>
    <w:rsid w:val="5C33FEB2"/>
    <w:rsid w:val="5C3466CA"/>
    <w:rsid w:val="5C3517CE"/>
    <w:rsid w:val="5C38466C"/>
    <w:rsid w:val="5C3EDF33"/>
    <w:rsid w:val="5C44DDFB"/>
    <w:rsid w:val="5C487DEA"/>
    <w:rsid w:val="5C4B2C33"/>
    <w:rsid w:val="5C4C4549"/>
    <w:rsid w:val="5C4FF607"/>
    <w:rsid w:val="5C53C48D"/>
    <w:rsid w:val="5C58ECA0"/>
    <w:rsid w:val="5C648453"/>
    <w:rsid w:val="5C69C002"/>
    <w:rsid w:val="5C7FD511"/>
    <w:rsid w:val="5C8D238A"/>
    <w:rsid w:val="5C9A6FE1"/>
    <w:rsid w:val="5C9F583B"/>
    <w:rsid w:val="5C9FE2EE"/>
    <w:rsid w:val="5CA2D7EC"/>
    <w:rsid w:val="5CA5EC4E"/>
    <w:rsid w:val="5CA7E9C2"/>
    <w:rsid w:val="5CAAD443"/>
    <w:rsid w:val="5CABA227"/>
    <w:rsid w:val="5CC7D48A"/>
    <w:rsid w:val="5CD4B3A7"/>
    <w:rsid w:val="5CD80895"/>
    <w:rsid w:val="5CDBA0FF"/>
    <w:rsid w:val="5CE4A3B0"/>
    <w:rsid w:val="5CE5F733"/>
    <w:rsid w:val="5CF54F5A"/>
    <w:rsid w:val="5CF8897E"/>
    <w:rsid w:val="5D039DAA"/>
    <w:rsid w:val="5D0C20C1"/>
    <w:rsid w:val="5D0D70DA"/>
    <w:rsid w:val="5D15DBF6"/>
    <w:rsid w:val="5D244E15"/>
    <w:rsid w:val="5D2F5907"/>
    <w:rsid w:val="5D316917"/>
    <w:rsid w:val="5D3A8CAC"/>
    <w:rsid w:val="5D3FFE03"/>
    <w:rsid w:val="5D4A95D9"/>
    <w:rsid w:val="5D519A07"/>
    <w:rsid w:val="5D556194"/>
    <w:rsid w:val="5D64E5F8"/>
    <w:rsid w:val="5D6AE594"/>
    <w:rsid w:val="5D745F01"/>
    <w:rsid w:val="5D74B856"/>
    <w:rsid w:val="5D775A31"/>
    <w:rsid w:val="5D78289C"/>
    <w:rsid w:val="5D7ADDF9"/>
    <w:rsid w:val="5D7C6F65"/>
    <w:rsid w:val="5D7D0193"/>
    <w:rsid w:val="5D8555B6"/>
    <w:rsid w:val="5D885A97"/>
    <w:rsid w:val="5D8C4BB0"/>
    <w:rsid w:val="5D987803"/>
    <w:rsid w:val="5DA964B7"/>
    <w:rsid w:val="5DC11E49"/>
    <w:rsid w:val="5DC89F4F"/>
    <w:rsid w:val="5DCF873F"/>
    <w:rsid w:val="5DD340C4"/>
    <w:rsid w:val="5DD4315D"/>
    <w:rsid w:val="5DE436DE"/>
    <w:rsid w:val="5DE44E4B"/>
    <w:rsid w:val="5DED7AD9"/>
    <w:rsid w:val="5DF7609D"/>
    <w:rsid w:val="5E021E42"/>
    <w:rsid w:val="5E11508C"/>
    <w:rsid w:val="5E18F12F"/>
    <w:rsid w:val="5E264FA6"/>
    <w:rsid w:val="5E265A0D"/>
    <w:rsid w:val="5E2942E1"/>
    <w:rsid w:val="5E2FB281"/>
    <w:rsid w:val="5E39E12F"/>
    <w:rsid w:val="5E3ED0E1"/>
    <w:rsid w:val="5E496B32"/>
    <w:rsid w:val="5E4E42B0"/>
    <w:rsid w:val="5E57D8A8"/>
    <w:rsid w:val="5E5FB425"/>
    <w:rsid w:val="5E7186F2"/>
    <w:rsid w:val="5E7415DA"/>
    <w:rsid w:val="5E7A52FC"/>
    <w:rsid w:val="5E82D466"/>
    <w:rsid w:val="5E836B52"/>
    <w:rsid w:val="5E839863"/>
    <w:rsid w:val="5E8B4BB4"/>
    <w:rsid w:val="5E8D8D31"/>
    <w:rsid w:val="5E8E3176"/>
    <w:rsid w:val="5E9501DA"/>
    <w:rsid w:val="5E9ADDB6"/>
    <w:rsid w:val="5E9BD315"/>
    <w:rsid w:val="5EA6B47A"/>
    <w:rsid w:val="5EB08065"/>
    <w:rsid w:val="5EB3169C"/>
    <w:rsid w:val="5EB4F5B7"/>
    <w:rsid w:val="5EC224F7"/>
    <w:rsid w:val="5ECF7314"/>
    <w:rsid w:val="5ED7468B"/>
    <w:rsid w:val="5EE588EC"/>
    <w:rsid w:val="5EF757E6"/>
    <w:rsid w:val="5EFB8314"/>
    <w:rsid w:val="5EFD3C69"/>
    <w:rsid w:val="5F00BE93"/>
    <w:rsid w:val="5F0CD06F"/>
    <w:rsid w:val="5F0F9AC7"/>
    <w:rsid w:val="5F12DD58"/>
    <w:rsid w:val="5F1432DB"/>
    <w:rsid w:val="5F15FB02"/>
    <w:rsid w:val="5F1A9457"/>
    <w:rsid w:val="5F1E9C31"/>
    <w:rsid w:val="5F22004D"/>
    <w:rsid w:val="5F26F3EC"/>
    <w:rsid w:val="5F27755F"/>
    <w:rsid w:val="5F27C7FD"/>
    <w:rsid w:val="5F280578"/>
    <w:rsid w:val="5F381F6D"/>
    <w:rsid w:val="5F461F3F"/>
    <w:rsid w:val="5F4AB200"/>
    <w:rsid w:val="5F5206FF"/>
    <w:rsid w:val="5F5E8BD2"/>
    <w:rsid w:val="5F5F03E8"/>
    <w:rsid w:val="5F62EB05"/>
    <w:rsid w:val="5F73BC12"/>
    <w:rsid w:val="5F79A228"/>
    <w:rsid w:val="5F7A145E"/>
    <w:rsid w:val="5F8445D7"/>
    <w:rsid w:val="5F87F439"/>
    <w:rsid w:val="5F9A3537"/>
    <w:rsid w:val="5FAEC61A"/>
    <w:rsid w:val="5FB06099"/>
    <w:rsid w:val="5FB5B466"/>
    <w:rsid w:val="5FBD945C"/>
    <w:rsid w:val="5FCC57EC"/>
    <w:rsid w:val="5FD56C2C"/>
    <w:rsid w:val="5FD67602"/>
    <w:rsid w:val="5FDCC391"/>
    <w:rsid w:val="5FDE34A3"/>
    <w:rsid w:val="5FE03E4C"/>
    <w:rsid w:val="5FE16B90"/>
    <w:rsid w:val="5FE3B79D"/>
    <w:rsid w:val="5FE57957"/>
    <w:rsid w:val="6007CFA4"/>
    <w:rsid w:val="601118F0"/>
    <w:rsid w:val="6011AD6A"/>
    <w:rsid w:val="6016291F"/>
    <w:rsid w:val="60210047"/>
    <w:rsid w:val="6032A9A4"/>
    <w:rsid w:val="6036BE86"/>
    <w:rsid w:val="603B0E23"/>
    <w:rsid w:val="60402669"/>
    <w:rsid w:val="6043CA14"/>
    <w:rsid w:val="60459F2C"/>
    <w:rsid w:val="6053406C"/>
    <w:rsid w:val="605811A6"/>
    <w:rsid w:val="606981B9"/>
    <w:rsid w:val="606B1BE4"/>
    <w:rsid w:val="606EE2C1"/>
    <w:rsid w:val="6071A5BB"/>
    <w:rsid w:val="60756A38"/>
    <w:rsid w:val="6076BC64"/>
    <w:rsid w:val="60776D16"/>
    <w:rsid w:val="607CE719"/>
    <w:rsid w:val="608A58B2"/>
    <w:rsid w:val="608C8E59"/>
    <w:rsid w:val="609337D8"/>
    <w:rsid w:val="609858BF"/>
    <w:rsid w:val="609E1388"/>
    <w:rsid w:val="609E3A0D"/>
    <w:rsid w:val="609EF1F5"/>
    <w:rsid w:val="60A0D1CC"/>
    <w:rsid w:val="60A445AE"/>
    <w:rsid w:val="60B064D2"/>
    <w:rsid w:val="60CC656B"/>
    <w:rsid w:val="60D6E318"/>
    <w:rsid w:val="60E4F416"/>
    <w:rsid w:val="60E6D5A2"/>
    <w:rsid w:val="60E9319C"/>
    <w:rsid w:val="60EEC65A"/>
    <w:rsid w:val="60F1FF46"/>
    <w:rsid w:val="60F482D2"/>
    <w:rsid w:val="60F708AA"/>
    <w:rsid w:val="60FDE6E0"/>
    <w:rsid w:val="61044557"/>
    <w:rsid w:val="61129AE4"/>
    <w:rsid w:val="61177344"/>
    <w:rsid w:val="611D906E"/>
    <w:rsid w:val="6123A7EA"/>
    <w:rsid w:val="61251B9B"/>
    <w:rsid w:val="6125E477"/>
    <w:rsid w:val="61288937"/>
    <w:rsid w:val="612C5DC3"/>
    <w:rsid w:val="6133583D"/>
    <w:rsid w:val="613420A3"/>
    <w:rsid w:val="613B2776"/>
    <w:rsid w:val="6140319E"/>
    <w:rsid w:val="6141BA28"/>
    <w:rsid w:val="614CAF62"/>
    <w:rsid w:val="61579AD7"/>
    <w:rsid w:val="6157A8C3"/>
    <w:rsid w:val="615A9DDF"/>
    <w:rsid w:val="615ADF88"/>
    <w:rsid w:val="615B07C1"/>
    <w:rsid w:val="61609F63"/>
    <w:rsid w:val="616A0C8A"/>
    <w:rsid w:val="616FE256"/>
    <w:rsid w:val="61722E92"/>
    <w:rsid w:val="617937EF"/>
    <w:rsid w:val="617EA96A"/>
    <w:rsid w:val="6185E86D"/>
    <w:rsid w:val="618AA924"/>
    <w:rsid w:val="6195AA05"/>
    <w:rsid w:val="619821A8"/>
    <w:rsid w:val="6199F63A"/>
    <w:rsid w:val="61A38DA8"/>
    <w:rsid w:val="61A54A83"/>
    <w:rsid w:val="61AB41DB"/>
    <w:rsid w:val="61B441A2"/>
    <w:rsid w:val="61B4E971"/>
    <w:rsid w:val="61BBB7EA"/>
    <w:rsid w:val="61C4DD19"/>
    <w:rsid w:val="61C7DDB6"/>
    <w:rsid w:val="61C85E8C"/>
    <w:rsid w:val="61CA40C3"/>
    <w:rsid w:val="61D26A5D"/>
    <w:rsid w:val="61D56743"/>
    <w:rsid w:val="61DE3F31"/>
    <w:rsid w:val="61E0BC5F"/>
    <w:rsid w:val="61EF6CE1"/>
    <w:rsid w:val="61F62F1C"/>
    <w:rsid w:val="61FB4329"/>
    <w:rsid w:val="61FB8BD0"/>
    <w:rsid w:val="6205310A"/>
    <w:rsid w:val="62077862"/>
    <w:rsid w:val="620DDF4C"/>
    <w:rsid w:val="6214307E"/>
    <w:rsid w:val="62220754"/>
    <w:rsid w:val="62223BFD"/>
    <w:rsid w:val="6228498A"/>
    <w:rsid w:val="6230E1C7"/>
    <w:rsid w:val="62352FBB"/>
    <w:rsid w:val="62493826"/>
    <w:rsid w:val="624B6531"/>
    <w:rsid w:val="624B9182"/>
    <w:rsid w:val="624BAA84"/>
    <w:rsid w:val="6250F436"/>
    <w:rsid w:val="62512E57"/>
    <w:rsid w:val="62596D46"/>
    <w:rsid w:val="625B9427"/>
    <w:rsid w:val="62613E5E"/>
    <w:rsid w:val="62656260"/>
    <w:rsid w:val="627000E4"/>
    <w:rsid w:val="62704A1F"/>
    <w:rsid w:val="62724732"/>
    <w:rsid w:val="627E8D00"/>
    <w:rsid w:val="628C919A"/>
    <w:rsid w:val="62928AFA"/>
    <w:rsid w:val="62997EA3"/>
    <w:rsid w:val="62A4167D"/>
    <w:rsid w:val="62A9FBF0"/>
    <w:rsid w:val="62B44BE6"/>
    <w:rsid w:val="62B53A17"/>
    <w:rsid w:val="62B797CE"/>
    <w:rsid w:val="62BC6A75"/>
    <w:rsid w:val="62C428C4"/>
    <w:rsid w:val="62C6627F"/>
    <w:rsid w:val="62CA8222"/>
    <w:rsid w:val="62D4048F"/>
    <w:rsid w:val="62D5BE25"/>
    <w:rsid w:val="62D81E0D"/>
    <w:rsid w:val="62D90A5C"/>
    <w:rsid w:val="62DF46D0"/>
    <w:rsid w:val="62E261A1"/>
    <w:rsid w:val="62E5FF8C"/>
    <w:rsid w:val="62E646F4"/>
    <w:rsid w:val="62E886B9"/>
    <w:rsid w:val="62E93510"/>
    <w:rsid w:val="62E9A02A"/>
    <w:rsid w:val="62EB68F3"/>
    <w:rsid w:val="62EB75A4"/>
    <w:rsid w:val="62FA16E3"/>
    <w:rsid w:val="62FCCCB2"/>
    <w:rsid w:val="62FE5465"/>
    <w:rsid w:val="62FEDDED"/>
    <w:rsid w:val="630485C2"/>
    <w:rsid w:val="630B9AF4"/>
    <w:rsid w:val="630C6CC2"/>
    <w:rsid w:val="63156D50"/>
    <w:rsid w:val="6344160D"/>
    <w:rsid w:val="6347B95B"/>
    <w:rsid w:val="63488CE9"/>
    <w:rsid w:val="634F8777"/>
    <w:rsid w:val="63501183"/>
    <w:rsid w:val="63572B36"/>
    <w:rsid w:val="635BE538"/>
    <w:rsid w:val="6374B153"/>
    <w:rsid w:val="6375D7F3"/>
    <w:rsid w:val="6398712B"/>
    <w:rsid w:val="639F1F1F"/>
    <w:rsid w:val="63A37310"/>
    <w:rsid w:val="63AEB727"/>
    <w:rsid w:val="63AF7641"/>
    <w:rsid w:val="63B29FDF"/>
    <w:rsid w:val="63B2B931"/>
    <w:rsid w:val="63B67257"/>
    <w:rsid w:val="63B770AB"/>
    <w:rsid w:val="63B8385C"/>
    <w:rsid w:val="63BA40B4"/>
    <w:rsid w:val="63C605F3"/>
    <w:rsid w:val="63CB66FD"/>
    <w:rsid w:val="63CEB688"/>
    <w:rsid w:val="63D096BF"/>
    <w:rsid w:val="63D0F696"/>
    <w:rsid w:val="64099D9B"/>
    <w:rsid w:val="640A01CD"/>
    <w:rsid w:val="64174142"/>
    <w:rsid w:val="6422C644"/>
    <w:rsid w:val="6422C7D1"/>
    <w:rsid w:val="6426F915"/>
    <w:rsid w:val="642AB557"/>
    <w:rsid w:val="64322CD3"/>
    <w:rsid w:val="64366883"/>
    <w:rsid w:val="643693B4"/>
    <w:rsid w:val="64380505"/>
    <w:rsid w:val="6438FC14"/>
    <w:rsid w:val="643A6772"/>
    <w:rsid w:val="643CAF51"/>
    <w:rsid w:val="643D55C5"/>
    <w:rsid w:val="64489228"/>
    <w:rsid w:val="644D9BA6"/>
    <w:rsid w:val="645B496A"/>
    <w:rsid w:val="64639799"/>
    <w:rsid w:val="6467427B"/>
    <w:rsid w:val="6477D260"/>
    <w:rsid w:val="647D28E4"/>
    <w:rsid w:val="64826F21"/>
    <w:rsid w:val="6482BDF9"/>
    <w:rsid w:val="6496085E"/>
    <w:rsid w:val="649A8232"/>
    <w:rsid w:val="649F18E9"/>
    <w:rsid w:val="64A4C836"/>
    <w:rsid w:val="64A841C4"/>
    <w:rsid w:val="64AB839D"/>
    <w:rsid w:val="64C49A01"/>
    <w:rsid w:val="64C6A5BC"/>
    <w:rsid w:val="64C8309F"/>
    <w:rsid w:val="64CC0E2A"/>
    <w:rsid w:val="64CC5FA6"/>
    <w:rsid w:val="64CC8B01"/>
    <w:rsid w:val="64D1FA27"/>
    <w:rsid w:val="64D44500"/>
    <w:rsid w:val="64D6D858"/>
    <w:rsid w:val="64DF5866"/>
    <w:rsid w:val="64E8EE2E"/>
    <w:rsid w:val="64ED029C"/>
    <w:rsid w:val="64ED9B16"/>
    <w:rsid w:val="64F198F5"/>
    <w:rsid w:val="64FD74B8"/>
    <w:rsid w:val="64FE5FEE"/>
    <w:rsid w:val="6508113C"/>
    <w:rsid w:val="6512A80E"/>
    <w:rsid w:val="651721DB"/>
    <w:rsid w:val="65198B64"/>
    <w:rsid w:val="651B241E"/>
    <w:rsid w:val="651D2BD6"/>
    <w:rsid w:val="6529AEF1"/>
    <w:rsid w:val="652DC09F"/>
    <w:rsid w:val="653334CB"/>
    <w:rsid w:val="65382381"/>
    <w:rsid w:val="653F28F8"/>
    <w:rsid w:val="65449C9B"/>
    <w:rsid w:val="654BE0D1"/>
    <w:rsid w:val="6550B24B"/>
    <w:rsid w:val="65564E34"/>
    <w:rsid w:val="655C0C4C"/>
    <w:rsid w:val="656FFE2E"/>
    <w:rsid w:val="6575182E"/>
    <w:rsid w:val="658584A0"/>
    <w:rsid w:val="658CA9A1"/>
    <w:rsid w:val="659CBFA0"/>
    <w:rsid w:val="65A2613E"/>
    <w:rsid w:val="65B3F31F"/>
    <w:rsid w:val="65B57339"/>
    <w:rsid w:val="65B8B4EE"/>
    <w:rsid w:val="65BB458A"/>
    <w:rsid w:val="65C1EACD"/>
    <w:rsid w:val="65C3F301"/>
    <w:rsid w:val="65C73E5D"/>
    <w:rsid w:val="65D2EE99"/>
    <w:rsid w:val="65D375BF"/>
    <w:rsid w:val="65D9B71D"/>
    <w:rsid w:val="65E13AB4"/>
    <w:rsid w:val="65E41CF7"/>
    <w:rsid w:val="65E5D696"/>
    <w:rsid w:val="65FC2791"/>
    <w:rsid w:val="6602263E"/>
    <w:rsid w:val="6605BC82"/>
    <w:rsid w:val="6605F33A"/>
    <w:rsid w:val="660BF4C9"/>
    <w:rsid w:val="661A44DB"/>
    <w:rsid w:val="6620A99A"/>
    <w:rsid w:val="663129E4"/>
    <w:rsid w:val="663E8E6B"/>
    <w:rsid w:val="664A8CAC"/>
    <w:rsid w:val="664FCE16"/>
    <w:rsid w:val="6651809A"/>
    <w:rsid w:val="66545B3C"/>
    <w:rsid w:val="6654ECE6"/>
    <w:rsid w:val="665ADEEE"/>
    <w:rsid w:val="66608D21"/>
    <w:rsid w:val="666F4F27"/>
    <w:rsid w:val="66798635"/>
    <w:rsid w:val="667B3678"/>
    <w:rsid w:val="667FC5A1"/>
    <w:rsid w:val="66817C47"/>
    <w:rsid w:val="668B5361"/>
    <w:rsid w:val="669240B9"/>
    <w:rsid w:val="6692F000"/>
    <w:rsid w:val="66997DB7"/>
    <w:rsid w:val="669D743C"/>
    <w:rsid w:val="66A6409E"/>
    <w:rsid w:val="66A8A0FF"/>
    <w:rsid w:val="66C104DE"/>
    <w:rsid w:val="66E4FB2D"/>
    <w:rsid w:val="66EB2744"/>
    <w:rsid w:val="66EE45BE"/>
    <w:rsid w:val="66F9AB6A"/>
    <w:rsid w:val="6701453A"/>
    <w:rsid w:val="6704F5A3"/>
    <w:rsid w:val="670DB25B"/>
    <w:rsid w:val="67228894"/>
    <w:rsid w:val="6725D5A3"/>
    <w:rsid w:val="6735412B"/>
    <w:rsid w:val="674FB162"/>
    <w:rsid w:val="674FEC52"/>
    <w:rsid w:val="6751ACA8"/>
    <w:rsid w:val="6757BF61"/>
    <w:rsid w:val="675D7ED8"/>
    <w:rsid w:val="675F8967"/>
    <w:rsid w:val="6769D952"/>
    <w:rsid w:val="676C4829"/>
    <w:rsid w:val="6781E4C5"/>
    <w:rsid w:val="679417A2"/>
    <w:rsid w:val="6796145F"/>
    <w:rsid w:val="67A8A4C9"/>
    <w:rsid w:val="67AA8DB2"/>
    <w:rsid w:val="67AC7B17"/>
    <w:rsid w:val="67ADE755"/>
    <w:rsid w:val="67C0430D"/>
    <w:rsid w:val="67C6DC5B"/>
    <w:rsid w:val="67DADA53"/>
    <w:rsid w:val="67DD59BF"/>
    <w:rsid w:val="67DDDD27"/>
    <w:rsid w:val="67E09499"/>
    <w:rsid w:val="67E58561"/>
    <w:rsid w:val="67E9E617"/>
    <w:rsid w:val="67ECCDCA"/>
    <w:rsid w:val="67F9F1CF"/>
    <w:rsid w:val="67FEEC3F"/>
    <w:rsid w:val="67FF24E0"/>
    <w:rsid w:val="680E65F2"/>
    <w:rsid w:val="6817A3B7"/>
    <w:rsid w:val="681ED452"/>
    <w:rsid w:val="682557E7"/>
    <w:rsid w:val="6834E989"/>
    <w:rsid w:val="6834F413"/>
    <w:rsid w:val="684E3DD7"/>
    <w:rsid w:val="68510F3D"/>
    <w:rsid w:val="6855CE9F"/>
    <w:rsid w:val="68584655"/>
    <w:rsid w:val="685BC7E0"/>
    <w:rsid w:val="685D63CA"/>
    <w:rsid w:val="685F4C8B"/>
    <w:rsid w:val="6862F39A"/>
    <w:rsid w:val="6869526F"/>
    <w:rsid w:val="686BDC81"/>
    <w:rsid w:val="6870A5D6"/>
    <w:rsid w:val="688AF071"/>
    <w:rsid w:val="688C3683"/>
    <w:rsid w:val="68957C06"/>
    <w:rsid w:val="68978B0E"/>
    <w:rsid w:val="689C2167"/>
    <w:rsid w:val="68A00A43"/>
    <w:rsid w:val="68A0B486"/>
    <w:rsid w:val="68AE7B5A"/>
    <w:rsid w:val="68C01616"/>
    <w:rsid w:val="68C53010"/>
    <w:rsid w:val="68C9F42B"/>
    <w:rsid w:val="68D5BEB4"/>
    <w:rsid w:val="68D6710A"/>
    <w:rsid w:val="68DC4111"/>
    <w:rsid w:val="68E6BE02"/>
    <w:rsid w:val="68EA557D"/>
    <w:rsid w:val="68EBBCB3"/>
    <w:rsid w:val="68F0FED9"/>
    <w:rsid w:val="68F39F5E"/>
    <w:rsid w:val="68F4B067"/>
    <w:rsid w:val="68FB8DDA"/>
    <w:rsid w:val="690A864C"/>
    <w:rsid w:val="690E3959"/>
    <w:rsid w:val="6913DF1A"/>
    <w:rsid w:val="69159172"/>
    <w:rsid w:val="691AF52F"/>
    <w:rsid w:val="691E3A2F"/>
    <w:rsid w:val="6921E08B"/>
    <w:rsid w:val="6928326A"/>
    <w:rsid w:val="692AB36D"/>
    <w:rsid w:val="69409F33"/>
    <w:rsid w:val="69436BE5"/>
    <w:rsid w:val="6948765B"/>
    <w:rsid w:val="694F9A59"/>
    <w:rsid w:val="6950F72A"/>
    <w:rsid w:val="69551CD2"/>
    <w:rsid w:val="696097DA"/>
    <w:rsid w:val="6968E566"/>
    <w:rsid w:val="696E3E99"/>
    <w:rsid w:val="6970D148"/>
    <w:rsid w:val="6975E325"/>
    <w:rsid w:val="6979AB3D"/>
    <w:rsid w:val="6980DD1D"/>
    <w:rsid w:val="698E04A9"/>
    <w:rsid w:val="698F2127"/>
    <w:rsid w:val="698FAEEE"/>
    <w:rsid w:val="69922E31"/>
    <w:rsid w:val="699A1587"/>
    <w:rsid w:val="699A9438"/>
    <w:rsid w:val="699B411C"/>
    <w:rsid w:val="699B4BAE"/>
    <w:rsid w:val="69B71526"/>
    <w:rsid w:val="69B85A4F"/>
    <w:rsid w:val="69B95A4A"/>
    <w:rsid w:val="69BC7E39"/>
    <w:rsid w:val="69C184DD"/>
    <w:rsid w:val="69C9326A"/>
    <w:rsid w:val="69D3FC20"/>
    <w:rsid w:val="69DE6FE4"/>
    <w:rsid w:val="69EC37F5"/>
    <w:rsid w:val="69ED879B"/>
    <w:rsid w:val="69F127DB"/>
    <w:rsid w:val="6A067CB7"/>
    <w:rsid w:val="6A085ECA"/>
    <w:rsid w:val="6A2BFE79"/>
    <w:rsid w:val="6A2D4FAC"/>
    <w:rsid w:val="6A44F236"/>
    <w:rsid w:val="6A48CA82"/>
    <w:rsid w:val="6A5875D9"/>
    <w:rsid w:val="6A5B24EA"/>
    <w:rsid w:val="6A63D58D"/>
    <w:rsid w:val="6A6AA864"/>
    <w:rsid w:val="6A6E2043"/>
    <w:rsid w:val="6A702087"/>
    <w:rsid w:val="6A70A5C4"/>
    <w:rsid w:val="6A73F89B"/>
    <w:rsid w:val="6A791FFB"/>
    <w:rsid w:val="6A7F9104"/>
    <w:rsid w:val="6A84F4BF"/>
    <w:rsid w:val="6A878D14"/>
    <w:rsid w:val="6A8D1E8D"/>
    <w:rsid w:val="6AA0EF67"/>
    <w:rsid w:val="6AA4E807"/>
    <w:rsid w:val="6AA50775"/>
    <w:rsid w:val="6AA6D750"/>
    <w:rsid w:val="6AA8C970"/>
    <w:rsid w:val="6AA93EB5"/>
    <w:rsid w:val="6AAFE16C"/>
    <w:rsid w:val="6AB0335B"/>
    <w:rsid w:val="6AC31A79"/>
    <w:rsid w:val="6ACDEB87"/>
    <w:rsid w:val="6ACFE355"/>
    <w:rsid w:val="6AD79967"/>
    <w:rsid w:val="6AD7AA37"/>
    <w:rsid w:val="6AE2A9A4"/>
    <w:rsid w:val="6AEBF543"/>
    <w:rsid w:val="6AED5032"/>
    <w:rsid w:val="6AF38DA5"/>
    <w:rsid w:val="6AFB4331"/>
    <w:rsid w:val="6B009D47"/>
    <w:rsid w:val="6B02F73A"/>
    <w:rsid w:val="6B05D8AA"/>
    <w:rsid w:val="6B1222F5"/>
    <w:rsid w:val="6B135D8B"/>
    <w:rsid w:val="6B212AFA"/>
    <w:rsid w:val="6B2C7F84"/>
    <w:rsid w:val="6B33E675"/>
    <w:rsid w:val="6B449704"/>
    <w:rsid w:val="6B44B3E7"/>
    <w:rsid w:val="6B4E917E"/>
    <w:rsid w:val="6B53CDF5"/>
    <w:rsid w:val="6B53FC27"/>
    <w:rsid w:val="6B605955"/>
    <w:rsid w:val="6B6404AA"/>
    <w:rsid w:val="6B66E463"/>
    <w:rsid w:val="6B6BC7F5"/>
    <w:rsid w:val="6B70E39E"/>
    <w:rsid w:val="6B715212"/>
    <w:rsid w:val="6B7193AA"/>
    <w:rsid w:val="6B745EA5"/>
    <w:rsid w:val="6B86A75B"/>
    <w:rsid w:val="6B8F2152"/>
    <w:rsid w:val="6BBA30AA"/>
    <w:rsid w:val="6BC29701"/>
    <w:rsid w:val="6BC7CEDA"/>
    <w:rsid w:val="6BCA4835"/>
    <w:rsid w:val="6BCAB5E0"/>
    <w:rsid w:val="6BCB770A"/>
    <w:rsid w:val="6BCF91FD"/>
    <w:rsid w:val="6BD244F6"/>
    <w:rsid w:val="6BD53AD3"/>
    <w:rsid w:val="6BDBC3C2"/>
    <w:rsid w:val="6BE6CE7F"/>
    <w:rsid w:val="6BE9BEBA"/>
    <w:rsid w:val="6BEE348E"/>
    <w:rsid w:val="6BF510AD"/>
    <w:rsid w:val="6C02E7F9"/>
    <w:rsid w:val="6C07AD45"/>
    <w:rsid w:val="6C10E36A"/>
    <w:rsid w:val="6C13D58B"/>
    <w:rsid w:val="6C188615"/>
    <w:rsid w:val="6C18F2B4"/>
    <w:rsid w:val="6C213F61"/>
    <w:rsid w:val="6C26C7C2"/>
    <w:rsid w:val="6C2E99D4"/>
    <w:rsid w:val="6C38B824"/>
    <w:rsid w:val="6C4218C7"/>
    <w:rsid w:val="6C4FA7FE"/>
    <w:rsid w:val="6C50F2BF"/>
    <w:rsid w:val="6C510F82"/>
    <w:rsid w:val="6C59F678"/>
    <w:rsid w:val="6C5EAA27"/>
    <w:rsid w:val="6C63353B"/>
    <w:rsid w:val="6C638FB7"/>
    <w:rsid w:val="6C7D17BC"/>
    <w:rsid w:val="6C80F69F"/>
    <w:rsid w:val="6C8B7F32"/>
    <w:rsid w:val="6C8EC5AA"/>
    <w:rsid w:val="6C937810"/>
    <w:rsid w:val="6C9EBC63"/>
    <w:rsid w:val="6CA4C15B"/>
    <w:rsid w:val="6CA95847"/>
    <w:rsid w:val="6CB35724"/>
    <w:rsid w:val="6CB8E7E0"/>
    <w:rsid w:val="6CB8F258"/>
    <w:rsid w:val="6CBBADBB"/>
    <w:rsid w:val="6CDAB14D"/>
    <w:rsid w:val="6CE46A92"/>
    <w:rsid w:val="6CEAB84B"/>
    <w:rsid w:val="6CEC3448"/>
    <w:rsid w:val="6CEF5365"/>
    <w:rsid w:val="6CF0922F"/>
    <w:rsid w:val="6CF1CEF7"/>
    <w:rsid w:val="6CFCC499"/>
    <w:rsid w:val="6D0B132A"/>
    <w:rsid w:val="6D2C3D31"/>
    <w:rsid w:val="6D4A6E16"/>
    <w:rsid w:val="6D4AC0DB"/>
    <w:rsid w:val="6D57DA5E"/>
    <w:rsid w:val="6D5B2A5E"/>
    <w:rsid w:val="6D745B4E"/>
    <w:rsid w:val="6D7901D6"/>
    <w:rsid w:val="6D855429"/>
    <w:rsid w:val="6D8733C1"/>
    <w:rsid w:val="6D8DE9BF"/>
    <w:rsid w:val="6D921011"/>
    <w:rsid w:val="6D975CD1"/>
    <w:rsid w:val="6D97624E"/>
    <w:rsid w:val="6D9C9447"/>
    <w:rsid w:val="6DA4B002"/>
    <w:rsid w:val="6DA56F02"/>
    <w:rsid w:val="6DA77E7A"/>
    <w:rsid w:val="6DAAD84B"/>
    <w:rsid w:val="6DAD68D1"/>
    <w:rsid w:val="6DB35F3B"/>
    <w:rsid w:val="6DB59382"/>
    <w:rsid w:val="6DB689FA"/>
    <w:rsid w:val="6DB7F5D6"/>
    <w:rsid w:val="6DB93351"/>
    <w:rsid w:val="6DC1BB01"/>
    <w:rsid w:val="6DC3E937"/>
    <w:rsid w:val="6DC3FB16"/>
    <w:rsid w:val="6DCCFF27"/>
    <w:rsid w:val="6DCD57D4"/>
    <w:rsid w:val="6DCF8C3E"/>
    <w:rsid w:val="6DD9B5FD"/>
    <w:rsid w:val="6DDC168A"/>
    <w:rsid w:val="6DE0FD0A"/>
    <w:rsid w:val="6DE4769F"/>
    <w:rsid w:val="6DE9E998"/>
    <w:rsid w:val="6DF15896"/>
    <w:rsid w:val="6DF6B2DA"/>
    <w:rsid w:val="6DFCE421"/>
    <w:rsid w:val="6DFD5C85"/>
    <w:rsid w:val="6DFE7DAF"/>
    <w:rsid w:val="6E07BB0F"/>
    <w:rsid w:val="6E0878A8"/>
    <w:rsid w:val="6E121B85"/>
    <w:rsid w:val="6E1C69C6"/>
    <w:rsid w:val="6E1F437D"/>
    <w:rsid w:val="6E2558CD"/>
    <w:rsid w:val="6E2B0E65"/>
    <w:rsid w:val="6E306B53"/>
    <w:rsid w:val="6E344ACE"/>
    <w:rsid w:val="6E38DEAA"/>
    <w:rsid w:val="6E38E8FB"/>
    <w:rsid w:val="6E3A2329"/>
    <w:rsid w:val="6E3C5CC6"/>
    <w:rsid w:val="6E3CCF23"/>
    <w:rsid w:val="6E3CDABC"/>
    <w:rsid w:val="6E4F8505"/>
    <w:rsid w:val="6E4FB9BD"/>
    <w:rsid w:val="6E5CD068"/>
    <w:rsid w:val="6E6DC945"/>
    <w:rsid w:val="6E6E30BB"/>
    <w:rsid w:val="6E74D204"/>
    <w:rsid w:val="6E80A720"/>
    <w:rsid w:val="6E81EF28"/>
    <w:rsid w:val="6E8C9A2E"/>
    <w:rsid w:val="6E8D9F58"/>
    <w:rsid w:val="6E8F5051"/>
    <w:rsid w:val="6E9073C2"/>
    <w:rsid w:val="6E97D7DE"/>
    <w:rsid w:val="6E9BA181"/>
    <w:rsid w:val="6EA9BF90"/>
    <w:rsid w:val="6EAE3707"/>
    <w:rsid w:val="6EAE8262"/>
    <w:rsid w:val="6EAEFF4C"/>
    <w:rsid w:val="6EB72AD0"/>
    <w:rsid w:val="6EB7D300"/>
    <w:rsid w:val="6EB9E74F"/>
    <w:rsid w:val="6EBC4ABC"/>
    <w:rsid w:val="6EBC9F71"/>
    <w:rsid w:val="6EBE8A76"/>
    <w:rsid w:val="6EC957F2"/>
    <w:rsid w:val="6ED0CC7A"/>
    <w:rsid w:val="6ED36EA6"/>
    <w:rsid w:val="6EDD205D"/>
    <w:rsid w:val="6EDDE6CE"/>
    <w:rsid w:val="6EE4E31C"/>
    <w:rsid w:val="6EE56528"/>
    <w:rsid w:val="6EEE1849"/>
    <w:rsid w:val="6F014D5C"/>
    <w:rsid w:val="6F03E2D1"/>
    <w:rsid w:val="6F04160F"/>
    <w:rsid w:val="6F20C7BA"/>
    <w:rsid w:val="6F2FCFD8"/>
    <w:rsid w:val="6F3003AD"/>
    <w:rsid w:val="6F3427FC"/>
    <w:rsid w:val="6F35C228"/>
    <w:rsid w:val="6F3BC38C"/>
    <w:rsid w:val="6F3D3923"/>
    <w:rsid w:val="6F3D6689"/>
    <w:rsid w:val="6F4884C8"/>
    <w:rsid w:val="6F4D7F78"/>
    <w:rsid w:val="6F613962"/>
    <w:rsid w:val="6F65EE45"/>
    <w:rsid w:val="6F69BDA2"/>
    <w:rsid w:val="6F6CB59C"/>
    <w:rsid w:val="6F726E0E"/>
    <w:rsid w:val="6F754EFF"/>
    <w:rsid w:val="6F7D7AB9"/>
    <w:rsid w:val="6F7EB4D9"/>
    <w:rsid w:val="6F89973D"/>
    <w:rsid w:val="6F8B0984"/>
    <w:rsid w:val="6F8D69FD"/>
    <w:rsid w:val="6F9187B1"/>
    <w:rsid w:val="6F9E203F"/>
    <w:rsid w:val="6F9E80D2"/>
    <w:rsid w:val="6FAB3060"/>
    <w:rsid w:val="6FB22507"/>
    <w:rsid w:val="6FB3CD16"/>
    <w:rsid w:val="6FB77476"/>
    <w:rsid w:val="6FB7D42F"/>
    <w:rsid w:val="6FC028CF"/>
    <w:rsid w:val="6FC23CE9"/>
    <w:rsid w:val="6FC50EBD"/>
    <w:rsid w:val="6FC82B36"/>
    <w:rsid w:val="6FD3285F"/>
    <w:rsid w:val="6FD64912"/>
    <w:rsid w:val="6FDB4244"/>
    <w:rsid w:val="6FDCAC63"/>
    <w:rsid w:val="6FDF6FFC"/>
    <w:rsid w:val="6FECECA5"/>
    <w:rsid w:val="6FEE6C1F"/>
    <w:rsid w:val="6FFEA7B6"/>
    <w:rsid w:val="700631E0"/>
    <w:rsid w:val="701CF44A"/>
    <w:rsid w:val="701DD37A"/>
    <w:rsid w:val="7027C8B0"/>
    <w:rsid w:val="702907D2"/>
    <w:rsid w:val="702AB581"/>
    <w:rsid w:val="702B1463"/>
    <w:rsid w:val="702B4AB1"/>
    <w:rsid w:val="702E593B"/>
    <w:rsid w:val="703F3918"/>
    <w:rsid w:val="704120A8"/>
    <w:rsid w:val="7041464E"/>
    <w:rsid w:val="704426C0"/>
    <w:rsid w:val="704D4940"/>
    <w:rsid w:val="70536CFD"/>
    <w:rsid w:val="705D0B3F"/>
    <w:rsid w:val="70651538"/>
    <w:rsid w:val="7065315A"/>
    <w:rsid w:val="706A2B83"/>
    <w:rsid w:val="70733AF9"/>
    <w:rsid w:val="7078BAA9"/>
    <w:rsid w:val="70984C0E"/>
    <w:rsid w:val="7099E16B"/>
    <w:rsid w:val="709AAD81"/>
    <w:rsid w:val="709D6CB5"/>
    <w:rsid w:val="70A510CC"/>
    <w:rsid w:val="70ABEF49"/>
    <w:rsid w:val="70AD603F"/>
    <w:rsid w:val="70AEECD0"/>
    <w:rsid w:val="70B05E56"/>
    <w:rsid w:val="70B38AF8"/>
    <w:rsid w:val="70CDA437"/>
    <w:rsid w:val="70D8B0C7"/>
    <w:rsid w:val="70D8D3EB"/>
    <w:rsid w:val="70DA82EB"/>
    <w:rsid w:val="70DD3769"/>
    <w:rsid w:val="70F73746"/>
    <w:rsid w:val="70F92902"/>
    <w:rsid w:val="70FF0B03"/>
    <w:rsid w:val="71166066"/>
    <w:rsid w:val="7118EA7A"/>
    <w:rsid w:val="711E0BF3"/>
    <w:rsid w:val="7128E832"/>
    <w:rsid w:val="713316F1"/>
    <w:rsid w:val="7133F570"/>
    <w:rsid w:val="713D2D0B"/>
    <w:rsid w:val="71480E37"/>
    <w:rsid w:val="71486785"/>
    <w:rsid w:val="714CF9B0"/>
    <w:rsid w:val="71565368"/>
    <w:rsid w:val="715BFCA0"/>
    <w:rsid w:val="71637D15"/>
    <w:rsid w:val="71645320"/>
    <w:rsid w:val="717FD3F2"/>
    <w:rsid w:val="7183F594"/>
    <w:rsid w:val="7188B340"/>
    <w:rsid w:val="718A6CE6"/>
    <w:rsid w:val="718EEC80"/>
    <w:rsid w:val="719234C9"/>
    <w:rsid w:val="71A4E2CE"/>
    <w:rsid w:val="71A73D24"/>
    <w:rsid w:val="71ACB4FE"/>
    <w:rsid w:val="71B58291"/>
    <w:rsid w:val="71BB7F4F"/>
    <w:rsid w:val="71BDAB21"/>
    <w:rsid w:val="71C65E17"/>
    <w:rsid w:val="71C922C7"/>
    <w:rsid w:val="71DD59AB"/>
    <w:rsid w:val="71E3D2F5"/>
    <w:rsid w:val="71E455AA"/>
    <w:rsid w:val="71E6BDD7"/>
    <w:rsid w:val="71F6B30B"/>
    <w:rsid w:val="71FA7C33"/>
    <w:rsid w:val="7200144F"/>
    <w:rsid w:val="72004A9E"/>
    <w:rsid w:val="72035E77"/>
    <w:rsid w:val="720BB5D3"/>
    <w:rsid w:val="721BCBB6"/>
    <w:rsid w:val="72216D9E"/>
    <w:rsid w:val="72226B70"/>
    <w:rsid w:val="72248E07"/>
    <w:rsid w:val="7224B679"/>
    <w:rsid w:val="722EF43D"/>
    <w:rsid w:val="723285C8"/>
    <w:rsid w:val="72332E8C"/>
    <w:rsid w:val="72375322"/>
    <w:rsid w:val="723B7F1A"/>
    <w:rsid w:val="723C50B7"/>
    <w:rsid w:val="723F1F31"/>
    <w:rsid w:val="723F4D62"/>
    <w:rsid w:val="72457F17"/>
    <w:rsid w:val="72466D9A"/>
    <w:rsid w:val="7246B77B"/>
    <w:rsid w:val="724B3CC8"/>
    <w:rsid w:val="72518554"/>
    <w:rsid w:val="725483B3"/>
    <w:rsid w:val="725CCE6A"/>
    <w:rsid w:val="7264CFDD"/>
    <w:rsid w:val="72675374"/>
    <w:rsid w:val="7272BF7C"/>
    <w:rsid w:val="728670E6"/>
    <w:rsid w:val="728B13B0"/>
    <w:rsid w:val="728DEEE3"/>
    <w:rsid w:val="72929EF9"/>
    <w:rsid w:val="729766EF"/>
    <w:rsid w:val="729C0DBC"/>
    <w:rsid w:val="729E9A0E"/>
    <w:rsid w:val="72A5B1D1"/>
    <w:rsid w:val="72A65E07"/>
    <w:rsid w:val="72B1947B"/>
    <w:rsid w:val="72B220FA"/>
    <w:rsid w:val="72B4BADB"/>
    <w:rsid w:val="72BBA4A6"/>
    <w:rsid w:val="72C2AD8C"/>
    <w:rsid w:val="72C4B893"/>
    <w:rsid w:val="72CE3D04"/>
    <w:rsid w:val="72D7442B"/>
    <w:rsid w:val="72D8FD6C"/>
    <w:rsid w:val="72D98660"/>
    <w:rsid w:val="72D98A71"/>
    <w:rsid w:val="72D99B88"/>
    <w:rsid w:val="72E63F74"/>
    <w:rsid w:val="72EA92E9"/>
    <w:rsid w:val="72EC9908"/>
    <w:rsid w:val="72F592FB"/>
    <w:rsid w:val="72FCB946"/>
    <w:rsid w:val="730165F5"/>
    <w:rsid w:val="73027DBC"/>
    <w:rsid w:val="7307A2B0"/>
    <w:rsid w:val="7309B144"/>
    <w:rsid w:val="730E8366"/>
    <w:rsid w:val="7310D302"/>
    <w:rsid w:val="7314BB26"/>
    <w:rsid w:val="731926EF"/>
    <w:rsid w:val="731E5E4E"/>
    <w:rsid w:val="7324470E"/>
    <w:rsid w:val="73282185"/>
    <w:rsid w:val="73295479"/>
    <w:rsid w:val="732A7A7D"/>
    <w:rsid w:val="732C8E74"/>
    <w:rsid w:val="733D8EA0"/>
    <w:rsid w:val="733E2360"/>
    <w:rsid w:val="7343B7C7"/>
    <w:rsid w:val="7348F032"/>
    <w:rsid w:val="734AE898"/>
    <w:rsid w:val="73507CD2"/>
    <w:rsid w:val="7358F76F"/>
    <w:rsid w:val="735EEA0F"/>
    <w:rsid w:val="735F16E4"/>
    <w:rsid w:val="7362802F"/>
    <w:rsid w:val="736553EC"/>
    <w:rsid w:val="7368D5C8"/>
    <w:rsid w:val="736B6A63"/>
    <w:rsid w:val="7376F465"/>
    <w:rsid w:val="738598E8"/>
    <w:rsid w:val="738B49FA"/>
    <w:rsid w:val="73909885"/>
    <w:rsid w:val="7396FC40"/>
    <w:rsid w:val="73AE271B"/>
    <w:rsid w:val="73B6B236"/>
    <w:rsid w:val="73B81B9F"/>
    <w:rsid w:val="73C37920"/>
    <w:rsid w:val="73C3E7F9"/>
    <w:rsid w:val="73C86146"/>
    <w:rsid w:val="73D4B87D"/>
    <w:rsid w:val="73DAEA5D"/>
    <w:rsid w:val="73F277A8"/>
    <w:rsid w:val="73FE18E2"/>
    <w:rsid w:val="73FF30A6"/>
    <w:rsid w:val="7402C1B5"/>
    <w:rsid w:val="74036A92"/>
    <w:rsid w:val="740AC54C"/>
    <w:rsid w:val="740C1C55"/>
    <w:rsid w:val="7413653B"/>
    <w:rsid w:val="7414B52C"/>
    <w:rsid w:val="7415AD30"/>
    <w:rsid w:val="7415EE98"/>
    <w:rsid w:val="74168091"/>
    <w:rsid w:val="7418770A"/>
    <w:rsid w:val="741D6D3E"/>
    <w:rsid w:val="74274A88"/>
    <w:rsid w:val="742BECB9"/>
    <w:rsid w:val="743284A7"/>
    <w:rsid w:val="743B571A"/>
    <w:rsid w:val="744760B6"/>
    <w:rsid w:val="744A3E96"/>
    <w:rsid w:val="744D061E"/>
    <w:rsid w:val="744D20A5"/>
    <w:rsid w:val="744D6F3F"/>
    <w:rsid w:val="744E3C0C"/>
    <w:rsid w:val="74508B3C"/>
    <w:rsid w:val="74565F09"/>
    <w:rsid w:val="74591D16"/>
    <w:rsid w:val="745C662E"/>
    <w:rsid w:val="745E8321"/>
    <w:rsid w:val="74604989"/>
    <w:rsid w:val="7461A77A"/>
    <w:rsid w:val="7464A5BD"/>
    <w:rsid w:val="746604FA"/>
    <w:rsid w:val="7467CBA2"/>
    <w:rsid w:val="7481F876"/>
    <w:rsid w:val="74829213"/>
    <w:rsid w:val="7484EECB"/>
    <w:rsid w:val="7486A1B3"/>
    <w:rsid w:val="748976C4"/>
    <w:rsid w:val="748A9C0D"/>
    <w:rsid w:val="74961FE9"/>
    <w:rsid w:val="749CEA71"/>
    <w:rsid w:val="749D8CD8"/>
    <w:rsid w:val="749E44BB"/>
    <w:rsid w:val="74A3C5EC"/>
    <w:rsid w:val="74A57291"/>
    <w:rsid w:val="74A639DD"/>
    <w:rsid w:val="74AAB508"/>
    <w:rsid w:val="74B1AAE8"/>
    <w:rsid w:val="74BEF4E5"/>
    <w:rsid w:val="74C4F965"/>
    <w:rsid w:val="74C6E30F"/>
    <w:rsid w:val="74C8B7DE"/>
    <w:rsid w:val="74CF7565"/>
    <w:rsid w:val="74D3338A"/>
    <w:rsid w:val="74D3908E"/>
    <w:rsid w:val="74DA4C73"/>
    <w:rsid w:val="74DE759D"/>
    <w:rsid w:val="74E8281C"/>
    <w:rsid w:val="74EB03FB"/>
    <w:rsid w:val="74EE47E8"/>
    <w:rsid w:val="74EFF509"/>
    <w:rsid w:val="74F6D9E2"/>
    <w:rsid w:val="7500ACF7"/>
    <w:rsid w:val="7500C80F"/>
    <w:rsid w:val="7503271A"/>
    <w:rsid w:val="7505101E"/>
    <w:rsid w:val="7506F2B8"/>
    <w:rsid w:val="750D5F62"/>
    <w:rsid w:val="75126F32"/>
    <w:rsid w:val="7519BCB7"/>
    <w:rsid w:val="753C1BF8"/>
    <w:rsid w:val="75404ED7"/>
    <w:rsid w:val="754404D5"/>
    <w:rsid w:val="7546DA58"/>
    <w:rsid w:val="754784D6"/>
    <w:rsid w:val="75591593"/>
    <w:rsid w:val="7563884C"/>
    <w:rsid w:val="7569AD5D"/>
    <w:rsid w:val="7579BDDE"/>
    <w:rsid w:val="75809EB9"/>
    <w:rsid w:val="75836A2F"/>
    <w:rsid w:val="758693D9"/>
    <w:rsid w:val="758A2C37"/>
    <w:rsid w:val="758E6F25"/>
    <w:rsid w:val="75A35E07"/>
    <w:rsid w:val="75A96CF8"/>
    <w:rsid w:val="75A9743C"/>
    <w:rsid w:val="75AC7A38"/>
    <w:rsid w:val="75AE8100"/>
    <w:rsid w:val="75C309ED"/>
    <w:rsid w:val="75CE2038"/>
    <w:rsid w:val="75D02DD0"/>
    <w:rsid w:val="75D0CBED"/>
    <w:rsid w:val="75D448AF"/>
    <w:rsid w:val="75DC5CAC"/>
    <w:rsid w:val="75DE0438"/>
    <w:rsid w:val="75E0732D"/>
    <w:rsid w:val="75E3DF5D"/>
    <w:rsid w:val="75E8C452"/>
    <w:rsid w:val="75EB17C0"/>
    <w:rsid w:val="75ED0AE2"/>
    <w:rsid w:val="75EFF9AA"/>
    <w:rsid w:val="75F35185"/>
    <w:rsid w:val="75F60DE7"/>
    <w:rsid w:val="75F65FDE"/>
    <w:rsid w:val="75FBAC53"/>
    <w:rsid w:val="75FFA804"/>
    <w:rsid w:val="7611F895"/>
    <w:rsid w:val="76127B04"/>
    <w:rsid w:val="761323CC"/>
    <w:rsid w:val="761A4D0C"/>
    <w:rsid w:val="761DABC7"/>
    <w:rsid w:val="76255614"/>
    <w:rsid w:val="7625DBA8"/>
    <w:rsid w:val="762BE583"/>
    <w:rsid w:val="762E7D36"/>
    <w:rsid w:val="763AD476"/>
    <w:rsid w:val="764375A5"/>
    <w:rsid w:val="764379EB"/>
    <w:rsid w:val="7662A492"/>
    <w:rsid w:val="76670E82"/>
    <w:rsid w:val="76695B51"/>
    <w:rsid w:val="766AAB6D"/>
    <w:rsid w:val="766AE6F9"/>
    <w:rsid w:val="76740947"/>
    <w:rsid w:val="76780E6B"/>
    <w:rsid w:val="7682DD6A"/>
    <w:rsid w:val="768A786C"/>
    <w:rsid w:val="768B420C"/>
    <w:rsid w:val="769231D1"/>
    <w:rsid w:val="7692B69D"/>
    <w:rsid w:val="76966178"/>
    <w:rsid w:val="7697BD33"/>
    <w:rsid w:val="7698F0A3"/>
    <w:rsid w:val="76C59B6B"/>
    <w:rsid w:val="76C65099"/>
    <w:rsid w:val="76CDBEF5"/>
    <w:rsid w:val="76CED3EB"/>
    <w:rsid w:val="76D12100"/>
    <w:rsid w:val="76D2985A"/>
    <w:rsid w:val="76D791CE"/>
    <w:rsid w:val="76DD51DE"/>
    <w:rsid w:val="76F0BAE0"/>
    <w:rsid w:val="76F38275"/>
    <w:rsid w:val="77007B9C"/>
    <w:rsid w:val="77028464"/>
    <w:rsid w:val="77110882"/>
    <w:rsid w:val="772827A7"/>
    <w:rsid w:val="772DB9E6"/>
    <w:rsid w:val="77390F1A"/>
    <w:rsid w:val="77494A24"/>
    <w:rsid w:val="774CCC05"/>
    <w:rsid w:val="7755D42F"/>
    <w:rsid w:val="7757F7CD"/>
    <w:rsid w:val="775BEC10"/>
    <w:rsid w:val="775C09CF"/>
    <w:rsid w:val="775F5E40"/>
    <w:rsid w:val="77604F0D"/>
    <w:rsid w:val="77639E7A"/>
    <w:rsid w:val="776B00AC"/>
    <w:rsid w:val="77785161"/>
    <w:rsid w:val="77787A4C"/>
    <w:rsid w:val="777A3B24"/>
    <w:rsid w:val="778B675E"/>
    <w:rsid w:val="7794E84C"/>
    <w:rsid w:val="77952D89"/>
    <w:rsid w:val="779B4E5B"/>
    <w:rsid w:val="77A6C2A3"/>
    <w:rsid w:val="77B4188E"/>
    <w:rsid w:val="77BD7785"/>
    <w:rsid w:val="77C70D9A"/>
    <w:rsid w:val="77D04624"/>
    <w:rsid w:val="77D211CF"/>
    <w:rsid w:val="77D57463"/>
    <w:rsid w:val="77D7C5A6"/>
    <w:rsid w:val="77D9B92A"/>
    <w:rsid w:val="77E46FDC"/>
    <w:rsid w:val="77E50758"/>
    <w:rsid w:val="77EA2045"/>
    <w:rsid w:val="77EE361C"/>
    <w:rsid w:val="77F6CD77"/>
    <w:rsid w:val="77FB772E"/>
    <w:rsid w:val="77FC2B37"/>
    <w:rsid w:val="78023150"/>
    <w:rsid w:val="7804F7DB"/>
    <w:rsid w:val="78066468"/>
    <w:rsid w:val="780DBCE7"/>
    <w:rsid w:val="780E9DDC"/>
    <w:rsid w:val="7810134D"/>
    <w:rsid w:val="781338F2"/>
    <w:rsid w:val="7814EAA7"/>
    <w:rsid w:val="781D44F6"/>
    <w:rsid w:val="781DCF8E"/>
    <w:rsid w:val="781E2D8B"/>
    <w:rsid w:val="78220C42"/>
    <w:rsid w:val="7826679F"/>
    <w:rsid w:val="78329D57"/>
    <w:rsid w:val="78332825"/>
    <w:rsid w:val="7833526B"/>
    <w:rsid w:val="784B0843"/>
    <w:rsid w:val="784FF567"/>
    <w:rsid w:val="7851A863"/>
    <w:rsid w:val="78531479"/>
    <w:rsid w:val="7861BE3C"/>
    <w:rsid w:val="786B9141"/>
    <w:rsid w:val="78707F15"/>
    <w:rsid w:val="78794FB2"/>
    <w:rsid w:val="7886270E"/>
    <w:rsid w:val="788A86A8"/>
    <w:rsid w:val="7890C191"/>
    <w:rsid w:val="7891B5EE"/>
    <w:rsid w:val="78A09358"/>
    <w:rsid w:val="78A0EFD2"/>
    <w:rsid w:val="78A293BE"/>
    <w:rsid w:val="78A636AE"/>
    <w:rsid w:val="78A9B38E"/>
    <w:rsid w:val="78B119CF"/>
    <w:rsid w:val="78B1B41E"/>
    <w:rsid w:val="78BAE269"/>
    <w:rsid w:val="78C1D686"/>
    <w:rsid w:val="78C86B10"/>
    <w:rsid w:val="78CB8B94"/>
    <w:rsid w:val="78D502D3"/>
    <w:rsid w:val="78D6F93A"/>
    <w:rsid w:val="78D7FC83"/>
    <w:rsid w:val="78DFEB3D"/>
    <w:rsid w:val="78E0BF29"/>
    <w:rsid w:val="78F176D7"/>
    <w:rsid w:val="78F4305E"/>
    <w:rsid w:val="78F44FCE"/>
    <w:rsid w:val="79001273"/>
    <w:rsid w:val="7905F649"/>
    <w:rsid w:val="790AF1CD"/>
    <w:rsid w:val="790F0778"/>
    <w:rsid w:val="791BD9C9"/>
    <w:rsid w:val="792874D9"/>
    <w:rsid w:val="7929D540"/>
    <w:rsid w:val="7932F2A8"/>
    <w:rsid w:val="79359E9F"/>
    <w:rsid w:val="793DA5B8"/>
    <w:rsid w:val="79430BFD"/>
    <w:rsid w:val="79452161"/>
    <w:rsid w:val="79463173"/>
    <w:rsid w:val="79483EF0"/>
    <w:rsid w:val="794ADA63"/>
    <w:rsid w:val="794CD95A"/>
    <w:rsid w:val="7954A381"/>
    <w:rsid w:val="7957656C"/>
    <w:rsid w:val="795E67D6"/>
    <w:rsid w:val="796A0D38"/>
    <w:rsid w:val="796E3A65"/>
    <w:rsid w:val="79708F85"/>
    <w:rsid w:val="797E512F"/>
    <w:rsid w:val="7986348A"/>
    <w:rsid w:val="7989CF91"/>
    <w:rsid w:val="79910AB1"/>
    <w:rsid w:val="7992C2BA"/>
    <w:rsid w:val="7996C6D6"/>
    <w:rsid w:val="799D4E2F"/>
    <w:rsid w:val="79A3A899"/>
    <w:rsid w:val="79A8B0E1"/>
    <w:rsid w:val="79B349F7"/>
    <w:rsid w:val="79B4EBEB"/>
    <w:rsid w:val="79B50639"/>
    <w:rsid w:val="79BAAD17"/>
    <w:rsid w:val="79BEA1D6"/>
    <w:rsid w:val="79BFBD41"/>
    <w:rsid w:val="79C287D3"/>
    <w:rsid w:val="79DBF645"/>
    <w:rsid w:val="79E076D9"/>
    <w:rsid w:val="79E407B9"/>
    <w:rsid w:val="79E56BED"/>
    <w:rsid w:val="79E77A04"/>
    <w:rsid w:val="79ED78C4"/>
    <w:rsid w:val="79F1F77E"/>
    <w:rsid w:val="79FBF805"/>
    <w:rsid w:val="79FEC130"/>
    <w:rsid w:val="7A086F39"/>
    <w:rsid w:val="7A0DEA92"/>
    <w:rsid w:val="7A10ECDB"/>
    <w:rsid w:val="7A1D7092"/>
    <w:rsid w:val="7A2059E5"/>
    <w:rsid w:val="7A22D986"/>
    <w:rsid w:val="7A23EA87"/>
    <w:rsid w:val="7A272737"/>
    <w:rsid w:val="7A29B43C"/>
    <w:rsid w:val="7A2D3A5F"/>
    <w:rsid w:val="7A2DDEA5"/>
    <w:rsid w:val="7A319385"/>
    <w:rsid w:val="7A31D93F"/>
    <w:rsid w:val="7A37808F"/>
    <w:rsid w:val="7A3EF9DD"/>
    <w:rsid w:val="7A3EFCEB"/>
    <w:rsid w:val="7A4E4496"/>
    <w:rsid w:val="7A66D57B"/>
    <w:rsid w:val="7A6DED81"/>
    <w:rsid w:val="7A7CDE42"/>
    <w:rsid w:val="7A95213E"/>
    <w:rsid w:val="7A9771F0"/>
    <w:rsid w:val="7A97738B"/>
    <w:rsid w:val="7A99E0A1"/>
    <w:rsid w:val="7AA468B9"/>
    <w:rsid w:val="7AAD5D95"/>
    <w:rsid w:val="7AB39C82"/>
    <w:rsid w:val="7AB93620"/>
    <w:rsid w:val="7AD0F150"/>
    <w:rsid w:val="7AD7A02A"/>
    <w:rsid w:val="7AD97316"/>
    <w:rsid w:val="7ADA2C8A"/>
    <w:rsid w:val="7ADABA47"/>
    <w:rsid w:val="7ADC01AB"/>
    <w:rsid w:val="7AEC21D7"/>
    <w:rsid w:val="7AF05B82"/>
    <w:rsid w:val="7AF30BD7"/>
    <w:rsid w:val="7AF52EFF"/>
    <w:rsid w:val="7B062B04"/>
    <w:rsid w:val="7B225F3F"/>
    <w:rsid w:val="7B232C65"/>
    <w:rsid w:val="7B254202"/>
    <w:rsid w:val="7B25E207"/>
    <w:rsid w:val="7B28909E"/>
    <w:rsid w:val="7B292330"/>
    <w:rsid w:val="7B2D49C8"/>
    <w:rsid w:val="7B35F593"/>
    <w:rsid w:val="7B37DCA6"/>
    <w:rsid w:val="7B3B5742"/>
    <w:rsid w:val="7B561639"/>
    <w:rsid w:val="7B579FB9"/>
    <w:rsid w:val="7B5B79E1"/>
    <w:rsid w:val="7B6A7030"/>
    <w:rsid w:val="7B70159B"/>
    <w:rsid w:val="7B72B42F"/>
    <w:rsid w:val="7B73E781"/>
    <w:rsid w:val="7B7440F0"/>
    <w:rsid w:val="7B7BFB2B"/>
    <w:rsid w:val="7B7F2788"/>
    <w:rsid w:val="7B827692"/>
    <w:rsid w:val="7B83E678"/>
    <w:rsid w:val="7B86FC79"/>
    <w:rsid w:val="7B8B9143"/>
    <w:rsid w:val="7B92AF5E"/>
    <w:rsid w:val="7B97D11E"/>
    <w:rsid w:val="7B987A8C"/>
    <w:rsid w:val="7B9BA38B"/>
    <w:rsid w:val="7BA3C73C"/>
    <w:rsid w:val="7BAB4B6C"/>
    <w:rsid w:val="7BB08C6F"/>
    <w:rsid w:val="7BB1E713"/>
    <w:rsid w:val="7BB5F80D"/>
    <w:rsid w:val="7BBBBCFF"/>
    <w:rsid w:val="7BBE9554"/>
    <w:rsid w:val="7BC1EF32"/>
    <w:rsid w:val="7BD04F14"/>
    <w:rsid w:val="7BD1353F"/>
    <w:rsid w:val="7BD1DF45"/>
    <w:rsid w:val="7BD2B302"/>
    <w:rsid w:val="7BD2F33B"/>
    <w:rsid w:val="7BDC819D"/>
    <w:rsid w:val="7BE11B68"/>
    <w:rsid w:val="7BEB9D65"/>
    <w:rsid w:val="7BEF2743"/>
    <w:rsid w:val="7BF0853B"/>
    <w:rsid w:val="7C0B9C19"/>
    <w:rsid w:val="7C123C32"/>
    <w:rsid w:val="7C16F2A0"/>
    <w:rsid w:val="7C32E603"/>
    <w:rsid w:val="7C383577"/>
    <w:rsid w:val="7C3BAB5B"/>
    <w:rsid w:val="7C3DD55F"/>
    <w:rsid w:val="7C3FF487"/>
    <w:rsid w:val="7C485D12"/>
    <w:rsid w:val="7C4CE5E3"/>
    <w:rsid w:val="7C4EE422"/>
    <w:rsid w:val="7C567BBE"/>
    <w:rsid w:val="7C57D96F"/>
    <w:rsid w:val="7C5A8D96"/>
    <w:rsid w:val="7C5AA33D"/>
    <w:rsid w:val="7C627B06"/>
    <w:rsid w:val="7C6F3AA2"/>
    <w:rsid w:val="7C759EC5"/>
    <w:rsid w:val="7C7D73BC"/>
    <w:rsid w:val="7C7EA182"/>
    <w:rsid w:val="7C7EC5F7"/>
    <w:rsid w:val="7C80859C"/>
    <w:rsid w:val="7C81DB30"/>
    <w:rsid w:val="7C83535E"/>
    <w:rsid w:val="7C85EA2D"/>
    <w:rsid w:val="7C9BD023"/>
    <w:rsid w:val="7CA5B6FF"/>
    <w:rsid w:val="7CBC9B13"/>
    <w:rsid w:val="7CC53A02"/>
    <w:rsid w:val="7CC92D66"/>
    <w:rsid w:val="7CCB49FB"/>
    <w:rsid w:val="7CD0EB55"/>
    <w:rsid w:val="7CD87565"/>
    <w:rsid w:val="7CD9C7FA"/>
    <w:rsid w:val="7CDD983E"/>
    <w:rsid w:val="7CE23FBA"/>
    <w:rsid w:val="7CE9EB29"/>
    <w:rsid w:val="7CEEB67C"/>
    <w:rsid w:val="7CFD1ECD"/>
    <w:rsid w:val="7D0034E5"/>
    <w:rsid w:val="7D008D1C"/>
    <w:rsid w:val="7D034B81"/>
    <w:rsid w:val="7D050746"/>
    <w:rsid w:val="7D069FA7"/>
    <w:rsid w:val="7D119A92"/>
    <w:rsid w:val="7D18486C"/>
    <w:rsid w:val="7D1A071C"/>
    <w:rsid w:val="7D25F66F"/>
    <w:rsid w:val="7D3874A0"/>
    <w:rsid w:val="7D39E503"/>
    <w:rsid w:val="7D467B26"/>
    <w:rsid w:val="7D49659A"/>
    <w:rsid w:val="7D4D03E3"/>
    <w:rsid w:val="7D4EB842"/>
    <w:rsid w:val="7D550C8A"/>
    <w:rsid w:val="7D6A5FEC"/>
    <w:rsid w:val="7D707908"/>
    <w:rsid w:val="7D767E04"/>
    <w:rsid w:val="7D77C5A3"/>
    <w:rsid w:val="7D78B128"/>
    <w:rsid w:val="7D833491"/>
    <w:rsid w:val="7D83C4E8"/>
    <w:rsid w:val="7D9249E9"/>
    <w:rsid w:val="7DAF259C"/>
    <w:rsid w:val="7DB15652"/>
    <w:rsid w:val="7DB19393"/>
    <w:rsid w:val="7DB6C91A"/>
    <w:rsid w:val="7DBB4E7C"/>
    <w:rsid w:val="7DC00515"/>
    <w:rsid w:val="7DC95E92"/>
    <w:rsid w:val="7DCA0F27"/>
    <w:rsid w:val="7DCA2784"/>
    <w:rsid w:val="7DD74963"/>
    <w:rsid w:val="7DE64E80"/>
    <w:rsid w:val="7DEB5BAA"/>
    <w:rsid w:val="7DEF91BA"/>
    <w:rsid w:val="7E0790B9"/>
    <w:rsid w:val="7E0B74E2"/>
    <w:rsid w:val="7E13B692"/>
    <w:rsid w:val="7E1B1FDE"/>
    <w:rsid w:val="7E1E1C87"/>
    <w:rsid w:val="7E1E5712"/>
    <w:rsid w:val="7E25714E"/>
    <w:rsid w:val="7E2BD225"/>
    <w:rsid w:val="7E34D870"/>
    <w:rsid w:val="7E3513FC"/>
    <w:rsid w:val="7E37E27C"/>
    <w:rsid w:val="7E497D59"/>
    <w:rsid w:val="7E4BCBB6"/>
    <w:rsid w:val="7E5DB389"/>
    <w:rsid w:val="7E62BAAD"/>
    <w:rsid w:val="7E73653F"/>
    <w:rsid w:val="7E76BD06"/>
    <w:rsid w:val="7E805522"/>
    <w:rsid w:val="7E8CF18B"/>
    <w:rsid w:val="7E92C28D"/>
    <w:rsid w:val="7E9EB89A"/>
    <w:rsid w:val="7E9FF376"/>
    <w:rsid w:val="7EA00FA4"/>
    <w:rsid w:val="7EA58CA9"/>
    <w:rsid w:val="7EA776B0"/>
    <w:rsid w:val="7EABA745"/>
    <w:rsid w:val="7EB68BCB"/>
    <w:rsid w:val="7EB7CBF9"/>
    <w:rsid w:val="7EBB372F"/>
    <w:rsid w:val="7EBBC0BD"/>
    <w:rsid w:val="7EC255FD"/>
    <w:rsid w:val="7ECAAA99"/>
    <w:rsid w:val="7ED53193"/>
    <w:rsid w:val="7EDACBF8"/>
    <w:rsid w:val="7EDAD83E"/>
    <w:rsid w:val="7EE18D75"/>
    <w:rsid w:val="7EE78FFC"/>
    <w:rsid w:val="7EE87437"/>
    <w:rsid w:val="7EEC150C"/>
    <w:rsid w:val="7EF09F82"/>
    <w:rsid w:val="7F06A125"/>
    <w:rsid w:val="7F08317A"/>
    <w:rsid w:val="7F1CF8D7"/>
    <w:rsid w:val="7F1F9CDD"/>
    <w:rsid w:val="7F2482D8"/>
    <w:rsid w:val="7F3453BC"/>
    <w:rsid w:val="7F347ED1"/>
    <w:rsid w:val="7F3647E8"/>
    <w:rsid w:val="7F3B92DA"/>
    <w:rsid w:val="7F3C9F66"/>
    <w:rsid w:val="7F42518F"/>
    <w:rsid w:val="7F48E602"/>
    <w:rsid w:val="7F491D50"/>
    <w:rsid w:val="7F49C538"/>
    <w:rsid w:val="7F54C61F"/>
    <w:rsid w:val="7F5E9954"/>
    <w:rsid w:val="7F621B21"/>
    <w:rsid w:val="7F688A3E"/>
    <w:rsid w:val="7F6C960D"/>
    <w:rsid w:val="7F6F4BA0"/>
    <w:rsid w:val="7F6F7640"/>
    <w:rsid w:val="7F75DBA3"/>
    <w:rsid w:val="7F7A105E"/>
    <w:rsid w:val="7F7BF7F1"/>
    <w:rsid w:val="7F894ED3"/>
    <w:rsid w:val="7F8D3A6D"/>
    <w:rsid w:val="7F8F32F1"/>
    <w:rsid w:val="7F993A72"/>
    <w:rsid w:val="7FA8225A"/>
    <w:rsid w:val="7FBBC586"/>
    <w:rsid w:val="7FBBDB08"/>
    <w:rsid w:val="7FC9715F"/>
    <w:rsid w:val="7FD695AA"/>
    <w:rsid w:val="7FD84AE4"/>
    <w:rsid w:val="7FD89759"/>
    <w:rsid w:val="7FE004AF"/>
    <w:rsid w:val="7FE7DDDA"/>
    <w:rsid w:val="7FEACC6A"/>
    <w:rsid w:val="7FEB56ED"/>
    <w:rsid w:val="7FF50ADC"/>
    <w:rsid w:val="7FF90A7F"/>
    <w:rsid w:val="7FFB30DB"/>
  </w:rsids>
  <m:mathPr>
    <m:mathFont m:val="Cambria Math"/>
    <m:brkBin m:val="before"/>
    <m:brkBinSub m:val="--"/>
    <m:smallFrac m:val="0"/>
    <m:dispDef/>
    <m:lMargin m:val="0"/>
    <m:rMargin m:val="0"/>
    <m:defJc m:val="centerGroup"/>
    <m:wrapIndent m:val="1440"/>
    <m:intLim m:val="subSup"/>
    <m:naryLim m:val="undOvr"/>
  </m:mathPr>
  <w:themeFontLang w:val="en-GB" w:eastAsia="zh-CN" w:bidi="k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F7F53CF"/>
  <w14:defaultImageDpi w14:val="330"/>
  <w15:docId w15:val="{435436D9-9B84-4FCD-B7A8-81265CEC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 Square Sans Pro" w:eastAsiaTheme="minorHAnsi" w:hAnsi="EC Square Sans Pro" w:cstheme="minorBidi"/>
        <w:lang w:val="fr-BE" w:eastAsia="en-US" w:bidi="ar-SA"/>
      </w:rPr>
    </w:rPrDefault>
    <w:pPrDefault>
      <w:pPr>
        <w:spacing w:before="240" w:after="240" w:line="264" w:lineRule="auto"/>
      </w:pPr>
    </w:pPrDefault>
  </w:docDefaults>
  <w:latentStyles w:defLockedState="0" w:defUIPriority="99" w:defSemiHidden="0" w:defUnhideWhenUsed="0" w:defQFormat="0" w:count="371">
    <w:lsdException w:name="Normal" w:uiPriority="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8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lsdException w:name="Body Text 3" w:semiHidden="1" w:uiPriority="8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Pr>
      <w:lang w:val="en-GB"/>
    </w:rPr>
  </w:style>
  <w:style w:type="paragraph" w:styleId="Heading1">
    <w:name w:val="heading 1"/>
    <w:next w:val="Normal"/>
    <w:link w:val="Heading1Char"/>
    <w:qFormat/>
    <w:pPr>
      <w:keepNext/>
      <w:keepLines/>
      <w:pageBreakBefore/>
      <w:suppressAutoHyphens/>
      <w:spacing w:before="0" w:after="480"/>
      <w:outlineLvl w:val="0"/>
    </w:pPr>
    <w:rPr>
      <w:rFonts w:eastAsia="EC Square Sans Pro" w:cs="Times New Roman"/>
      <w:color w:val="245F95" w:themeColor="text2"/>
      <w:sz w:val="48"/>
      <w:szCs w:val="21"/>
      <w:lang w:val="en-GB" w:eastAsia="zh-CN"/>
    </w:rPr>
  </w:style>
  <w:style w:type="paragraph" w:styleId="Heading2">
    <w:name w:val="heading 2"/>
    <w:basedOn w:val="Normal"/>
    <w:next w:val="Normal"/>
    <w:link w:val="Heading2Char"/>
    <w:unhideWhenUsed/>
    <w:qFormat/>
    <w:rsid w:val="009C6708"/>
    <w:pPr>
      <w:keepNext/>
      <w:keepLines/>
      <w:pBdr>
        <w:bottom w:val="single" w:sz="6" w:space="1" w:color="F36E44" w:themeColor="accent2"/>
      </w:pBdr>
      <w:tabs>
        <w:tab w:val="num" w:pos="0"/>
      </w:tabs>
      <w:suppressAutoHyphens/>
      <w:spacing w:after="360"/>
      <w:outlineLvl w:val="1"/>
    </w:pPr>
    <w:rPr>
      <w:rFonts w:eastAsia="EC Square Sans Pro"/>
      <w:b/>
      <w:color w:val="245F95" w:themeColor="text2"/>
      <w:spacing w:val="-10"/>
      <w:sz w:val="28"/>
      <w:szCs w:val="21"/>
      <w:lang w:eastAsia="zh-CN"/>
    </w:rPr>
  </w:style>
  <w:style w:type="paragraph" w:styleId="Heading3">
    <w:name w:val="heading 3"/>
    <w:basedOn w:val="Normal"/>
    <w:next w:val="Normal"/>
    <w:link w:val="Heading3Char"/>
    <w:unhideWhenUsed/>
    <w:qFormat/>
    <w:pPr>
      <w:keepNext/>
      <w:keepLines/>
      <w:suppressAutoHyphens/>
      <w:spacing w:before="480"/>
      <w:outlineLvl w:val="2"/>
    </w:pPr>
    <w:rPr>
      <w:rFonts w:eastAsiaTheme="majorEastAsia" w:cstheme="majorBidi"/>
      <w:b/>
      <w:color w:val="245F95" w:themeColor="text2"/>
      <w:sz w:val="28"/>
      <w:szCs w:val="24"/>
    </w:rPr>
  </w:style>
  <w:style w:type="paragraph" w:styleId="Heading4">
    <w:name w:val="heading 4"/>
    <w:basedOn w:val="Normal"/>
    <w:next w:val="Normal"/>
    <w:link w:val="Heading4Char"/>
    <w:unhideWhenUsed/>
    <w:qFormat/>
    <w:pPr>
      <w:keepNext/>
      <w:keepLines/>
      <w:suppressAutoHyphens/>
      <w:spacing w:before="480"/>
      <w:outlineLvl w:val="3"/>
    </w:pPr>
    <w:rPr>
      <w:rFonts w:cs="Times New Roman"/>
      <w:color w:val="245F95" w:themeColor="text2"/>
      <w:sz w:val="24"/>
      <w:szCs w:val="22"/>
      <w:lang w:eastAsia="zh-CN"/>
    </w:rPr>
  </w:style>
  <w:style w:type="paragraph" w:styleId="Heading5">
    <w:name w:val="heading 5"/>
    <w:basedOn w:val="Normal"/>
    <w:next w:val="Normal"/>
    <w:link w:val="Heading5Char"/>
    <w:uiPriority w:val="99"/>
    <w:unhideWhenUsed/>
    <w:qFormat/>
    <w:pPr>
      <w:keepNext/>
      <w:keepLines/>
      <w:suppressAutoHyphens/>
      <w:ind w:left="340"/>
      <w:outlineLvl w:val="4"/>
    </w:pPr>
    <w:rPr>
      <w:rFonts w:cs="Times New Roman"/>
      <w:b/>
      <w:color w:val="02847D" w:themeColor="accent1"/>
      <w:sz w:val="24"/>
      <w:szCs w:val="22"/>
      <w:lang w:eastAsia="zh-CN"/>
      <w14:textOutline w14:w="9525" w14:cap="rnd" w14:cmpd="sng" w14:algn="ctr">
        <w14:noFill/>
        <w14:prstDash w14:val="solid"/>
        <w14:bevel/>
      </w14:textOutline>
    </w:rPr>
  </w:style>
  <w:style w:type="paragraph" w:styleId="Heading6">
    <w:name w:val="heading 6"/>
    <w:basedOn w:val="Normal"/>
    <w:next w:val="Normal"/>
    <w:link w:val="Heading6Char"/>
    <w:uiPriority w:val="99"/>
    <w:unhideWhenUsed/>
    <w:qFormat/>
    <w:pPr>
      <w:keepNext/>
      <w:keepLines/>
      <w:spacing w:before="200"/>
      <w:outlineLvl w:val="5"/>
    </w:pPr>
    <w:rPr>
      <w:rFonts w:eastAsiaTheme="majorEastAsia" w:cstheme="majorBidi"/>
      <w:i/>
      <w:iCs/>
      <w:color w:val="01413D" w:themeColor="accent1" w:themeShade="7F"/>
    </w:rPr>
  </w:style>
  <w:style w:type="paragraph" w:styleId="Heading7">
    <w:name w:val="heading 7"/>
    <w:basedOn w:val="Normal"/>
    <w:next w:val="Normal"/>
    <w:link w:val="Heading7Char"/>
    <w:uiPriority w:val="99"/>
    <w:unhideWhenUsed/>
    <w:qFormat/>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9"/>
    <w:unhideWhenUsed/>
    <w:qFormat/>
    <w:pPr>
      <w:keepNext/>
      <w:keepLines/>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9"/>
    <w:unhideWhenUsed/>
    <w:qFormat/>
    <w:pPr>
      <w:keepNext/>
      <w:keepLines/>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EC Square Sans Pro" w:cs="Times New Roman"/>
      <w:color w:val="245F95" w:themeColor="text2"/>
      <w:sz w:val="48"/>
      <w:szCs w:val="21"/>
      <w:lang w:val="en-GB" w:eastAsia="zh-CN"/>
    </w:rPr>
  </w:style>
  <w:style w:type="character" w:customStyle="1" w:styleId="Heading2Char">
    <w:name w:val="Heading 2 Char"/>
    <w:basedOn w:val="DefaultParagraphFont"/>
    <w:link w:val="Heading2"/>
    <w:rsid w:val="009C6708"/>
    <w:rPr>
      <w:rFonts w:eastAsia="EC Square Sans Pro"/>
      <w:b/>
      <w:color w:val="245F95" w:themeColor="text2"/>
      <w:spacing w:val="-10"/>
      <w:sz w:val="28"/>
      <w:szCs w:val="21"/>
      <w:lang w:val="en-GB" w:eastAsia="zh-CN"/>
    </w:rPr>
  </w:style>
  <w:style w:type="character" w:customStyle="1" w:styleId="Heading3Char">
    <w:name w:val="Heading 3 Char"/>
    <w:basedOn w:val="DefaultParagraphFont"/>
    <w:link w:val="Heading3"/>
    <w:rPr>
      <w:rFonts w:eastAsiaTheme="majorEastAsia" w:cstheme="majorBidi"/>
      <w:b/>
      <w:color w:val="245F95" w:themeColor="text2"/>
      <w:sz w:val="28"/>
      <w:szCs w:val="24"/>
      <w:lang w:val="en-GB"/>
    </w:rPr>
  </w:style>
  <w:style w:type="character" w:customStyle="1" w:styleId="Heading4Char">
    <w:name w:val="Heading 4 Char"/>
    <w:basedOn w:val="DefaultParagraphFont"/>
    <w:link w:val="Heading4"/>
    <w:rPr>
      <w:rFonts w:cs="Times New Roman"/>
      <w:color w:val="245F95" w:themeColor="text2"/>
      <w:sz w:val="24"/>
      <w:szCs w:val="22"/>
      <w:lang w:val="en-GB" w:eastAsia="zh-CN"/>
    </w:rPr>
  </w:style>
  <w:style w:type="character" w:customStyle="1" w:styleId="Heading5Char">
    <w:name w:val="Heading 5 Char"/>
    <w:basedOn w:val="DefaultParagraphFont"/>
    <w:link w:val="Heading5"/>
    <w:uiPriority w:val="99"/>
    <w:rPr>
      <w:rFonts w:cs="Times New Roman"/>
      <w:b/>
      <w:color w:val="02847D" w:themeColor="accent1"/>
      <w:sz w:val="24"/>
      <w:szCs w:val="22"/>
      <w:lang w:val="en-GB" w:eastAsia="zh-CN"/>
      <w14:textOutline w14:w="9525" w14:cap="rnd" w14:cmpd="sng" w14:algn="ctr">
        <w14:noFill/>
        <w14:prstDash w14:val="solid"/>
        <w14:bevel/>
      </w14:textOutline>
    </w:rPr>
  </w:style>
  <w:style w:type="character" w:customStyle="1" w:styleId="Heading6Char">
    <w:name w:val="Heading 6 Char"/>
    <w:basedOn w:val="DefaultParagraphFont"/>
    <w:link w:val="Heading6"/>
    <w:uiPriority w:val="99"/>
    <w:rPr>
      <w:rFonts w:eastAsiaTheme="majorEastAsia" w:cstheme="majorBidi"/>
      <w:i/>
      <w:iCs/>
      <w:color w:val="01413D" w:themeColor="accent1" w:themeShade="7F"/>
      <w:lang w:val="en-GB"/>
    </w:rPr>
  </w:style>
  <w:style w:type="character" w:customStyle="1" w:styleId="Heading7Char">
    <w:name w:val="Heading 7 Char"/>
    <w:basedOn w:val="DefaultParagraphFont"/>
    <w:link w:val="Heading7"/>
    <w:uiPriority w:val="99"/>
    <w:rPr>
      <w:rFonts w:eastAsiaTheme="majorEastAsia" w:cstheme="majorBidi"/>
      <w:i/>
      <w:iCs/>
      <w:color w:val="404040" w:themeColor="text1" w:themeTint="BF"/>
      <w:lang w:val="en-GB"/>
    </w:rPr>
  </w:style>
  <w:style w:type="character" w:customStyle="1" w:styleId="Heading8Char">
    <w:name w:val="Heading 8 Char"/>
    <w:basedOn w:val="DefaultParagraphFont"/>
    <w:link w:val="Heading8"/>
    <w:uiPriority w:val="99"/>
    <w:rPr>
      <w:rFonts w:eastAsiaTheme="majorEastAsia" w:cstheme="majorBidi"/>
      <w:color w:val="404040" w:themeColor="text1" w:themeTint="BF"/>
      <w:lang w:val="en-GB"/>
    </w:rPr>
  </w:style>
  <w:style w:type="character" w:customStyle="1" w:styleId="Heading9Char">
    <w:name w:val="Heading 9 Char"/>
    <w:basedOn w:val="DefaultParagraphFont"/>
    <w:link w:val="Heading9"/>
    <w:uiPriority w:val="99"/>
    <w:rPr>
      <w:rFonts w:eastAsiaTheme="majorEastAsia" w:cstheme="majorBidi"/>
      <w:i/>
      <w:iCs/>
      <w:color w:val="404040" w:themeColor="text1" w:themeTint="BF"/>
      <w:lang w:val="en-GB"/>
    </w:rPr>
  </w:style>
  <w:style w:type="paragraph" w:styleId="ListParagraph">
    <w:name w:val="List Paragraph"/>
    <w:basedOn w:val="Normal"/>
    <w:uiPriority w:val="34"/>
    <w:qFormat/>
    <w:pPr>
      <w:ind w:left="720"/>
      <w:contextualSpacing/>
    </w:pPr>
  </w:style>
  <w:style w:type="table" w:styleId="GridTable2-Accent2">
    <w:name w:val="Grid Table 2 Accent 2"/>
    <w:basedOn w:val="TableNormal"/>
    <w:uiPriority w:val="47"/>
    <w:pPr>
      <w:spacing w:after="0" w:line="240" w:lineRule="auto"/>
    </w:pPr>
    <w:tblPr>
      <w:tblStyleRowBandSize w:val="1"/>
      <w:tblStyleColBandSize w:val="1"/>
      <w:tblBorders>
        <w:top w:val="single" w:sz="2" w:space="0" w:color="F7A78E" w:themeColor="accent2" w:themeTint="99"/>
        <w:bottom w:val="single" w:sz="2" w:space="0" w:color="F7A78E" w:themeColor="accent2" w:themeTint="99"/>
        <w:insideH w:val="single" w:sz="2" w:space="0" w:color="F7A78E" w:themeColor="accent2" w:themeTint="99"/>
        <w:insideV w:val="single" w:sz="2" w:space="0" w:color="F7A78E" w:themeColor="accent2" w:themeTint="99"/>
      </w:tblBorders>
    </w:tblPr>
    <w:tblStylePr w:type="firstRow">
      <w:rPr>
        <w:b/>
        <w:bCs/>
      </w:rPr>
      <w:tblPr/>
      <w:tcPr>
        <w:tcBorders>
          <w:top w:val="nil"/>
          <w:bottom w:val="single" w:sz="12" w:space="0" w:color="F7A78E" w:themeColor="accent2" w:themeTint="99"/>
          <w:insideH w:val="nil"/>
          <w:insideV w:val="nil"/>
        </w:tcBorders>
        <w:shd w:val="clear" w:color="auto" w:fill="FFFFFF" w:themeFill="background1"/>
      </w:tcPr>
    </w:tblStylePr>
    <w:tblStylePr w:type="lastRow">
      <w:rPr>
        <w:b/>
        <w:bCs/>
      </w:rPr>
      <w:tblPr/>
      <w:tcPr>
        <w:tcBorders>
          <w:top w:val="double" w:sz="2" w:space="0" w:color="F7A78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1D9" w:themeFill="accent2" w:themeFillTint="33"/>
      </w:tcPr>
    </w:tblStylePr>
    <w:tblStylePr w:type="band1Horz">
      <w:tblPr/>
      <w:tcPr>
        <w:shd w:val="clear" w:color="auto" w:fill="FCE1D9" w:themeFill="accent2"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F7A78E" w:themeColor="accent2" w:themeTint="99"/>
        <w:left w:val="single" w:sz="4" w:space="0" w:color="F7A78E" w:themeColor="accent2" w:themeTint="99"/>
        <w:bottom w:val="single" w:sz="4" w:space="0" w:color="F7A78E" w:themeColor="accent2" w:themeTint="99"/>
        <w:right w:val="single" w:sz="4" w:space="0" w:color="F7A78E" w:themeColor="accent2" w:themeTint="99"/>
        <w:insideH w:val="single" w:sz="4" w:space="0" w:color="F7A78E" w:themeColor="accent2" w:themeTint="99"/>
        <w:insideV w:val="single" w:sz="4" w:space="0" w:color="F7A78E" w:themeColor="accent2" w:themeTint="99"/>
      </w:tblBorders>
    </w:tblPr>
    <w:tblStylePr w:type="firstRow">
      <w:rPr>
        <w:b/>
        <w:bCs/>
        <w:color w:val="FFFFFF" w:themeColor="background1"/>
      </w:rPr>
      <w:tblPr/>
      <w:tcPr>
        <w:tcBorders>
          <w:top w:val="single" w:sz="4" w:space="0" w:color="F36E44" w:themeColor="accent2"/>
          <w:left w:val="single" w:sz="4" w:space="0" w:color="F36E44" w:themeColor="accent2"/>
          <w:bottom w:val="single" w:sz="4" w:space="0" w:color="F36E44" w:themeColor="accent2"/>
          <w:right w:val="single" w:sz="4" w:space="0" w:color="F36E44" w:themeColor="accent2"/>
          <w:insideH w:val="nil"/>
          <w:insideV w:val="nil"/>
        </w:tcBorders>
        <w:shd w:val="clear" w:color="auto" w:fill="F36E44" w:themeFill="accent2"/>
      </w:tcPr>
    </w:tblStylePr>
    <w:tblStylePr w:type="lastRow">
      <w:rPr>
        <w:b/>
        <w:bCs/>
      </w:rPr>
      <w:tblPr/>
      <w:tcPr>
        <w:tcBorders>
          <w:top w:val="double" w:sz="4" w:space="0" w:color="F36E44" w:themeColor="accent2"/>
        </w:tcBorders>
      </w:tcPr>
    </w:tblStylePr>
    <w:tblStylePr w:type="firstCol">
      <w:rPr>
        <w:b/>
        <w:bCs/>
      </w:rPr>
    </w:tblStylePr>
    <w:tblStylePr w:type="lastCol">
      <w:rPr>
        <w:b/>
        <w:bCs/>
      </w:rPr>
    </w:tblStylePr>
    <w:tblStylePr w:type="band1Vert">
      <w:tblPr/>
      <w:tcPr>
        <w:shd w:val="clear" w:color="auto" w:fill="FCE1D9" w:themeFill="accent2" w:themeFillTint="33"/>
      </w:tcPr>
    </w:tblStylePr>
    <w:tblStylePr w:type="band1Horz">
      <w:tblPr/>
      <w:tcPr>
        <w:shd w:val="clear" w:color="auto" w:fill="FCE1D9" w:themeFill="accent2" w:themeFillTint="33"/>
      </w:tcPr>
    </w:tblStylePr>
  </w:style>
  <w:style w:type="table" w:styleId="TableGrid">
    <w:name w:val="Table Grid"/>
    <w:aliases w:val="Document Table,CV1,Standard table format,Simple table"/>
    <w:basedOn w:val="TableNormal"/>
    <w:uiPriority w:val="59"/>
    <w:rPr>
      <w:rFonts w:ascii="Calibri" w:eastAsia="Calibri"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styleId="BalloonText">
    <w:name w:val="Balloon Text"/>
    <w:basedOn w:val="Normal"/>
    <w:link w:val="BalloonTextChar"/>
    <w:semiHidden/>
    <w:unhideWhenUsed/>
    <w:rPr>
      <w:rFonts w:cs="Segoe UI"/>
      <w:sz w:val="18"/>
      <w:szCs w:val="18"/>
    </w:rPr>
  </w:style>
  <w:style w:type="character" w:customStyle="1" w:styleId="BalloonTextChar">
    <w:name w:val="Balloon Text Char"/>
    <w:basedOn w:val="DefaultParagraphFont"/>
    <w:link w:val="BalloonText"/>
    <w:semiHidden/>
    <w:rPr>
      <w:rFonts w:cs="Segoe UI"/>
      <w:sz w:val="18"/>
      <w:szCs w:val="18"/>
      <w:lang w:val="en-GB"/>
    </w:rPr>
  </w:style>
  <w:style w:type="paragraph" w:styleId="Footer">
    <w:name w:val="footer"/>
    <w:basedOn w:val="amprFooter-Left"/>
    <w:link w:val="FooterChar"/>
    <w:uiPriority w:val="99"/>
    <w:unhideWhenUsed/>
    <w:pPr>
      <w:jc w:val="center"/>
    </w:pPr>
    <w:rPr>
      <w:noProof/>
    </w:rPr>
  </w:style>
  <w:style w:type="character" w:customStyle="1" w:styleId="FooterChar">
    <w:name w:val="Footer Char"/>
    <w:basedOn w:val="DefaultParagraphFont"/>
    <w:link w:val="Footer"/>
    <w:uiPriority w:val="99"/>
    <w:rPr>
      <w:rFonts w:eastAsia="EC Square Sans Pro" w:cs="Times New Roman"/>
      <w:noProof/>
      <w:szCs w:val="21"/>
      <w:lang w:val="en-GB" w:eastAsia="zh-CN"/>
    </w:rPr>
  </w:style>
  <w:style w:type="paragraph" w:styleId="CommentSubject">
    <w:name w:val="annotation subject"/>
    <w:basedOn w:val="Normal"/>
    <w:next w:val="Normal"/>
    <w:link w:val="CommentSubjectChar"/>
    <w:unhideWhenUsed/>
    <w:pPr>
      <w:spacing w:after="200"/>
    </w:pPr>
    <w:rPr>
      <w:b/>
      <w:bCs/>
    </w:rPr>
  </w:style>
  <w:style w:type="character" w:customStyle="1" w:styleId="CommentSubjectChar">
    <w:name w:val="Comment Subject Char"/>
    <w:basedOn w:val="DefaultParagraphFont"/>
    <w:link w:val="CommentSubject"/>
    <w:rPr>
      <w:b/>
      <w:bCs/>
      <w:lang w:val="en-GB"/>
    </w:rPr>
  </w:style>
  <w:style w:type="paragraph" w:styleId="Revision">
    <w:name w:val="Revision"/>
    <w:hidden/>
    <w:uiPriority w:val="99"/>
    <w:semiHidden/>
  </w:style>
  <w:style w:type="character" w:styleId="Hyperlink">
    <w:name w:val="Hyperlink"/>
    <w:basedOn w:val="DefaultParagraphFont"/>
    <w:uiPriority w:val="99"/>
    <w:unhideWhenUsed/>
    <w:rPr>
      <w:rFonts w:ascii="EC Square Sans Pro" w:hAnsi="EC Square Sans Pro"/>
      <w:strike w:val="0"/>
      <w:dstrike w:val="0"/>
      <w:color w:val="007ACC"/>
      <w:u w:val="single" w:color="65BBC8"/>
      <w:effect w:val="none"/>
      <w:shd w:val="clear" w:color="auto" w:fill="auto"/>
      <w:lang w:val="en-GB"/>
    </w:rPr>
  </w:style>
  <w:style w:type="table" w:styleId="LightShading-Accent6">
    <w:name w:val="Light Shading Accent 6"/>
    <w:basedOn w:val="TableNormal"/>
    <w:uiPriority w:val="60"/>
    <w:rPr>
      <w:color w:val="8D1C32" w:themeColor="accent6" w:themeShade="BF"/>
      <w:lang w:eastAsia="en-GB"/>
    </w:rPr>
    <w:tblPr>
      <w:tblStyleRowBandSize w:val="1"/>
      <w:tblStyleColBandSize w:val="1"/>
      <w:tblBorders>
        <w:top w:val="single" w:sz="8" w:space="0" w:color="BD2644" w:themeColor="accent6"/>
        <w:bottom w:val="single" w:sz="8" w:space="0" w:color="BD2644" w:themeColor="accent6"/>
      </w:tblBorders>
    </w:tblPr>
    <w:tblStylePr w:type="firstRow">
      <w:pPr>
        <w:spacing w:before="0" w:after="0" w:line="240" w:lineRule="auto"/>
      </w:pPr>
      <w:rPr>
        <w:b/>
        <w:bCs/>
      </w:rPr>
      <w:tblPr/>
      <w:tcPr>
        <w:tcBorders>
          <w:top w:val="single" w:sz="8" w:space="0" w:color="BD2644" w:themeColor="accent6"/>
          <w:left w:val="nil"/>
          <w:bottom w:val="single" w:sz="8" w:space="0" w:color="BD2644" w:themeColor="accent6"/>
          <w:right w:val="nil"/>
          <w:insideH w:val="nil"/>
          <w:insideV w:val="nil"/>
        </w:tcBorders>
      </w:tcPr>
    </w:tblStylePr>
    <w:tblStylePr w:type="lastRow">
      <w:pPr>
        <w:spacing w:before="0" w:after="0" w:line="240" w:lineRule="auto"/>
      </w:pPr>
      <w:rPr>
        <w:b/>
        <w:bCs/>
      </w:rPr>
      <w:tblPr/>
      <w:tcPr>
        <w:tcBorders>
          <w:top w:val="single" w:sz="8" w:space="0" w:color="BD2644" w:themeColor="accent6"/>
          <w:left w:val="nil"/>
          <w:bottom w:val="single" w:sz="8" w:space="0" w:color="BD2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4CD" w:themeFill="accent6" w:themeFillTint="3F"/>
      </w:tcPr>
    </w:tblStylePr>
    <w:tblStylePr w:type="band1Horz">
      <w:tblPr/>
      <w:tcPr>
        <w:tcBorders>
          <w:left w:val="nil"/>
          <w:right w:val="nil"/>
          <w:insideH w:val="nil"/>
          <w:insideV w:val="nil"/>
        </w:tcBorders>
        <w:shd w:val="clear" w:color="auto" w:fill="F3C4CD" w:themeFill="accent6" w:themeFillTint="3F"/>
      </w:tcPr>
    </w:tblStylePr>
  </w:style>
  <w:style w:type="paragraph" w:styleId="EndnoteText">
    <w:name w:val="endnote text"/>
    <w:basedOn w:val="Normal"/>
    <w:link w:val="EndnoteTextChar"/>
    <w:uiPriority w:val="99"/>
    <w:semiHidden/>
    <w:unhideWhenUsed/>
    <w:rPr>
      <w:rFonts w:eastAsia="Calibri"/>
    </w:rPr>
  </w:style>
  <w:style w:type="character" w:customStyle="1" w:styleId="EndnoteTextChar">
    <w:name w:val="Endnote Text Char"/>
    <w:basedOn w:val="DefaultParagraphFont"/>
    <w:link w:val="EndnoteText"/>
    <w:uiPriority w:val="99"/>
    <w:semiHidden/>
    <w:rPr>
      <w:rFonts w:eastAsia="Calibri"/>
      <w:lang w:val="en-GB"/>
    </w:rPr>
  </w:style>
  <w:style w:type="character" w:styleId="EndnoteReference">
    <w:name w:val="endnote reference"/>
    <w:basedOn w:val="DefaultParagraphFont"/>
    <w:semiHidden/>
    <w:unhideWhenUsed/>
    <w:rPr>
      <w:rFonts w:ascii="EC Square Sans Pro" w:hAnsi="EC Square Sans Pro"/>
      <w:vertAlign w:val="superscript"/>
      <w:lang w:val="en-GB"/>
    </w:rPr>
  </w:style>
  <w:style w:type="paragraph" w:styleId="ListBullet">
    <w:name w:val="List Bullet"/>
    <w:basedOn w:val="Normal"/>
    <w:uiPriority w:val="99"/>
    <w:semiHidden/>
    <w:unhideWhenUsed/>
    <w:pPr>
      <w:tabs>
        <w:tab w:val="num" w:pos="360"/>
      </w:tabs>
      <w:spacing w:before="120" w:after="120"/>
      <w:ind w:left="360" w:hanging="360"/>
      <w:contextualSpacing/>
      <w:jc w:val="both"/>
    </w:pPr>
    <w:rPr>
      <w:sz w:val="24"/>
    </w:rPr>
  </w:style>
  <w:style w:type="paragraph" w:styleId="ListBullet2">
    <w:name w:val="List Bullet 2"/>
    <w:basedOn w:val="Normal"/>
    <w:unhideWhenUsed/>
    <w:pPr>
      <w:tabs>
        <w:tab w:val="num" w:pos="643"/>
      </w:tabs>
      <w:spacing w:before="120" w:after="120"/>
      <w:ind w:left="643" w:hanging="360"/>
      <w:contextualSpacing/>
      <w:jc w:val="both"/>
    </w:pPr>
    <w:rPr>
      <w:sz w:val="24"/>
    </w:rPr>
  </w:style>
  <w:style w:type="paragraph" w:styleId="ListBullet3">
    <w:name w:val="List Bullet 3"/>
    <w:basedOn w:val="Normal"/>
    <w:uiPriority w:val="99"/>
    <w:semiHidden/>
    <w:unhideWhenUsed/>
    <w:pPr>
      <w:tabs>
        <w:tab w:val="num" w:pos="926"/>
      </w:tabs>
      <w:spacing w:before="120" w:after="120"/>
      <w:ind w:left="926" w:hanging="360"/>
      <w:contextualSpacing/>
      <w:jc w:val="both"/>
    </w:pPr>
    <w:rPr>
      <w:sz w:val="24"/>
    </w:rPr>
  </w:style>
  <w:style w:type="paragraph" w:styleId="ListBullet4">
    <w:name w:val="List Bullet 4"/>
    <w:basedOn w:val="Normal"/>
    <w:uiPriority w:val="99"/>
    <w:semiHidden/>
    <w:unhideWhenUsed/>
    <w:pPr>
      <w:tabs>
        <w:tab w:val="num" w:pos="1209"/>
      </w:tabs>
      <w:spacing w:before="120" w:after="120"/>
      <w:ind w:left="1209" w:hanging="360"/>
      <w:contextualSpacing/>
      <w:jc w:val="both"/>
    </w:pPr>
    <w:rPr>
      <w:sz w:val="24"/>
    </w:rPr>
  </w:style>
  <w:style w:type="table" w:styleId="LightShading-Accent5">
    <w:name w:val="Light Shading Accent 5"/>
    <w:basedOn w:val="TableNormal"/>
    <w:uiPriority w:val="60"/>
    <w:rPr>
      <w:color w:val="4B864B" w:themeColor="accent5" w:themeShade="BF"/>
      <w:lang w:eastAsia="en-GB"/>
    </w:rPr>
    <w:tblPr>
      <w:tblStyleRowBandSize w:val="1"/>
      <w:tblStyleColBandSize w:val="1"/>
      <w:tblBorders>
        <w:top w:val="single" w:sz="8" w:space="0" w:color="6CAD6C" w:themeColor="accent5"/>
        <w:bottom w:val="single" w:sz="8" w:space="0" w:color="6CAD6C" w:themeColor="accent5"/>
      </w:tblBorders>
    </w:tblPr>
    <w:tblStylePr w:type="firstRow">
      <w:pPr>
        <w:spacing w:before="0" w:after="0" w:line="240" w:lineRule="auto"/>
      </w:pPr>
      <w:rPr>
        <w:b/>
        <w:bCs/>
      </w:rPr>
      <w:tblPr/>
      <w:tcPr>
        <w:tcBorders>
          <w:top w:val="single" w:sz="8" w:space="0" w:color="6CAD6C" w:themeColor="accent5"/>
          <w:left w:val="nil"/>
          <w:bottom w:val="single" w:sz="8" w:space="0" w:color="6CAD6C" w:themeColor="accent5"/>
          <w:right w:val="nil"/>
          <w:insideH w:val="nil"/>
          <w:insideV w:val="nil"/>
        </w:tcBorders>
      </w:tcPr>
    </w:tblStylePr>
    <w:tblStylePr w:type="lastRow">
      <w:pPr>
        <w:spacing w:before="0" w:after="0" w:line="240" w:lineRule="auto"/>
      </w:pPr>
      <w:rPr>
        <w:b/>
        <w:bCs/>
      </w:rPr>
      <w:tblPr/>
      <w:tcPr>
        <w:tcBorders>
          <w:top w:val="single" w:sz="8" w:space="0" w:color="6CAD6C" w:themeColor="accent5"/>
          <w:left w:val="nil"/>
          <w:bottom w:val="single" w:sz="8" w:space="0" w:color="6CAD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ADA" w:themeFill="accent5" w:themeFillTint="3F"/>
      </w:tcPr>
    </w:tblStylePr>
    <w:tblStylePr w:type="band1Horz">
      <w:tblPr/>
      <w:tcPr>
        <w:tcBorders>
          <w:left w:val="nil"/>
          <w:right w:val="nil"/>
          <w:insideH w:val="nil"/>
          <w:insideV w:val="nil"/>
        </w:tcBorders>
        <w:shd w:val="clear" w:color="auto" w:fill="DAEADA" w:themeFill="accent5" w:themeFillTint="3F"/>
      </w:tcPr>
    </w:tblStylePr>
  </w:style>
  <w:style w:type="paragraph" w:styleId="TableofFigures">
    <w:name w:val="table of figures"/>
    <w:basedOn w:val="Normal"/>
    <w:next w:val="Normal"/>
    <w:uiPriority w:val="99"/>
    <w:semiHidden/>
    <w:unhideWhenUsed/>
    <w:pPr>
      <w:spacing w:before="120"/>
      <w:jc w:val="both"/>
    </w:pPr>
    <w:rPr>
      <w:sz w:val="24"/>
    </w:rPr>
  </w:style>
  <w:style w:type="paragraph" w:styleId="ListNumber">
    <w:name w:val="List Number"/>
    <w:basedOn w:val="Normal"/>
    <w:uiPriority w:val="99"/>
    <w:semiHidden/>
    <w:unhideWhenUsed/>
    <w:pPr>
      <w:tabs>
        <w:tab w:val="num" w:pos="360"/>
      </w:tabs>
      <w:spacing w:before="120" w:after="120"/>
      <w:ind w:left="360" w:hanging="360"/>
      <w:contextualSpacing/>
      <w:jc w:val="both"/>
    </w:pPr>
    <w:rPr>
      <w:sz w:val="24"/>
    </w:rPr>
  </w:style>
  <w:style w:type="paragraph" w:styleId="ListNumber2">
    <w:name w:val="List Number 2"/>
    <w:basedOn w:val="Normal"/>
    <w:uiPriority w:val="99"/>
    <w:semiHidden/>
    <w:unhideWhenUsed/>
    <w:pPr>
      <w:tabs>
        <w:tab w:val="num" w:pos="643"/>
      </w:tabs>
      <w:spacing w:before="120" w:after="120"/>
      <w:ind w:left="643" w:hanging="360"/>
      <w:contextualSpacing/>
      <w:jc w:val="both"/>
    </w:pPr>
    <w:rPr>
      <w:sz w:val="24"/>
    </w:rPr>
  </w:style>
  <w:style w:type="paragraph" w:styleId="ListNumber3">
    <w:name w:val="List Number 3"/>
    <w:basedOn w:val="Normal"/>
    <w:uiPriority w:val="99"/>
    <w:semiHidden/>
    <w:unhideWhenUsed/>
    <w:pPr>
      <w:tabs>
        <w:tab w:val="num" w:pos="926"/>
      </w:tabs>
      <w:spacing w:before="120" w:after="120"/>
      <w:ind w:left="926" w:hanging="360"/>
      <w:contextualSpacing/>
      <w:jc w:val="both"/>
    </w:pPr>
    <w:rPr>
      <w:sz w:val="24"/>
    </w:rPr>
  </w:style>
  <w:style w:type="paragraph" w:styleId="ListNumber4">
    <w:name w:val="List Number 4"/>
    <w:basedOn w:val="Normal"/>
    <w:uiPriority w:val="99"/>
    <w:semiHidden/>
    <w:unhideWhenUsed/>
    <w:pPr>
      <w:tabs>
        <w:tab w:val="num" w:pos="1209"/>
      </w:tabs>
      <w:spacing w:before="120" w:after="120"/>
      <w:ind w:left="1209" w:hanging="360"/>
      <w:contextualSpacing/>
      <w:jc w:val="both"/>
    </w:pPr>
    <w:rPr>
      <w:sz w:val="24"/>
    </w:r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amprBodyText"/>
    <w:next w:val="Normal"/>
    <w:link w:val="BodyTextChar"/>
    <w:uiPriority w:val="89"/>
    <w:semiHidden/>
    <w:qFormat/>
  </w:style>
  <w:style w:type="character" w:customStyle="1" w:styleId="BodyTextChar">
    <w:name w:val="Body Text Char"/>
    <w:basedOn w:val="DefaultParagraphFont"/>
    <w:link w:val="BodyText"/>
    <w:uiPriority w:val="89"/>
    <w:semiHidden/>
    <w:rPr>
      <w:rFonts w:eastAsia="EC Square Sans Pro" w:cs="Times New Roman"/>
      <w:szCs w:val="21"/>
      <w:lang w:val="en-GB" w:eastAsia="zh-CN"/>
    </w:rPr>
  </w:style>
  <w:style w:type="paragraph" w:customStyle="1" w:styleId="Quotes">
    <w:name w:val="Quotes"/>
    <w:basedOn w:val="Normal"/>
    <w:link w:val="QuotesChar"/>
    <w:qFormat/>
    <w:pPr>
      <w:ind w:left="851" w:right="851"/>
      <w:jc w:val="center"/>
    </w:pPr>
    <w:rPr>
      <w:rFonts w:eastAsia="Calibri"/>
      <w:i/>
      <w:color w:val="245F95" w:themeColor="text2"/>
      <w:sz w:val="28"/>
      <w:lang w:eastAsia="zh-CN"/>
    </w:rPr>
  </w:style>
  <w:style w:type="character" w:customStyle="1" w:styleId="QuotesChar">
    <w:name w:val="Quotes Char"/>
    <w:basedOn w:val="DefaultParagraphFont"/>
    <w:link w:val="Quotes"/>
    <w:rPr>
      <w:rFonts w:eastAsia="Calibri"/>
      <w:i/>
      <w:color w:val="245F95" w:themeColor="text2"/>
      <w:sz w:val="28"/>
      <w:lang w:val="en-GB" w:eastAsia="zh-CN"/>
    </w:rPr>
  </w:style>
  <w:style w:type="paragraph" w:styleId="TOC1">
    <w:name w:val="toc 1"/>
    <w:basedOn w:val="Normal"/>
    <w:next w:val="Normal"/>
    <w:autoRedefine/>
    <w:uiPriority w:val="39"/>
    <w:unhideWhenUsed/>
    <w:qFormat/>
    <w:rsid w:val="006B431C"/>
    <w:pPr>
      <w:tabs>
        <w:tab w:val="right" w:leader="dot" w:pos="9072"/>
      </w:tabs>
      <w:spacing w:before="120" w:after="120"/>
      <w:jc w:val="both"/>
    </w:pPr>
    <w:rPr>
      <w:b/>
      <w:caps/>
    </w:rPr>
  </w:style>
  <w:style w:type="character" w:styleId="FollowedHyperlink">
    <w:name w:val="FollowedHyperlink"/>
    <w:basedOn w:val="DefaultParagraphFont"/>
    <w:uiPriority w:val="99"/>
    <w:semiHidden/>
    <w:unhideWhenUsed/>
    <w:rPr>
      <w:rFonts w:ascii="EC Square Sans Pro" w:hAnsi="EC Square Sans Pro"/>
      <w:color w:val="245F95" w:themeColor="followedHyperlink"/>
      <w:u w:val="single"/>
      <w:lang w:val="en-GB"/>
    </w:rPr>
  </w:style>
  <w:style w:type="table" w:styleId="MediumShading2-Accent1">
    <w:name w:val="Medium Shading 2 Accent 1"/>
    <w:basedOn w:val="TableNormal"/>
    <w:uiPriority w:val="64"/>
    <w:rPr>
      <w:rFonts w:ascii="Calibri" w:eastAsia="Calibri" w:hAnsi="Calibri" w:cs="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847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2847D" w:themeFill="accent1"/>
      </w:tcPr>
    </w:tblStylePr>
    <w:tblStylePr w:type="lastCol">
      <w:rPr>
        <w:b/>
        <w:bCs/>
        <w:color w:val="FFFFFF" w:themeColor="background1"/>
      </w:rPr>
      <w:tblPr/>
      <w:tcPr>
        <w:tcBorders>
          <w:left w:val="nil"/>
          <w:right w:val="nil"/>
          <w:insideH w:val="nil"/>
          <w:insideV w:val="nil"/>
        </w:tcBorders>
        <w:shd w:val="clear" w:color="auto" w:fill="02847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02847D" w:themeColor="accent1" w:shadow="1" w:frame="1"/>
        <w:left w:val="single" w:sz="2" w:space="10" w:color="02847D" w:themeColor="accent1" w:shadow="1" w:frame="1"/>
        <w:bottom w:val="single" w:sz="2" w:space="10" w:color="02847D" w:themeColor="accent1" w:shadow="1" w:frame="1"/>
        <w:right w:val="single" w:sz="2" w:space="10" w:color="02847D" w:themeColor="accent1" w:shadow="1" w:frame="1"/>
      </w:pBdr>
      <w:ind w:left="1152" w:right="1152"/>
    </w:pPr>
    <w:rPr>
      <w:rFonts w:eastAsiaTheme="minorEastAsia"/>
      <w:i/>
      <w:iCs/>
      <w:color w:val="02847D" w:themeColor="accent1"/>
    </w:rPr>
  </w:style>
  <w:style w:type="paragraph" w:styleId="BodyText2">
    <w:name w:val="Body Text 2"/>
    <w:basedOn w:val="amprBodyText"/>
    <w:link w:val="BodyText2Char"/>
    <w:uiPriority w:val="89"/>
    <w:semiHidden/>
  </w:style>
  <w:style w:type="character" w:customStyle="1" w:styleId="BodyText2Char">
    <w:name w:val="Body Text 2 Char"/>
    <w:basedOn w:val="DefaultParagraphFont"/>
    <w:link w:val="BodyText2"/>
    <w:uiPriority w:val="89"/>
    <w:semiHidden/>
    <w:rPr>
      <w:rFonts w:eastAsia="EC Square Sans Pro" w:cs="Times New Roman"/>
      <w:szCs w:val="21"/>
      <w:lang w:val="en-GB" w:eastAsia="zh-CN"/>
    </w:rPr>
  </w:style>
  <w:style w:type="paragraph" w:styleId="BodyText3">
    <w:name w:val="Body Text 3"/>
    <w:basedOn w:val="amprBodyText"/>
    <w:link w:val="BodyText3Char"/>
    <w:uiPriority w:val="89"/>
    <w:semiHidden/>
  </w:style>
  <w:style w:type="character" w:customStyle="1" w:styleId="BodyText3Char">
    <w:name w:val="Body Text 3 Char"/>
    <w:basedOn w:val="DefaultParagraphFont"/>
    <w:link w:val="BodyText3"/>
    <w:uiPriority w:val="89"/>
    <w:semiHidden/>
    <w:rPr>
      <w:rFonts w:eastAsia="EC Square Sans Pro" w:cs="Times New Roman"/>
      <w:szCs w:val="21"/>
      <w:lang w:val="en-GB" w:eastAsia="zh-CN"/>
    </w:rPr>
  </w:style>
  <w:style w:type="paragraph" w:styleId="BodyTextFirstIndent">
    <w:name w:val="Body Text First Indent"/>
    <w:basedOn w:val="BodyText"/>
    <w:link w:val="BodyTextFirstIndentChar"/>
    <w:uiPriority w:val="99"/>
    <w:semiHidden/>
    <w:unhideWhenUsed/>
    <w:pPr>
      <w:ind w:firstLine="360"/>
    </w:pPr>
  </w:style>
  <w:style w:type="character" w:customStyle="1" w:styleId="BodyTextFirstIndentChar">
    <w:name w:val="Body Text First Indent Char"/>
    <w:basedOn w:val="BodyTextChar"/>
    <w:link w:val="BodyTextFirstIndent"/>
    <w:uiPriority w:val="99"/>
    <w:semiHidden/>
    <w:rPr>
      <w:rFonts w:eastAsia="EC Square Sans Pro" w:cs="Times New Roman"/>
      <w:color w:val="000000" w:themeColor="text1"/>
      <w:szCs w:val="21"/>
      <w:lang w:val="en-GB" w:eastAsia="zh-C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lang w:val="en-GB"/>
    </w:rPr>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rPr>
      <w:lang w:val="en-GB"/>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lang w:val="en-GB"/>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val="en-GB"/>
    </w:rPr>
  </w:style>
  <w:style w:type="paragraph" w:styleId="Closing">
    <w:name w:val="Closing"/>
    <w:basedOn w:val="Normal"/>
    <w:link w:val="ClosingChar"/>
    <w:uiPriority w:val="99"/>
    <w:semiHidden/>
    <w:unhideWhenUsed/>
    <w:pPr>
      <w:ind w:left="4252"/>
    </w:pPr>
  </w:style>
  <w:style w:type="character" w:customStyle="1" w:styleId="ClosingChar">
    <w:name w:val="Closing Char"/>
    <w:basedOn w:val="DefaultParagraphFont"/>
    <w:link w:val="Closing"/>
    <w:uiPriority w:val="99"/>
    <w:semiHidden/>
    <w:rPr>
      <w:lang w:val="en-GB"/>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lang w:val="en-GB"/>
    </w:rPr>
  </w:style>
  <w:style w:type="paragraph" w:styleId="DocumentMap">
    <w:name w:val="Document Map"/>
    <w:basedOn w:val="Normal"/>
    <w:link w:val="DocumentMapChar"/>
    <w:semiHidden/>
    <w:unhideWhenUsed/>
    <w:rPr>
      <w:rFonts w:cs="Tahoma"/>
      <w:sz w:val="16"/>
      <w:szCs w:val="16"/>
    </w:rPr>
  </w:style>
  <w:style w:type="character" w:customStyle="1" w:styleId="DocumentMapChar">
    <w:name w:val="Document Map Char"/>
    <w:basedOn w:val="DefaultParagraphFont"/>
    <w:link w:val="DocumentMap"/>
    <w:semiHidden/>
    <w:rPr>
      <w:rFonts w:cs="Tahoma"/>
      <w:sz w:val="16"/>
      <w:szCs w:val="16"/>
      <w:lang w:val="en-GB"/>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lang w:val="en-GB"/>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Pr>
      <w:rFonts w:eastAsiaTheme="majorEastAsia" w:cstheme="majorBidi"/>
    </w:rPr>
  </w:style>
  <w:style w:type="character" w:styleId="HTMLAcronym">
    <w:name w:val="HTML Acronym"/>
    <w:basedOn w:val="DefaultParagraphFont"/>
    <w:uiPriority w:val="99"/>
    <w:semiHidden/>
    <w:unhideWhenUsed/>
    <w:rPr>
      <w:rFonts w:ascii="EC Square Sans Pro" w:hAnsi="EC Square Sans Pro"/>
      <w:lang w:val="en-GB"/>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lang w:val="en-GB"/>
    </w:rPr>
  </w:style>
  <w:style w:type="character" w:styleId="HTMLCite">
    <w:name w:val="HTML Cite"/>
    <w:basedOn w:val="DefaultParagraphFont"/>
    <w:uiPriority w:val="99"/>
    <w:semiHidden/>
    <w:unhideWhenUsed/>
    <w:rPr>
      <w:rFonts w:ascii="EC Square Sans Pro" w:hAnsi="EC Square Sans Pro"/>
      <w:i/>
      <w:iCs/>
      <w:lang w:val="en-GB"/>
    </w:rPr>
  </w:style>
  <w:style w:type="character" w:styleId="HTMLCode">
    <w:name w:val="HTML Code"/>
    <w:basedOn w:val="DefaultParagraphFont"/>
    <w:uiPriority w:val="99"/>
    <w:semiHidden/>
    <w:unhideWhenUsed/>
    <w:rPr>
      <w:rFonts w:ascii="EC Square Sans Pro" w:hAnsi="EC Square Sans Pro" w:cs="Consolas"/>
      <w:sz w:val="20"/>
      <w:szCs w:val="20"/>
      <w:lang w:val="en-GB"/>
    </w:rPr>
  </w:style>
  <w:style w:type="character" w:styleId="HTMLDefinition">
    <w:name w:val="HTML Definition"/>
    <w:basedOn w:val="DefaultParagraphFont"/>
    <w:uiPriority w:val="99"/>
    <w:semiHidden/>
    <w:unhideWhenUsed/>
    <w:rPr>
      <w:rFonts w:ascii="EC Square Sans Pro" w:hAnsi="EC Square Sans Pro"/>
      <w:i/>
      <w:iCs/>
      <w:lang w:val="en-GB"/>
    </w:rPr>
  </w:style>
  <w:style w:type="character" w:styleId="HTMLKeyboard">
    <w:name w:val="HTML Keyboard"/>
    <w:basedOn w:val="DefaultParagraphFont"/>
    <w:uiPriority w:val="99"/>
    <w:semiHidden/>
    <w:unhideWhenUsed/>
    <w:rPr>
      <w:rFonts w:ascii="EC Square Sans Pro" w:hAnsi="EC Square Sans Pro" w:cs="Consolas"/>
      <w:sz w:val="20"/>
      <w:szCs w:val="20"/>
      <w:lang w:val="en-GB"/>
    </w:rPr>
  </w:style>
  <w:style w:type="paragraph" w:styleId="HTMLPreformatted">
    <w:name w:val="HTML Preformatted"/>
    <w:basedOn w:val="Normal"/>
    <w:link w:val="HTMLPreformattedChar"/>
    <w:uiPriority w:val="99"/>
    <w:semiHidden/>
    <w:unhideWhenUsed/>
    <w:rPr>
      <w:rFonts w:cs="Consolas"/>
    </w:rPr>
  </w:style>
  <w:style w:type="character" w:customStyle="1" w:styleId="HTMLPreformattedChar">
    <w:name w:val="HTML Preformatted Char"/>
    <w:basedOn w:val="DefaultParagraphFont"/>
    <w:link w:val="HTMLPreformatted"/>
    <w:uiPriority w:val="99"/>
    <w:semiHidden/>
    <w:rPr>
      <w:rFonts w:cs="Consolas"/>
      <w:lang w:val="en-GB"/>
    </w:rPr>
  </w:style>
  <w:style w:type="character" w:styleId="HTMLSample">
    <w:name w:val="HTML Sample"/>
    <w:basedOn w:val="DefaultParagraphFont"/>
    <w:uiPriority w:val="99"/>
    <w:semiHidden/>
    <w:unhideWhenUsed/>
    <w:rPr>
      <w:rFonts w:ascii="EC Square Sans Pro" w:hAnsi="EC Square Sans Pro" w:cs="Consolas"/>
      <w:sz w:val="24"/>
      <w:szCs w:val="24"/>
      <w:lang w:val="en-GB"/>
    </w:rPr>
  </w:style>
  <w:style w:type="character" w:styleId="HTMLTypewriter">
    <w:name w:val="HTML Typewriter"/>
    <w:basedOn w:val="DefaultParagraphFont"/>
    <w:uiPriority w:val="99"/>
    <w:semiHidden/>
    <w:unhideWhenUsed/>
    <w:rPr>
      <w:rFonts w:ascii="EC Square Sans Pro" w:hAnsi="EC Square Sans Pro" w:cs="Consolas"/>
      <w:sz w:val="20"/>
      <w:szCs w:val="20"/>
      <w:lang w:val="en-GB"/>
    </w:rPr>
  </w:style>
  <w:style w:type="character" w:styleId="HTMLVariable">
    <w:name w:val="HTML Variable"/>
    <w:basedOn w:val="DefaultParagraphFont"/>
    <w:uiPriority w:val="99"/>
    <w:semiHidden/>
    <w:unhideWhenUsed/>
    <w:rPr>
      <w:rFonts w:ascii="EC Square Sans Pro" w:hAnsi="EC Square Sans Pro"/>
      <w:i/>
      <w:iCs/>
      <w:lang w:val="en-GB"/>
    </w:rPr>
  </w:style>
  <w:style w:type="paragraph" w:styleId="Index1">
    <w:name w:val="index 1"/>
    <w:basedOn w:val="Normal"/>
    <w:next w:val="Normal"/>
    <w:autoRedefine/>
    <w:uiPriority w:val="99"/>
    <w:semiHidden/>
    <w:unhideWhenUsed/>
    <w:pPr>
      <w:ind w:left="200" w:hanging="200"/>
    </w:pPr>
  </w:style>
  <w:style w:type="paragraph" w:styleId="Index2">
    <w:name w:val="index 2"/>
    <w:basedOn w:val="Normal"/>
    <w:next w:val="Normal"/>
    <w:autoRedefine/>
    <w:uiPriority w:val="99"/>
    <w:semiHidden/>
    <w:unhideWhenUsed/>
    <w:pPr>
      <w:ind w:left="400" w:hanging="200"/>
    </w:pPr>
  </w:style>
  <w:style w:type="paragraph" w:styleId="Index3">
    <w:name w:val="index 3"/>
    <w:basedOn w:val="Normal"/>
    <w:next w:val="Normal"/>
    <w:autoRedefine/>
    <w:uiPriority w:val="99"/>
    <w:semiHidden/>
    <w:unhideWhenUsed/>
    <w:pPr>
      <w:ind w:left="600" w:hanging="200"/>
    </w:pPr>
  </w:style>
  <w:style w:type="paragraph" w:styleId="Index4">
    <w:name w:val="index 4"/>
    <w:basedOn w:val="Normal"/>
    <w:next w:val="Normal"/>
    <w:autoRedefine/>
    <w:uiPriority w:val="99"/>
    <w:semiHidden/>
    <w:unhideWhenUsed/>
    <w:pPr>
      <w:ind w:left="800" w:hanging="200"/>
    </w:pPr>
  </w:style>
  <w:style w:type="paragraph" w:styleId="Index5">
    <w:name w:val="index 5"/>
    <w:basedOn w:val="Normal"/>
    <w:next w:val="Normal"/>
    <w:autoRedefine/>
    <w:uiPriority w:val="99"/>
    <w:semiHidden/>
    <w:unhideWhenUsed/>
    <w:pPr>
      <w:ind w:left="1000" w:hanging="200"/>
    </w:pPr>
  </w:style>
  <w:style w:type="paragraph" w:styleId="Index6">
    <w:name w:val="index 6"/>
    <w:basedOn w:val="Normal"/>
    <w:next w:val="Normal"/>
    <w:autoRedefine/>
    <w:uiPriority w:val="99"/>
    <w:semiHidden/>
    <w:unhideWhenUsed/>
    <w:pPr>
      <w:ind w:left="1200" w:hanging="200"/>
    </w:pPr>
  </w:style>
  <w:style w:type="paragraph" w:styleId="Index7">
    <w:name w:val="index 7"/>
    <w:basedOn w:val="Normal"/>
    <w:next w:val="Normal"/>
    <w:autoRedefine/>
    <w:uiPriority w:val="99"/>
    <w:semiHidden/>
    <w:unhideWhenUsed/>
    <w:pPr>
      <w:ind w:left="1400" w:hanging="200"/>
    </w:pPr>
  </w:style>
  <w:style w:type="paragraph" w:styleId="Index8">
    <w:name w:val="index 8"/>
    <w:basedOn w:val="Normal"/>
    <w:next w:val="Normal"/>
    <w:autoRedefine/>
    <w:uiPriority w:val="99"/>
    <w:semiHidden/>
    <w:unhideWhenUsed/>
    <w:pPr>
      <w:ind w:left="1600" w:hanging="200"/>
    </w:pPr>
  </w:style>
  <w:style w:type="paragraph" w:styleId="Index9">
    <w:name w:val="index 9"/>
    <w:basedOn w:val="Normal"/>
    <w:next w:val="Normal"/>
    <w:autoRedefine/>
    <w:uiPriority w:val="99"/>
    <w:semiHidden/>
    <w:unhideWhenUsed/>
    <w:pPr>
      <w:ind w:left="1800" w:hanging="200"/>
    </w:pPr>
  </w:style>
  <w:style w:type="paragraph" w:styleId="IndexHeading">
    <w:name w:val="index heading"/>
    <w:basedOn w:val="Normal"/>
    <w:next w:val="Index1"/>
    <w:uiPriority w:val="99"/>
    <w:semiHidden/>
    <w:unhideWhenUsed/>
    <w:rPr>
      <w:rFonts w:eastAsiaTheme="majorEastAsia" w:cstheme="majorBidi"/>
      <w:b/>
      <w:bCs/>
    </w:rPr>
  </w:style>
  <w:style w:type="character" w:styleId="LineNumber">
    <w:name w:val="line number"/>
    <w:basedOn w:val="DefaultParagraphFont"/>
    <w:uiPriority w:val="99"/>
    <w:semiHidden/>
    <w:unhideWhenUsed/>
    <w:rPr>
      <w:rFonts w:ascii="EC Square Sans Pro" w:hAnsi="EC Square Sans Pro"/>
      <w:lang w:val="en-GB"/>
    </w:rPr>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5">
    <w:name w:val="List Bullet 5"/>
    <w:basedOn w:val="Normal"/>
    <w:uiPriority w:val="99"/>
    <w:semiHidden/>
    <w:unhideWhenUsed/>
    <w:pPr>
      <w:numPr>
        <w:numId w:val="1"/>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5">
    <w:name w:val="List Number 5"/>
    <w:basedOn w:val="Normal"/>
    <w:uiPriority w:val="99"/>
    <w:semiHidden/>
    <w:unhideWhenUsed/>
    <w:pPr>
      <w:numPr>
        <w:numId w:val="2"/>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cs="Consolas"/>
      <w:lang w:val="en-GB"/>
    </w:rPr>
  </w:style>
  <w:style w:type="character" w:customStyle="1" w:styleId="MacroTextChar">
    <w:name w:val="Macro Text Char"/>
    <w:basedOn w:val="DefaultParagraphFont"/>
    <w:link w:val="MacroText"/>
    <w:uiPriority w:val="99"/>
    <w:semiHidden/>
    <w:rPr>
      <w:rFonts w:cs="Consolas"/>
      <w:lang w:val="en-GB"/>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Pr>
      <w:rFonts w:eastAsiaTheme="majorEastAsia" w:cstheme="majorBidi"/>
      <w:sz w:val="24"/>
      <w:szCs w:val="24"/>
      <w:shd w:val="pct20" w:color="auto" w:fill="auto"/>
      <w:lang w:val="en-GB"/>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lang w:val="en-GB"/>
    </w:rPr>
  </w:style>
  <w:style w:type="character" w:styleId="PageNumber">
    <w:name w:val="page number"/>
    <w:basedOn w:val="DefaultParagraphFont"/>
    <w:unhideWhenUsed/>
    <w:rPr>
      <w:rFonts w:ascii="EC Square Sans Pro" w:hAnsi="EC Square Sans Pro"/>
      <w:lang w:val="en-GB"/>
    </w:rPr>
  </w:style>
  <w:style w:type="character" w:styleId="PlaceholderText">
    <w:name w:val="Placeholder Text"/>
    <w:basedOn w:val="DefaultParagraphFont"/>
    <w:uiPriority w:val="99"/>
    <w:semiHidden/>
    <w:rPr>
      <w:rFonts w:ascii="EC Square Sans Pro" w:hAnsi="EC Square Sans Pro"/>
      <w:color w:val="808080"/>
      <w:lang w:val="en-GB"/>
    </w:rPr>
  </w:style>
  <w:style w:type="paragraph" w:styleId="PlainText">
    <w:name w:val="Plain Text"/>
    <w:basedOn w:val="Normal"/>
    <w:link w:val="PlainTextChar"/>
    <w:uiPriority w:val="99"/>
    <w:semiHidden/>
    <w:unhideWhenUsed/>
    <w:rPr>
      <w:rFonts w:cs="Consolas"/>
      <w:sz w:val="21"/>
      <w:szCs w:val="21"/>
    </w:rPr>
  </w:style>
  <w:style w:type="character" w:customStyle="1" w:styleId="PlainTextChar">
    <w:name w:val="Plain Text Char"/>
    <w:basedOn w:val="DefaultParagraphFont"/>
    <w:link w:val="PlainText"/>
    <w:uiPriority w:val="99"/>
    <w:semiHidden/>
    <w:rPr>
      <w:rFonts w:cs="Consolas"/>
      <w:sz w:val="21"/>
      <w:szCs w:val="21"/>
      <w:lang w:val="en-GB"/>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lang w:val="en-GB"/>
    </w:rPr>
  </w:style>
  <w:style w:type="paragraph" w:styleId="Signature">
    <w:name w:val="Signature"/>
    <w:link w:val="SignatureChar"/>
    <w:uiPriority w:val="99"/>
    <w:pPr>
      <w:spacing w:before="400"/>
      <w:contextualSpacing/>
    </w:pPr>
    <w:rPr>
      <w:sz w:val="22"/>
      <w:szCs w:val="22"/>
      <w:lang w:val="en-GB"/>
    </w:rPr>
  </w:style>
  <w:style w:type="character" w:customStyle="1" w:styleId="SignatureChar">
    <w:name w:val="Signature Char"/>
    <w:basedOn w:val="DefaultParagraphFont"/>
    <w:link w:val="Signature"/>
    <w:uiPriority w:val="99"/>
    <w:rPr>
      <w:sz w:val="22"/>
      <w:szCs w:val="22"/>
      <w:lang w:val="en-GB"/>
    </w:rPr>
  </w:style>
  <w:style w:type="paragraph" w:styleId="TableofAuthorities">
    <w:name w:val="table of authorities"/>
    <w:basedOn w:val="Normal"/>
    <w:next w:val="Normal"/>
    <w:uiPriority w:val="99"/>
    <w:semiHidden/>
    <w:unhideWhenUsed/>
    <w:pPr>
      <w:ind w:left="200" w:hanging="200"/>
    </w:pPr>
  </w:style>
  <w:style w:type="paragraph" w:styleId="TOAHeading">
    <w:name w:val="toa heading"/>
    <w:basedOn w:val="amprH1TITLE-noTOC"/>
    <w:next w:val="Normal"/>
    <w:uiPriority w:val="99"/>
    <w:semiHidden/>
    <w:unhideWhenUsed/>
  </w:style>
  <w:style w:type="character" w:customStyle="1" w:styleId="BOLDBLUE">
    <w:name w:val="BOLD BLUE"/>
    <w:basedOn w:val="BodyTextChar"/>
    <w:uiPriority w:val="40"/>
    <w:semiHidden/>
    <w:qFormat/>
    <w:rPr>
      <w:rFonts w:eastAsia="EC Square Sans Pro" w:cs="Times New Roman"/>
      <w:b/>
      <w:color w:val="245F95" w:themeColor="text2"/>
      <w:szCs w:val="21"/>
      <w:lang w:val="en-GB" w:eastAsia="fr-BE"/>
    </w:rPr>
  </w:style>
  <w:style w:type="table" w:styleId="ListTable2-Accent2">
    <w:name w:val="List Table 2 Accent 2"/>
    <w:basedOn w:val="TableNormal"/>
    <w:uiPriority w:val="47"/>
    <w:pPr>
      <w:spacing w:after="0" w:line="240" w:lineRule="auto"/>
    </w:pPr>
    <w:tblPr>
      <w:tblStyleRowBandSize w:val="1"/>
      <w:tblStyleColBandSize w:val="1"/>
      <w:tblBorders>
        <w:top w:val="single" w:sz="4" w:space="0" w:color="F7A78E" w:themeColor="accent2" w:themeTint="99"/>
        <w:bottom w:val="single" w:sz="4" w:space="0" w:color="F7A78E" w:themeColor="accent2" w:themeTint="99"/>
        <w:insideH w:val="single" w:sz="4" w:space="0" w:color="F7A78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1D9" w:themeFill="accent2" w:themeFillTint="33"/>
      </w:tcPr>
    </w:tblStylePr>
    <w:tblStylePr w:type="band1Horz">
      <w:tblPr/>
      <w:tcPr>
        <w:shd w:val="clear" w:color="auto" w:fill="FCE1D9" w:themeFill="accent2" w:themeFillTint="33"/>
      </w:tcPr>
    </w:tblStylePr>
  </w:style>
  <w:style w:type="paragraph" w:styleId="Header">
    <w:name w:val="header"/>
    <w:basedOn w:val="amprHeader-Right"/>
    <w:link w:val="HeaderChar"/>
    <w:unhideWhenUsed/>
  </w:style>
  <w:style w:type="character" w:customStyle="1" w:styleId="HeaderChar">
    <w:name w:val="Header Char"/>
    <w:basedOn w:val="DefaultParagraphFont"/>
    <w:link w:val="Header"/>
    <w:rPr>
      <w:rFonts w:eastAsia="EC Square Sans Pro" w:cs="Times New Roman"/>
      <w:color w:val="767676"/>
      <w:szCs w:val="21"/>
      <w:lang w:val="en-GB" w:eastAsia="zh-CN"/>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GB"/>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BASE-STYLE-TEXT"/>
    <w:link w:val="FootnoteTextChar"/>
    <w:uiPriority w:val="99"/>
    <w:unhideWhenUsed/>
    <w:qFormat/>
    <w:pPr>
      <w:spacing w:after="0" w:line="240" w:lineRule="auto"/>
      <w:ind w:left="357" w:hanging="357"/>
      <w:jc w:val="left"/>
    </w:pPr>
    <w:rPr>
      <w:sz w:val="20"/>
      <w:szCs w:val="20"/>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qFormat/>
    <w:rPr>
      <w:rFonts w:eastAsia="EC Square Sans Pro" w:cs="Times New Roman"/>
      <w:color w:val="000000" w:themeColor="text1"/>
      <w:lang w:val="en-GB" w:eastAsia="zh-CN"/>
    </w:rPr>
  </w:style>
  <w:style w:type="paragraph" w:customStyle="1" w:styleId="amprTable-ChartSOURCEandPhotoCAPTION">
    <w:name w:val="[ampr] Table-Chart SOURCE and Photo CAPTION"/>
    <w:next w:val="amprBodyText"/>
    <w:uiPriority w:val="2"/>
    <w:qFormat/>
    <w:pPr>
      <w:spacing w:before="40"/>
      <w:contextualSpacing/>
    </w:pPr>
    <w:rPr>
      <w:rFonts w:eastAsia="Calibri"/>
      <w:iCs/>
      <w:noProof/>
      <w:sz w:val="16"/>
      <w:szCs w:val="16"/>
      <w:lang w:val="en-GB" w:eastAsia="fr-BE"/>
    </w:rPr>
  </w:style>
  <w:style w:type="table" w:customStyle="1" w:styleId="AMPR2021">
    <w:name w:val="AMPR_2021"/>
    <w:basedOn w:val="TableNormal"/>
    <w:uiPriority w:val="99"/>
    <w:pPr>
      <w:spacing w:before="100" w:after="100"/>
    </w:pPr>
    <w:rPr>
      <w:lang w:val="en-GB"/>
    </w:rPr>
    <w:tblPr>
      <w:tblStyleRowBandSize w:val="1"/>
      <w:tblStyleColBandSize w:val="1"/>
      <w:tblBorders>
        <w:top w:val="single" w:sz="4" w:space="0" w:color="8C8C8C"/>
        <w:bottom w:val="single" w:sz="4" w:space="0" w:color="8C8C8C"/>
        <w:insideH w:val="single" w:sz="4" w:space="0" w:color="8C8C8C"/>
      </w:tblBorders>
    </w:tblPr>
    <w:trPr>
      <w:cantSplit/>
    </w:trPr>
    <w:tblStylePr w:type="firstRow">
      <w:pPr>
        <w:wordWrap/>
        <w:jc w:val="center"/>
      </w:pPr>
      <w:rPr>
        <w:b/>
        <w:color w:val="FFFFFF" w:themeColor="background1"/>
      </w:rPr>
      <w:tblPr/>
      <w:tcPr>
        <w:tcBorders>
          <w:top w:val="nil"/>
          <w:left w:val="nil"/>
          <w:bottom w:val="nil"/>
          <w:right w:val="nil"/>
          <w:insideH w:val="nil"/>
          <w:insideV w:val="nil"/>
          <w:tl2br w:val="nil"/>
          <w:tr2bl w:val="nil"/>
        </w:tcBorders>
        <w:shd w:val="clear" w:color="auto" w:fill="245F95" w:themeFill="text2"/>
      </w:tcPr>
    </w:tblStylePr>
    <w:tblStylePr w:type="lastRow">
      <w:rPr>
        <w:b/>
        <w:color w:val="245F95" w:themeColor="text2"/>
      </w:rPr>
      <w:tblPr/>
      <w:tcPr>
        <w:tcBorders>
          <w:bottom w:val="nil"/>
        </w:tcBorders>
        <w:shd w:val="clear" w:color="auto" w:fill="FFFFFF" w:themeFill="background1"/>
      </w:tcPr>
    </w:tblStylePr>
    <w:tblStylePr w:type="firstCol">
      <w:pPr>
        <w:wordWrap/>
        <w:spacing w:beforeLines="0" w:before="100" w:beforeAutospacing="0" w:afterLines="0" w:after="100" w:afterAutospacing="0" w:line="22" w:lineRule="atLeast"/>
        <w:contextualSpacing w:val="0"/>
        <w:jc w:val="left"/>
      </w:pPr>
      <w:rPr>
        <w:b/>
        <w:i w:val="0"/>
        <w:color w:val="02847D" w:themeColor="accent1"/>
      </w:rPr>
    </w:tblStylePr>
    <w:tblStylePr w:type="lastCol">
      <w:rPr>
        <w:b/>
      </w:rPr>
    </w:tblStylePr>
    <w:tblStylePr w:type="band2Vert">
      <w:rPr>
        <w:b w:val="0"/>
      </w:rPr>
      <w:tblPr/>
      <w:tcPr>
        <w:tcBorders>
          <w:top w:val="single" w:sz="4" w:space="0" w:color="8C8C8C"/>
          <w:left w:val="nil"/>
          <w:bottom w:val="single" w:sz="4" w:space="0" w:color="8C8C8C"/>
          <w:right w:val="nil"/>
          <w:insideH w:val="single" w:sz="4" w:space="0" w:color="8C8C8C"/>
          <w:insideV w:val="nil"/>
          <w:tl2br w:val="nil"/>
          <w:tr2bl w:val="nil"/>
        </w:tcBorders>
        <w:shd w:val="clear" w:color="auto" w:fill="F2F2F2" w:themeFill="background1" w:themeFillShade="F2"/>
      </w:tcPr>
    </w:tblStylePr>
    <w:tblStylePr w:type="band1Horz">
      <w:rPr>
        <w:b w:val="0"/>
      </w:rPr>
      <w:tblPr/>
      <w:tcPr>
        <w:tcBorders>
          <w:top w:val="single" w:sz="4" w:space="0" w:color="8C8C8C"/>
          <w:left w:val="nil"/>
          <w:bottom w:val="single" w:sz="4" w:space="0" w:color="8C8C8C"/>
          <w:right w:val="nil"/>
          <w:insideH w:val="nil"/>
          <w:insideV w:val="nil"/>
          <w:tl2br w:val="nil"/>
          <w:tr2bl w:val="nil"/>
        </w:tcBorders>
      </w:tcPr>
    </w:tblStylePr>
    <w:tblStylePr w:type="band2Horz">
      <w:rPr>
        <w:b w:val="0"/>
      </w:rPr>
      <w:tblPr/>
      <w:tcPr>
        <w:tcBorders>
          <w:top w:val="single" w:sz="4" w:space="0" w:color="8C8C8C"/>
          <w:left w:val="nil"/>
          <w:bottom w:val="single" w:sz="4" w:space="0" w:color="8C8C8C"/>
          <w:right w:val="nil"/>
          <w:insideH w:val="nil"/>
          <w:insideV w:val="nil"/>
          <w:tl2br w:val="nil"/>
          <w:tr2bl w:val="nil"/>
        </w:tcBorders>
        <w:shd w:val="clear" w:color="auto" w:fill="F2F2F2" w:themeFill="background1" w:themeFillShade="F2"/>
      </w:tcPr>
    </w:tblStylePr>
  </w:style>
  <w:style w:type="numbering" w:customStyle="1" w:styleId="Style1">
    <w:name w:val="Style1"/>
    <w:uiPriority w:val="99"/>
    <w:pPr>
      <w:numPr>
        <w:numId w:val="3"/>
      </w:numPr>
    </w:pPr>
  </w:style>
  <w:style w:type="paragraph" w:styleId="Caption">
    <w:name w:val="caption"/>
    <w:basedOn w:val="Normal"/>
    <w:next w:val="Normal"/>
    <w:link w:val="CaptionChar"/>
    <w:unhideWhenUsed/>
    <w:qFormat/>
    <w:pPr>
      <w:spacing w:before="0" w:after="200"/>
    </w:pPr>
    <w:rPr>
      <w:i/>
      <w:iCs/>
      <w:color w:val="245F95" w:themeColor="text2"/>
      <w:sz w:val="18"/>
      <w:szCs w:val="18"/>
    </w:rPr>
  </w:style>
  <w:style w:type="paragraph" w:styleId="CommentText">
    <w:name w:val="annotation text"/>
    <w:basedOn w:val="Normal"/>
    <w:link w:val="CommentTextChar"/>
    <w:uiPriority w:val="99"/>
    <w:unhideWhenUsed/>
    <w:qFormat/>
  </w:style>
  <w:style w:type="character" w:customStyle="1" w:styleId="CommentTextChar">
    <w:name w:val="Comment Text Char"/>
    <w:basedOn w:val="DefaultParagraphFont"/>
    <w:link w:val="CommentText"/>
    <w:uiPriority w:val="99"/>
    <w:rPr>
      <w:lang w:val="en-GB"/>
    </w:rPr>
  </w:style>
  <w:style w:type="paragraph" w:styleId="IntenseQuote">
    <w:name w:val="Intense Quote"/>
    <w:basedOn w:val="Normal"/>
    <w:next w:val="Normal"/>
    <w:link w:val="IntenseQuoteChar"/>
    <w:uiPriority w:val="30"/>
    <w:semiHidden/>
    <w:pPr>
      <w:keepLines/>
      <w:pBdr>
        <w:top w:val="single" w:sz="4" w:space="10" w:color="02847D" w:themeColor="accent1"/>
        <w:bottom w:val="single" w:sz="4" w:space="10" w:color="02847D" w:themeColor="accent1"/>
      </w:pBdr>
      <w:spacing w:before="360" w:after="360"/>
      <w:ind w:left="851" w:right="851"/>
      <w:jc w:val="center"/>
    </w:pPr>
    <w:rPr>
      <w:i/>
      <w:iCs/>
      <w:color w:val="245F95" w:themeColor="text2"/>
    </w:rPr>
  </w:style>
  <w:style w:type="character" w:customStyle="1" w:styleId="IntenseQuoteChar">
    <w:name w:val="Intense Quote Char"/>
    <w:basedOn w:val="DefaultParagraphFont"/>
    <w:link w:val="IntenseQuote"/>
    <w:uiPriority w:val="30"/>
    <w:rPr>
      <w:i/>
      <w:iCs/>
      <w:color w:val="245F95" w:themeColor="text2"/>
      <w:lang w:val="en-GB"/>
    </w:rPr>
  </w:style>
  <w:style w:type="paragraph" w:styleId="NoSpacing">
    <w:name w:val="No Spacing"/>
    <w:uiPriority w:val="1"/>
    <w:pPr>
      <w:spacing w:before="0" w:after="0"/>
    </w:pPr>
    <w:rPr>
      <w:lang w:val="en-GB"/>
    </w:rPr>
  </w:style>
  <w:style w:type="paragraph" w:customStyle="1" w:styleId="BASE-STYLE-TEXT">
    <w:name w:val="_BASE-STYLE-TEXT"/>
    <w:next w:val="Normal"/>
    <w:uiPriority w:val="40"/>
    <w:semiHidden/>
    <w:pPr>
      <w:spacing w:before="0" w:after="200"/>
      <w:jc w:val="both"/>
    </w:pPr>
    <w:rPr>
      <w:rFonts w:eastAsia="EC Square Sans Pro" w:cs="Times New Roman"/>
      <w:color w:val="000000" w:themeColor="text1"/>
      <w:sz w:val="18"/>
      <w:szCs w:val="21"/>
      <w:lang w:val="en-GB" w:eastAsia="zh-CN"/>
    </w:rPr>
  </w:style>
  <w:style w:type="paragraph" w:customStyle="1" w:styleId="BASE-STYLE-HEADINGS">
    <w:name w:val="_BASE-STYLE-HEADINGS"/>
    <w:basedOn w:val="BASE-STYLE-TEXT"/>
    <w:next w:val="Normal"/>
    <w:uiPriority w:val="40"/>
    <w:semiHidden/>
  </w:style>
  <w:style w:type="paragraph" w:customStyle="1" w:styleId="amprboxBLUEtext">
    <w:name w:val="[ampr box BLUE] text"/>
    <w:basedOn w:val="BASE-STYLE-TEXT"/>
    <w:uiPriority w:val="5"/>
    <w:qFormat/>
    <w:pPr>
      <w:pBdr>
        <w:top w:val="single" w:sz="12" w:space="8" w:color="245F95" w:themeColor="text2"/>
        <w:left w:val="single" w:sz="12" w:space="8" w:color="245F95" w:themeColor="text2"/>
        <w:bottom w:val="single" w:sz="12" w:space="8" w:color="245F95" w:themeColor="text2"/>
        <w:right w:val="single" w:sz="12" w:space="8" w:color="245F95" w:themeColor="text2"/>
      </w:pBdr>
      <w:shd w:val="clear" w:color="auto" w:fill="245F95" w:themeFill="text2"/>
      <w:spacing w:before="240" w:after="240"/>
    </w:pPr>
    <w:rPr>
      <w:color w:val="FFFFFF" w:themeColor="background1"/>
      <w:sz w:val="20"/>
      <w:lang w:eastAsia="fr-BE"/>
    </w:rPr>
  </w:style>
  <w:style w:type="paragraph" w:customStyle="1" w:styleId="amprboxGREENdashedbulletlist">
    <w:name w:val="[ampr box GREEN dashed] bullet list"/>
    <w:basedOn w:val="amprboxGREENdashedtext"/>
    <w:uiPriority w:val="5"/>
    <w:qFormat/>
    <w:pPr>
      <w:numPr>
        <w:numId w:val="7"/>
      </w:numPr>
      <w:spacing w:before="60" w:after="60"/>
      <w:ind w:left="357" w:hanging="357"/>
    </w:pPr>
  </w:style>
  <w:style w:type="paragraph" w:customStyle="1" w:styleId="amprboxGREENdashedheading">
    <w:name w:val="[ampr box GREEN dashed] heading"/>
    <w:basedOn w:val="amprboxGREENdashedtext"/>
    <w:next w:val="Normal"/>
    <w:uiPriority w:val="5"/>
    <w:qFormat/>
    <w:pPr>
      <w:keepNext/>
    </w:pPr>
    <w:rPr>
      <w:b/>
      <w:color w:val="02847D" w:themeColor="accent1"/>
    </w:rPr>
  </w:style>
  <w:style w:type="paragraph" w:customStyle="1" w:styleId="amprboxGREENdashedtext">
    <w:name w:val="[ampr box GREEN dashed] text"/>
    <w:basedOn w:val="BASE-STYLE-TEXT"/>
    <w:uiPriority w:val="5"/>
    <w:qFormat/>
    <w:pPr>
      <w:keepLines/>
      <w:pBdr>
        <w:top w:val="dashSmallGap" w:sz="12" w:space="8" w:color="02847D" w:themeColor="accent1"/>
        <w:left w:val="dashSmallGap" w:sz="12" w:space="8" w:color="02847D" w:themeColor="accent1"/>
        <w:bottom w:val="dashSmallGap" w:sz="12" w:space="8" w:color="02847D" w:themeColor="accent1"/>
        <w:right w:val="dashSmallGap" w:sz="12" w:space="8" w:color="02847D" w:themeColor="accent1"/>
      </w:pBdr>
      <w:spacing w:before="240" w:after="240"/>
    </w:pPr>
    <w:rPr>
      <w:sz w:val="20"/>
      <w:lang w:eastAsia="fr-BE"/>
    </w:rPr>
  </w:style>
  <w:style w:type="character" w:customStyle="1" w:styleId="amprcharCharttitle">
    <w:name w:val="[ampr char] Chart title"/>
    <w:qFormat/>
    <w:rsid w:val="00FB4DAD"/>
    <w:rPr>
      <w:b/>
      <w:color w:val="DC3903"/>
      <w:spacing w:val="1"/>
      <w:bdr w:val="none" w:sz="0" w:space="0" w:color="auto"/>
      <w:shd w:val="clear" w:color="auto" w:fill="auto"/>
      <w:lang w:val="en-GB"/>
    </w:rPr>
  </w:style>
  <w:style w:type="numbering" w:customStyle="1" w:styleId="amprLISTblackbullets">
    <w:name w:val="[ampr LIST black]  bullets"/>
    <w:uiPriority w:val="99"/>
    <w:pPr>
      <w:numPr>
        <w:numId w:val="4"/>
      </w:numPr>
    </w:pPr>
  </w:style>
  <w:style w:type="paragraph" w:customStyle="1" w:styleId="amprLISTblackbullets-L1">
    <w:name w:val="[ampr LIST black] bullets - L1"/>
    <w:basedOn w:val="BASE-STYLE-TEXT"/>
    <w:uiPriority w:val="5"/>
    <w:qFormat/>
    <w:pPr>
      <w:numPr>
        <w:numId w:val="5"/>
      </w:numPr>
      <w:spacing w:before="60" w:after="60"/>
    </w:pPr>
    <w:rPr>
      <w:sz w:val="20"/>
      <w:lang w:eastAsia="fr-BE"/>
    </w:rPr>
  </w:style>
  <w:style w:type="paragraph" w:customStyle="1" w:styleId="amprLISTblackbullets-L2">
    <w:name w:val="[ampr LIST black] bullets - L2"/>
    <w:basedOn w:val="BASE-STYLE-TEXT"/>
    <w:uiPriority w:val="5"/>
    <w:qFormat/>
    <w:pPr>
      <w:numPr>
        <w:ilvl w:val="1"/>
        <w:numId w:val="5"/>
      </w:numPr>
      <w:spacing w:before="60" w:after="60"/>
      <w:ind w:left="1434" w:hanging="357"/>
    </w:pPr>
    <w:rPr>
      <w:sz w:val="20"/>
      <w:lang w:eastAsia="fr-BE"/>
    </w:rPr>
  </w:style>
  <w:style w:type="numbering" w:customStyle="1" w:styleId="amprLISTgreenbullets">
    <w:name w:val="[ampr LIST green] bullets"/>
    <w:uiPriority w:val="99"/>
    <w:pPr>
      <w:numPr>
        <w:numId w:val="6"/>
      </w:numPr>
    </w:pPr>
  </w:style>
  <w:style w:type="paragraph" w:customStyle="1" w:styleId="amprLISTgreenbullets-L1">
    <w:name w:val="[ampr LIST green] bullets - L1"/>
    <w:basedOn w:val="BASE-STYLE-TEXT"/>
    <w:uiPriority w:val="5"/>
    <w:qFormat/>
    <w:pPr>
      <w:numPr>
        <w:numId w:val="11"/>
      </w:numPr>
      <w:spacing w:before="60" w:after="60"/>
    </w:pPr>
    <w:rPr>
      <w:sz w:val="20"/>
      <w:lang w:eastAsia="fr-BE"/>
    </w:rPr>
  </w:style>
  <w:style w:type="paragraph" w:customStyle="1" w:styleId="amprLISTgreenbullets-L1consecutiveparagraph">
    <w:name w:val="[ampr LIST green] bullets - L1 (consecutive paragraph)"/>
    <w:basedOn w:val="amprLISTgreenbullets-L1"/>
    <w:uiPriority w:val="5"/>
    <w:qFormat/>
    <w:pPr>
      <w:numPr>
        <w:numId w:val="0"/>
      </w:numPr>
      <w:ind w:left="720"/>
    </w:pPr>
  </w:style>
  <w:style w:type="paragraph" w:customStyle="1" w:styleId="amprLISTgreenbullets-L2">
    <w:name w:val="[ampr LIST green] bullets - L2"/>
    <w:basedOn w:val="BASE-STYLE-TEXT"/>
    <w:uiPriority w:val="5"/>
    <w:qFormat/>
    <w:pPr>
      <w:numPr>
        <w:ilvl w:val="1"/>
        <w:numId w:val="11"/>
      </w:numPr>
      <w:spacing w:before="60" w:after="60"/>
      <w:ind w:left="1434" w:hanging="357"/>
    </w:pPr>
    <w:rPr>
      <w:sz w:val="20"/>
      <w:lang w:eastAsia="fr-BE"/>
    </w:rPr>
  </w:style>
  <w:style w:type="paragraph" w:customStyle="1" w:styleId="OPcomment">
    <w:name w:val="OP comment"/>
    <w:uiPriority w:val="89"/>
    <w:semiHidden/>
    <w:qFormat/>
    <w:pPr>
      <w:pBdr>
        <w:top w:val="single" w:sz="48" w:space="31" w:color="595959" w:themeColor="text1" w:themeTint="A6"/>
        <w:left w:val="single" w:sz="48" w:space="31" w:color="595959" w:themeColor="text1" w:themeTint="A6"/>
        <w:bottom w:val="single" w:sz="48" w:space="31" w:color="595959" w:themeColor="text1" w:themeTint="A6"/>
        <w:right w:val="single" w:sz="48" w:space="31" w:color="595959" w:themeColor="text1" w:themeTint="A6"/>
      </w:pBdr>
      <w:shd w:val="clear" w:color="auto" w:fill="595959" w:themeFill="text1" w:themeFillTint="A6"/>
      <w:spacing w:before="0" w:line="288" w:lineRule="auto"/>
      <w:ind w:left="-660" w:right="-680"/>
    </w:pPr>
    <w:rPr>
      <w:rFonts w:cs="Arial"/>
      <w:color w:val="FFFFFF"/>
      <w:sz w:val="24"/>
      <w:lang w:val="en-GB"/>
    </w:rPr>
  </w:style>
  <w:style w:type="paragraph" w:customStyle="1" w:styleId="amprBodyText">
    <w:name w:val="[ampr] Body Text"/>
    <w:basedOn w:val="BASE-STYLE-TEXT"/>
    <w:uiPriority w:val="1"/>
    <w:qFormat/>
    <w:pPr>
      <w:spacing w:before="240" w:after="240"/>
      <w:jc w:val="left"/>
    </w:pPr>
    <w:rPr>
      <w:color w:val="auto"/>
      <w:sz w:val="20"/>
    </w:rPr>
  </w:style>
  <w:style w:type="paragraph" w:customStyle="1" w:styleId="amprTable-ChartTITLE">
    <w:name w:val="[ampr] Table-Chart TITLE"/>
    <w:basedOn w:val="BASE-STYLE-TEXT"/>
    <w:next w:val="amprTable-ChartSOURCEandPhotoCAPTION"/>
    <w:uiPriority w:val="2"/>
    <w:qFormat/>
    <w:pPr>
      <w:spacing w:before="40" w:after="0" w:line="240" w:lineRule="auto"/>
      <w:jc w:val="left"/>
    </w:pPr>
    <w:rPr>
      <w:rFonts w:ascii="EC Square Sans Cond Pro Medium" w:eastAsia="Calibri" w:hAnsi="EC Square Sans Cond Pro Medium"/>
      <w:color w:val="auto"/>
      <w:sz w:val="16"/>
      <w:szCs w:val="16"/>
      <w:lang w:eastAsia="fr-BE"/>
    </w:rPr>
  </w:style>
  <w:style w:type="paragraph" w:customStyle="1" w:styleId="amprFooter-Left">
    <w:name w:val="[ampr] Footer - Left"/>
    <w:basedOn w:val="BASE-STYLE-TEXT"/>
    <w:next w:val="amprBodyText"/>
    <w:uiPriority w:val="10"/>
    <w:qFormat/>
    <w:pPr>
      <w:spacing w:after="0" w:line="240" w:lineRule="auto"/>
      <w:jc w:val="left"/>
    </w:pPr>
    <w:rPr>
      <w:color w:val="auto"/>
      <w:sz w:val="20"/>
    </w:rPr>
  </w:style>
  <w:style w:type="paragraph" w:customStyle="1" w:styleId="amprFooter-Right">
    <w:name w:val="[ampr] Footer - Right"/>
    <w:basedOn w:val="BASE-STYLE-TEXT"/>
    <w:next w:val="amprBodyText"/>
    <w:uiPriority w:val="10"/>
    <w:qFormat/>
    <w:pPr>
      <w:spacing w:after="0" w:line="240" w:lineRule="auto"/>
      <w:jc w:val="right"/>
    </w:pPr>
    <w:rPr>
      <w:color w:val="auto"/>
      <w:sz w:val="20"/>
    </w:rPr>
  </w:style>
  <w:style w:type="paragraph" w:customStyle="1" w:styleId="amprHeader-Left">
    <w:name w:val="[ampr] Header - Left"/>
    <w:basedOn w:val="BASE-STYLE-TEXT"/>
    <w:next w:val="amprBodyText"/>
    <w:uiPriority w:val="10"/>
    <w:qFormat/>
    <w:pPr>
      <w:spacing w:after="0" w:line="240" w:lineRule="auto"/>
      <w:jc w:val="left"/>
    </w:pPr>
    <w:rPr>
      <w:color w:val="767676"/>
      <w:sz w:val="20"/>
    </w:rPr>
  </w:style>
  <w:style w:type="paragraph" w:customStyle="1" w:styleId="amprHeader-Right">
    <w:name w:val="[ampr] Header - Right"/>
    <w:basedOn w:val="BASE-STYLE-TEXT"/>
    <w:next w:val="amprBodyText"/>
    <w:uiPriority w:val="10"/>
    <w:qFormat/>
    <w:pPr>
      <w:spacing w:after="0" w:line="240" w:lineRule="auto"/>
      <w:jc w:val="right"/>
    </w:pPr>
    <w:rPr>
      <w:color w:val="767676"/>
      <w:sz w:val="20"/>
    </w:rPr>
  </w:style>
  <w:style w:type="paragraph" w:customStyle="1" w:styleId="amprImageplaceholder">
    <w:name w:val="[ampr] Image placeholder"/>
    <w:next w:val="amprBodyText"/>
    <w:uiPriority w:val="2"/>
    <w:qFormat/>
    <w:pPr>
      <w:spacing w:after="40" w:line="240" w:lineRule="auto"/>
      <w:jc w:val="center"/>
    </w:pPr>
    <w:rPr>
      <w:rFonts w:eastAsia="EC Square Sans Pro" w:cs="Times New Roman"/>
      <w:szCs w:val="21"/>
      <w:lang w:val="en-GB" w:eastAsia="zh-CN"/>
    </w:rPr>
  </w:style>
  <w:style w:type="paragraph" w:customStyle="1" w:styleId="amprH4Subhead1">
    <w:name w:val="[ampr H4] Subhead 1"/>
    <w:basedOn w:val="BASE-STYLE-HEADINGS"/>
    <w:next w:val="amprBodyText"/>
    <w:uiPriority w:val="9"/>
    <w:qFormat/>
    <w:pPr>
      <w:keepNext/>
      <w:keepLines/>
      <w:suppressAutoHyphens/>
      <w:spacing w:before="480" w:after="240"/>
      <w:jc w:val="left"/>
      <w:outlineLvl w:val="3"/>
    </w:pPr>
    <w:rPr>
      <w:color w:val="245F95" w:themeColor="text2"/>
      <w:sz w:val="28"/>
    </w:rPr>
  </w:style>
  <w:style w:type="paragraph" w:customStyle="1" w:styleId="amprH5Subhead2">
    <w:name w:val="[ampr H5] Subhead 2"/>
    <w:basedOn w:val="BASE-STYLE-HEADINGS"/>
    <w:next w:val="amprBodyText"/>
    <w:uiPriority w:val="9"/>
    <w:qFormat/>
    <w:pPr>
      <w:keepNext/>
      <w:keepLines/>
      <w:suppressAutoHyphens/>
      <w:spacing w:before="480" w:after="240"/>
      <w:jc w:val="left"/>
      <w:outlineLvl w:val="4"/>
    </w:pPr>
    <w:rPr>
      <w:b/>
      <w:color w:val="245F95" w:themeColor="text2"/>
      <w:sz w:val="24"/>
    </w:rPr>
  </w:style>
  <w:style w:type="paragraph" w:customStyle="1" w:styleId="amprH6Subhead3">
    <w:name w:val="[ampr H6] Subhead 3"/>
    <w:basedOn w:val="BASE-STYLE-HEADINGS"/>
    <w:next w:val="amprBodyText"/>
    <w:uiPriority w:val="9"/>
    <w:qFormat/>
    <w:pPr>
      <w:keepNext/>
      <w:keepLines/>
      <w:suppressAutoHyphens/>
      <w:spacing w:before="240" w:after="240"/>
      <w:ind w:left="340"/>
      <w:jc w:val="left"/>
      <w:outlineLvl w:val="5"/>
    </w:pPr>
    <w:rPr>
      <w:b/>
      <w:color w:val="02847D" w:themeColor="accent1"/>
      <w:sz w:val="24"/>
      <w14:textOutline w14:w="9525" w14:cap="rnd" w14:cmpd="sng" w14:algn="ctr">
        <w14:noFill/>
        <w14:prstDash w14:val="solid"/>
        <w14:bevel/>
      </w14:textOutline>
    </w:rPr>
  </w:style>
  <w:style w:type="paragraph" w:customStyle="1" w:styleId="amprH2TITLE1">
    <w:name w:val="[ampr H2] TITLE 1"/>
    <w:basedOn w:val="BASE-STYLE-HEADINGS"/>
    <w:next w:val="amprBodyText"/>
    <w:uiPriority w:val="9"/>
    <w:qFormat/>
    <w:pPr>
      <w:keepNext/>
      <w:keepLines/>
      <w:pageBreakBefore/>
      <w:suppressAutoHyphens/>
      <w:spacing w:after="720"/>
      <w:jc w:val="left"/>
      <w:outlineLvl w:val="1"/>
    </w:pPr>
    <w:rPr>
      <w:color w:val="245F95" w:themeColor="text2"/>
      <w:sz w:val="48"/>
    </w:rPr>
  </w:style>
  <w:style w:type="paragraph" w:customStyle="1" w:styleId="amprH1TITLE-noTOC">
    <w:name w:val="[ampr H1] TITLE - noTOC"/>
    <w:basedOn w:val="amprH2TITLE1"/>
    <w:next w:val="amprBodyText"/>
    <w:uiPriority w:val="9"/>
    <w:qFormat/>
    <w:pPr>
      <w:spacing w:after="480"/>
      <w:outlineLvl w:val="0"/>
    </w:pPr>
  </w:style>
  <w:style w:type="paragraph" w:customStyle="1" w:styleId="amprH3Title2">
    <w:name w:val="[ampr H3] Title 2"/>
    <w:basedOn w:val="BASE-STYLE-HEADINGS"/>
    <w:next w:val="amprBodyText"/>
    <w:uiPriority w:val="9"/>
    <w:qFormat/>
    <w:rsid w:val="00FB4DAD"/>
    <w:pPr>
      <w:keepNext/>
      <w:keepLines/>
      <w:pBdr>
        <w:bottom w:val="single" w:sz="6" w:space="1" w:color="F36E44" w:themeColor="accent2"/>
      </w:pBdr>
      <w:suppressAutoHyphens/>
      <w:spacing w:before="480" w:after="240"/>
      <w:jc w:val="left"/>
      <w:outlineLvl w:val="2"/>
    </w:pPr>
    <w:rPr>
      <w:b/>
      <w:color w:val="245F95" w:themeColor="text2"/>
      <w:sz w:val="28"/>
    </w:rPr>
  </w:style>
  <w:style w:type="paragraph" w:customStyle="1" w:styleId="amprH4Subhead1-Numbered-111">
    <w:name w:val="[ampr H4] Subhead 1 - Numbered - 1.1.1."/>
    <w:basedOn w:val="amprH4Subhead1"/>
    <w:next w:val="amprBodyText"/>
    <w:uiPriority w:val="9"/>
    <w:qFormat/>
    <w:pPr>
      <w:numPr>
        <w:ilvl w:val="2"/>
        <w:numId w:val="13"/>
      </w:numPr>
    </w:pPr>
  </w:style>
  <w:style w:type="paragraph" w:customStyle="1" w:styleId="Hidelastparagraphafterthetable">
    <w:name w:val="_Hide last paragraph after the table"/>
    <w:next w:val="Normal"/>
    <w:uiPriority w:val="11"/>
    <w:pPr>
      <w:widowControl w:val="0"/>
      <w:spacing w:before="0" w:after="0" w:line="20" w:lineRule="exact"/>
    </w:pPr>
    <w:rPr>
      <w:rFonts w:asciiTheme="minorHAnsi" w:eastAsiaTheme="minorEastAsia" w:hAnsiTheme="minorHAnsi"/>
      <w:vanish/>
      <w:sz w:val="2"/>
      <w:szCs w:val="2"/>
      <w:lang w:val="en-GB"/>
    </w:rPr>
  </w:style>
  <w:style w:type="numbering" w:styleId="111111">
    <w:name w:val="Outline List 2"/>
    <w:basedOn w:val="NoList"/>
    <w:uiPriority w:val="99"/>
    <w:semiHidden/>
    <w:unhideWhenUsed/>
    <w:pPr>
      <w:numPr>
        <w:numId w:val="8"/>
      </w:numPr>
    </w:pPr>
  </w:style>
  <w:style w:type="numbering" w:styleId="1ai">
    <w:name w:val="Outline List 1"/>
    <w:basedOn w:val="NoList"/>
    <w:uiPriority w:val="99"/>
    <w:semiHidden/>
    <w:unhideWhenUsed/>
    <w:pPr>
      <w:numPr>
        <w:numId w:val="9"/>
      </w:numPr>
    </w:pPr>
  </w:style>
  <w:style w:type="numbering" w:styleId="ArticleSection">
    <w:name w:val="Outline List 3"/>
    <w:basedOn w:val="NoList"/>
    <w:uiPriority w:val="99"/>
    <w:semiHidden/>
    <w:unhideWhenUsed/>
    <w:pPr>
      <w:numPr>
        <w:numId w:val="10"/>
      </w:numPr>
    </w:pPr>
  </w:style>
  <w:style w:type="character" w:styleId="BookTitle">
    <w:name w:val="Book Title"/>
    <w:basedOn w:val="DefaultParagraphFont"/>
    <w:uiPriority w:val="33"/>
    <w:semiHidden/>
    <w:rPr>
      <w:b/>
      <w:bCs/>
      <w:i/>
      <w:iCs/>
      <w:spacing w:val="5"/>
      <w:lang w:val="en-GB"/>
    </w:rPr>
  </w:style>
  <w:style w:type="table" w:styleId="ColorfulGrid">
    <w:name w:val="Colorful Grid"/>
    <w:basedOn w:val="TableNormal"/>
    <w:uiPriority w:val="73"/>
    <w:semiHidden/>
    <w:unhideWhenUsed/>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4FEF9" w:themeFill="accent1" w:themeFillTint="33"/>
    </w:tcPr>
    <w:tblStylePr w:type="firstRow">
      <w:rPr>
        <w:b/>
        <w:bCs/>
      </w:rPr>
      <w:tblPr/>
      <w:tcPr>
        <w:shd w:val="clear" w:color="auto" w:fill="6AFCF4" w:themeFill="accent1" w:themeFillTint="66"/>
      </w:tcPr>
    </w:tblStylePr>
    <w:tblStylePr w:type="lastRow">
      <w:rPr>
        <w:b/>
        <w:bCs/>
        <w:color w:val="000000" w:themeColor="text1"/>
      </w:rPr>
      <w:tblPr/>
      <w:tcPr>
        <w:shd w:val="clear" w:color="auto" w:fill="6AFCF4" w:themeFill="accent1" w:themeFillTint="66"/>
      </w:tcPr>
    </w:tblStylePr>
    <w:tblStylePr w:type="firstCol">
      <w:rPr>
        <w:color w:val="FFFFFF" w:themeColor="background1"/>
      </w:rPr>
      <w:tblPr/>
      <w:tcPr>
        <w:shd w:val="clear" w:color="auto" w:fill="01625D" w:themeFill="accent1" w:themeFillShade="BF"/>
      </w:tcPr>
    </w:tblStylePr>
    <w:tblStylePr w:type="lastCol">
      <w:rPr>
        <w:color w:val="FFFFFF" w:themeColor="background1"/>
      </w:rPr>
      <w:tblPr/>
      <w:tcPr>
        <w:shd w:val="clear" w:color="auto" w:fill="01625D" w:themeFill="accent1" w:themeFillShade="BF"/>
      </w:tcPr>
    </w:tblStylePr>
    <w:tblStylePr w:type="band1Vert">
      <w:tblPr/>
      <w:tcPr>
        <w:shd w:val="clear" w:color="auto" w:fill="46FCF2" w:themeFill="accent1" w:themeFillTint="7F"/>
      </w:tcPr>
    </w:tblStylePr>
    <w:tblStylePr w:type="band1Horz">
      <w:tblPr/>
      <w:tcPr>
        <w:shd w:val="clear" w:color="auto" w:fill="46FCF2" w:themeFill="accent1" w:themeFillTint="7F"/>
      </w:tcPr>
    </w:tblStylePr>
  </w:style>
  <w:style w:type="table" w:styleId="ColorfulGrid-Accent2">
    <w:name w:val="Colorful Grid Accent 2"/>
    <w:basedOn w:val="TableNormal"/>
    <w:uiPriority w:val="73"/>
    <w:semiHidden/>
    <w:unhideWhenUsed/>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1D9" w:themeFill="accent2" w:themeFillTint="33"/>
    </w:tcPr>
    <w:tblStylePr w:type="firstRow">
      <w:rPr>
        <w:b/>
        <w:bCs/>
      </w:rPr>
      <w:tblPr/>
      <w:tcPr>
        <w:shd w:val="clear" w:color="auto" w:fill="FAC4B4" w:themeFill="accent2" w:themeFillTint="66"/>
      </w:tcPr>
    </w:tblStylePr>
    <w:tblStylePr w:type="lastRow">
      <w:rPr>
        <w:b/>
        <w:bCs/>
        <w:color w:val="000000" w:themeColor="text1"/>
      </w:rPr>
      <w:tblPr/>
      <w:tcPr>
        <w:shd w:val="clear" w:color="auto" w:fill="FAC4B4" w:themeFill="accent2" w:themeFillTint="66"/>
      </w:tcPr>
    </w:tblStylePr>
    <w:tblStylePr w:type="firstCol">
      <w:rPr>
        <w:color w:val="FFFFFF" w:themeColor="background1"/>
      </w:rPr>
      <w:tblPr/>
      <w:tcPr>
        <w:shd w:val="clear" w:color="auto" w:fill="DA3F0E" w:themeFill="accent2" w:themeFillShade="BF"/>
      </w:tcPr>
    </w:tblStylePr>
    <w:tblStylePr w:type="lastCol">
      <w:rPr>
        <w:color w:val="FFFFFF" w:themeColor="background1"/>
      </w:rPr>
      <w:tblPr/>
      <w:tcPr>
        <w:shd w:val="clear" w:color="auto" w:fill="DA3F0E" w:themeFill="accent2" w:themeFillShade="BF"/>
      </w:tcPr>
    </w:tblStylePr>
    <w:tblStylePr w:type="band1Vert">
      <w:tblPr/>
      <w:tcPr>
        <w:shd w:val="clear" w:color="auto" w:fill="F9B6A1" w:themeFill="accent2" w:themeFillTint="7F"/>
      </w:tcPr>
    </w:tblStylePr>
    <w:tblStylePr w:type="band1Horz">
      <w:tblPr/>
      <w:tcPr>
        <w:shd w:val="clear" w:color="auto" w:fill="F9B6A1" w:themeFill="accent2" w:themeFillTint="7F"/>
      </w:tcPr>
    </w:tblStylePr>
  </w:style>
  <w:style w:type="table" w:styleId="ColorfulGrid-Accent3">
    <w:name w:val="Colorful Grid Accent 3"/>
    <w:basedOn w:val="TableNormal"/>
    <w:uiPriority w:val="73"/>
    <w:semiHidden/>
    <w:unhideWhenUsed/>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DF1F0" w:themeFill="accent3" w:themeFillTint="33"/>
    </w:tcPr>
    <w:tblStylePr w:type="firstRow">
      <w:rPr>
        <w:b/>
        <w:bCs/>
      </w:rPr>
      <w:tblPr/>
      <w:tcPr>
        <w:shd w:val="clear" w:color="auto" w:fill="BCE4E2" w:themeFill="accent3" w:themeFillTint="66"/>
      </w:tcPr>
    </w:tblStylePr>
    <w:tblStylePr w:type="lastRow">
      <w:rPr>
        <w:b/>
        <w:bCs/>
        <w:color w:val="000000" w:themeColor="text1"/>
      </w:rPr>
      <w:tblPr/>
      <w:tcPr>
        <w:shd w:val="clear" w:color="auto" w:fill="BCE4E2" w:themeFill="accent3" w:themeFillTint="66"/>
      </w:tcPr>
    </w:tblStylePr>
    <w:tblStylePr w:type="firstCol">
      <w:rPr>
        <w:color w:val="FFFFFF" w:themeColor="background1"/>
      </w:rPr>
      <w:tblPr/>
      <w:tcPr>
        <w:shd w:val="clear" w:color="auto" w:fill="3B9490" w:themeFill="accent3" w:themeFillShade="BF"/>
      </w:tcPr>
    </w:tblStylePr>
    <w:tblStylePr w:type="lastCol">
      <w:rPr>
        <w:color w:val="FFFFFF" w:themeColor="background1"/>
      </w:rPr>
      <w:tblPr/>
      <w:tcPr>
        <w:shd w:val="clear" w:color="auto" w:fill="3B9490" w:themeFill="accent3" w:themeFillShade="BF"/>
      </w:tcPr>
    </w:tblStylePr>
    <w:tblStylePr w:type="band1Vert">
      <w:tblPr/>
      <w:tcPr>
        <w:shd w:val="clear" w:color="auto" w:fill="ACDEDB" w:themeFill="accent3" w:themeFillTint="7F"/>
      </w:tcPr>
    </w:tblStylePr>
    <w:tblStylePr w:type="band1Horz">
      <w:tblPr/>
      <w:tcPr>
        <w:shd w:val="clear" w:color="auto" w:fill="ACDEDB" w:themeFill="accent3" w:themeFillTint="7F"/>
      </w:tcPr>
    </w:tblStylePr>
  </w:style>
  <w:style w:type="table" w:styleId="ColorfulGrid-Accent4">
    <w:name w:val="Colorful Grid Accent 4"/>
    <w:basedOn w:val="TableNormal"/>
    <w:uiPriority w:val="73"/>
    <w:semiHidden/>
    <w:unhideWhenUsed/>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EF0D6" w:themeFill="accent4" w:themeFillTint="33"/>
    </w:tcPr>
    <w:tblStylePr w:type="firstRow">
      <w:rPr>
        <w:b/>
        <w:bCs/>
      </w:rPr>
      <w:tblPr/>
      <w:tcPr>
        <w:shd w:val="clear" w:color="auto" w:fill="FEE2AD" w:themeFill="accent4" w:themeFillTint="66"/>
      </w:tcPr>
    </w:tblStylePr>
    <w:tblStylePr w:type="lastRow">
      <w:rPr>
        <w:b/>
        <w:bCs/>
        <w:color w:val="000000" w:themeColor="text1"/>
      </w:rPr>
      <w:tblPr/>
      <w:tcPr>
        <w:shd w:val="clear" w:color="auto" w:fill="FEE2AD" w:themeFill="accent4" w:themeFillTint="66"/>
      </w:tcPr>
    </w:tblStylePr>
    <w:tblStylePr w:type="firstCol">
      <w:rPr>
        <w:color w:val="FFFFFF" w:themeColor="background1"/>
      </w:rPr>
      <w:tblPr/>
      <w:tcPr>
        <w:shd w:val="clear" w:color="auto" w:fill="E19602" w:themeFill="accent4" w:themeFillShade="BF"/>
      </w:tcPr>
    </w:tblStylePr>
    <w:tblStylePr w:type="lastCol">
      <w:rPr>
        <w:color w:val="FFFFFF" w:themeColor="background1"/>
      </w:rPr>
      <w:tblPr/>
      <w:tcPr>
        <w:shd w:val="clear" w:color="auto" w:fill="E19602" w:themeFill="accent4" w:themeFillShade="BF"/>
      </w:tcPr>
    </w:tblStylePr>
    <w:tblStylePr w:type="band1Vert">
      <w:tblPr/>
      <w:tcPr>
        <w:shd w:val="clear" w:color="auto" w:fill="FEDC99" w:themeFill="accent4" w:themeFillTint="7F"/>
      </w:tcPr>
    </w:tblStylePr>
    <w:tblStylePr w:type="band1Horz">
      <w:tblPr/>
      <w:tcPr>
        <w:shd w:val="clear" w:color="auto" w:fill="FEDC99" w:themeFill="accent4" w:themeFillTint="7F"/>
      </w:tcPr>
    </w:tblStylePr>
  </w:style>
  <w:style w:type="table" w:styleId="ColorfulGrid-Accent5">
    <w:name w:val="Colorful Grid Accent 5"/>
    <w:basedOn w:val="TableNormal"/>
    <w:uiPriority w:val="73"/>
    <w:semiHidden/>
    <w:unhideWhenUsed/>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1EEE1" w:themeFill="accent5" w:themeFillTint="33"/>
    </w:tcPr>
    <w:tblStylePr w:type="firstRow">
      <w:rPr>
        <w:b/>
        <w:bCs/>
      </w:rPr>
      <w:tblPr/>
      <w:tcPr>
        <w:shd w:val="clear" w:color="auto" w:fill="C4DEC4" w:themeFill="accent5" w:themeFillTint="66"/>
      </w:tcPr>
    </w:tblStylePr>
    <w:tblStylePr w:type="lastRow">
      <w:rPr>
        <w:b/>
        <w:bCs/>
        <w:color w:val="000000" w:themeColor="text1"/>
      </w:rPr>
      <w:tblPr/>
      <w:tcPr>
        <w:shd w:val="clear" w:color="auto" w:fill="C4DEC4" w:themeFill="accent5" w:themeFillTint="66"/>
      </w:tcPr>
    </w:tblStylePr>
    <w:tblStylePr w:type="firstCol">
      <w:rPr>
        <w:color w:val="FFFFFF" w:themeColor="background1"/>
      </w:rPr>
      <w:tblPr/>
      <w:tcPr>
        <w:shd w:val="clear" w:color="auto" w:fill="4B864B" w:themeFill="accent5" w:themeFillShade="BF"/>
      </w:tcPr>
    </w:tblStylePr>
    <w:tblStylePr w:type="lastCol">
      <w:rPr>
        <w:color w:val="FFFFFF" w:themeColor="background1"/>
      </w:rPr>
      <w:tblPr/>
      <w:tcPr>
        <w:shd w:val="clear" w:color="auto" w:fill="4B864B" w:themeFill="accent5" w:themeFillShade="BF"/>
      </w:tcPr>
    </w:tblStylePr>
    <w:tblStylePr w:type="band1Vert">
      <w:tblPr/>
      <w:tcPr>
        <w:shd w:val="clear" w:color="auto" w:fill="B5D6B5" w:themeFill="accent5" w:themeFillTint="7F"/>
      </w:tcPr>
    </w:tblStylePr>
    <w:tblStylePr w:type="band1Horz">
      <w:tblPr/>
      <w:tcPr>
        <w:shd w:val="clear" w:color="auto" w:fill="B5D6B5" w:themeFill="accent5" w:themeFillTint="7F"/>
      </w:tcPr>
    </w:tblStylePr>
  </w:style>
  <w:style w:type="table" w:styleId="ColorfulGrid-Accent6">
    <w:name w:val="Colorful Grid Accent 6"/>
    <w:basedOn w:val="TableNormal"/>
    <w:uiPriority w:val="73"/>
    <w:semiHidden/>
    <w:unhideWhenUsed/>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CFD7" w:themeFill="accent6" w:themeFillTint="33"/>
    </w:tcPr>
    <w:tblStylePr w:type="firstRow">
      <w:rPr>
        <w:b/>
        <w:bCs/>
      </w:rPr>
      <w:tblPr/>
      <w:tcPr>
        <w:shd w:val="clear" w:color="auto" w:fill="ECA0AF" w:themeFill="accent6" w:themeFillTint="66"/>
      </w:tcPr>
    </w:tblStylePr>
    <w:tblStylePr w:type="lastRow">
      <w:rPr>
        <w:b/>
        <w:bCs/>
        <w:color w:val="000000" w:themeColor="text1"/>
      </w:rPr>
      <w:tblPr/>
      <w:tcPr>
        <w:shd w:val="clear" w:color="auto" w:fill="ECA0AF" w:themeFill="accent6" w:themeFillTint="66"/>
      </w:tcPr>
    </w:tblStylePr>
    <w:tblStylePr w:type="firstCol">
      <w:rPr>
        <w:color w:val="FFFFFF" w:themeColor="background1"/>
      </w:rPr>
      <w:tblPr/>
      <w:tcPr>
        <w:shd w:val="clear" w:color="auto" w:fill="8D1C32" w:themeFill="accent6" w:themeFillShade="BF"/>
      </w:tcPr>
    </w:tblStylePr>
    <w:tblStylePr w:type="lastCol">
      <w:rPr>
        <w:color w:val="FFFFFF" w:themeColor="background1"/>
      </w:rPr>
      <w:tblPr/>
      <w:tcPr>
        <w:shd w:val="clear" w:color="auto" w:fill="8D1C32" w:themeFill="accent6" w:themeFillShade="BF"/>
      </w:tcPr>
    </w:tblStylePr>
    <w:tblStylePr w:type="band1Vert">
      <w:tblPr/>
      <w:tcPr>
        <w:shd w:val="clear" w:color="auto" w:fill="E7899B" w:themeFill="accent6" w:themeFillTint="7F"/>
      </w:tcPr>
    </w:tblStylePr>
    <w:tblStylePr w:type="band1Horz">
      <w:tblPr/>
      <w:tcPr>
        <w:shd w:val="clear" w:color="auto" w:fill="E7899B" w:themeFill="accent6" w:themeFillTint="7F"/>
      </w:tcPr>
    </w:tblStylePr>
  </w:style>
  <w:style w:type="table" w:styleId="ColorfulList">
    <w:name w:val="Colorful List"/>
    <w:basedOn w:val="TableNormal"/>
    <w:uiPriority w:val="72"/>
    <w:semiHidden/>
    <w:unhideWhenUsed/>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9430F" w:themeFill="accent2" w:themeFillShade="CC"/>
      </w:tcPr>
    </w:tblStylePr>
    <w:tblStylePr w:type="lastRow">
      <w:rPr>
        <w:b/>
        <w:bCs/>
        <w:color w:val="E943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after="0"/>
    </w:pPr>
    <w:rPr>
      <w:color w:val="000000" w:themeColor="text1"/>
    </w:rPr>
    <w:tblPr>
      <w:tblStyleRowBandSize w:val="1"/>
      <w:tblStyleColBandSize w:val="1"/>
    </w:tblPr>
    <w:tcPr>
      <w:shd w:val="clear" w:color="auto" w:fill="DAFEFC" w:themeFill="accent1" w:themeFillTint="19"/>
    </w:tcPr>
    <w:tblStylePr w:type="firstRow">
      <w:rPr>
        <w:b/>
        <w:bCs/>
        <w:color w:val="FFFFFF" w:themeColor="background1"/>
      </w:rPr>
      <w:tblPr/>
      <w:tcPr>
        <w:tcBorders>
          <w:bottom w:val="single" w:sz="12" w:space="0" w:color="FFFFFF" w:themeColor="background1"/>
        </w:tcBorders>
        <w:shd w:val="clear" w:color="auto" w:fill="E9430F" w:themeFill="accent2" w:themeFillShade="CC"/>
      </w:tcPr>
    </w:tblStylePr>
    <w:tblStylePr w:type="lastRow">
      <w:rPr>
        <w:b/>
        <w:bCs/>
        <w:color w:val="E943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FDF8" w:themeFill="accent1" w:themeFillTint="3F"/>
      </w:tcPr>
    </w:tblStylePr>
    <w:tblStylePr w:type="band1Horz">
      <w:tblPr/>
      <w:tcPr>
        <w:shd w:val="clear" w:color="auto" w:fill="B4FEF9" w:themeFill="accent1" w:themeFillTint="33"/>
      </w:tcPr>
    </w:tblStylePr>
  </w:style>
  <w:style w:type="table" w:styleId="ColorfulList-Accent2">
    <w:name w:val="Colorful List Accent 2"/>
    <w:basedOn w:val="TableNormal"/>
    <w:uiPriority w:val="72"/>
    <w:semiHidden/>
    <w:unhideWhenUsed/>
    <w:pPr>
      <w:spacing w:before="0" w:after="0"/>
    </w:pPr>
    <w:rPr>
      <w:color w:val="000000" w:themeColor="text1"/>
    </w:rPr>
    <w:tblPr>
      <w:tblStyleRowBandSize w:val="1"/>
      <w:tblStyleColBandSize w:val="1"/>
    </w:tblPr>
    <w:tcPr>
      <w:shd w:val="clear" w:color="auto" w:fill="FDF0EC" w:themeFill="accent2" w:themeFillTint="19"/>
    </w:tcPr>
    <w:tblStylePr w:type="firstRow">
      <w:rPr>
        <w:b/>
        <w:bCs/>
        <w:color w:val="FFFFFF" w:themeColor="background1"/>
      </w:rPr>
      <w:tblPr/>
      <w:tcPr>
        <w:tcBorders>
          <w:bottom w:val="single" w:sz="12" w:space="0" w:color="FFFFFF" w:themeColor="background1"/>
        </w:tcBorders>
        <w:shd w:val="clear" w:color="auto" w:fill="E9430F" w:themeFill="accent2" w:themeFillShade="CC"/>
      </w:tcPr>
    </w:tblStylePr>
    <w:tblStylePr w:type="lastRow">
      <w:rPr>
        <w:b/>
        <w:bCs/>
        <w:color w:val="E943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D0" w:themeFill="accent2" w:themeFillTint="3F"/>
      </w:tcPr>
    </w:tblStylePr>
    <w:tblStylePr w:type="band1Horz">
      <w:tblPr/>
      <w:tcPr>
        <w:shd w:val="clear" w:color="auto" w:fill="FCE1D9" w:themeFill="accent2" w:themeFillTint="33"/>
      </w:tcPr>
    </w:tblStylePr>
  </w:style>
  <w:style w:type="table" w:styleId="ColorfulList-Accent3">
    <w:name w:val="Colorful List Accent 3"/>
    <w:basedOn w:val="TableNormal"/>
    <w:uiPriority w:val="72"/>
    <w:semiHidden/>
    <w:unhideWhenUsed/>
    <w:pPr>
      <w:spacing w:before="0" w:after="0"/>
    </w:pPr>
    <w:rPr>
      <w:color w:val="000000" w:themeColor="text1"/>
    </w:rPr>
    <w:tblPr>
      <w:tblStyleRowBandSize w:val="1"/>
      <w:tblStyleColBandSize w:val="1"/>
    </w:tblPr>
    <w:tcPr>
      <w:shd w:val="clear" w:color="auto" w:fill="EEF8F7" w:themeFill="accent3" w:themeFillTint="19"/>
    </w:tcPr>
    <w:tblStylePr w:type="firstRow">
      <w:rPr>
        <w:b/>
        <w:bCs/>
        <w:color w:val="FFFFFF" w:themeColor="background1"/>
      </w:rPr>
      <w:tblPr/>
      <w:tcPr>
        <w:tcBorders>
          <w:bottom w:val="single" w:sz="12" w:space="0" w:color="FFFFFF" w:themeColor="background1"/>
        </w:tcBorders>
        <w:shd w:val="clear" w:color="auto" w:fill="F0A002" w:themeFill="accent4" w:themeFillShade="CC"/>
      </w:tcPr>
    </w:tblStylePr>
    <w:tblStylePr w:type="lastRow">
      <w:rPr>
        <w:b/>
        <w:bCs/>
        <w:color w:val="F0A00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EED" w:themeFill="accent3" w:themeFillTint="3F"/>
      </w:tcPr>
    </w:tblStylePr>
    <w:tblStylePr w:type="band1Horz">
      <w:tblPr/>
      <w:tcPr>
        <w:shd w:val="clear" w:color="auto" w:fill="DDF1F0" w:themeFill="accent3" w:themeFillTint="33"/>
      </w:tcPr>
    </w:tblStylePr>
  </w:style>
  <w:style w:type="table" w:styleId="ColorfulList-Accent4">
    <w:name w:val="Colorful List Accent 4"/>
    <w:basedOn w:val="TableNormal"/>
    <w:uiPriority w:val="72"/>
    <w:semiHidden/>
    <w:unhideWhenUsed/>
    <w:pPr>
      <w:spacing w:before="0" w:after="0"/>
    </w:pPr>
    <w:rPr>
      <w:color w:val="000000" w:themeColor="text1"/>
    </w:rPr>
    <w:tblPr>
      <w:tblStyleRowBandSize w:val="1"/>
      <w:tblStyleColBandSize w:val="1"/>
    </w:tblPr>
    <w:tcPr>
      <w:shd w:val="clear" w:color="auto" w:fill="FEF8EA" w:themeFill="accent4" w:themeFillTint="19"/>
    </w:tcPr>
    <w:tblStylePr w:type="firstRow">
      <w:rPr>
        <w:b/>
        <w:bCs/>
        <w:color w:val="FFFFFF" w:themeColor="background1"/>
      </w:rPr>
      <w:tblPr/>
      <w:tcPr>
        <w:tcBorders>
          <w:bottom w:val="single" w:sz="12" w:space="0" w:color="FFFFFF" w:themeColor="background1"/>
        </w:tcBorders>
        <w:shd w:val="clear" w:color="auto" w:fill="3F9F9A" w:themeFill="accent3" w:themeFillShade="CC"/>
      </w:tcPr>
    </w:tblStylePr>
    <w:tblStylePr w:type="lastRow">
      <w:rPr>
        <w:b/>
        <w:bCs/>
        <w:color w:val="3F9F9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C" w:themeFill="accent4" w:themeFillTint="3F"/>
      </w:tcPr>
    </w:tblStylePr>
    <w:tblStylePr w:type="band1Horz">
      <w:tblPr/>
      <w:tcPr>
        <w:shd w:val="clear" w:color="auto" w:fill="FEF0D6" w:themeFill="accent4" w:themeFillTint="33"/>
      </w:tcPr>
    </w:tblStylePr>
  </w:style>
  <w:style w:type="table" w:styleId="ColorfulList-Accent5">
    <w:name w:val="Colorful List Accent 5"/>
    <w:basedOn w:val="TableNormal"/>
    <w:uiPriority w:val="72"/>
    <w:semiHidden/>
    <w:unhideWhenUsed/>
    <w:pPr>
      <w:spacing w:before="0" w:after="0"/>
    </w:pPr>
    <w:rPr>
      <w:color w:val="000000" w:themeColor="text1"/>
    </w:rPr>
    <w:tblPr>
      <w:tblStyleRowBandSize w:val="1"/>
      <w:tblStyleColBandSize w:val="1"/>
    </w:tblPr>
    <w:tcPr>
      <w:shd w:val="clear" w:color="auto" w:fill="F0F7F0" w:themeFill="accent5" w:themeFillTint="19"/>
    </w:tcPr>
    <w:tblStylePr w:type="firstRow">
      <w:rPr>
        <w:b/>
        <w:bCs/>
        <w:color w:val="FFFFFF" w:themeColor="background1"/>
      </w:rPr>
      <w:tblPr/>
      <w:tcPr>
        <w:tcBorders>
          <w:bottom w:val="single" w:sz="12" w:space="0" w:color="FFFFFF" w:themeColor="background1"/>
        </w:tcBorders>
        <w:shd w:val="clear" w:color="auto" w:fill="961E36" w:themeFill="accent6" w:themeFillShade="CC"/>
      </w:tcPr>
    </w:tblStylePr>
    <w:tblStylePr w:type="lastRow">
      <w:rPr>
        <w:b/>
        <w:bCs/>
        <w:color w:val="961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ADA" w:themeFill="accent5" w:themeFillTint="3F"/>
      </w:tcPr>
    </w:tblStylePr>
    <w:tblStylePr w:type="band1Horz">
      <w:tblPr/>
      <w:tcPr>
        <w:shd w:val="clear" w:color="auto" w:fill="E1EEE1" w:themeFill="accent5" w:themeFillTint="33"/>
      </w:tcPr>
    </w:tblStylePr>
  </w:style>
  <w:style w:type="table" w:styleId="ColorfulList-Accent6">
    <w:name w:val="Colorful List Accent 6"/>
    <w:basedOn w:val="TableNormal"/>
    <w:uiPriority w:val="72"/>
    <w:semiHidden/>
    <w:unhideWhenUsed/>
    <w:pPr>
      <w:spacing w:before="0" w:after="0"/>
    </w:pPr>
    <w:rPr>
      <w:color w:val="000000" w:themeColor="text1"/>
    </w:rPr>
    <w:tblPr>
      <w:tblStyleRowBandSize w:val="1"/>
      <w:tblStyleColBandSize w:val="1"/>
    </w:tblPr>
    <w:tcPr>
      <w:shd w:val="clear" w:color="auto" w:fill="FAE7EB" w:themeFill="accent6" w:themeFillTint="19"/>
    </w:tcPr>
    <w:tblStylePr w:type="firstRow">
      <w:rPr>
        <w:b/>
        <w:bCs/>
        <w:color w:val="FFFFFF" w:themeColor="background1"/>
      </w:rPr>
      <w:tblPr/>
      <w:tcPr>
        <w:tcBorders>
          <w:bottom w:val="single" w:sz="12" w:space="0" w:color="FFFFFF" w:themeColor="background1"/>
        </w:tcBorders>
        <w:shd w:val="clear" w:color="auto" w:fill="509050" w:themeFill="accent5" w:themeFillShade="CC"/>
      </w:tcPr>
    </w:tblStylePr>
    <w:tblStylePr w:type="lastRow">
      <w:rPr>
        <w:b/>
        <w:bCs/>
        <w:color w:val="50905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4CD" w:themeFill="accent6" w:themeFillTint="3F"/>
      </w:tcPr>
    </w:tblStylePr>
    <w:tblStylePr w:type="band1Horz">
      <w:tblPr/>
      <w:tcPr>
        <w:shd w:val="clear" w:color="auto" w:fill="F5CFD7" w:themeFill="accent6" w:themeFillTint="33"/>
      </w:tcPr>
    </w:tblStylePr>
  </w:style>
  <w:style w:type="table" w:styleId="ColorfulShading">
    <w:name w:val="Colorful Shading"/>
    <w:basedOn w:val="TableNormal"/>
    <w:uiPriority w:val="71"/>
    <w:semiHidden/>
    <w:unhideWhenUsed/>
    <w:pPr>
      <w:spacing w:before="0" w:after="0"/>
    </w:pPr>
    <w:rPr>
      <w:color w:val="000000" w:themeColor="text1"/>
    </w:rPr>
    <w:tblPr>
      <w:tblStyleRowBandSize w:val="1"/>
      <w:tblStyleColBandSize w:val="1"/>
      <w:tblBorders>
        <w:top w:val="single" w:sz="24" w:space="0" w:color="F36E4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6E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after="0"/>
    </w:pPr>
    <w:rPr>
      <w:color w:val="000000" w:themeColor="text1"/>
    </w:rPr>
    <w:tblPr>
      <w:tblStyleRowBandSize w:val="1"/>
      <w:tblStyleColBandSize w:val="1"/>
      <w:tblBorders>
        <w:top w:val="single" w:sz="24" w:space="0" w:color="F36E44" w:themeColor="accent2"/>
        <w:left w:val="single" w:sz="4" w:space="0" w:color="02847D" w:themeColor="accent1"/>
        <w:bottom w:val="single" w:sz="4" w:space="0" w:color="02847D" w:themeColor="accent1"/>
        <w:right w:val="single" w:sz="4" w:space="0" w:color="02847D" w:themeColor="accent1"/>
        <w:insideH w:val="single" w:sz="4" w:space="0" w:color="FFFFFF" w:themeColor="background1"/>
        <w:insideV w:val="single" w:sz="4" w:space="0" w:color="FFFFFF" w:themeColor="background1"/>
      </w:tblBorders>
    </w:tblPr>
    <w:tcPr>
      <w:shd w:val="clear" w:color="auto" w:fill="DAFEFC" w:themeFill="accent1" w:themeFillTint="19"/>
    </w:tcPr>
    <w:tblStylePr w:type="firstRow">
      <w:rPr>
        <w:b/>
        <w:bCs/>
      </w:rPr>
      <w:tblPr/>
      <w:tcPr>
        <w:tcBorders>
          <w:top w:val="nil"/>
          <w:left w:val="nil"/>
          <w:bottom w:val="single" w:sz="24" w:space="0" w:color="F36E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F4A" w:themeFill="accent1" w:themeFillShade="99"/>
      </w:tcPr>
    </w:tblStylePr>
    <w:tblStylePr w:type="firstCol">
      <w:rPr>
        <w:color w:val="FFFFFF" w:themeColor="background1"/>
      </w:rPr>
      <w:tblPr/>
      <w:tcPr>
        <w:tcBorders>
          <w:top w:val="nil"/>
          <w:left w:val="nil"/>
          <w:bottom w:val="nil"/>
          <w:right w:val="nil"/>
          <w:insideH w:val="single" w:sz="4" w:space="0" w:color="014F4A" w:themeColor="accent1" w:themeShade="99"/>
          <w:insideV w:val="nil"/>
        </w:tcBorders>
        <w:shd w:val="clear" w:color="auto" w:fill="014F4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4F4A" w:themeFill="accent1" w:themeFillShade="99"/>
      </w:tcPr>
    </w:tblStylePr>
    <w:tblStylePr w:type="band1Vert">
      <w:tblPr/>
      <w:tcPr>
        <w:shd w:val="clear" w:color="auto" w:fill="6AFCF4" w:themeFill="accent1" w:themeFillTint="66"/>
      </w:tcPr>
    </w:tblStylePr>
    <w:tblStylePr w:type="band1Horz">
      <w:tblPr/>
      <w:tcPr>
        <w:shd w:val="clear" w:color="auto" w:fill="46FCF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after="0"/>
    </w:pPr>
    <w:rPr>
      <w:color w:val="000000" w:themeColor="text1"/>
    </w:rPr>
    <w:tblPr>
      <w:tblStyleRowBandSize w:val="1"/>
      <w:tblStyleColBandSize w:val="1"/>
      <w:tblBorders>
        <w:top w:val="single" w:sz="24" w:space="0" w:color="F36E44" w:themeColor="accent2"/>
        <w:left w:val="single" w:sz="4" w:space="0" w:color="F36E44" w:themeColor="accent2"/>
        <w:bottom w:val="single" w:sz="4" w:space="0" w:color="F36E44" w:themeColor="accent2"/>
        <w:right w:val="single" w:sz="4" w:space="0" w:color="F36E44" w:themeColor="accent2"/>
        <w:insideH w:val="single" w:sz="4" w:space="0" w:color="FFFFFF" w:themeColor="background1"/>
        <w:insideV w:val="single" w:sz="4" w:space="0" w:color="FFFFFF" w:themeColor="background1"/>
      </w:tblBorders>
    </w:tblPr>
    <w:tcPr>
      <w:shd w:val="clear" w:color="auto" w:fill="FDF0EC" w:themeFill="accent2" w:themeFillTint="19"/>
    </w:tcPr>
    <w:tblStylePr w:type="firstRow">
      <w:rPr>
        <w:b/>
        <w:bCs/>
      </w:rPr>
      <w:tblPr/>
      <w:tcPr>
        <w:tcBorders>
          <w:top w:val="nil"/>
          <w:left w:val="nil"/>
          <w:bottom w:val="single" w:sz="24" w:space="0" w:color="F36E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F320B" w:themeFill="accent2" w:themeFillShade="99"/>
      </w:tcPr>
    </w:tblStylePr>
    <w:tblStylePr w:type="firstCol">
      <w:rPr>
        <w:color w:val="FFFFFF" w:themeColor="background1"/>
      </w:rPr>
      <w:tblPr/>
      <w:tcPr>
        <w:tcBorders>
          <w:top w:val="nil"/>
          <w:left w:val="nil"/>
          <w:bottom w:val="nil"/>
          <w:right w:val="nil"/>
          <w:insideH w:val="single" w:sz="4" w:space="0" w:color="AF320B" w:themeColor="accent2" w:themeShade="99"/>
          <w:insideV w:val="nil"/>
        </w:tcBorders>
        <w:shd w:val="clear" w:color="auto" w:fill="AF32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F320B" w:themeFill="accent2" w:themeFillShade="99"/>
      </w:tcPr>
    </w:tblStylePr>
    <w:tblStylePr w:type="band1Vert">
      <w:tblPr/>
      <w:tcPr>
        <w:shd w:val="clear" w:color="auto" w:fill="FAC4B4" w:themeFill="accent2" w:themeFillTint="66"/>
      </w:tcPr>
    </w:tblStylePr>
    <w:tblStylePr w:type="band1Horz">
      <w:tblPr/>
      <w:tcPr>
        <w:shd w:val="clear" w:color="auto" w:fill="F9B6A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after="0"/>
    </w:pPr>
    <w:rPr>
      <w:color w:val="000000" w:themeColor="text1"/>
    </w:rPr>
    <w:tblPr>
      <w:tblStyleRowBandSize w:val="1"/>
      <w:tblStyleColBandSize w:val="1"/>
      <w:tblBorders>
        <w:top w:val="single" w:sz="24" w:space="0" w:color="FDB933" w:themeColor="accent4"/>
        <w:left w:val="single" w:sz="4" w:space="0" w:color="59BDB8" w:themeColor="accent3"/>
        <w:bottom w:val="single" w:sz="4" w:space="0" w:color="59BDB8" w:themeColor="accent3"/>
        <w:right w:val="single" w:sz="4" w:space="0" w:color="59BDB8" w:themeColor="accent3"/>
        <w:insideH w:val="single" w:sz="4" w:space="0" w:color="FFFFFF" w:themeColor="background1"/>
        <w:insideV w:val="single" w:sz="4" w:space="0" w:color="FFFFFF" w:themeColor="background1"/>
      </w:tblBorders>
    </w:tblPr>
    <w:tcPr>
      <w:shd w:val="clear" w:color="auto" w:fill="EEF8F7" w:themeFill="accent3" w:themeFillTint="19"/>
    </w:tcPr>
    <w:tblStylePr w:type="firstRow">
      <w:rPr>
        <w:b/>
        <w:bCs/>
      </w:rPr>
      <w:tblPr/>
      <w:tcPr>
        <w:tcBorders>
          <w:top w:val="nil"/>
          <w:left w:val="nil"/>
          <w:bottom w:val="single" w:sz="24" w:space="0" w:color="FDB93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773" w:themeFill="accent3" w:themeFillShade="99"/>
      </w:tcPr>
    </w:tblStylePr>
    <w:tblStylePr w:type="firstCol">
      <w:rPr>
        <w:color w:val="FFFFFF" w:themeColor="background1"/>
      </w:rPr>
      <w:tblPr/>
      <w:tcPr>
        <w:tcBorders>
          <w:top w:val="nil"/>
          <w:left w:val="nil"/>
          <w:bottom w:val="nil"/>
          <w:right w:val="nil"/>
          <w:insideH w:val="single" w:sz="4" w:space="0" w:color="2F7773" w:themeColor="accent3" w:themeShade="99"/>
          <w:insideV w:val="nil"/>
        </w:tcBorders>
        <w:shd w:val="clear" w:color="auto" w:fill="2F777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F7773" w:themeFill="accent3" w:themeFillShade="99"/>
      </w:tcPr>
    </w:tblStylePr>
    <w:tblStylePr w:type="band1Vert">
      <w:tblPr/>
      <w:tcPr>
        <w:shd w:val="clear" w:color="auto" w:fill="BCE4E2" w:themeFill="accent3" w:themeFillTint="66"/>
      </w:tcPr>
    </w:tblStylePr>
    <w:tblStylePr w:type="band1Horz">
      <w:tblPr/>
      <w:tcPr>
        <w:shd w:val="clear" w:color="auto" w:fill="ACDEDB" w:themeFill="accent3" w:themeFillTint="7F"/>
      </w:tcPr>
    </w:tblStylePr>
  </w:style>
  <w:style w:type="table" w:styleId="ColorfulShading-Accent4">
    <w:name w:val="Colorful Shading Accent 4"/>
    <w:basedOn w:val="TableNormal"/>
    <w:uiPriority w:val="71"/>
    <w:semiHidden/>
    <w:unhideWhenUsed/>
    <w:pPr>
      <w:spacing w:before="0" w:after="0"/>
    </w:pPr>
    <w:rPr>
      <w:color w:val="000000" w:themeColor="text1"/>
    </w:rPr>
    <w:tblPr>
      <w:tblStyleRowBandSize w:val="1"/>
      <w:tblStyleColBandSize w:val="1"/>
      <w:tblBorders>
        <w:top w:val="single" w:sz="24" w:space="0" w:color="59BDB8" w:themeColor="accent3"/>
        <w:left w:val="single" w:sz="4" w:space="0" w:color="FDB933" w:themeColor="accent4"/>
        <w:bottom w:val="single" w:sz="4" w:space="0" w:color="FDB933" w:themeColor="accent4"/>
        <w:right w:val="single" w:sz="4" w:space="0" w:color="FDB933" w:themeColor="accent4"/>
        <w:insideH w:val="single" w:sz="4" w:space="0" w:color="FFFFFF" w:themeColor="background1"/>
        <w:insideV w:val="single" w:sz="4" w:space="0" w:color="FFFFFF" w:themeColor="background1"/>
      </w:tblBorders>
    </w:tblPr>
    <w:tcPr>
      <w:shd w:val="clear" w:color="auto" w:fill="FEF8EA" w:themeFill="accent4" w:themeFillTint="19"/>
    </w:tcPr>
    <w:tblStylePr w:type="firstRow">
      <w:rPr>
        <w:b/>
        <w:bCs/>
      </w:rPr>
      <w:tblPr/>
      <w:tcPr>
        <w:tcBorders>
          <w:top w:val="nil"/>
          <w:left w:val="nil"/>
          <w:bottom w:val="single" w:sz="24" w:space="0" w:color="59BDB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47801" w:themeFill="accent4" w:themeFillShade="99"/>
      </w:tcPr>
    </w:tblStylePr>
    <w:tblStylePr w:type="firstCol">
      <w:rPr>
        <w:color w:val="FFFFFF" w:themeColor="background1"/>
      </w:rPr>
      <w:tblPr/>
      <w:tcPr>
        <w:tcBorders>
          <w:top w:val="nil"/>
          <w:left w:val="nil"/>
          <w:bottom w:val="nil"/>
          <w:right w:val="nil"/>
          <w:insideH w:val="single" w:sz="4" w:space="0" w:color="B47801" w:themeColor="accent4" w:themeShade="99"/>
          <w:insideV w:val="nil"/>
        </w:tcBorders>
        <w:shd w:val="clear" w:color="auto" w:fill="B4780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47801" w:themeFill="accent4" w:themeFillShade="99"/>
      </w:tcPr>
    </w:tblStylePr>
    <w:tblStylePr w:type="band1Vert">
      <w:tblPr/>
      <w:tcPr>
        <w:shd w:val="clear" w:color="auto" w:fill="FEE2AD" w:themeFill="accent4" w:themeFillTint="66"/>
      </w:tcPr>
    </w:tblStylePr>
    <w:tblStylePr w:type="band1Horz">
      <w:tblPr/>
      <w:tcPr>
        <w:shd w:val="clear" w:color="auto" w:fill="FEDC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after="0"/>
    </w:pPr>
    <w:rPr>
      <w:color w:val="000000" w:themeColor="text1"/>
    </w:rPr>
    <w:tblPr>
      <w:tblStyleRowBandSize w:val="1"/>
      <w:tblStyleColBandSize w:val="1"/>
      <w:tblBorders>
        <w:top w:val="single" w:sz="24" w:space="0" w:color="BD2644" w:themeColor="accent6"/>
        <w:left w:val="single" w:sz="4" w:space="0" w:color="6CAD6C" w:themeColor="accent5"/>
        <w:bottom w:val="single" w:sz="4" w:space="0" w:color="6CAD6C" w:themeColor="accent5"/>
        <w:right w:val="single" w:sz="4" w:space="0" w:color="6CAD6C" w:themeColor="accent5"/>
        <w:insideH w:val="single" w:sz="4" w:space="0" w:color="FFFFFF" w:themeColor="background1"/>
        <w:insideV w:val="single" w:sz="4" w:space="0" w:color="FFFFFF" w:themeColor="background1"/>
      </w:tblBorders>
    </w:tblPr>
    <w:tcPr>
      <w:shd w:val="clear" w:color="auto" w:fill="F0F7F0" w:themeFill="accent5" w:themeFillTint="19"/>
    </w:tcPr>
    <w:tblStylePr w:type="firstRow">
      <w:rPr>
        <w:b/>
        <w:bCs/>
      </w:rPr>
      <w:tblPr/>
      <w:tcPr>
        <w:tcBorders>
          <w:top w:val="nil"/>
          <w:left w:val="nil"/>
          <w:bottom w:val="single" w:sz="24" w:space="0" w:color="BD2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6C3C" w:themeFill="accent5" w:themeFillShade="99"/>
      </w:tcPr>
    </w:tblStylePr>
    <w:tblStylePr w:type="firstCol">
      <w:rPr>
        <w:color w:val="FFFFFF" w:themeColor="background1"/>
      </w:rPr>
      <w:tblPr/>
      <w:tcPr>
        <w:tcBorders>
          <w:top w:val="nil"/>
          <w:left w:val="nil"/>
          <w:bottom w:val="nil"/>
          <w:right w:val="nil"/>
          <w:insideH w:val="single" w:sz="4" w:space="0" w:color="3C6C3C" w:themeColor="accent5" w:themeShade="99"/>
          <w:insideV w:val="nil"/>
        </w:tcBorders>
        <w:shd w:val="clear" w:color="auto" w:fill="3C6C3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C6C3C" w:themeFill="accent5" w:themeFillShade="99"/>
      </w:tcPr>
    </w:tblStylePr>
    <w:tblStylePr w:type="band1Vert">
      <w:tblPr/>
      <w:tcPr>
        <w:shd w:val="clear" w:color="auto" w:fill="C4DEC4" w:themeFill="accent5" w:themeFillTint="66"/>
      </w:tcPr>
    </w:tblStylePr>
    <w:tblStylePr w:type="band1Horz">
      <w:tblPr/>
      <w:tcPr>
        <w:shd w:val="clear" w:color="auto" w:fill="B5D6B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after="0"/>
    </w:pPr>
    <w:rPr>
      <w:color w:val="000000" w:themeColor="text1"/>
    </w:rPr>
    <w:tblPr>
      <w:tblStyleRowBandSize w:val="1"/>
      <w:tblStyleColBandSize w:val="1"/>
      <w:tblBorders>
        <w:top w:val="single" w:sz="24" w:space="0" w:color="6CAD6C" w:themeColor="accent5"/>
        <w:left w:val="single" w:sz="4" w:space="0" w:color="BD2644" w:themeColor="accent6"/>
        <w:bottom w:val="single" w:sz="4" w:space="0" w:color="BD2644" w:themeColor="accent6"/>
        <w:right w:val="single" w:sz="4" w:space="0" w:color="BD2644" w:themeColor="accent6"/>
        <w:insideH w:val="single" w:sz="4" w:space="0" w:color="FFFFFF" w:themeColor="background1"/>
        <w:insideV w:val="single" w:sz="4" w:space="0" w:color="FFFFFF" w:themeColor="background1"/>
      </w:tblBorders>
    </w:tblPr>
    <w:tcPr>
      <w:shd w:val="clear" w:color="auto" w:fill="FAE7EB" w:themeFill="accent6" w:themeFillTint="19"/>
    </w:tcPr>
    <w:tblStylePr w:type="firstRow">
      <w:rPr>
        <w:b/>
        <w:bCs/>
      </w:rPr>
      <w:tblPr/>
      <w:tcPr>
        <w:tcBorders>
          <w:top w:val="nil"/>
          <w:left w:val="nil"/>
          <w:bottom w:val="single" w:sz="24" w:space="0" w:color="6CAD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628" w:themeFill="accent6" w:themeFillShade="99"/>
      </w:tcPr>
    </w:tblStylePr>
    <w:tblStylePr w:type="firstCol">
      <w:rPr>
        <w:color w:val="FFFFFF" w:themeColor="background1"/>
      </w:rPr>
      <w:tblPr/>
      <w:tcPr>
        <w:tcBorders>
          <w:top w:val="nil"/>
          <w:left w:val="nil"/>
          <w:bottom w:val="nil"/>
          <w:right w:val="nil"/>
          <w:insideH w:val="single" w:sz="4" w:space="0" w:color="711628" w:themeColor="accent6" w:themeShade="99"/>
          <w:insideV w:val="nil"/>
        </w:tcBorders>
        <w:shd w:val="clear" w:color="auto" w:fill="7116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11628" w:themeFill="accent6" w:themeFillShade="99"/>
      </w:tcPr>
    </w:tblStylePr>
    <w:tblStylePr w:type="band1Vert">
      <w:tblPr/>
      <w:tcPr>
        <w:shd w:val="clear" w:color="auto" w:fill="ECA0AF" w:themeFill="accent6" w:themeFillTint="66"/>
      </w:tcPr>
    </w:tblStylePr>
    <w:tblStylePr w:type="band1Horz">
      <w:tblPr/>
      <w:tcPr>
        <w:shd w:val="clear" w:color="auto" w:fill="E7899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qFormat/>
    <w:rPr>
      <w:sz w:val="16"/>
      <w:szCs w:val="16"/>
      <w:lang w:val="en-GB"/>
    </w:rPr>
  </w:style>
  <w:style w:type="table" w:styleId="DarkList">
    <w:name w:val="Dark List"/>
    <w:basedOn w:val="TableNormal"/>
    <w:uiPriority w:val="70"/>
    <w:semiHidden/>
    <w:unhideWhenUsed/>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after="0"/>
    </w:pPr>
    <w:rPr>
      <w:color w:val="FFFFFF" w:themeColor="background1"/>
    </w:rPr>
    <w:tblPr>
      <w:tblStyleRowBandSize w:val="1"/>
      <w:tblStyleColBandSize w:val="1"/>
    </w:tblPr>
    <w:tcPr>
      <w:shd w:val="clear" w:color="auto" w:fill="02847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13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625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625D" w:themeFill="accent1" w:themeFillShade="BF"/>
      </w:tcPr>
    </w:tblStylePr>
    <w:tblStylePr w:type="band1Vert">
      <w:tblPr/>
      <w:tcPr>
        <w:tcBorders>
          <w:top w:val="nil"/>
          <w:left w:val="nil"/>
          <w:bottom w:val="nil"/>
          <w:right w:val="nil"/>
          <w:insideH w:val="nil"/>
          <w:insideV w:val="nil"/>
        </w:tcBorders>
        <w:shd w:val="clear" w:color="auto" w:fill="01625D" w:themeFill="accent1" w:themeFillShade="BF"/>
      </w:tcPr>
    </w:tblStylePr>
    <w:tblStylePr w:type="band1Horz">
      <w:tblPr/>
      <w:tcPr>
        <w:tcBorders>
          <w:top w:val="nil"/>
          <w:left w:val="nil"/>
          <w:bottom w:val="nil"/>
          <w:right w:val="nil"/>
          <w:insideH w:val="nil"/>
          <w:insideV w:val="nil"/>
        </w:tcBorders>
        <w:shd w:val="clear" w:color="auto" w:fill="01625D" w:themeFill="accent1" w:themeFillShade="BF"/>
      </w:tcPr>
    </w:tblStylePr>
  </w:style>
  <w:style w:type="table" w:styleId="DarkList-Accent2">
    <w:name w:val="Dark List Accent 2"/>
    <w:basedOn w:val="TableNormal"/>
    <w:uiPriority w:val="70"/>
    <w:semiHidden/>
    <w:unhideWhenUsed/>
    <w:pPr>
      <w:spacing w:before="0" w:after="0"/>
    </w:pPr>
    <w:rPr>
      <w:color w:val="FFFFFF" w:themeColor="background1"/>
    </w:rPr>
    <w:tblPr>
      <w:tblStyleRowBandSize w:val="1"/>
      <w:tblStyleColBandSize w:val="1"/>
    </w:tblPr>
    <w:tcPr>
      <w:shd w:val="clear" w:color="auto" w:fill="F36E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29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A3F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A3F0E" w:themeFill="accent2" w:themeFillShade="BF"/>
      </w:tcPr>
    </w:tblStylePr>
    <w:tblStylePr w:type="band1Vert">
      <w:tblPr/>
      <w:tcPr>
        <w:tcBorders>
          <w:top w:val="nil"/>
          <w:left w:val="nil"/>
          <w:bottom w:val="nil"/>
          <w:right w:val="nil"/>
          <w:insideH w:val="nil"/>
          <w:insideV w:val="nil"/>
        </w:tcBorders>
        <w:shd w:val="clear" w:color="auto" w:fill="DA3F0E" w:themeFill="accent2" w:themeFillShade="BF"/>
      </w:tcPr>
    </w:tblStylePr>
    <w:tblStylePr w:type="band1Horz">
      <w:tblPr/>
      <w:tcPr>
        <w:tcBorders>
          <w:top w:val="nil"/>
          <w:left w:val="nil"/>
          <w:bottom w:val="nil"/>
          <w:right w:val="nil"/>
          <w:insideH w:val="nil"/>
          <w:insideV w:val="nil"/>
        </w:tcBorders>
        <w:shd w:val="clear" w:color="auto" w:fill="DA3F0E" w:themeFill="accent2" w:themeFillShade="BF"/>
      </w:tcPr>
    </w:tblStylePr>
  </w:style>
  <w:style w:type="table" w:styleId="DarkList-Accent3">
    <w:name w:val="Dark List Accent 3"/>
    <w:basedOn w:val="TableNormal"/>
    <w:uiPriority w:val="70"/>
    <w:semiHidden/>
    <w:unhideWhenUsed/>
    <w:pPr>
      <w:spacing w:before="0" w:after="0"/>
    </w:pPr>
    <w:rPr>
      <w:color w:val="FFFFFF" w:themeColor="background1"/>
    </w:rPr>
    <w:tblPr>
      <w:tblStyleRowBandSize w:val="1"/>
      <w:tblStyleColBandSize w:val="1"/>
    </w:tblPr>
    <w:tcPr>
      <w:shd w:val="clear" w:color="auto" w:fill="59BDB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25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B949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B9490" w:themeFill="accent3" w:themeFillShade="BF"/>
      </w:tcPr>
    </w:tblStylePr>
    <w:tblStylePr w:type="band1Vert">
      <w:tblPr/>
      <w:tcPr>
        <w:tcBorders>
          <w:top w:val="nil"/>
          <w:left w:val="nil"/>
          <w:bottom w:val="nil"/>
          <w:right w:val="nil"/>
          <w:insideH w:val="nil"/>
          <w:insideV w:val="nil"/>
        </w:tcBorders>
        <w:shd w:val="clear" w:color="auto" w:fill="3B9490" w:themeFill="accent3" w:themeFillShade="BF"/>
      </w:tcPr>
    </w:tblStylePr>
    <w:tblStylePr w:type="band1Horz">
      <w:tblPr/>
      <w:tcPr>
        <w:tcBorders>
          <w:top w:val="nil"/>
          <w:left w:val="nil"/>
          <w:bottom w:val="nil"/>
          <w:right w:val="nil"/>
          <w:insideH w:val="nil"/>
          <w:insideV w:val="nil"/>
        </w:tcBorders>
        <w:shd w:val="clear" w:color="auto" w:fill="3B9490" w:themeFill="accent3" w:themeFillShade="BF"/>
      </w:tcPr>
    </w:tblStylePr>
  </w:style>
  <w:style w:type="table" w:styleId="DarkList-Accent4">
    <w:name w:val="Dark List Accent 4"/>
    <w:basedOn w:val="TableNormal"/>
    <w:uiPriority w:val="70"/>
    <w:semiHidden/>
    <w:unhideWhenUsed/>
    <w:pPr>
      <w:spacing w:before="0" w:after="0"/>
    </w:pPr>
    <w:rPr>
      <w:color w:val="FFFFFF" w:themeColor="background1"/>
    </w:rPr>
    <w:tblPr>
      <w:tblStyleRowBandSize w:val="1"/>
      <w:tblStyleColBandSize w:val="1"/>
    </w:tblPr>
    <w:tcPr>
      <w:shd w:val="clear" w:color="auto" w:fill="FDB93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630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1960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19602" w:themeFill="accent4" w:themeFillShade="BF"/>
      </w:tcPr>
    </w:tblStylePr>
    <w:tblStylePr w:type="band1Vert">
      <w:tblPr/>
      <w:tcPr>
        <w:tcBorders>
          <w:top w:val="nil"/>
          <w:left w:val="nil"/>
          <w:bottom w:val="nil"/>
          <w:right w:val="nil"/>
          <w:insideH w:val="nil"/>
          <w:insideV w:val="nil"/>
        </w:tcBorders>
        <w:shd w:val="clear" w:color="auto" w:fill="E19602" w:themeFill="accent4" w:themeFillShade="BF"/>
      </w:tcPr>
    </w:tblStylePr>
    <w:tblStylePr w:type="band1Horz">
      <w:tblPr/>
      <w:tcPr>
        <w:tcBorders>
          <w:top w:val="nil"/>
          <w:left w:val="nil"/>
          <w:bottom w:val="nil"/>
          <w:right w:val="nil"/>
          <w:insideH w:val="nil"/>
          <w:insideV w:val="nil"/>
        </w:tcBorders>
        <w:shd w:val="clear" w:color="auto" w:fill="E19602" w:themeFill="accent4" w:themeFillShade="BF"/>
      </w:tcPr>
    </w:tblStylePr>
  </w:style>
  <w:style w:type="table" w:styleId="DarkList-Accent5">
    <w:name w:val="Dark List Accent 5"/>
    <w:basedOn w:val="TableNormal"/>
    <w:uiPriority w:val="70"/>
    <w:semiHidden/>
    <w:unhideWhenUsed/>
    <w:pPr>
      <w:spacing w:before="0" w:after="0"/>
    </w:pPr>
    <w:rPr>
      <w:color w:val="FFFFFF" w:themeColor="background1"/>
    </w:rPr>
    <w:tblPr>
      <w:tblStyleRowBandSize w:val="1"/>
      <w:tblStyleColBandSize w:val="1"/>
    </w:tblPr>
    <w:tcPr>
      <w:shd w:val="clear" w:color="auto" w:fill="6CAD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9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864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864B" w:themeFill="accent5" w:themeFillShade="BF"/>
      </w:tcPr>
    </w:tblStylePr>
    <w:tblStylePr w:type="band1Vert">
      <w:tblPr/>
      <w:tcPr>
        <w:tcBorders>
          <w:top w:val="nil"/>
          <w:left w:val="nil"/>
          <w:bottom w:val="nil"/>
          <w:right w:val="nil"/>
          <w:insideH w:val="nil"/>
          <w:insideV w:val="nil"/>
        </w:tcBorders>
        <w:shd w:val="clear" w:color="auto" w:fill="4B864B" w:themeFill="accent5" w:themeFillShade="BF"/>
      </w:tcPr>
    </w:tblStylePr>
    <w:tblStylePr w:type="band1Horz">
      <w:tblPr/>
      <w:tcPr>
        <w:tcBorders>
          <w:top w:val="nil"/>
          <w:left w:val="nil"/>
          <w:bottom w:val="nil"/>
          <w:right w:val="nil"/>
          <w:insideH w:val="nil"/>
          <w:insideV w:val="nil"/>
        </w:tcBorders>
        <w:shd w:val="clear" w:color="auto" w:fill="4B864B" w:themeFill="accent5" w:themeFillShade="BF"/>
      </w:tcPr>
    </w:tblStylePr>
  </w:style>
  <w:style w:type="table" w:styleId="DarkList-Accent6">
    <w:name w:val="Dark List Accent 6"/>
    <w:basedOn w:val="TableNormal"/>
    <w:uiPriority w:val="70"/>
    <w:semiHidden/>
    <w:unhideWhenUsed/>
    <w:pPr>
      <w:spacing w:before="0" w:after="0"/>
    </w:pPr>
    <w:rPr>
      <w:color w:val="FFFFFF" w:themeColor="background1"/>
    </w:rPr>
    <w:tblPr>
      <w:tblStyleRowBandSize w:val="1"/>
      <w:tblStyleColBandSize w:val="1"/>
    </w:tblPr>
    <w:tcPr>
      <w:shd w:val="clear" w:color="auto" w:fill="BD2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3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D1C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D1C32" w:themeFill="accent6" w:themeFillShade="BF"/>
      </w:tcPr>
    </w:tblStylePr>
    <w:tblStylePr w:type="band1Vert">
      <w:tblPr/>
      <w:tcPr>
        <w:tcBorders>
          <w:top w:val="nil"/>
          <w:left w:val="nil"/>
          <w:bottom w:val="nil"/>
          <w:right w:val="nil"/>
          <w:insideH w:val="nil"/>
          <w:insideV w:val="nil"/>
        </w:tcBorders>
        <w:shd w:val="clear" w:color="auto" w:fill="8D1C32" w:themeFill="accent6" w:themeFillShade="BF"/>
      </w:tcPr>
    </w:tblStylePr>
    <w:tblStylePr w:type="band1Horz">
      <w:tblPr/>
      <w:tcPr>
        <w:tcBorders>
          <w:top w:val="nil"/>
          <w:left w:val="nil"/>
          <w:bottom w:val="nil"/>
          <w:right w:val="nil"/>
          <w:insideH w:val="nil"/>
          <w:insideV w:val="nil"/>
        </w:tcBorders>
        <w:shd w:val="clear" w:color="auto" w:fill="8D1C32" w:themeFill="accent6" w:themeFillShade="BF"/>
      </w:tcPr>
    </w:tblStylePr>
  </w:style>
  <w:style w:type="character" w:styleId="Emphasis">
    <w:name w:val="Emphasis"/>
    <w:basedOn w:val="DefaultParagraphFont"/>
    <w:uiPriority w:val="20"/>
    <w:qFormat/>
    <w:rPr>
      <w:i/>
      <w:iCs/>
      <w:lang w:val="en-GB"/>
    </w:rPr>
  </w:style>
  <w:style w:type="table" w:styleId="GridTable1Light">
    <w:name w:val="Grid Table 1 Light"/>
    <w:basedOn w:val="TableNormal"/>
    <w:uiPriority w:val="4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pPr>
      <w:spacing w:after="0"/>
    </w:pPr>
    <w:tblPr>
      <w:tblStyleRowBandSize w:val="1"/>
      <w:tblStyleColBandSize w:val="1"/>
      <w:tblBorders>
        <w:top w:val="single" w:sz="4" w:space="0" w:color="6AFCF4" w:themeColor="accent1" w:themeTint="66"/>
        <w:left w:val="single" w:sz="4" w:space="0" w:color="6AFCF4" w:themeColor="accent1" w:themeTint="66"/>
        <w:bottom w:val="single" w:sz="4" w:space="0" w:color="6AFCF4" w:themeColor="accent1" w:themeTint="66"/>
        <w:right w:val="single" w:sz="4" w:space="0" w:color="6AFCF4" w:themeColor="accent1" w:themeTint="66"/>
        <w:insideH w:val="single" w:sz="4" w:space="0" w:color="6AFCF4" w:themeColor="accent1" w:themeTint="66"/>
        <w:insideV w:val="single" w:sz="4" w:space="0" w:color="6AFCF4" w:themeColor="accent1" w:themeTint="66"/>
      </w:tblBorders>
    </w:tblPr>
    <w:tblStylePr w:type="firstRow">
      <w:rPr>
        <w:b/>
        <w:bCs/>
      </w:rPr>
      <w:tblPr/>
      <w:tcPr>
        <w:tcBorders>
          <w:bottom w:val="single" w:sz="12" w:space="0" w:color="20FBEF" w:themeColor="accent1" w:themeTint="99"/>
        </w:tcBorders>
      </w:tcPr>
    </w:tblStylePr>
    <w:tblStylePr w:type="lastRow">
      <w:rPr>
        <w:b/>
        <w:bCs/>
      </w:rPr>
      <w:tblPr/>
      <w:tcPr>
        <w:tcBorders>
          <w:top w:val="double" w:sz="2" w:space="0" w:color="20FBE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AC4B4" w:themeColor="accent2" w:themeTint="66"/>
        <w:left w:val="single" w:sz="4" w:space="0" w:color="FAC4B4" w:themeColor="accent2" w:themeTint="66"/>
        <w:bottom w:val="single" w:sz="4" w:space="0" w:color="FAC4B4" w:themeColor="accent2" w:themeTint="66"/>
        <w:right w:val="single" w:sz="4" w:space="0" w:color="FAC4B4" w:themeColor="accent2" w:themeTint="66"/>
        <w:insideH w:val="single" w:sz="4" w:space="0" w:color="FAC4B4" w:themeColor="accent2" w:themeTint="66"/>
        <w:insideV w:val="single" w:sz="4" w:space="0" w:color="FAC4B4" w:themeColor="accent2" w:themeTint="66"/>
      </w:tblBorders>
    </w:tblPr>
    <w:tblStylePr w:type="firstRow">
      <w:rPr>
        <w:b/>
        <w:bCs/>
      </w:rPr>
      <w:tblPr/>
      <w:tcPr>
        <w:tcBorders>
          <w:bottom w:val="single" w:sz="12" w:space="0" w:color="F7A78E" w:themeColor="accent2" w:themeTint="99"/>
        </w:tcBorders>
      </w:tcPr>
    </w:tblStylePr>
    <w:tblStylePr w:type="lastRow">
      <w:rPr>
        <w:b/>
        <w:bCs/>
      </w:rPr>
      <w:tblPr/>
      <w:tcPr>
        <w:tcBorders>
          <w:top w:val="double" w:sz="2" w:space="0" w:color="F7A78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after="0"/>
    </w:pPr>
    <w:tblPr>
      <w:tblStyleRowBandSize w:val="1"/>
      <w:tblStyleColBandSize w:val="1"/>
      <w:tblBorders>
        <w:top w:val="single" w:sz="4" w:space="0" w:color="BCE4E2" w:themeColor="accent3" w:themeTint="66"/>
        <w:left w:val="single" w:sz="4" w:space="0" w:color="BCE4E2" w:themeColor="accent3" w:themeTint="66"/>
        <w:bottom w:val="single" w:sz="4" w:space="0" w:color="BCE4E2" w:themeColor="accent3" w:themeTint="66"/>
        <w:right w:val="single" w:sz="4" w:space="0" w:color="BCE4E2" w:themeColor="accent3" w:themeTint="66"/>
        <w:insideH w:val="single" w:sz="4" w:space="0" w:color="BCE4E2" w:themeColor="accent3" w:themeTint="66"/>
        <w:insideV w:val="single" w:sz="4" w:space="0" w:color="BCE4E2" w:themeColor="accent3" w:themeTint="66"/>
      </w:tblBorders>
    </w:tblPr>
    <w:tblStylePr w:type="firstRow">
      <w:rPr>
        <w:b/>
        <w:bCs/>
      </w:rPr>
      <w:tblPr/>
      <w:tcPr>
        <w:tcBorders>
          <w:bottom w:val="single" w:sz="12" w:space="0" w:color="9BD7D4" w:themeColor="accent3" w:themeTint="99"/>
        </w:tcBorders>
      </w:tcPr>
    </w:tblStylePr>
    <w:tblStylePr w:type="lastRow">
      <w:rPr>
        <w:b/>
        <w:bCs/>
      </w:rPr>
      <w:tblPr/>
      <w:tcPr>
        <w:tcBorders>
          <w:top w:val="double" w:sz="2" w:space="0" w:color="9BD7D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after="0"/>
    </w:pPr>
    <w:tblPr>
      <w:tblStyleRowBandSize w:val="1"/>
      <w:tblStyleColBandSize w:val="1"/>
      <w:tblBorders>
        <w:top w:val="single" w:sz="4" w:space="0" w:color="FEE2AD" w:themeColor="accent4" w:themeTint="66"/>
        <w:left w:val="single" w:sz="4" w:space="0" w:color="FEE2AD" w:themeColor="accent4" w:themeTint="66"/>
        <w:bottom w:val="single" w:sz="4" w:space="0" w:color="FEE2AD" w:themeColor="accent4" w:themeTint="66"/>
        <w:right w:val="single" w:sz="4" w:space="0" w:color="FEE2AD" w:themeColor="accent4" w:themeTint="66"/>
        <w:insideH w:val="single" w:sz="4" w:space="0" w:color="FEE2AD" w:themeColor="accent4" w:themeTint="66"/>
        <w:insideV w:val="single" w:sz="4" w:space="0" w:color="FEE2AD" w:themeColor="accent4" w:themeTint="66"/>
      </w:tblBorders>
    </w:tblPr>
    <w:tblStylePr w:type="firstRow">
      <w:rPr>
        <w:b/>
        <w:bCs/>
      </w:rPr>
      <w:tblPr/>
      <w:tcPr>
        <w:tcBorders>
          <w:bottom w:val="single" w:sz="12" w:space="0" w:color="FDD484" w:themeColor="accent4" w:themeTint="99"/>
        </w:tcBorders>
      </w:tcPr>
    </w:tblStylePr>
    <w:tblStylePr w:type="lastRow">
      <w:rPr>
        <w:b/>
        <w:bCs/>
      </w:rPr>
      <w:tblPr/>
      <w:tcPr>
        <w:tcBorders>
          <w:top w:val="double" w:sz="2" w:space="0" w:color="FDD48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after="0"/>
    </w:pPr>
    <w:tblPr>
      <w:tblStyleRowBandSize w:val="1"/>
      <w:tblStyleColBandSize w:val="1"/>
      <w:tblBorders>
        <w:top w:val="single" w:sz="4" w:space="0" w:color="C4DEC4" w:themeColor="accent5" w:themeTint="66"/>
        <w:left w:val="single" w:sz="4" w:space="0" w:color="C4DEC4" w:themeColor="accent5" w:themeTint="66"/>
        <w:bottom w:val="single" w:sz="4" w:space="0" w:color="C4DEC4" w:themeColor="accent5" w:themeTint="66"/>
        <w:right w:val="single" w:sz="4" w:space="0" w:color="C4DEC4" w:themeColor="accent5" w:themeTint="66"/>
        <w:insideH w:val="single" w:sz="4" w:space="0" w:color="C4DEC4" w:themeColor="accent5" w:themeTint="66"/>
        <w:insideV w:val="single" w:sz="4" w:space="0" w:color="C4DEC4" w:themeColor="accent5" w:themeTint="66"/>
      </w:tblBorders>
    </w:tblPr>
    <w:tblStylePr w:type="firstRow">
      <w:rPr>
        <w:b/>
        <w:bCs/>
      </w:rPr>
      <w:tblPr/>
      <w:tcPr>
        <w:tcBorders>
          <w:bottom w:val="single" w:sz="12" w:space="0" w:color="A6CDA6" w:themeColor="accent5" w:themeTint="99"/>
        </w:tcBorders>
      </w:tcPr>
    </w:tblStylePr>
    <w:tblStylePr w:type="lastRow">
      <w:rPr>
        <w:b/>
        <w:bCs/>
      </w:rPr>
      <w:tblPr/>
      <w:tcPr>
        <w:tcBorders>
          <w:top w:val="double" w:sz="2" w:space="0" w:color="A6CDA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ECA0AF" w:themeColor="accent6" w:themeTint="66"/>
        <w:left w:val="single" w:sz="4" w:space="0" w:color="ECA0AF" w:themeColor="accent6" w:themeTint="66"/>
        <w:bottom w:val="single" w:sz="4" w:space="0" w:color="ECA0AF" w:themeColor="accent6" w:themeTint="66"/>
        <w:right w:val="single" w:sz="4" w:space="0" w:color="ECA0AF" w:themeColor="accent6" w:themeTint="66"/>
        <w:insideH w:val="single" w:sz="4" w:space="0" w:color="ECA0AF" w:themeColor="accent6" w:themeTint="66"/>
        <w:insideV w:val="single" w:sz="4" w:space="0" w:color="ECA0AF" w:themeColor="accent6" w:themeTint="66"/>
      </w:tblBorders>
    </w:tblPr>
    <w:tblStylePr w:type="firstRow">
      <w:rPr>
        <w:b/>
        <w:bCs/>
      </w:rPr>
      <w:tblPr/>
      <w:tcPr>
        <w:tcBorders>
          <w:bottom w:val="single" w:sz="12" w:space="0" w:color="E27187" w:themeColor="accent6" w:themeTint="99"/>
        </w:tcBorders>
      </w:tcPr>
    </w:tblStylePr>
    <w:tblStylePr w:type="lastRow">
      <w:rPr>
        <w:b/>
        <w:bCs/>
      </w:rPr>
      <w:tblPr/>
      <w:tcPr>
        <w:tcBorders>
          <w:top w:val="double" w:sz="2" w:space="0" w:color="E2718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after="0"/>
    </w:pPr>
    <w:tblPr>
      <w:tblStyleRowBandSize w:val="1"/>
      <w:tblStyleColBandSize w:val="1"/>
      <w:tblBorders>
        <w:top w:val="single" w:sz="2" w:space="0" w:color="20FBEF" w:themeColor="accent1" w:themeTint="99"/>
        <w:bottom w:val="single" w:sz="2" w:space="0" w:color="20FBEF" w:themeColor="accent1" w:themeTint="99"/>
        <w:insideH w:val="single" w:sz="2" w:space="0" w:color="20FBEF" w:themeColor="accent1" w:themeTint="99"/>
        <w:insideV w:val="single" w:sz="2" w:space="0" w:color="20FBEF" w:themeColor="accent1" w:themeTint="99"/>
      </w:tblBorders>
    </w:tblPr>
    <w:tblStylePr w:type="firstRow">
      <w:rPr>
        <w:b/>
        <w:bCs/>
      </w:rPr>
      <w:tblPr/>
      <w:tcPr>
        <w:tcBorders>
          <w:top w:val="nil"/>
          <w:bottom w:val="single" w:sz="12" w:space="0" w:color="20FBEF" w:themeColor="accent1" w:themeTint="99"/>
          <w:insideH w:val="nil"/>
          <w:insideV w:val="nil"/>
        </w:tcBorders>
        <w:shd w:val="clear" w:color="auto" w:fill="FFFFFF" w:themeFill="background1"/>
      </w:tcPr>
    </w:tblStylePr>
    <w:tblStylePr w:type="lastRow">
      <w:rPr>
        <w:b/>
        <w:bCs/>
      </w:rPr>
      <w:tblPr/>
      <w:tcPr>
        <w:tcBorders>
          <w:top w:val="double" w:sz="2" w:space="0" w:color="20FBE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FEF9" w:themeFill="accent1" w:themeFillTint="33"/>
      </w:tcPr>
    </w:tblStylePr>
    <w:tblStylePr w:type="band1Horz">
      <w:tblPr/>
      <w:tcPr>
        <w:shd w:val="clear" w:color="auto" w:fill="B4FEF9" w:themeFill="accent1" w:themeFillTint="33"/>
      </w:tcPr>
    </w:tblStylePr>
  </w:style>
  <w:style w:type="table" w:styleId="GridTable2-Accent3">
    <w:name w:val="Grid Table 2 Accent 3"/>
    <w:basedOn w:val="TableNormal"/>
    <w:uiPriority w:val="47"/>
    <w:pPr>
      <w:spacing w:after="0"/>
    </w:pPr>
    <w:tblPr>
      <w:tblStyleRowBandSize w:val="1"/>
      <w:tblStyleColBandSize w:val="1"/>
      <w:tblBorders>
        <w:top w:val="single" w:sz="2" w:space="0" w:color="9BD7D4" w:themeColor="accent3" w:themeTint="99"/>
        <w:bottom w:val="single" w:sz="2" w:space="0" w:color="9BD7D4" w:themeColor="accent3" w:themeTint="99"/>
        <w:insideH w:val="single" w:sz="2" w:space="0" w:color="9BD7D4" w:themeColor="accent3" w:themeTint="99"/>
        <w:insideV w:val="single" w:sz="2" w:space="0" w:color="9BD7D4" w:themeColor="accent3" w:themeTint="99"/>
      </w:tblBorders>
    </w:tblPr>
    <w:tblStylePr w:type="firstRow">
      <w:rPr>
        <w:b/>
        <w:bCs/>
      </w:rPr>
      <w:tblPr/>
      <w:tcPr>
        <w:tcBorders>
          <w:top w:val="nil"/>
          <w:bottom w:val="single" w:sz="12" w:space="0" w:color="9BD7D4" w:themeColor="accent3" w:themeTint="99"/>
          <w:insideH w:val="nil"/>
          <w:insideV w:val="nil"/>
        </w:tcBorders>
        <w:shd w:val="clear" w:color="auto" w:fill="FFFFFF" w:themeFill="background1"/>
      </w:tcPr>
    </w:tblStylePr>
    <w:tblStylePr w:type="lastRow">
      <w:rPr>
        <w:b/>
        <w:bCs/>
      </w:rPr>
      <w:tblPr/>
      <w:tcPr>
        <w:tcBorders>
          <w:top w:val="double" w:sz="2" w:space="0" w:color="9BD7D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F0" w:themeFill="accent3" w:themeFillTint="33"/>
      </w:tcPr>
    </w:tblStylePr>
    <w:tblStylePr w:type="band1Horz">
      <w:tblPr/>
      <w:tcPr>
        <w:shd w:val="clear" w:color="auto" w:fill="DDF1F0" w:themeFill="accent3" w:themeFillTint="33"/>
      </w:tcPr>
    </w:tblStylePr>
  </w:style>
  <w:style w:type="table" w:styleId="GridTable2-Accent4">
    <w:name w:val="Grid Table 2 Accent 4"/>
    <w:basedOn w:val="TableNormal"/>
    <w:uiPriority w:val="47"/>
    <w:pPr>
      <w:spacing w:after="0"/>
    </w:pPr>
    <w:tblPr>
      <w:tblStyleRowBandSize w:val="1"/>
      <w:tblStyleColBandSize w:val="1"/>
      <w:tblBorders>
        <w:top w:val="single" w:sz="2" w:space="0" w:color="FDD484" w:themeColor="accent4" w:themeTint="99"/>
        <w:bottom w:val="single" w:sz="2" w:space="0" w:color="FDD484" w:themeColor="accent4" w:themeTint="99"/>
        <w:insideH w:val="single" w:sz="2" w:space="0" w:color="FDD484" w:themeColor="accent4" w:themeTint="99"/>
        <w:insideV w:val="single" w:sz="2" w:space="0" w:color="FDD484" w:themeColor="accent4" w:themeTint="99"/>
      </w:tblBorders>
    </w:tblPr>
    <w:tblStylePr w:type="firstRow">
      <w:rPr>
        <w:b/>
        <w:bCs/>
      </w:rPr>
      <w:tblPr/>
      <w:tcPr>
        <w:tcBorders>
          <w:top w:val="nil"/>
          <w:bottom w:val="single" w:sz="12" w:space="0" w:color="FDD484" w:themeColor="accent4" w:themeTint="99"/>
          <w:insideH w:val="nil"/>
          <w:insideV w:val="nil"/>
        </w:tcBorders>
        <w:shd w:val="clear" w:color="auto" w:fill="FFFFFF" w:themeFill="background1"/>
      </w:tcPr>
    </w:tblStylePr>
    <w:tblStylePr w:type="lastRow">
      <w:rPr>
        <w:b/>
        <w:bCs/>
      </w:rPr>
      <w:tblPr/>
      <w:tcPr>
        <w:tcBorders>
          <w:top w:val="double" w:sz="2" w:space="0" w:color="FDD48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6" w:themeFill="accent4" w:themeFillTint="33"/>
      </w:tcPr>
    </w:tblStylePr>
    <w:tblStylePr w:type="band1Horz">
      <w:tblPr/>
      <w:tcPr>
        <w:shd w:val="clear" w:color="auto" w:fill="FEF0D6" w:themeFill="accent4" w:themeFillTint="33"/>
      </w:tcPr>
    </w:tblStylePr>
  </w:style>
  <w:style w:type="table" w:styleId="GridTable2-Accent5">
    <w:name w:val="Grid Table 2 Accent 5"/>
    <w:basedOn w:val="TableNormal"/>
    <w:uiPriority w:val="47"/>
    <w:pPr>
      <w:spacing w:after="0"/>
    </w:pPr>
    <w:tblPr>
      <w:tblStyleRowBandSize w:val="1"/>
      <w:tblStyleColBandSize w:val="1"/>
      <w:tblBorders>
        <w:top w:val="single" w:sz="2" w:space="0" w:color="A6CDA6" w:themeColor="accent5" w:themeTint="99"/>
        <w:bottom w:val="single" w:sz="2" w:space="0" w:color="A6CDA6" w:themeColor="accent5" w:themeTint="99"/>
        <w:insideH w:val="single" w:sz="2" w:space="0" w:color="A6CDA6" w:themeColor="accent5" w:themeTint="99"/>
        <w:insideV w:val="single" w:sz="2" w:space="0" w:color="A6CDA6" w:themeColor="accent5" w:themeTint="99"/>
      </w:tblBorders>
    </w:tblPr>
    <w:tblStylePr w:type="firstRow">
      <w:rPr>
        <w:b/>
        <w:bCs/>
      </w:rPr>
      <w:tblPr/>
      <w:tcPr>
        <w:tcBorders>
          <w:top w:val="nil"/>
          <w:bottom w:val="single" w:sz="12" w:space="0" w:color="A6CDA6" w:themeColor="accent5" w:themeTint="99"/>
          <w:insideH w:val="nil"/>
          <w:insideV w:val="nil"/>
        </w:tcBorders>
        <w:shd w:val="clear" w:color="auto" w:fill="FFFFFF" w:themeFill="background1"/>
      </w:tcPr>
    </w:tblStylePr>
    <w:tblStylePr w:type="lastRow">
      <w:rPr>
        <w:b/>
        <w:bCs/>
      </w:rPr>
      <w:tblPr/>
      <w:tcPr>
        <w:tcBorders>
          <w:top w:val="double" w:sz="2" w:space="0" w:color="A6CDA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1" w:themeFill="accent5" w:themeFillTint="33"/>
      </w:tcPr>
    </w:tblStylePr>
    <w:tblStylePr w:type="band1Horz">
      <w:tblPr/>
      <w:tcPr>
        <w:shd w:val="clear" w:color="auto" w:fill="E1EEE1" w:themeFill="accent5" w:themeFillTint="33"/>
      </w:tcPr>
    </w:tblStylePr>
  </w:style>
  <w:style w:type="table" w:styleId="GridTable2-Accent6">
    <w:name w:val="Grid Table 2 Accent 6"/>
    <w:basedOn w:val="TableNormal"/>
    <w:uiPriority w:val="47"/>
    <w:pPr>
      <w:spacing w:after="0"/>
    </w:pPr>
    <w:tblPr>
      <w:tblStyleRowBandSize w:val="1"/>
      <w:tblStyleColBandSize w:val="1"/>
      <w:tblBorders>
        <w:top w:val="single" w:sz="2" w:space="0" w:color="E27187" w:themeColor="accent6" w:themeTint="99"/>
        <w:bottom w:val="single" w:sz="2" w:space="0" w:color="E27187" w:themeColor="accent6" w:themeTint="99"/>
        <w:insideH w:val="single" w:sz="2" w:space="0" w:color="E27187" w:themeColor="accent6" w:themeTint="99"/>
        <w:insideV w:val="single" w:sz="2" w:space="0" w:color="E27187" w:themeColor="accent6" w:themeTint="99"/>
      </w:tblBorders>
    </w:tblPr>
    <w:tblStylePr w:type="firstRow">
      <w:rPr>
        <w:b/>
        <w:bCs/>
      </w:rPr>
      <w:tblPr/>
      <w:tcPr>
        <w:tcBorders>
          <w:top w:val="nil"/>
          <w:bottom w:val="single" w:sz="12" w:space="0" w:color="E27187" w:themeColor="accent6" w:themeTint="99"/>
          <w:insideH w:val="nil"/>
          <w:insideV w:val="nil"/>
        </w:tcBorders>
        <w:shd w:val="clear" w:color="auto" w:fill="FFFFFF" w:themeFill="background1"/>
      </w:tcPr>
    </w:tblStylePr>
    <w:tblStylePr w:type="lastRow">
      <w:rPr>
        <w:b/>
        <w:bCs/>
      </w:rPr>
      <w:tblPr/>
      <w:tcPr>
        <w:tcBorders>
          <w:top w:val="double" w:sz="2" w:space="0" w:color="E2718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CFD7" w:themeFill="accent6" w:themeFillTint="33"/>
      </w:tcPr>
    </w:tblStylePr>
    <w:tblStylePr w:type="band1Horz">
      <w:tblPr/>
      <w:tcPr>
        <w:shd w:val="clear" w:color="auto" w:fill="F5CFD7" w:themeFill="accent6" w:themeFillTint="33"/>
      </w:tcPr>
    </w:tblStylePr>
  </w:style>
  <w:style w:type="table" w:styleId="GridTable3">
    <w:name w:val="Grid Table 3"/>
    <w:basedOn w:val="TableNormal"/>
    <w:uiPriority w:val="4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after="0"/>
    </w:pPr>
    <w:tblPr>
      <w:tblStyleRowBandSize w:val="1"/>
      <w:tblStyleColBandSize w:val="1"/>
      <w:tblBorders>
        <w:top w:val="single" w:sz="4" w:space="0" w:color="20FBEF" w:themeColor="accent1" w:themeTint="99"/>
        <w:left w:val="single" w:sz="4" w:space="0" w:color="20FBEF" w:themeColor="accent1" w:themeTint="99"/>
        <w:bottom w:val="single" w:sz="4" w:space="0" w:color="20FBEF" w:themeColor="accent1" w:themeTint="99"/>
        <w:right w:val="single" w:sz="4" w:space="0" w:color="20FBEF" w:themeColor="accent1" w:themeTint="99"/>
        <w:insideH w:val="single" w:sz="4" w:space="0" w:color="20FBEF" w:themeColor="accent1" w:themeTint="99"/>
        <w:insideV w:val="single" w:sz="4" w:space="0" w:color="20FBE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EF9" w:themeFill="accent1" w:themeFillTint="33"/>
      </w:tcPr>
    </w:tblStylePr>
    <w:tblStylePr w:type="band1Horz">
      <w:tblPr/>
      <w:tcPr>
        <w:shd w:val="clear" w:color="auto" w:fill="B4FEF9" w:themeFill="accent1" w:themeFillTint="33"/>
      </w:tcPr>
    </w:tblStylePr>
    <w:tblStylePr w:type="neCell">
      <w:tblPr/>
      <w:tcPr>
        <w:tcBorders>
          <w:bottom w:val="single" w:sz="4" w:space="0" w:color="20FBEF" w:themeColor="accent1" w:themeTint="99"/>
        </w:tcBorders>
      </w:tcPr>
    </w:tblStylePr>
    <w:tblStylePr w:type="nwCell">
      <w:tblPr/>
      <w:tcPr>
        <w:tcBorders>
          <w:bottom w:val="single" w:sz="4" w:space="0" w:color="20FBEF" w:themeColor="accent1" w:themeTint="99"/>
        </w:tcBorders>
      </w:tcPr>
    </w:tblStylePr>
    <w:tblStylePr w:type="seCell">
      <w:tblPr/>
      <w:tcPr>
        <w:tcBorders>
          <w:top w:val="single" w:sz="4" w:space="0" w:color="20FBEF" w:themeColor="accent1" w:themeTint="99"/>
        </w:tcBorders>
      </w:tcPr>
    </w:tblStylePr>
    <w:tblStylePr w:type="swCell">
      <w:tblPr/>
      <w:tcPr>
        <w:tcBorders>
          <w:top w:val="single" w:sz="4" w:space="0" w:color="20FBEF" w:themeColor="accent1" w:themeTint="99"/>
        </w:tcBorders>
      </w:tcPr>
    </w:tblStylePr>
  </w:style>
  <w:style w:type="table" w:styleId="GridTable3-Accent2">
    <w:name w:val="Grid Table 3 Accent 2"/>
    <w:basedOn w:val="TableNormal"/>
    <w:uiPriority w:val="48"/>
    <w:pPr>
      <w:spacing w:after="0"/>
    </w:pPr>
    <w:tblPr>
      <w:tblStyleRowBandSize w:val="1"/>
      <w:tblStyleColBandSize w:val="1"/>
      <w:tblBorders>
        <w:top w:val="single" w:sz="4" w:space="0" w:color="F7A78E" w:themeColor="accent2" w:themeTint="99"/>
        <w:left w:val="single" w:sz="4" w:space="0" w:color="F7A78E" w:themeColor="accent2" w:themeTint="99"/>
        <w:bottom w:val="single" w:sz="4" w:space="0" w:color="F7A78E" w:themeColor="accent2" w:themeTint="99"/>
        <w:right w:val="single" w:sz="4" w:space="0" w:color="F7A78E" w:themeColor="accent2" w:themeTint="99"/>
        <w:insideH w:val="single" w:sz="4" w:space="0" w:color="F7A78E" w:themeColor="accent2" w:themeTint="99"/>
        <w:insideV w:val="single" w:sz="4" w:space="0" w:color="F7A78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1D9" w:themeFill="accent2" w:themeFillTint="33"/>
      </w:tcPr>
    </w:tblStylePr>
    <w:tblStylePr w:type="band1Horz">
      <w:tblPr/>
      <w:tcPr>
        <w:shd w:val="clear" w:color="auto" w:fill="FCE1D9" w:themeFill="accent2" w:themeFillTint="33"/>
      </w:tcPr>
    </w:tblStylePr>
    <w:tblStylePr w:type="neCell">
      <w:tblPr/>
      <w:tcPr>
        <w:tcBorders>
          <w:bottom w:val="single" w:sz="4" w:space="0" w:color="F7A78E" w:themeColor="accent2" w:themeTint="99"/>
        </w:tcBorders>
      </w:tcPr>
    </w:tblStylePr>
    <w:tblStylePr w:type="nwCell">
      <w:tblPr/>
      <w:tcPr>
        <w:tcBorders>
          <w:bottom w:val="single" w:sz="4" w:space="0" w:color="F7A78E" w:themeColor="accent2" w:themeTint="99"/>
        </w:tcBorders>
      </w:tcPr>
    </w:tblStylePr>
    <w:tblStylePr w:type="seCell">
      <w:tblPr/>
      <w:tcPr>
        <w:tcBorders>
          <w:top w:val="single" w:sz="4" w:space="0" w:color="F7A78E" w:themeColor="accent2" w:themeTint="99"/>
        </w:tcBorders>
      </w:tcPr>
    </w:tblStylePr>
    <w:tblStylePr w:type="swCell">
      <w:tblPr/>
      <w:tcPr>
        <w:tcBorders>
          <w:top w:val="single" w:sz="4" w:space="0" w:color="F7A78E" w:themeColor="accent2" w:themeTint="99"/>
        </w:tcBorders>
      </w:tcPr>
    </w:tblStylePr>
  </w:style>
  <w:style w:type="table" w:styleId="GridTable3-Accent3">
    <w:name w:val="Grid Table 3 Accent 3"/>
    <w:basedOn w:val="TableNormal"/>
    <w:uiPriority w:val="48"/>
    <w:pPr>
      <w:spacing w:after="0"/>
    </w:pPr>
    <w:tblPr>
      <w:tblStyleRowBandSize w:val="1"/>
      <w:tblStyleColBandSize w:val="1"/>
      <w:tblBorders>
        <w:top w:val="single" w:sz="4" w:space="0" w:color="9BD7D4" w:themeColor="accent3" w:themeTint="99"/>
        <w:left w:val="single" w:sz="4" w:space="0" w:color="9BD7D4" w:themeColor="accent3" w:themeTint="99"/>
        <w:bottom w:val="single" w:sz="4" w:space="0" w:color="9BD7D4" w:themeColor="accent3" w:themeTint="99"/>
        <w:right w:val="single" w:sz="4" w:space="0" w:color="9BD7D4" w:themeColor="accent3" w:themeTint="99"/>
        <w:insideH w:val="single" w:sz="4" w:space="0" w:color="9BD7D4" w:themeColor="accent3" w:themeTint="99"/>
        <w:insideV w:val="single" w:sz="4" w:space="0" w:color="9BD7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F0" w:themeFill="accent3" w:themeFillTint="33"/>
      </w:tcPr>
    </w:tblStylePr>
    <w:tblStylePr w:type="band1Horz">
      <w:tblPr/>
      <w:tcPr>
        <w:shd w:val="clear" w:color="auto" w:fill="DDF1F0" w:themeFill="accent3" w:themeFillTint="33"/>
      </w:tcPr>
    </w:tblStylePr>
    <w:tblStylePr w:type="neCell">
      <w:tblPr/>
      <w:tcPr>
        <w:tcBorders>
          <w:bottom w:val="single" w:sz="4" w:space="0" w:color="9BD7D4" w:themeColor="accent3" w:themeTint="99"/>
        </w:tcBorders>
      </w:tcPr>
    </w:tblStylePr>
    <w:tblStylePr w:type="nwCell">
      <w:tblPr/>
      <w:tcPr>
        <w:tcBorders>
          <w:bottom w:val="single" w:sz="4" w:space="0" w:color="9BD7D4" w:themeColor="accent3" w:themeTint="99"/>
        </w:tcBorders>
      </w:tcPr>
    </w:tblStylePr>
    <w:tblStylePr w:type="seCell">
      <w:tblPr/>
      <w:tcPr>
        <w:tcBorders>
          <w:top w:val="single" w:sz="4" w:space="0" w:color="9BD7D4" w:themeColor="accent3" w:themeTint="99"/>
        </w:tcBorders>
      </w:tcPr>
    </w:tblStylePr>
    <w:tblStylePr w:type="swCell">
      <w:tblPr/>
      <w:tcPr>
        <w:tcBorders>
          <w:top w:val="single" w:sz="4" w:space="0" w:color="9BD7D4" w:themeColor="accent3" w:themeTint="99"/>
        </w:tcBorders>
      </w:tcPr>
    </w:tblStylePr>
  </w:style>
  <w:style w:type="table" w:styleId="GridTable3-Accent4">
    <w:name w:val="Grid Table 3 Accent 4"/>
    <w:basedOn w:val="TableNormal"/>
    <w:uiPriority w:val="48"/>
    <w:pPr>
      <w:spacing w:after="0"/>
    </w:pPr>
    <w:tblPr>
      <w:tblStyleRowBandSize w:val="1"/>
      <w:tblStyleColBandSize w:val="1"/>
      <w:tblBorders>
        <w:top w:val="single" w:sz="4" w:space="0" w:color="FDD484" w:themeColor="accent4" w:themeTint="99"/>
        <w:left w:val="single" w:sz="4" w:space="0" w:color="FDD484" w:themeColor="accent4" w:themeTint="99"/>
        <w:bottom w:val="single" w:sz="4" w:space="0" w:color="FDD484" w:themeColor="accent4" w:themeTint="99"/>
        <w:right w:val="single" w:sz="4" w:space="0" w:color="FDD484" w:themeColor="accent4" w:themeTint="99"/>
        <w:insideH w:val="single" w:sz="4" w:space="0" w:color="FDD484" w:themeColor="accent4" w:themeTint="99"/>
        <w:insideV w:val="single" w:sz="4" w:space="0" w:color="FDD48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6" w:themeFill="accent4" w:themeFillTint="33"/>
      </w:tcPr>
    </w:tblStylePr>
    <w:tblStylePr w:type="band1Horz">
      <w:tblPr/>
      <w:tcPr>
        <w:shd w:val="clear" w:color="auto" w:fill="FEF0D6" w:themeFill="accent4" w:themeFillTint="33"/>
      </w:tcPr>
    </w:tblStylePr>
    <w:tblStylePr w:type="neCell">
      <w:tblPr/>
      <w:tcPr>
        <w:tcBorders>
          <w:bottom w:val="single" w:sz="4" w:space="0" w:color="FDD484" w:themeColor="accent4" w:themeTint="99"/>
        </w:tcBorders>
      </w:tcPr>
    </w:tblStylePr>
    <w:tblStylePr w:type="nwCell">
      <w:tblPr/>
      <w:tcPr>
        <w:tcBorders>
          <w:bottom w:val="single" w:sz="4" w:space="0" w:color="FDD484" w:themeColor="accent4" w:themeTint="99"/>
        </w:tcBorders>
      </w:tcPr>
    </w:tblStylePr>
    <w:tblStylePr w:type="seCell">
      <w:tblPr/>
      <w:tcPr>
        <w:tcBorders>
          <w:top w:val="single" w:sz="4" w:space="0" w:color="FDD484" w:themeColor="accent4" w:themeTint="99"/>
        </w:tcBorders>
      </w:tcPr>
    </w:tblStylePr>
    <w:tblStylePr w:type="swCell">
      <w:tblPr/>
      <w:tcPr>
        <w:tcBorders>
          <w:top w:val="single" w:sz="4" w:space="0" w:color="FDD484" w:themeColor="accent4" w:themeTint="99"/>
        </w:tcBorders>
      </w:tcPr>
    </w:tblStylePr>
  </w:style>
  <w:style w:type="table" w:styleId="GridTable3-Accent5">
    <w:name w:val="Grid Table 3 Accent 5"/>
    <w:basedOn w:val="TableNormal"/>
    <w:uiPriority w:val="48"/>
    <w:pPr>
      <w:spacing w:after="0"/>
    </w:pPr>
    <w:tblPr>
      <w:tblStyleRowBandSize w:val="1"/>
      <w:tblStyleColBandSize w:val="1"/>
      <w:tblBorders>
        <w:top w:val="single" w:sz="4" w:space="0" w:color="A6CDA6" w:themeColor="accent5" w:themeTint="99"/>
        <w:left w:val="single" w:sz="4" w:space="0" w:color="A6CDA6" w:themeColor="accent5" w:themeTint="99"/>
        <w:bottom w:val="single" w:sz="4" w:space="0" w:color="A6CDA6" w:themeColor="accent5" w:themeTint="99"/>
        <w:right w:val="single" w:sz="4" w:space="0" w:color="A6CDA6" w:themeColor="accent5" w:themeTint="99"/>
        <w:insideH w:val="single" w:sz="4" w:space="0" w:color="A6CDA6" w:themeColor="accent5" w:themeTint="99"/>
        <w:insideV w:val="single" w:sz="4" w:space="0" w:color="A6CDA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EE1" w:themeFill="accent5" w:themeFillTint="33"/>
      </w:tcPr>
    </w:tblStylePr>
    <w:tblStylePr w:type="band1Horz">
      <w:tblPr/>
      <w:tcPr>
        <w:shd w:val="clear" w:color="auto" w:fill="E1EEE1" w:themeFill="accent5" w:themeFillTint="33"/>
      </w:tcPr>
    </w:tblStylePr>
    <w:tblStylePr w:type="neCell">
      <w:tblPr/>
      <w:tcPr>
        <w:tcBorders>
          <w:bottom w:val="single" w:sz="4" w:space="0" w:color="A6CDA6" w:themeColor="accent5" w:themeTint="99"/>
        </w:tcBorders>
      </w:tcPr>
    </w:tblStylePr>
    <w:tblStylePr w:type="nwCell">
      <w:tblPr/>
      <w:tcPr>
        <w:tcBorders>
          <w:bottom w:val="single" w:sz="4" w:space="0" w:color="A6CDA6" w:themeColor="accent5" w:themeTint="99"/>
        </w:tcBorders>
      </w:tcPr>
    </w:tblStylePr>
    <w:tblStylePr w:type="seCell">
      <w:tblPr/>
      <w:tcPr>
        <w:tcBorders>
          <w:top w:val="single" w:sz="4" w:space="0" w:color="A6CDA6" w:themeColor="accent5" w:themeTint="99"/>
        </w:tcBorders>
      </w:tcPr>
    </w:tblStylePr>
    <w:tblStylePr w:type="swCell">
      <w:tblPr/>
      <w:tcPr>
        <w:tcBorders>
          <w:top w:val="single" w:sz="4" w:space="0" w:color="A6CDA6" w:themeColor="accent5" w:themeTint="99"/>
        </w:tcBorders>
      </w:tcPr>
    </w:tblStylePr>
  </w:style>
  <w:style w:type="table" w:styleId="GridTable3-Accent6">
    <w:name w:val="Grid Table 3 Accent 6"/>
    <w:basedOn w:val="TableNormal"/>
    <w:uiPriority w:val="48"/>
    <w:pPr>
      <w:spacing w:after="0"/>
    </w:pPr>
    <w:tblPr>
      <w:tblStyleRowBandSize w:val="1"/>
      <w:tblStyleColBandSize w:val="1"/>
      <w:tblBorders>
        <w:top w:val="single" w:sz="4" w:space="0" w:color="E27187" w:themeColor="accent6" w:themeTint="99"/>
        <w:left w:val="single" w:sz="4" w:space="0" w:color="E27187" w:themeColor="accent6" w:themeTint="99"/>
        <w:bottom w:val="single" w:sz="4" w:space="0" w:color="E27187" w:themeColor="accent6" w:themeTint="99"/>
        <w:right w:val="single" w:sz="4" w:space="0" w:color="E27187" w:themeColor="accent6" w:themeTint="99"/>
        <w:insideH w:val="single" w:sz="4" w:space="0" w:color="E27187" w:themeColor="accent6" w:themeTint="99"/>
        <w:insideV w:val="single" w:sz="4" w:space="0" w:color="E2718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FD7" w:themeFill="accent6" w:themeFillTint="33"/>
      </w:tcPr>
    </w:tblStylePr>
    <w:tblStylePr w:type="band1Horz">
      <w:tblPr/>
      <w:tcPr>
        <w:shd w:val="clear" w:color="auto" w:fill="F5CFD7" w:themeFill="accent6" w:themeFillTint="33"/>
      </w:tcPr>
    </w:tblStylePr>
    <w:tblStylePr w:type="neCell">
      <w:tblPr/>
      <w:tcPr>
        <w:tcBorders>
          <w:bottom w:val="single" w:sz="4" w:space="0" w:color="E27187" w:themeColor="accent6" w:themeTint="99"/>
        </w:tcBorders>
      </w:tcPr>
    </w:tblStylePr>
    <w:tblStylePr w:type="nwCell">
      <w:tblPr/>
      <w:tcPr>
        <w:tcBorders>
          <w:bottom w:val="single" w:sz="4" w:space="0" w:color="E27187" w:themeColor="accent6" w:themeTint="99"/>
        </w:tcBorders>
      </w:tcPr>
    </w:tblStylePr>
    <w:tblStylePr w:type="seCell">
      <w:tblPr/>
      <w:tcPr>
        <w:tcBorders>
          <w:top w:val="single" w:sz="4" w:space="0" w:color="E27187" w:themeColor="accent6" w:themeTint="99"/>
        </w:tcBorders>
      </w:tcPr>
    </w:tblStylePr>
    <w:tblStylePr w:type="swCell">
      <w:tblPr/>
      <w:tcPr>
        <w:tcBorders>
          <w:top w:val="single" w:sz="4" w:space="0" w:color="E27187" w:themeColor="accent6" w:themeTint="99"/>
        </w:tcBorders>
      </w:tcPr>
    </w:tblStylePr>
  </w:style>
  <w:style w:type="table" w:styleId="GridTable4">
    <w:name w:val="Grid Table 4"/>
    <w:basedOn w:val="TableNormal"/>
    <w:uiPriority w:val="4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pPr>
      <w:spacing w:after="0"/>
    </w:pPr>
    <w:tblPr>
      <w:tblStyleRowBandSize w:val="1"/>
      <w:tblStyleColBandSize w:val="1"/>
      <w:tblBorders>
        <w:top w:val="single" w:sz="4" w:space="0" w:color="20FBEF" w:themeColor="accent1" w:themeTint="99"/>
        <w:left w:val="single" w:sz="4" w:space="0" w:color="20FBEF" w:themeColor="accent1" w:themeTint="99"/>
        <w:bottom w:val="single" w:sz="4" w:space="0" w:color="20FBEF" w:themeColor="accent1" w:themeTint="99"/>
        <w:right w:val="single" w:sz="4" w:space="0" w:color="20FBEF" w:themeColor="accent1" w:themeTint="99"/>
        <w:insideH w:val="single" w:sz="4" w:space="0" w:color="20FBEF" w:themeColor="accent1" w:themeTint="99"/>
        <w:insideV w:val="single" w:sz="4" w:space="0" w:color="20FBEF" w:themeColor="accent1" w:themeTint="99"/>
      </w:tblBorders>
    </w:tblPr>
    <w:tblStylePr w:type="firstRow">
      <w:rPr>
        <w:b/>
        <w:bCs/>
        <w:color w:val="FFFFFF" w:themeColor="background1"/>
      </w:rPr>
      <w:tblPr/>
      <w:tcPr>
        <w:tcBorders>
          <w:top w:val="single" w:sz="4" w:space="0" w:color="02847D" w:themeColor="accent1"/>
          <w:left w:val="single" w:sz="4" w:space="0" w:color="02847D" w:themeColor="accent1"/>
          <w:bottom w:val="single" w:sz="4" w:space="0" w:color="02847D" w:themeColor="accent1"/>
          <w:right w:val="single" w:sz="4" w:space="0" w:color="02847D" w:themeColor="accent1"/>
          <w:insideH w:val="nil"/>
          <w:insideV w:val="nil"/>
        </w:tcBorders>
        <w:shd w:val="clear" w:color="auto" w:fill="02847D" w:themeFill="accent1"/>
      </w:tcPr>
    </w:tblStylePr>
    <w:tblStylePr w:type="lastRow">
      <w:rPr>
        <w:b/>
        <w:bCs/>
      </w:rPr>
      <w:tblPr/>
      <w:tcPr>
        <w:tcBorders>
          <w:top w:val="double" w:sz="4" w:space="0" w:color="02847D" w:themeColor="accent1"/>
        </w:tcBorders>
      </w:tcPr>
    </w:tblStylePr>
    <w:tblStylePr w:type="firstCol">
      <w:rPr>
        <w:b/>
        <w:bCs/>
      </w:rPr>
    </w:tblStylePr>
    <w:tblStylePr w:type="lastCol">
      <w:rPr>
        <w:b/>
        <w:bCs/>
      </w:rPr>
    </w:tblStylePr>
    <w:tblStylePr w:type="band1Vert">
      <w:tblPr/>
      <w:tcPr>
        <w:shd w:val="clear" w:color="auto" w:fill="B4FEF9" w:themeFill="accent1" w:themeFillTint="33"/>
      </w:tcPr>
    </w:tblStylePr>
    <w:tblStylePr w:type="band1Horz">
      <w:tblPr/>
      <w:tcPr>
        <w:shd w:val="clear" w:color="auto" w:fill="B4FEF9" w:themeFill="accent1" w:themeFillTint="33"/>
      </w:tcPr>
    </w:tblStylePr>
  </w:style>
  <w:style w:type="table" w:styleId="GridTable4-Accent3">
    <w:name w:val="Grid Table 4 Accent 3"/>
    <w:basedOn w:val="TableNormal"/>
    <w:uiPriority w:val="49"/>
    <w:pPr>
      <w:spacing w:after="0"/>
    </w:pPr>
    <w:tblPr>
      <w:tblStyleRowBandSize w:val="1"/>
      <w:tblStyleColBandSize w:val="1"/>
      <w:tblBorders>
        <w:top w:val="single" w:sz="4" w:space="0" w:color="9BD7D4" w:themeColor="accent3" w:themeTint="99"/>
        <w:left w:val="single" w:sz="4" w:space="0" w:color="9BD7D4" w:themeColor="accent3" w:themeTint="99"/>
        <w:bottom w:val="single" w:sz="4" w:space="0" w:color="9BD7D4" w:themeColor="accent3" w:themeTint="99"/>
        <w:right w:val="single" w:sz="4" w:space="0" w:color="9BD7D4" w:themeColor="accent3" w:themeTint="99"/>
        <w:insideH w:val="single" w:sz="4" w:space="0" w:color="9BD7D4" w:themeColor="accent3" w:themeTint="99"/>
        <w:insideV w:val="single" w:sz="4" w:space="0" w:color="9BD7D4" w:themeColor="accent3" w:themeTint="99"/>
      </w:tblBorders>
    </w:tblPr>
    <w:tblStylePr w:type="firstRow">
      <w:rPr>
        <w:b/>
        <w:bCs/>
        <w:color w:val="FFFFFF" w:themeColor="background1"/>
      </w:rPr>
      <w:tblPr/>
      <w:tcPr>
        <w:tcBorders>
          <w:top w:val="single" w:sz="4" w:space="0" w:color="59BDB8" w:themeColor="accent3"/>
          <w:left w:val="single" w:sz="4" w:space="0" w:color="59BDB8" w:themeColor="accent3"/>
          <w:bottom w:val="single" w:sz="4" w:space="0" w:color="59BDB8" w:themeColor="accent3"/>
          <w:right w:val="single" w:sz="4" w:space="0" w:color="59BDB8" w:themeColor="accent3"/>
          <w:insideH w:val="nil"/>
          <w:insideV w:val="nil"/>
        </w:tcBorders>
        <w:shd w:val="clear" w:color="auto" w:fill="59BDB8" w:themeFill="accent3"/>
      </w:tcPr>
    </w:tblStylePr>
    <w:tblStylePr w:type="lastRow">
      <w:rPr>
        <w:b/>
        <w:bCs/>
      </w:rPr>
      <w:tblPr/>
      <w:tcPr>
        <w:tcBorders>
          <w:top w:val="double" w:sz="4" w:space="0" w:color="59BDB8" w:themeColor="accent3"/>
        </w:tcBorders>
      </w:tcPr>
    </w:tblStylePr>
    <w:tblStylePr w:type="firstCol">
      <w:rPr>
        <w:b/>
        <w:bCs/>
      </w:rPr>
    </w:tblStylePr>
    <w:tblStylePr w:type="lastCol">
      <w:rPr>
        <w:b/>
        <w:bCs/>
      </w:rPr>
    </w:tblStylePr>
    <w:tblStylePr w:type="band1Vert">
      <w:tblPr/>
      <w:tcPr>
        <w:shd w:val="clear" w:color="auto" w:fill="DDF1F0" w:themeFill="accent3" w:themeFillTint="33"/>
      </w:tcPr>
    </w:tblStylePr>
    <w:tblStylePr w:type="band1Horz">
      <w:tblPr/>
      <w:tcPr>
        <w:shd w:val="clear" w:color="auto" w:fill="DDF1F0" w:themeFill="accent3" w:themeFillTint="33"/>
      </w:tcPr>
    </w:tblStylePr>
  </w:style>
  <w:style w:type="table" w:styleId="GridTable4-Accent4">
    <w:name w:val="Grid Table 4 Accent 4"/>
    <w:basedOn w:val="TableNormal"/>
    <w:uiPriority w:val="49"/>
    <w:pPr>
      <w:spacing w:after="0"/>
    </w:pPr>
    <w:tblPr>
      <w:tblStyleRowBandSize w:val="1"/>
      <w:tblStyleColBandSize w:val="1"/>
      <w:tblBorders>
        <w:top w:val="single" w:sz="4" w:space="0" w:color="FDD484" w:themeColor="accent4" w:themeTint="99"/>
        <w:left w:val="single" w:sz="4" w:space="0" w:color="FDD484" w:themeColor="accent4" w:themeTint="99"/>
        <w:bottom w:val="single" w:sz="4" w:space="0" w:color="FDD484" w:themeColor="accent4" w:themeTint="99"/>
        <w:right w:val="single" w:sz="4" w:space="0" w:color="FDD484" w:themeColor="accent4" w:themeTint="99"/>
        <w:insideH w:val="single" w:sz="4" w:space="0" w:color="FDD484" w:themeColor="accent4" w:themeTint="99"/>
        <w:insideV w:val="single" w:sz="4" w:space="0" w:color="FDD484" w:themeColor="accent4" w:themeTint="99"/>
      </w:tblBorders>
    </w:tblPr>
    <w:tblStylePr w:type="firstRow">
      <w:rPr>
        <w:b/>
        <w:bCs/>
        <w:color w:val="FFFFFF" w:themeColor="background1"/>
      </w:rPr>
      <w:tblPr/>
      <w:tcPr>
        <w:tcBorders>
          <w:top w:val="single" w:sz="4" w:space="0" w:color="FDB933" w:themeColor="accent4"/>
          <w:left w:val="single" w:sz="4" w:space="0" w:color="FDB933" w:themeColor="accent4"/>
          <w:bottom w:val="single" w:sz="4" w:space="0" w:color="FDB933" w:themeColor="accent4"/>
          <w:right w:val="single" w:sz="4" w:space="0" w:color="FDB933" w:themeColor="accent4"/>
          <w:insideH w:val="nil"/>
          <w:insideV w:val="nil"/>
        </w:tcBorders>
        <w:shd w:val="clear" w:color="auto" w:fill="FDB933" w:themeFill="accent4"/>
      </w:tcPr>
    </w:tblStylePr>
    <w:tblStylePr w:type="lastRow">
      <w:rPr>
        <w:b/>
        <w:bCs/>
      </w:rPr>
      <w:tblPr/>
      <w:tcPr>
        <w:tcBorders>
          <w:top w:val="double" w:sz="4" w:space="0" w:color="FDB933" w:themeColor="accent4"/>
        </w:tcBorders>
      </w:tcPr>
    </w:tblStylePr>
    <w:tblStylePr w:type="firstCol">
      <w:rPr>
        <w:b/>
        <w:bCs/>
      </w:rPr>
    </w:tblStylePr>
    <w:tblStylePr w:type="lastCol">
      <w:rPr>
        <w:b/>
        <w:bCs/>
      </w:rPr>
    </w:tblStylePr>
    <w:tblStylePr w:type="band1Vert">
      <w:tblPr/>
      <w:tcPr>
        <w:shd w:val="clear" w:color="auto" w:fill="FEF0D6" w:themeFill="accent4" w:themeFillTint="33"/>
      </w:tcPr>
    </w:tblStylePr>
    <w:tblStylePr w:type="band1Horz">
      <w:tblPr/>
      <w:tcPr>
        <w:shd w:val="clear" w:color="auto" w:fill="FEF0D6" w:themeFill="accent4" w:themeFillTint="33"/>
      </w:tcPr>
    </w:tblStylePr>
  </w:style>
  <w:style w:type="table" w:styleId="GridTable4-Accent5">
    <w:name w:val="Grid Table 4 Accent 5"/>
    <w:basedOn w:val="TableNormal"/>
    <w:uiPriority w:val="49"/>
    <w:pPr>
      <w:spacing w:after="0"/>
    </w:pPr>
    <w:tblPr>
      <w:tblStyleRowBandSize w:val="1"/>
      <w:tblStyleColBandSize w:val="1"/>
      <w:tblBorders>
        <w:top w:val="single" w:sz="4" w:space="0" w:color="A6CDA6" w:themeColor="accent5" w:themeTint="99"/>
        <w:left w:val="single" w:sz="4" w:space="0" w:color="A6CDA6" w:themeColor="accent5" w:themeTint="99"/>
        <w:bottom w:val="single" w:sz="4" w:space="0" w:color="A6CDA6" w:themeColor="accent5" w:themeTint="99"/>
        <w:right w:val="single" w:sz="4" w:space="0" w:color="A6CDA6" w:themeColor="accent5" w:themeTint="99"/>
        <w:insideH w:val="single" w:sz="4" w:space="0" w:color="A6CDA6" w:themeColor="accent5" w:themeTint="99"/>
        <w:insideV w:val="single" w:sz="4" w:space="0" w:color="A6CDA6" w:themeColor="accent5" w:themeTint="99"/>
      </w:tblBorders>
    </w:tblPr>
    <w:tblStylePr w:type="firstRow">
      <w:rPr>
        <w:b/>
        <w:bCs/>
        <w:color w:val="FFFFFF" w:themeColor="background1"/>
      </w:rPr>
      <w:tblPr/>
      <w:tcPr>
        <w:tcBorders>
          <w:top w:val="single" w:sz="4" w:space="0" w:color="6CAD6C" w:themeColor="accent5"/>
          <w:left w:val="single" w:sz="4" w:space="0" w:color="6CAD6C" w:themeColor="accent5"/>
          <w:bottom w:val="single" w:sz="4" w:space="0" w:color="6CAD6C" w:themeColor="accent5"/>
          <w:right w:val="single" w:sz="4" w:space="0" w:color="6CAD6C" w:themeColor="accent5"/>
          <w:insideH w:val="nil"/>
          <w:insideV w:val="nil"/>
        </w:tcBorders>
        <w:shd w:val="clear" w:color="auto" w:fill="6CAD6C" w:themeFill="accent5"/>
      </w:tcPr>
    </w:tblStylePr>
    <w:tblStylePr w:type="lastRow">
      <w:rPr>
        <w:b/>
        <w:bCs/>
      </w:rPr>
      <w:tblPr/>
      <w:tcPr>
        <w:tcBorders>
          <w:top w:val="double" w:sz="4" w:space="0" w:color="6CAD6C" w:themeColor="accent5"/>
        </w:tcBorders>
      </w:tcPr>
    </w:tblStylePr>
    <w:tblStylePr w:type="firstCol">
      <w:rPr>
        <w:b/>
        <w:bCs/>
      </w:rPr>
    </w:tblStylePr>
    <w:tblStylePr w:type="lastCol">
      <w:rPr>
        <w:b/>
        <w:bCs/>
      </w:rPr>
    </w:tblStylePr>
    <w:tblStylePr w:type="band1Vert">
      <w:tblPr/>
      <w:tcPr>
        <w:shd w:val="clear" w:color="auto" w:fill="E1EEE1" w:themeFill="accent5" w:themeFillTint="33"/>
      </w:tcPr>
    </w:tblStylePr>
    <w:tblStylePr w:type="band1Horz">
      <w:tblPr/>
      <w:tcPr>
        <w:shd w:val="clear" w:color="auto" w:fill="E1EEE1" w:themeFill="accent5" w:themeFillTint="33"/>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E27187" w:themeColor="accent6" w:themeTint="99"/>
        <w:left w:val="single" w:sz="4" w:space="0" w:color="E27187" w:themeColor="accent6" w:themeTint="99"/>
        <w:bottom w:val="single" w:sz="4" w:space="0" w:color="E27187" w:themeColor="accent6" w:themeTint="99"/>
        <w:right w:val="single" w:sz="4" w:space="0" w:color="E27187" w:themeColor="accent6" w:themeTint="99"/>
        <w:insideH w:val="single" w:sz="4" w:space="0" w:color="E27187" w:themeColor="accent6" w:themeTint="99"/>
        <w:insideV w:val="single" w:sz="4" w:space="0" w:color="E27187" w:themeColor="accent6" w:themeTint="99"/>
      </w:tblBorders>
    </w:tblPr>
    <w:tblStylePr w:type="firstRow">
      <w:rPr>
        <w:b/>
        <w:bCs/>
        <w:color w:val="FFFFFF" w:themeColor="background1"/>
      </w:rPr>
      <w:tblPr/>
      <w:tcPr>
        <w:tcBorders>
          <w:top w:val="single" w:sz="4" w:space="0" w:color="BD2644" w:themeColor="accent6"/>
          <w:left w:val="single" w:sz="4" w:space="0" w:color="BD2644" w:themeColor="accent6"/>
          <w:bottom w:val="single" w:sz="4" w:space="0" w:color="BD2644" w:themeColor="accent6"/>
          <w:right w:val="single" w:sz="4" w:space="0" w:color="BD2644" w:themeColor="accent6"/>
          <w:insideH w:val="nil"/>
          <w:insideV w:val="nil"/>
        </w:tcBorders>
        <w:shd w:val="clear" w:color="auto" w:fill="BD2644" w:themeFill="accent6"/>
      </w:tcPr>
    </w:tblStylePr>
    <w:tblStylePr w:type="lastRow">
      <w:rPr>
        <w:b/>
        <w:bCs/>
      </w:rPr>
      <w:tblPr/>
      <w:tcPr>
        <w:tcBorders>
          <w:top w:val="double" w:sz="4" w:space="0" w:color="BD2644" w:themeColor="accent6"/>
        </w:tcBorders>
      </w:tcPr>
    </w:tblStylePr>
    <w:tblStylePr w:type="firstCol">
      <w:rPr>
        <w:b/>
        <w:bCs/>
      </w:rPr>
    </w:tblStylePr>
    <w:tblStylePr w:type="lastCol">
      <w:rPr>
        <w:b/>
        <w:bCs/>
      </w:rPr>
    </w:tblStylePr>
    <w:tblStylePr w:type="band1Vert">
      <w:tblPr/>
      <w:tcPr>
        <w:shd w:val="clear" w:color="auto" w:fill="F5CFD7" w:themeFill="accent6" w:themeFillTint="33"/>
      </w:tcPr>
    </w:tblStylePr>
    <w:tblStylePr w:type="band1Horz">
      <w:tblPr/>
      <w:tcPr>
        <w:shd w:val="clear" w:color="auto" w:fill="F5CFD7" w:themeFill="accent6" w:themeFillTint="33"/>
      </w:tcPr>
    </w:tblStylePr>
  </w:style>
  <w:style w:type="table" w:styleId="GridTable5Dark">
    <w:name w:val="Grid Table 5 Dark"/>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847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847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847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847D" w:themeFill="accent1"/>
      </w:tcPr>
    </w:tblStylePr>
    <w:tblStylePr w:type="band1Vert">
      <w:tblPr/>
      <w:tcPr>
        <w:shd w:val="clear" w:color="auto" w:fill="6AFCF4" w:themeFill="accent1" w:themeFillTint="66"/>
      </w:tcPr>
    </w:tblStylePr>
    <w:tblStylePr w:type="band1Horz">
      <w:tblPr/>
      <w:tcPr>
        <w:shd w:val="clear" w:color="auto" w:fill="6AFCF4" w:themeFill="accent1" w:themeFillTint="66"/>
      </w:tcPr>
    </w:tblStylePr>
  </w:style>
  <w:style w:type="table" w:styleId="GridTable5Dark-Accent2">
    <w:name w:val="Grid Table 5 Dark Accent 2"/>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1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6E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6E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6E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6E44" w:themeFill="accent2"/>
      </w:tcPr>
    </w:tblStylePr>
    <w:tblStylePr w:type="band1Vert">
      <w:tblPr/>
      <w:tcPr>
        <w:shd w:val="clear" w:color="auto" w:fill="FAC4B4" w:themeFill="accent2" w:themeFillTint="66"/>
      </w:tcPr>
    </w:tblStylePr>
    <w:tblStylePr w:type="band1Horz">
      <w:tblPr/>
      <w:tcPr>
        <w:shd w:val="clear" w:color="auto" w:fill="FAC4B4" w:themeFill="accent2" w:themeFillTint="66"/>
      </w:tcPr>
    </w:tblStylePr>
  </w:style>
  <w:style w:type="table" w:styleId="GridTable5Dark-Accent3">
    <w:name w:val="Grid Table 5 Dark Accent 3"/>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DB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DB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DB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DB8" w:themeFill="accent3"/>
      </w:tcPr>
    </w:tblStylePr>
    <w:tblStylePr w:type="band1Vert">
      <w:tblPr/>
      <w:tcPr>
        <w:shd w:val="clear" w:color="auto" w:fill="BCE4E2" w:themeFill="accent3" w:themeFillTint="66"/>
      </w:tcPr>
    </w:tblStylePr>
    <w:tblStylePr w:type="band1Horz">
      <w:tblPr/>
      <w:tcPr>
        <w:shd w:val="clear" w:color="auto" w:fill="BCE4E2" w:themeFill="accent3" w:themeFillTint="66"/>
      </w:tcPr>
    </w:tblStylePr>
  </w:style>
  <w:style w:type="table" w:styleId="GridTable5Dark-Accent4">
    <w:name w:val="Grid Table 5 Dark Accent 4"/>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0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B93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B93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B93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B933" w:themeFill="accent4"/>
      </w:tcPr>
    </w:tblStylePr>
    <w:tblStylePr w:type="band1Vert">
      <w:tblPr/>
      <w:tcPr>
        <w:shd w:val="clear" w:color="auto" w:fill="FEE2AD" w:themeFill="accent4" w:themeFillTint="66"/>
      </w:tcPr>
    </w:tblStylePr>
    <w:tblStylePr w:type="band1Horz">
      <w:tblPr/>
      <w:tcPr>
        <w:shd w:val="clear" w:color="auto" w:fill="FEE2AD" w:themeFill="accent4" w:themeFillTint="66"/>
      </w:tcPr>
    </w:tblStylePr>
  </w:style>
  <w:style w:type="table" w:styleId="GridTable5Dark-Accent5">
    <w:name w:val="Grid Table 5 Dark Accent 5"/>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E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AD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AD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AD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AD6C" w:themeFill="accent5"/>
      </w:tcPr>
    </w:tblStylePr>
    <w:tblStylePr w:type="band1Vert">
      <w:tblPr/>
      <w:tcPr>
        <w:shd w:val="clear" w:color="auto" w:fill="C4DEC4" w:themeFill="accent5" w:themeFillTint="66"/>
      </w:tcPr>
    </w:tblStylePr>
    <w:tblStylePr w:type="band1Horz">
      <w:tblPr/>
      <w:tcPr>
        <w:shd w:val="clear" w:color="auto" w:fill="C4DEC4" w:themeFill="accent5" w:themeFillTint="66"/>
      </w:tcPr>
    </w:tblStylePr>
  </w:style>
  <w:style w:type="table" w:styleId="GridTable5Dark-Accent6">
    <w:name w:val="Grid Table 5 Dark Accent 6"/>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CFD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2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2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2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2644" w:themeFill="accent6"/>
      </w:tcPr>
    </w:tblStylePr>
    <w:tblStylePr w:type="band1Vert">
      <w:tblPr/>
      <w:tcPr>
        <w:shd w:val="clear" w:color="auto" w:fill="ECA0AF" w:themeFill="accent6" w:themeFillTint="66"/>
      </w:tcPr>
    </w:tblStylePr>
    <w:tblStylePr w:type="band1Horz">
      <w:tblPr/>
      <w:tcPr>
        <w:shd w:val="clear" w:color="auto" w:fill="ECA0AF" w:themeFill="accent6" w:themeFillTint="66"/>
      </w:tcPr>
    </w:tblStylePr>
  </w:style>
  <w:style w:type="table" w:styleId="GridTable6Colorful">
    <w:name w:val="Grid Table 6 Colorful"/>
    <w:basedOn w:val="TableNormal"/>
    <w:uiPriority w:val="5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pPr>
      <w:spacing w:after="0"/>
    </w:pPr>
    <w:rPr>
      <w:color w:val="01625D" w:themeColor="accent1" w:themeShade="BF"/>
    </w:rPr>
    <w:tblPr>
      <w:tblStyleRowBandSize w:val="1"/>
      <w:tblStyleColBandSize w:val="1"/>
      <w:tblBorders>
        <w:top w:val="single" w:sz="4" w:space="0" w:color="20FBEF" w:themeColor="accent1" w:themeTint="99"/>
        <w:left w:val="single" w:sz="4" w:space="0" w:color="20FBEF" w:themeColor="accent1" w:themeTint="99"/>
        <w:bottom w:val="single" w:sz="4" w:space="0" w:color="20FBEF" w:themeColor="accent1" w:themeTint="99"/>
        <w:right w:val="single" w:sz="4" w:space="0" w:color="20FBEF" w:themeColor="accent1" w:themeTint="99"/>
        <w:insideH w:val="single" w:sz="4" w:space="0" w:color="20FBEF" w:themeColor="accent1" w:themeTint="99"/>
        <w:insideV w:val="single" w:sz="4" w:space="0" w:color="20FBEF" w:themeColor="accent1" w:themeTint="99"/>
      </w:tblBorders>
    </w:tblPr>
    <w:tblStylePr w:type="firstRow">
      <w:rPr>
        <w:b/>
        <w:bCs/>
      </w:rPr>
      <w:tblPr/>
      <w:tcPr>
        <w:tcBorders>
          <w:bottom w:val="single" w:sz="12" w:space="0" w:color="20FBEF" w:themeColor="accent1" w:themeTint="99"/>
        </w:tcBorders>
      </w:tcPr>
    </w:tblStylePr>
    <w:tblStylePr w:type="lastRow">
      <w:rPr>
        <w:b/>
        <w:bCs/>
      </w:rPr>
      <w:tblPr/>
      <w:tcPr>
        <w:tcBorders>
          <w:top w:val="double" w:sz="4" w:space="0" w:color="20FBEF" w:themeColor="accent1" w:themeTint="99"/>
        </w:tcBorders>
      </w:tcPr>
    </w:tblStylePr>
    <w:tblStylePr w:type="firstCol">
      <w:rPr>
        <w:b/>
        <w:bCs/>
      </w:rPr>
    </w:tblStylePr>
    <w:tblStylePr w:type="lastCol">
      <w:rPr>
        <w:b/>
        <w:bCs/>
      </w:rPr>
    </w:tblStylePr>
    <w:tblStylePr w:type="band1Vert">
      <w:tblPr/>
      <w:tcPr>
        <w:shd w:val="clear" w:color="auto" w:fill="B4FEF9" w:themeFill="accent1" w:themeFillTint="33"/>
      </w:tcPr>
    </w:tblStylePr>
    <w:tblStylePr w:type="band1Horz">
      <w:tblPr/>
      <w:tcPr>
        <w:shd w:val="clear" w:color="auto" w:fill="B4FEF9" w:themeFill="accent1" w:themeFillTint="33"/>
      </w:tcPr>
    </w:tblStylePr>
  </w:style>
  <w:style w:type="table" w:styleId="GridTable6Colorful-Accent2">
    <w:name w:val="Grid Table 6 Colorful Accent 2"/>
    <w:basedOn w:val="TableNormal"/>
    <w:uiPriority w:val="51"/>
    <w:pPr>
      <w:spacing w:after="0"/>
    </w:pPr>
    <w:rPr>
      <w:color w:val="DA3F0E" w:themeColor="accent2" w:themeShade="BF"/>
    </w:rPr>
    <w:tblPr>
      <w:tblStyleRowBandSize w:val="1"/>
      <w:tblStyleColBandSize w:val="1"/>
      <w:tblBorders>
        <w:top w:val="single" w:sz="4" w:space="0" w:color="F7A78E" w:themeColor="accent2" w:themeTint="99"/>
        <w:left w:val="single" w:sz="4" w:space="0" w:color="F7A78E" w:themeColor="accent2" w:themeTint="99"/>
        <w:bottom w:val="single" w:sz="4" w:space="0" w:color="F7A78E" w:themeColor="accent2" w:themeTint="99"/>
        <w:right w:val="single" w:sz="4" w:space="0" w:color="F7A78E" w:themeColor="accent2" w:themeTint="99"/>
        <w:insideH w:val="single" w:sz="4" w:space="0" w:color="F7A78E" w:themeColor="accent2" w:themeTint="99"/>
        <w:insideV w:val="single" w:sz="4" w:space="0" w:color="F7A78E" w:themeColor="accent2" w:themeTint="99"/>
      </w:tblBorders>
    </w:tblPr>
    <w:tblStylePr w:type="firstRow">
      <w:rPr>
        <w:b/>
        <w:bCs/>
      </w:rPr>
      <w:tblPr/>
      <w:tcPr>
        <w:tcBorders>
          <w:bottom w:val="single" w:sz="12" w:space="0" w:color="F7A78E" w:themeColor="accent2" w:themeTint="99"/>
        </w:tcBorders>
      </w:tcPr>
    </w:tblStylePr>
    <w:tblStylePr w:type="lastRow">
      <w:rPr>
        <w:b/>
        <w:bCs/>
      </w:rPr>
      <w:tblPr/>
      <w:tcPr>
        <w:tcBorders>
          <w:top w:val="double" w:sz="4" w:space="0" w:color="F7A78E" w:themeColor="accent2" w:themeTint="99"/>
        </w:tcBorders>
      </w:tcPr>
    </w:tblStylePr>
    <w:tblStylePr w:type="firstCol">
      <w:rPr>
        <w:b/>
        <w:bCs/>
      </w:rPr>
    </w:tblStylePr>
    <w:tblStylePr w:type="lastCol">
      <w:rPr>
        <w:b/>
        <w:bCs/>
      </w:rPr>
    </w:tblStylePr>
    <w:tblStylePr w:type="band1Vert">
      <w:tblPr/>
      <w:tcPr>
        <w:shd w:val="clear" w:color="auto" w:fill="FCE1D9" w:themeFill="accent2" w:themeFillTint="33"/>
      </w:tcPr>
    </w:tblStylePr>
    <w:tblStylePr w:type="band1Horz">
      <w:tblPr/>
      <w:tcPr>
        <w:shd w:val="clear" w:color="auto" w:fill="FCE1D9" w:themeFill="accent2" w:themeFillTint="33"/>
      </w:tcPr>
    </w:tblStylePr>
  </w:style>
  <w:style w:type="table" w:styleId="GridTable6Colorful-Accent3">
    <w:name w:val="Grid Table 6 Colorful Accent 3"/>
    <w:basedOn w:val="TableNormal"/>
    <w:uiPriority w:val="51"/>
    <w:pPr>
      <w:spacing w:after="0"/>
    </w:pPr>
    <w:rPr>
      <w:color w:val="3B9490" w:themeColor="accent3" w:themeShade="BF"/>
    </w:rPr>
    <w:tblPr>
      <w:tblStyleRowBandSize w:val="1"/>
      <w:tblStyleColBandSize w:val="1"/>
      <w:tblBorders>
        <w:top w:val="single" w:sz="4" w:space="0" w:color="9BD7D4" w:themeColor="accent3" w:themeTint="99"/>
        <w:left w:val="single" w:sz="4" w:space="0" w:color="9BD7D4" w:themeColor="accent3" w:themeTint="99"/>
        <w:bottom w:val="single" w:sz="4" w:space="0" w:color="9BD7D4" w:themeColor="accent3" w:themeTint="99"/>
        <w:right w:val="single" w:sz="4" w:space="0" w:color="9BD7D4" w:themeColor="accent3" w:themeTint="99"/>
        <w:insideH w:val="single" w:sz="4" w:space="0" w:color="9BD7D4" w:themeColor="accent3" w:themeTint="99"/>
        <w:insideV w:val="single" w:sz="4" w:space="0" w:color="9BD7D4" w:themeColor="accent3" w:themeTint="99"/>
      </w:tblBorders>
    </w:tblPr>
    <w:tblStylePr w:type="firstRow">
      <w:rPr>
        <w:b/>
        <w:bCs/>
      </w:rPr>
      <w:tblPr/>
      <w:tcPr>
        <w:tcBorders>
          <w:bottom w:val="single" w:sz="12" w:space="0" w:color="9BD7D4" w:themeColor="accent3" w:themeTint="99"/>
        </w:tcBorders>
      </w:tcPr>
    </w:tblStylePr>
    <w:tblStylePr w:type="lastRow">
      <w:rPr>
        <w:b/>
        <w:bCs/>
      </w:rPr>
      <w:tblPr/>
      <w:tcPr>
        <w:tcBorders>
          <w:top w:val="double" w:sz="4" w:space="0" w:color="9BD7D4" w:themeColor="accent3" w:themeTint="99"/>
        </w:tcBorders>
      </w:tcPr>
    </w:tblStylePr>
    <w:tblStylePr w:type="firstCol">
      <w:rPr>
        <w:b/>
        <w:bCs/>
      </w:rPr>
    </w:tblStylePr>
    <w:tblStylePr w:type="lastCol">
      <w:rPr>
        <w:b/>
        <w:bCs/>
      </w:rPr>
    </w:tblStylePr>
    <w:tblStylePr w:type="band1Vert">
      <w:tblPr/>
      <w:tcPr>
        <w:shd w:val="clear" w:color="auto" w:fill="DDF1F0" w:themeFill="accent3" w:themeFillTint="33"/>
      </w:tcPr>
    </w:tblStylePr>
    <w:tblStylePr w:type="band1Horz">
      <w:tblPr/>
      <w:tcPr>
        <w:shd w:val="clear" w:color="auto" w:fill="DDF1F0" w:themeFill="accent3" w:themeFillTint="33"/>
      </w:tcPr>
    </w:tblStylePr>
  </w:style>
  <w:style w:type="table" w:styleId="GridTable6Colorful-Accent4">
    <w:name w:val="Grid Table 6 Colorful Accent 4"/>
    <w:basedOn w:val="TableNormal"/>
    <w:uiPriority w:val="51"/>
    <w:pPr>
      <w:spacing w:after="0"/>
    </w:pPr>
    <w:rPr>
      <w:color w:val="E19602" w:themeColor="accent4" w:themeShade="BF"/>
    </w:rPr>
    <w:tblPr>
      <w:tblStyleRowBandSize w:val="1"/>
      <w:tblStyleColBandSize w:val="1"/>
      <w:tblBorders>
        <w:top w:val="single" w:sz="4" w:space="0" w:color="FDD484" w:themeColor="accent4" w:themeTint="99"/>
        <w:left w:val="single" w:sz="4" w:space="0" w:color="FDD484" w:themeColor="accent4" w:themeTint="99"/>
        <w:bottom w:val="single" w:sz="4" w:space="0" w:color="FDD484" w:themeColor="accent4" w:themeTint="99"/>
        <w:right w:val="single" w:sz="4" w:space="0" w:color="FDD484" w:themeColor="accent4" w:themeTint="99"/>
        <w:insideH w:val="single" w:sz="4" w:space="0" w:color="FDD484" w:themeColor="accent4" w:themeTint="99"/>
        <w:insideV w:val="single" w:sz="4" w:space="0" w:color="FDD484" w:themeColor="accent4" w:themeTint="99"/>
      </w:tblBorders>
    </w:tblPr>
    <w:tblStylePr w:type="firstRow">
      <w:rPr>
        <w:b/>
        <w:bCs/>
      </w:rPr>
      <w:tblPr/>
      <w:tcPr>
        <w:tcBorders>
          <w:bottom w:val="single" w:sz="12" w:space="0" w:color="FDD484" w:themeColor="accent4" w:themeTint="99"/>
        </w:tcBorders>
      </w:tcPr>
    </w:tblStylePr>
    <w:tblStylePr w:type="lastRow">
      <w:rPr>
        <w:b/>
        <w:bCs/>
      </w:rPr>
      <w:tblPr/>
      <w:tcPr>
        <w:tcBorders>
          <w:top w:val="double" w:sz="4" w:space="0" w:color="FDD484" w:themeColor="accent4" w:themeTint="99"/>
        </w:tcBorders>
      </w:tcPr>
    </w:tblStylePr>
    <w:tblStylePr w:type="firstCol">
      <w:rPr>
        <w:b/>
        <w:bCs/>
      </w:rPr>
    </w:tblStylePr>
    <w:tblStylePr w:type="lastCol">
      <w:rPr>
        <w:b/>
        <w:bCs/>
      </w:rPr>
    </w:tblStylePr>
    <w:tblStylePr w:type="band1Vert">
      <w:tblPr/>
      <w:tcPr>
        <w:shd w:val="clear" w:color="auto" w:fill="FEF0D6" w:themeFill="accent4" w:themeFillTint="33"/>
      </w:tcPr>
    </w:tblStylePr>
    <w:tblStylePr w:type="band1Horz">
      <w:tblPr/>
      <w:tcPr>
        <w:shd w:val="clear" w:color="auto" w:fill="FEF0D6" w:themeFill="accent4" w:themeFillTint="33"/>
      </w:tcPr>
    </w:tblStylePr>
  </w:style>
  <w:style w:type="table" w:styleId="GridTable6Colorful-Accent5">
    <w:name w:val="Grid Table 6 Colorful Accent 5"/>
    <w:basedOn w:val="TableNormal"/>
    <w:uiPriority w:val="51"/>
    <w:pPr>
      <w:spacing w:after="0"/>
    </w:pPr>
    <w:rPr>
      <w:color w:val="4B864B" w:themeColor="accent5" w:themeShade="BF"/>
    </w:rPr>
    <w:tblPr>
      <w:tblStyleRowBandSize w:val="1"/>
      <w:tblStyleColBandSize w:val="1"/>
      <w:tblBorders>
        <w:top w:val="single" w:sz="4" w:space="0" w:color="A6CDA6" w:themeColor="accent5" w:themeTint="99"/>
        <w:left w:val="single" w:sz="4" w:space="0" w:color="A6CDA6" w:themeColor="accent5" w:themeTint="99"/>
        <w:bottom w:val="single" w:sz="4" w:space="0" w:color="A6CDA6" w:themeColor="accent5" w:themeTint="99"/>
        <w:right w:val="single" w:sz="4" w:space="0" w:color="A6CDA6" w:themeColor="accent5" w:themeTint="99"/>
        <w:insideH w:val="single" w:sz="4" w:space="0" w:color="A6CDA6" w:themeColor="accent5" w:themeTint="99"/>
        <w:insideV w:val="single" w:sz="4" w:space="0" w:color="A6CDA6" w:themeColor="accent5" w:themeTint="99"/>
      </w:tblBorders>
    </w:tblPr>
    <w:tblStylePr w:type="firstRow">
      <w:rPr>
        <w:b/>
        <w:bCs/>
      </w:rPr>
      <w:tblPr/>
      <w:tcPr>
        <w:tcBorders>
          <w:bottom w:val="single" w:sz="12" w:space="0" w:color="A6CDA6" w:themeColor="accent5" w:themeTint="99"/>
        </w:tcBorders>
      </w:tcPr>
    </w:tblStylePr>
    <w:tblStylePr w:type="lastRow">
      <w:rPr>
        <w:b/>
        <w:bCs/>
      </w:rPr>
      <w:tblPr/>
      <w:tcPr>
        <w:tcBorders>
          <w:top w:val="double" w:sz="4" w:space="0" w:color="A6CDA6" w:themeColor="accent5" w:themeTint="99"/>
        </w:tcBorders>
      </w:tcPr>
    </w:tblStylePr>
    <w:tblStylePr w:type="firstCol">
      <w:rPr>
        <w:b/>
        <w:bCs/>
      </w:rPr>
    </w:tblStylePr>
    <w:tblStylePr w:type="lastCol">
      <w:rPr>
        <w:b/>
        <w:bCs/>
      </w:rPr>
    </w:tblStylePr>
    <w:tblStylePr w:type="band1Vert">
      <w:tblPr/>
      <w:tcPr>
        <w:shd w:val="clear" w:color="auto" w:fill="E1EEE1" w:themeFill="accent5" w:themeFillTint="33"/>
      </w:tcPr>
    </w:tblStylePr>
    <w:tblStylePr w:type="band1Horz">
      <w:tblPr/>
      <w:tcPr>
        <w:shd w:val="clear" w:color="auto" w:fill="E1EEE1" w:themeFill="accent5" w:themeFillTint="33"/>
      </w:tcPr>
    </w:tblStylePr>
  </w:style>
  <w:style w:type="table" w:styleId="GridTable6Colorful-Accent6">
    <w:name w:val="Grid Table 6 Colorful Accent 6"/>
    <w:basedOn w:val="TableNormal"/>
    <w:uiPriority w:val="51"/>
    <w:pPr>
      <w:spacing w:after="0"/>
    </w:pPr>
    <w:rPr>
      <w:color w:val="8D1C32" w:themeColor="accent6" w:themeShade="BF"/>
    </w:rPr>
    <w:tblPr>
      <w:tblStyleRowBandSize w:val="1"/>
      <w:tblStyleColBandSize w:val="1"/>
      <w:tblBorders>
        <w:top w:val="single" w:sz="4" w:space="0" w:color="E27187" w:themeColor="accent6" w:themeTint="99"/>
        <w:left w:val="single" w:sz="4" w:space="0" w:color="E27187" w:themeColor="accent6" w:themeTint="99"/>
        <w:bottom w:val="single" w:sz="4" w:space="0" w:color="E27187" w:themeColor="accent6" w:themeTint="99"/>
        <w:right w:val="single" w:sz="4" w:space="0" w:color="E27187" w:themeColor="accent6" w:themeTint="99"/>
        <w:insideH w:val="single" w:sz="4" w:space="0" w:color="E27187" w:themeColor="accent6" w:themeTint="99"/>
        <w:insideV w:val="single" w:sz="4" w:space="0" w:color="E27187" w:themeColor="accent6" w:themeTint="99"/>
      </w:tblBorders>
    </w:tblPr>
    <w:tblStylePr w:type="firstRow">
      <w:rPr>
        <w:b/>
        <w:bCs/>
      </w:rPr>
      <w:tblPr/>
      <w:tcPr>
        <w:tcBorders>
          <w:bottom w:val="single" w:sz="12" w:space="0" w:color="E27187" w:themeColor="accent6" w:themeTint="99"/>
        </w:tcBorders>
      </w:tcPr>
    </w:tblStylePr>
    <w:tblStylePr w:type="lastRow">
      <w:rPr>
        <w:b/>
        <w:bCs/>
      </w:rPr>
      <w:tblPr/>
      <w:tcPr>
        <w:tcBorders>
          <w:top w:val="double" w:sz="4" w:space="0" w:color="E27187" w:themeColor="accent6" w:themeTint="99"/>
        </w:tcBorders>
      </w:tcPr>
    </w:tblStylePr>
    <w:tblStylePr w:type="firstCol">
      <w:rPr>
        <w:b/>
        <w:bCs/>
      </w:rPr>
    </w:tblStylePr>
    <w:tblStylePr w:type="lastCol">
      <w:rPr>
        <w:b/>
        <w:bCs/>
      </w:rPr>
    </w:tblStylePr>
    <w:tblStylePr w:type="band1Vert">
      <w:tblPr/>
      <w:tcPr>
        <w:shd w:val="clear" w:color="auto" w:fill="F5CFD7" w:themeFill="accent6" w:themeFillTint="33"/>
      </w:tcPr>
    </w:tblStylePr>
    <w:tblStylePr w:type="band1Horz">
      <w:tblPr/>
      <w:tcPr>
        <w:shd w:val="clear" w:color="auto" w:fill="F5CFD7" w:themeFill="accent6" w:themeFillTint="33"/>
      </w:tcPr>
    </w:tblStylePr>
  </w:style>
  <w:style w:type="table" w:styleId="GridTable7Colorful">
    <w:name w:val="Grid Table 7 Colorful"/>
    <w:basedOn w:val="TableNormal"/>
    <w:uiPriority w:val="5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pPr>
      <w:spacing w:after="0"/>
    </w:pPr>
    <w:rPr>
      <w:color w:val="01625D" w:themeColor="accent1" w:themeShade="BF"/>
    </w:rPr>
    <w:tblPr>
      <w:tblStyleRowBandSize w:val="1"/>
      <w:tblStyleColBandSize w:val="1"/>
      <w:tblBorders>
        <w:top w:val="single" w:sz="4" w:space="0" w:color="20FBEF" w:themeColor="accent1" w:themeTint="99"/>
        <w:left w:val="single" w:sz="4" w:space="0" w:color="20FBEF" w:themeColor="accent1" w:themeTint="99"/>
        <w:bottom w:val="single" w:sz="4" w:space="0" w:color="20FBEF" w:themeColor="accent1" w:themeTint="99"/>
        <w:right w:val="single" w:sz="4" w:space="0" w:color="20FBEF" w:themeColor="accent1" w:themeTint="99"/>
        <w:insideH w:val="single" w:sz="4" w:space="0" w:color="20FBEF" w:themeColor="accent1" w:themeTint="99"/>
        <w:insideV w:val="single" w:sz="4" w:space="0" w:color="20FBE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EF9" w:themeFill="accent1" w:themeFillTint="33"/>
      </w:tcPr>
    </w:tblStylePr>
    <w:tblStylePr w:type="band1Horz">
      <w:tblPr/>
      <w:tcPr>
        <w:shd w:val="clear" w:color="auto" w:fill="B4FEF9" w:themeFill="accent1" w:themeFillTint="33"/>
      </w:tcPr>
    </w:tblStylePr>
    <w:tblStylePr w:type="neCell">
      <w:tblPr/>
      <w:tcPr>
        <w:tcBorders>
          <w:bottom w:val="single" w:sz="4" w:space="0" w:color="20FBEF" w:themeColor="accent1" w:themeTint="99"/>
        </w:tcBorders>
      </w:tcPr>
    </w:tblStylePr>
    <w:tblStylePr w:type="nwCell">
      <w:tblPr/>
      <w:tcPr>
        <w:tcBorders>
          <w:bottom w:val="single" w:sz="4" w:space="0" w:color="20FBEF" w:themeColor="accent1" w:themeTint="99"/>
        </w:tcBorders>
      </w:tcPr>
    </w:tblStylePr>
    <w:tblStylePr w:type="seCell">
      <w:tblPr/>
      <w:tcPr>
        <w:tcBorders>
          <w:top w:val="single" w:sz="4" w:space="0" w:color="20FBEF" w:themeColor="accent1" w:themeTint="99"/>
        </w:tcBorders>
      </w:tcPr>
    </w:tblStylePr>
    <w:tblStylePr w:type="swCell">
      <w:tblPr/>
      <w:tcPr>
        <w:tcBorders>
          <w:top w:val="single" w:sz="4" w:space="0" w:color="20FBEF" w:themeColor="accent1" w:themeTint="99"/>
        </w:tcBorders>
      </w:tcPr>
    </w:tblStylePr>
  </w:style>
  <w:style w:type="table" w:styleId="GridTable7Colorful-Accent2">
    <w:name w:val="Grid Table 7 Colorful Accent 2"/>
    <w:basedOn w:val="TableNormal"/>
    <w:uiPriority w:val="52"/>
    <w:pPr>
      <w:spacing w:after="0"/>
    </w:pPr>
    <w:rPr>
      <w:color w:val="DA3F0E" w:themeColor="accent2" w:themeShade="BF"/>
    </w:rPr>
    <w:tblPr>
      <w:tblStyleRowBandSize w:val="1"/>
      <w:tblStyleColBandSize w:val="1"/>
      <w:tblBorders>
        <w:top w:val="single" w:sz="4" w:space="0" w:color="F7A78E" w:themeColor="accent2" w:themeTint="99"/>
        <w:left w:val="single" w:sz="4" w:space="0" w:color="F7A78E" w:themeColor="accent2" w:themeTint="99"/>
        <w:bottom w:val="single" w:sz="4" w:space="0" w:color="F7A78E" w:themeColor="accent2" w:themeTint="99"/>
        <w:right w:val="single" w:sz="4" w:space="0" w:color="F7A78E" w:themeColor="accent2" w:themeTint="99"/>
        <w:insideH w:val="single" w:sz="4" w:space="0" w:color="F7A78E" w:themeColor="accent2" w:themeTint="99"/>
        <w:insideV w:val="single" w:sz="4" w:space="0" w:color="F7A78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1D9" w:themeFill="accent2" w:themeFillTint="33"/>
      </w:tcPr>
    </w:tblStylePr>
    <w:tblStylePr w:type="band1Horz">
      <w:tblPr/>
      <w:tcPr>
        <w:shd w:val="clear" w:color="auto" w:fill="FCE1D9" w:themeFill="accent2" w:themeFillTint="33"/>
      </w:tcPr>
    </w:tblStylePr>
    <w:tblStylePr w:type="neCell">
      <w:tblPr/>
      <w:tcPr>
        <w:tcBorders>
          <w:bottom w:val="single" w:sz="4" w:space="0" w:color="F7A78E" w:themeColor="accent2" w:themeTint="99"/>
        </w:tcBorders>
      </w:tcPr>
    </w:tblStylePr>
    <w:tblStylePr w:type="nwCell">
      <w:tblPr/>
      <w:tcPr>
        <w:tcBorders>
          <w:bottom w:val="single" w:sz="4" w:space="0" w:color="F7A78E" w:themeColor="accent2" w:themeTint="99"/>
        </w:tcBorders>
      </w:tcPr>
    </w:tblStylePr>
    <w:tblStylePr w:type="seCell">
      <w:tblPr/>
      <w:tcPr>
        <w:tcBorders>
          <w:top w:val="single" w:sz="4" w:space="0" w:color="F7A78E" w:themeColor="accent2" w:themeTint="99"/>
        </w:tcBorders>
      </w:tcPr>
    </w:tblStylePr>
    <w:tblStylePr w:type="swCell">
      <w:tblPr/>
      <w:tcPr>
        <w:tcBorders>
          <w:top w:val="single" w:sz="4" w:space="0" w:color="F7A78E" w:themeColor="accent2" w:themeTint="99"/>
        </w:tcBorders>
      </w:tcPr>
    </w:tblStylePr>
  </w:style>
  <w:style w:type="table" w:styleId="GridTable7Colorful-Accent3">
    <w:name w:val="Grid Table 7 Colorful Accent 3"/>
    <w:basedOn w:val="TableNormal"/>
    <w:uiPriority w:val="52"/>
    <w:pPr>
      <w:spacing w:after="0"/>
    </w:pPr>
    <w:rPr>
      <w:color w:val="3B9490" w:themeColor="accent3" w:themeShade="BF"/>
    </w:rPr>
    <w:tblPr>
      <w:tblStyleRowBandSize w:val="1"/>
      <w:tblStyleColBandSize w:val="1"/>
      <w:tblBorders>
        <w:top w:val="single" w:sz="4" w:space="0" w:color="9BD7D4" w:themeColor="accent3" w:themeTint="99"/>
        <w:left w:val="single" w:sz="4" w:space="0" w:color="9BD7D4" w:themeColor="accent3" w:themeTint="99"/>
        <w:bottom w:val="single" w:sz="4" w:space="0" w:color="9BD7D4" w:themeColor="accent3" w:themeTint="99"/>
        <w:right w:val="single" w:sz="4" w:space="0" w:color="9BD7D4" w:themeColor="accent3" w:themeTint="99"/>
        <w:insideH w:val="single" w:sz="4" w:space="0" w:color="9BD7D4" w:themeColor="accent3" w:themeTint="99"/>
        <w:insideV w:val="single" w:sz="4" w:space="0" w:color="9BD7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F0" w:themeFill="accent3" w:themeFillTint="33"/>
      </w:tcPr>
    </w:tblStylePr>
    <w:tblStylePr w:type="band1Horz">
      <w:tblPr/>
      <w:tcPr>
        <w:shd w:val="clear" w:color="auto" w:fill="DDF1F0" w:themeFill="accent3" w:themeFillTint="33"/>
      </w:tcPr>
    </w:tblStylePr>
    <w:tblStylePr w:type="neCell">
      <w:tblPr/>
      <w:tcPr>
        <w:tcBorders>
          <w:bottom w:val="single" w:sz="4" w:space="0" w:color="9BD7D4" w:themeColor="accent3" w:themeTint="99"/>
        </w:tcBorders>
      </w:tcPr>
    </w:tblStylePr>
    <w:tblStylePr w:type="nwCell">
      <w:tblPr/>
      <w:tcPr>
        <w:tcBorders>
          <w:bottom w:val="single" w:sz="4" w:space="0" w:color="9BD7D4" w:themeColor="accent3" w:themeTint="99"/>
        </w:tcBorders>
      </w:tcPr>
    </w:tblStylePr>
    <w:tblStylePr w:type="seCell">
      <w:tblPr/>
      <w:tcPr>
        <w:tcBorders>
          <w:top w:val="single" w:sz="4" w:space="0" w:color="9BD7D4" w:themeColor="accent3" w:themeTint="99"/>
        </w:tcBorders>
      </w:tcPr>
    </w:tblStylePr>
    <w:tblStylePr w:type="swCell">
      <w:tblPr/>
      <w:tcPr>
        <w:tcBorders>
          <w:top w:val="single" w:sz="4" w:space="0" w:color="9BD7D4" w:themeColor="accent3" w:themeTint="99"/>
        </w:tcBorders>
      </w:tcPr>
    </w:tblStylePr>
  </w:style>
  <w:style w:type="table" w:styleId="GridTable7Colorful-Accent4">
    <w:name w:val="Grid Table 7 Colorful Accent 4"/>
    <w:basedOn w:val="TableNormal"/>
    <w:uiPriority w:val="52"/>
    <w:pPr>
      <w:spacing w:after="0"/>
    </w:pPr>
    <w:rPr>
      <w:color w:val="E19602" w:themeColor="accent4" w:themeShade="BF"/>
    </w:rPr>
    <w:tblPr>
      <w:tblStyleRowBandSize w:val="1"/>
      <w:tblStyleColBandSize w:val="1"/>
      <w:tblBorders>
        <w:top w:val="single" w:sz="4" w:space="0" w:color="FDD484" w:themeColor="accent4" w:themeTint="99"/>
        <w:left w:val="single" w:sz="4" w:space="0" w:color="FDD484" w:themeColor="accent4" w:themeTint="99"/>
        <w:bottom w:val="single" w:sz="4" w:space="0" w:color="FDD484" w:themeColor="accent4" w:themeTint="99"/>
        <w:right w:val="single" w:sz="4" w:space="0" w:color="FDD484" w:themeColor="accent4" w:themeTint="99"/>
        <w:insideH w:val="single" w:sz="4" w:space="0" w:color="FDD484" w:themeColor="accent4" w:themeTint="99"/>
        <w:insideV w:val="single" w:sz="4" w:space="0" w:color="FDD48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6" w:themeFill="accent4" w:themeFillTint="33"/>
      </w:tcPr>
    </w:tblStylePr>
    <w:tblStylePr w:type="band1Horz">
      <w:tblPr/>
      <w:tcPr>
        <w:shd w:val="clear" w:color="auto" w:fill="FEF0D6" w:themeFill="accent4" w:themeFillTint="33"/>
      </w:tcPr>
    </w:tblStylePr>
    <w:tblStylePr w:type="neCell">
      <w:tblPr/>
      <w:tcPr>
        <w:tcBorders>
          <w:bottom w:val="single" w:sz="4" w:space="0" w:color="FDD484" w:themeColor="accent4" w:themeTint="99"/>
        </w:tcBorders>
      </w:tcPr>
    </w:tblStylePr>
    <w:tblStylePr w:type="nwCell">
      <w:tblPr/>
      <w:tcPr>
        <w:tcBorders>
          <w:bottom w:val="single" w:sz="4" w:space="0" w:color="FDD484" w:themeColor="accent4" w:themeTint="99"/>
        </w:tcBorders>
      </w:tcPr>
    </w:tblStylePr>
    <w:tblStylePr w:type="seCell">
      <w:tblPr/>
      <w:tcPr>
        <w:tcBorders>
          <w:top w:val="single" w:sz="4" w:space="0" w:color="FDD484" w:themeColor="accent4" w:themeTint="99"/>
        </w:tcBorders>
      </w:tcPr>
    </w:tblStylePr>
    <w:tblStylePr w:type="swCell">
      <w:tblPr/>
      <w:tcPr>
        <w:tcBorders>
          <w:top w:val="single" w:sz="4" w:space="0" w:color="FDD484" w:themeColor="accent4" w:themeTint="99"/>
        </w:tcBorders>
      </w:tcPr>
    </w:tblStylePr>
  </w:style>
  <w:style w:type="table" w:styleId="GridTable7Colorful-Accent5">
    <w:name w:val="Grid Table 7 Colorful Accent 5"/>
    <w:basedOn w:val="TableNormal"/>
    <w:uiPriority w:val="52"/>
    <w:pPr>
      <w:spacing w:after="0"/>
    </w:pPr>
    <w:rPr>
      <w:color w:val="4B864B" w:themeColor="accent5" w:themeShade="BF"/>
    </w:rPr>
    <w:tblPr>
      <w:tblStyleRowBandSize w:val="1"/>
      <w:tblStyleColBandSize w:val="1"/>
      <w:tblBorders>
        <w:top w:val="single" w:sz="4" w:space="0" w:color="A6CDA6" w:themeColor="accent5" w:themeTint="99"/>
        <w:left w:val="single" w:sz="4" w:space="0" w:color="A6CDA6" w:themeColor="accent5" w:themeTint="99"/>
        <w:bottom w:val="single" w:sz="4" w:space="0" w:color="A6CDA6" w:themeColor="accent5" w:themeTint="99"/>
        <w:right w:val="single" w:sz="4" w:space="0" w:color="A6CDA6" w:themeColor="accent5" w:themeTint="99"/>
        <w:insideH w:val="single" w:sz="4" w:space="0" w:color="A6CDA6" w:themeColor="accent5" w:themeTint="99"/>
        <w:insideV w:val="single" w:sz="4" w:space="0" w:color="A6CDA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EE1" w:themeFill="accent5" w:themeFillTint="33"/>
      </w:tcPr>
    </w:tblStylePr>
    <w:tblStylePr w:type="band1Horz">
      <w:tblPr/>
      <w:tcPr>
        <w:shd w:val="clear" w:color="auto" w:fill="E1EEE1" w:themeFill="accent5" w:themeFillTint="33"/>
      </w:tcPr>
    </w:tblStylePr>
    <w:tblStylePr w:type="neCell">
      <w:tblPr/>
      <w:tcPr>
        <w:tcBorders>
          <w:bottom w:val="single" w:sz="4" w:space="0" w:color="A6CDA6" w:themeColor="accent5" w:themeTint="99"/>
        </w:tcBorders>
      </w:tcPr>
    </w:tblStylePr>
    <w:tblStylePr w:type="nwCell">
      <w:tblPr/>
      <w:tcPr>
        <w:tcBorders>
          <w:bottom w:val="single" w:sz="4" w:space="0" w:color="A6CDA6" w:themeColor="accent5" w:themeTint="99"/>
        </w:tcBorders>
      </w:tcPr>
    </w:tblStylePr>
    <w:tblStylePr w:type="seCell">
      <w:tblPr/>
      <w:tcPr>
        <w:tcBorders>
          <w:top w:val="single" w:sz="4" w:space="0" w:color="A6CDA6" w:themeColor="accent5" w:themeTint="99"/>
        </w:tcBorders>
      </w:tcPr>
    </w:tblStylePr>
    <w:tblStylePr w:type="swCell">
      <w:tblPr/>
      <w:tcPr>
        <w:tcBorders>
          <w:top w:val="single" w:sz="4" w:space="0" w:color="A6CDA6" w:themeColor="accent5" w:themeTint="99"/>
        </w:tcBorders>
      </w:tcPr>
    </w:tblStylePr>
  </w:style>
  <w:style w:type="table" w:styleId="GridTable7Colorful-Accent6">
    <w:name w:val="Grid Table 7 Colorful Accent 6"/>
    <w:basedOn w:val="TableNormal"/>
    <w:uiPriority w:val="52"/>
    <w:pPr>
      <w:spacing w:after="0"/>
    </w:pPr>
    <w:rPr>
      <w:color w:val="8D1C32" w:themeColor="accent6" w:themeShade="BF"/>
    </w:rPr>
    <w:tblPr>
      <w:tblStyleRowBandSize w:val="1"/>
      <w:tblStyleColBandSize w:val="1"/>
      <w:tblBorders>
        <w:top w:val="single" w:sz="4" w:space="0" w:color="E27187" w:themeColor="accent6" w:themeTint="99"/>
        <w:left w:val="single" w:sz="4" w:space="0" w:color="E27187" w:themeColor="accent6" w:themeTint="99"/>
        <w:bottom w:val="single" w:sz="4" w:space="0" w:color="E27187" w:themeColor="accent6" w:themeTint="99"/>
        <w:right w:val="single" w:sz="4" w:space="0" w:color="E27187" w:themeColor="accent6" w:themeTint="99"/>
        <w:insideH w:val="single" w:sz="4" w:space="0" w:color="E27187" w:themeColor="accent6" w:themeTint="99"/>
        <w:insideV w:val="single" w:sz="4" w:space="0" w:color="E2718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FD7" w:themeFill="accent6" w:themeFillTint="33"/>
      </w:tcPr>
    </w:tblStylePr>
    <w:tblStylePr w:type="band1Horz">
      <w:tblPr/>
      <w:tcPr>
        <w:shd w:val="clear" w:color="auto" w:fill="F5CFD7" w:themeFill="accent6" w:themeFillTint="33"/>
      </w:tcPr>
    </w:tblStylePr>
    <w:tblStylePr w:type="neCell">
      <w:tblPr/>
      <w:tcPr>
        <w:tcBorders>
          <w:bottom w:val="single" w:sz="4" w:space="0" w:color="E27187" w:themeColor="accent6" w:themeTint="99"/>
        </w:tcBorders>
      </w:tcPr>
    </w:tblStylePr>
    <w:tblStylePr w:type="nwCell">
      <w:tblPr/>
      <w:tcPr>
        <w:tcBorders>
          <w:bottom w:val="single" w:sz="4" w:space="0" w:color="E27187" w:themeColor="accent6" w:themeTint="99"/>
        </w:tcBorders>
      </w:tcPr>
    </w:tblStylePr>
    <w:tblStylePr w:type="seCell">
      <w:tblPr/>
      <w:tcPr>
        <w:tcBorders>
          <w:top w:val="single" w:sz="4" w:space="0" w:color="E27187" w:themeColor="accent6" w:themeTint="99"/>
        </w:tcBorders>
      </w:tcPr>
    </w:tblStylePr>
    <w:tblStylePr w:type="swCell">
      <w:tblPr/>
      <w:tcPr>
        <w:tcBorders>
          <w:top w:val="single" w:sz="4" w:space="0" w:color="E27187" w:themeColor="accent6" w:themeTint="99"/>
        </w:tcBorders>
      </w:tcPr>
    </w:tblStylePr>
  </w:style>
  <w:style w:type="character" w:styleId="IntenseEmphasis">
    <w:name w:val="Intense Emphasis"/>
    <w:basedOn w:val="DefaultParagraphFont"/>
    <w:uiPriority w:val="21"/>
    <w:semiHidden/>
    <w:rPr>
      <w:i/>
      <w:iCs/>
      <w:color w:val="245F95" w:themeColor="text2"/>
      <w:lang w:val="en-GB"/>
    </w:rPr>
  </w:style>
  <w:style w:type="character" w:styleId="IntenseReference">
    <w:name w:val="Intense Reference"/>
    <w:basedOn w:val="DefaultParagraphFont"/>
    <w:uiPriority w:val="32"/>
    <w:semiHidden/>
    <w:rPr>
      <w:b/>
      <w:bCs/>
      <w:smallCaps/>
      <w:color w:val="245F95" w:themeColor="text2"/>
      <w:spacing w:val="5"/>
      <w:lang w:val="en-GB"/>
    </w:rPr>
  </w:style>
  <w:style w:type="table" w:styleId="LightGrid">
    <w:name w:val="Light Grid"/>
    <w:basedOn w:val="TableNormal"/>
    <w:uiPriority w:val="62"/>
    <w:semiHidden/>
    <w:unhideWhenUsed/>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after="0"/>
    </w:pPr>
    <w:tblPr>
      <w:tblStyleRowBandSize w:val="1"/>
      <w:tblStyleColBandSize w:val="1"/>
      <w:tblBorders>
        <w:top w:val="single" w:sz="8" w:space="0" w:color="02847D" w:themeColor="accent1"/>
        <w:left w:val="single" w:sz="8" w:space="0" w:color="02847D" w:themeColor="accent1"/>
        <w:bottom w:val="single" w:sz="8" w:space="0" w:color="02847D" w:themeColor="accent1"/>
        <w:right w:val="single" w:sz="8" w:space="0" w:color="02847D" w:themeColor="accent1"/>
        <w:insideH w:val="single" w:sz="8" w:space="0" w:color="02847D" w:themeColor="accent1"/>
        <w:insideV w:val="single" w:sz="8" w:space="0" w:color="02847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847D" w:themeColor="accent1"/>
          <w:left w:val="single" w:sz="8" w:space="0" w:color="02847D" w:themeColor="accent1"/>
          <w:bottom w:val="single" w:sz="18" w:space="0" w:color="02847D" w:themeColor="accent1"/>
          <w:right w:val="single" w:sz="8" w:space="0" w:color="02847D" w:themeColor="accent1"/>
          <w:insideH w:val="nil"/>
          <w:insideV w:val="single" w:sz="8" w:space="0" w:color="02847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847D" w:themeColor="accent1"/>
          <w:left w:val="single" w:sz="8" w:space="0" w:color="02847D" w:themeColor="accent1"/>
          <w:bottom w:val="single" w:sz="8" w:space="0" w:color="02847D" w:themeColor="accent1"/>
          <w:right w:val="single" w:sz="8" w:space="0" w:color="02847D" w:themeColor="accent1"/>
          <w:insideH w:val="nil"/>
          <w:insideV w:val="single" w:sz="8" w:space="0" w:color="02847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847D" w:themeColor="accent1"/>
          <w:left w:val="single" w:sz="8" w:space="0" w:color="02847D" w:themeColor="accent1"/>
          <w:bottom w:val="single" w:sz="8" w:space="0" w:color="02847D" w:themeColor="accent1"/>
          <w:right w:val="single" w:sz="8" w:space="0" w:color="02847D" w:themeColor="accent1"/>
        </w:tcBorders>
      </w:tcPr>
    </w:tblStylePr>
    <w:tblStylePr w:type="band1Vert">
      <w:tblPr/>
      <w:tcPr>
        <w:tcBorders>
          <w:top w:val="single" w:sz="8" w:space="0" w:color="02847D" w:themeColor="accent1"/>
          <w:left w:val="single" w:sz="8" w:space="0" w:color="02847D" w:themeColor="accent1"/>
          <w:bottom w:val="single" w:sz="8" w:space="0" w:color="02847D" w:themeColor="accent1"/>
          <w:right w:val="single" w:sz="8" w:space="0" w:color="02847D" w:themeColor="accent1"/>
        </w:tcBorders>
        <w:shd w:val="clear" w:color="auto" w:fill="A3FDF8" w:themeFill="accent1" w:themeFillTint="3F"/>
      </w:tcPr>
    </w:tblStylePr>
    <w:tblStylePr w:type="band1Horz">
      <w:tblPr/>
      <w:tcPr>
        <w:tcBorders>
          <w:top w:val="single" w:sz="8" w:space="0" w:color="02847D" w:themeColor="accent1"/>
          <w:left w:val="single" w:sz="8" w:space="0" w:color="02847D" w:themeColor="accent1"/>
          <w:bottom w:val="single" w:sz="8" w:space="0" w:color="02847D" w:themeColor="accent1"/>
          <w:right w:val="single" w:sz="8" w:space="0" w:color="02847D" w:themeColor="accent1"/>
          <w:insideV w:val="single" w:sz="8" w:space="0" w:color="02847D" w:themeColor="accent1"/>
        </w:tcBorders>
        <w:shd w:val="clear" w:color="auto" w:fill="A3FDF8" w:themeFill="accent1" w:themeFillTint="3F"/>
      </w:tcPr>
    </w:tblStylePr>
    <w:tblStylePr w:type="band2Horz">
      <w:tblPr/>
      <w:tcPr>
        <w:tcBorders>
          <w:top w:val="single" w:sz="8" w:space="0" w:color="02847D" w:themeColor="accent1"/>
          <w:left w:val="single" w:sz="8" w:space="0" w:color="02847D" w:themeColor="accent1"/>
          <w:bottom w:val="single" w:sz="8" w:space="0" w:color="02847D" w:themeColor="accent1"/>
          <w:right w:val="single" w:sz="8" w:space="0" w:color="02847D" w:themeColor="accent1"/>
          <w:insideV w:val="single" w:sz="8" w:space="0" w:color="02847D" w:themeColor="accent1"/>
        </w:tcBorders>
      </w:tcPr>
    </w:tblStylePr>
  </w:style>
  <w:style w:type="table" w:styleId="LightGrid-Accent2">
    <w:name w:val="Light Grid Accent 2"/>
    <w:basedOn w:val="TableNormal"/>
    <w:uiPriority w:val="62"/>
    <w:semiHidden/>
    <w:unhideWhenUsed/>
    <w:pPr>
      <w:spacing w:before="0" w:after="0"/>
    </w:pPr>
    <w:tblPr>
      <w:tblStyleRowBandSize w:val="1"/>
      <w:tblStyleColBandSize w:val="1"/>
      <w:tblBorders>
        <w:top w:val="single" w:sz="8" w:space="0" w:color="F36E44" w:themeColor="accent2"/>
        <w:left w:val="single" w:sz="8" w:space="0" w:color="F36E44" w:themeColor="accent2"/>
        <w:bottom w:val="single" w:sz="8" w:space="0" w:color="F36E44" w:themeColor="accent2"/>
        <w:right w:val="single" w:sz="8" w:space="0" w:color="F36E44" w:themeColor="accent2"/>
        <w:insideH w:val="single" w:sz="8" w:space="0" w:color="F36E44" w:themeColor="accent2"/>
        <w:insideV w:val="single" w:sz="8" w:space="0" w:color="F36E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6E44" w:themeColor="accent2"/>
          <w:left w:val="single" w:sz="8" w:space="0" w:color="F36E44" w:themeColor="accent2"/>
          <w:bottom w:val="single" w:sz="18" w:space="0" w:color="F36E44" w:themeColor="accent2"/>
          <w:right w:val="single" w:sz="8" w:space="0" w:color="F36E44" w:themeColor="accent2"/>
          <w:insideH w:val="nil"/>
          <w:insideV w:val="single" w:sz="8" w:space="0" w:color="F36E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6E44" w:themeColor="accent2"/>
          <w:left w:val="single" w:sz="8" w:space="0" w:color="F36E44" w:themeColor="accent2"/>
          <w:bottom w:val="single" w:sz="8" w:space="0" w:color="F36E44" w:themeColor="accent2"/>
          <w:right w:val="single" w:sz="8" w:space="0" w:color="F36E44" w:themeColor="accent2"/>
          <w:insideH w:val="nil"/>
          <w:insideV w:val="single" w:sz="8" w:space="0" w:color="F36E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6E44" w:themeColor="accent2"/>
          <w:left w:val="single" w:sz="8" w:space="0" w:color="F36E44" w:themeColor="accent2"/>
          <w:bottom w:val="single" w:sz="8" w:space="0" w:color="F36E44" w:themeColor="accent2"/>
          <w:right w:val="single" w:sz="8" w:space="0" w:color="F36E44" w:themeColor="accent2"/>
        </w:tcBorders>
      </w:tcPr>
    </w:tblStylePr>
    <w:tblStylePr w:type="band1Vert">
      <w:tblPr/>
      <w:tcPr>
        <w:tcBorders>
          <w:top w:val="single" w:sz="8" w:space="0" w:color="F36E44" w:themeColor="accent2"/>
          <w:left w:val="single" w:sz="8" w:space="0" w:color="F36E44" w:themeColor="accent2"/>
          <w:bottom w:val="single" w:sz="8" w:space="0" w:color="F36E44" w:themeColor="accent2"/>
          <w:right w:val="single" w:sz="8" w:space="0" w:color="F36E44" w:themeColor="accent2"/>
        </w:tcBorders>
        <w:shd w:val="clear" w:color="auto" w:fill="FCDAD0" w:themeFill="accent2" w:themeFillTint="3F"/>
      </w:tcPr>
    </w:tblStylePr>
    <w:tblStylePr w:type="band1Horz">
      <w:tblPr/>
      <w:tcPr>
        <w:tcBorders>
          <w:top w:val="single" w:sz="8" w:space="0" w:color="F36E44" w:themeColor="accent2"/>
          <w:left w:val="single" w:sz="8" w:space="0" w:color="F36E44" w:themeColor="accent2"/>
          <w:bottom w:val="single" w:sz="8" w:space="0" w:color="F36E44" w:themeColor="accent2"/>
          <w:right w:val="single" w:sz="8" w:space="0" w:color="F36E44" w:themeColor="accent2"/>
          <w:insideV w:val="single" w:sz="8" w:space="0" w:color="F36E44" w:themeColor="accent2"/>
        </w:tcBorders>
        <w:shd w:val="clear" w:color="auto" w:fill="FCDAD0" w:themeFill="accent2" w:themeFillTint="3F"/>
      </w:tcPr>
    </w:tblStylePr>
    <w:tblStylePr w:type="band2Horz">
      <w:tblPr/>
      <w:tcPr>
        <w:tcBorders>
          <w:top w:val="single" w:sz="8" w:space="0" w:color="F36E44" w:themeColor="accent2"/>
          <w:left w:val="single" w:sz="8" w:space="0" w:color="F36E44" w:themeColor="accent2"/>
          <w:bottom w:val="single" w:sz="8" w:space="0" w:color="F36E44" w:themeColor="accent2"/>
          <w:right w:val="single" w:sz="8" w:space="0" w:color="F36E44" w:themeColor="accent2"/>
          <w:insideV w:val="single" w:sz="8" w:space="0" w:color="F36E44" w:themeColor="accent2"/>
        </w:tcBorders>
      </w:tcPr>
    </w:tblStylePr>
  </w:style>
  <w:style w:type="table" w:styleId="LightGrid-Accent3">
    <w:name w:val="Light Grid Accent 3"/>
    <w:basedOn w:val="TableNormal"/>
    <w:uiPriority w:val="62"/>
    <w:semiHidden/>
    <w:unhideWhenUsed/>
    <w:pPr>
      <w:spacing w:before="0" w:after="0"/>
    </w:pPr>
    <w:tblPr>
      <w:tblStyleRowBandSize w:val="1"/>
      <w:tblStyleColBandSize w:val="1"/>
      <w:tblBorders>
        <w:top w:val="single" w:sz="8" w:space="0" w:color="59BDB8" w:themeColor="accent3"/>
        <w:left w:val="single" w:sz="8" w:space="0" w:color="59BDB8" w:themeColor="accent3"/>
        <w:bottom w:val="single" w:sz="8" w:space="0" w:color="59BDB8" w:themeColor="accent3"/>
        <w:right w:val="single" w:sz="8" w:space="0" w:color="59BDB8" w:themeColor="accent3"/>
        <w:insideH w:val="single" w:sz="8" w:space="0" w:color="59BDB8" w:themeColor="accent3"/>
        <w:insideV w:val="single" w:sz="8" w:space="0" w:color="59BDB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DB8" w:themeColor="accent3"/>
          <w:left w:val="single" w:sz="8" w:space="0" w:color="59BDB8" w:themeColor="accent3"/>
          <w:bottom w:val="single" w:sz="18" w:space="0" w:color="59BDB8" w:themeColor="accent3"/>
          <w:right w:val="single" w:sz="8" w:space="0" w:color="59BDB8" w:themeColor="accent3"/>
          <w:insideH w:val="nil"/>
          <w:insideV w:val="single" w:sz="8" w:space="0" w:color="59BDB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DB8" w:themeColor="accent3"/>
          <w:left w:val="single" w:sz="8" w:space="0" w:color="59BDB8" w:themeColor="accent3"/>
          <w:bottom w:val="single" w:sz="8" w:space="0" w:color="59BDB8" w:themeColor="accent3"/>
          <w:right w:val="single" w:sz="8" w:space="0" w:color="59BDB8" w:themeColor="accent3"/>
          <w:insideH w:val="nil"/>
          <w:insideV w:val="single" w:sz="8" w:space="0" w:color="59BDB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DB8" w:themeColor="accent3"/>
          <w:left w:val="single" w:sz="8" w:space="0" w:color="59BDB8" w:themeColor="accent3"/>
          <w:bottom w:val="single" w:sz="8" w:space="0" w:color="59BDB8" w:themeColor="accent3"/>
          <w:right w:val="single" w:sz="8" w:space="0" w:color="59BDB8" w:themeColor="accent3"/>
        </w:tcBorders>
      </w:tcPr>
    </w:tblStylePr>
    <w:tblStylePr w:type="band1Vert">
      <w:tblPr/>
      <w:tcPr>
        <w:tcBorders>
          <w:top w:val="single" w:sz="8" w:space="0" w:color="59BDB8" w:themeColor="accent3"/>
          <w:left w:val="single" w:sz="8" w:space="0" w:color="59BDB8" w:themeColor="accent3"/>
          <w:bottom w:val="single" w:sz="8" w:space="0" w:color="59BDB8" w:themeColor="accent3"/>
          <w:right w:val="single" w:sz="8" w:space="0" w:color="59BDB8" w:themeColor="accent3"/>
        </w:tcBorders>
        <w:shd w:val="clear" w:color="auto" w:fill="D5EEED" w:themeFill="accent3" w:themeFillTint="3F"/>
      </w:tcPr>
    </w:tblStylePr>
    <w:tblStylePr w:type="band1Horz">
      <w:tblPr/>
      <w:tcPr>
        <w:tcBorders>
          <w:top w:val="single" w:sz="8" w:space="0" w:color="59BDB8" w:themeColor="accent3"/>
          <w:left w:val="single" w:sz="8" w:space="0" w:color="59BDB8" w:themeColor="accent3"/>
          <w:bottom w:val="single" w:sz="8" w:space="0" w:color="59BDB8" w:themeColor="accent3"/>
          <w:right w:val="single" w:sz="8" w:space="0" w:color="59BDB8" w:themeColor="accent3"/>
          <w:insideV w:val="single" w:sz="8" w:space="0" w:color="59BDB8" w:themeColor="accent3"/>
        </w:tcBorders>
        <w:shd w:val="clear" w:color="auto" w:fill="D5EEED" w:themeFill="accent3" w:themeFillTint="3F"/>
      </w:tcPr>
    </w:tblStylePr>
    <w:tblStylePr w:type="band2Horz">
      <w:tblPr/>
      <w:tcPr>
        <w:tcBorders>
          <w:top w:val="single" w:sz="8" w:space="0" w:color="59BDB8" w:themeColor="accent3"/>
          <w:left w:val="single" w:sz="8" w:space="0" w:color="59BDB8" w:themeColor="accent3"/>
          <w:bottom w:val="single" w:sz="8" w:space="0" w:color="59BDB8" w:themeColor="accent3"/>
          <w:right w:val="single" w:sz="8" w:space="0" w:color="59BDB8" w:themeColor="accent3"/>
          <w:insideV w:val="single" w:sz="8" w:space="0" w:color="59BDB8" w:themeColor="accent3"/>
        </w:tcBorders>
      </w:tcPr>
    </w:tblStylePr>
  </w:style>
  <w:style w:type="table" w:styleId="LightGrid-Accent4">
    <w:name w:val="Light Grid Accent 4"/>
    <w:basedOn w:val="TableNormal"/>
    <w:uiPriority w:val="62"/>
    <w:semiHidden/>
    <w:unhideWhenUsed/>
    <w:pPr>
      <w:spacing w:before="0" w:after="0"/>
    </w:pPr>
    <w:tblPr>
      <w:tblStyleRowBandSize w:val="1"/>
      <w:tblStyleColBandSize w:val="1"/>
      <w:tblBorders>
        <w:top w:val="single" w:sz="8" w:space="0" w:color="FDB933" w:themeColor="accent4"/>
        <w:left w:val="single" w:sz="8" w:space="0" w:color="FDB933" w:themeColor="accent4"/>
        <w:bottom w:val="single" w:sz="8" w:space="0" w:color="FDB933" w:themeColor="accent4"/>
        <w:right w:val="single" w:sz="8" w:space="0" w:color="FDB933" w:themeColor="accent4"/>
        <w:insideH w:val="single" w:sz="8" w:space="0" w:color="FDB933" w:themeColor="accent4"/>
        <w:insideV w:val="single" w:sz="8" w:space="0" w:color="FDB93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933" w:themeColor="accent4"/>
          <w:left w:val="single" w:sz="8" w:space="0" w:color="FDB933" w:themeColor="accent4"/>
          <w:bottom w:val="single" w:sz="18" w:space="0" w:color="FDB933" w:themeColor="accent4"/>
          <w:right w:val="single" w:sz="8" w:space="0" w:color="FDB933" w:themeColor="accent4"/>
          <w:insideH w:val="nil"/>
          <w:insideV w:val="single" w:sz="8" w:space="0" w:color="FDB93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933" w:themeColor="accent4"/>
          <w:left w:val="single" w:sz="8" w:space="0" w:color="FDB933" w:themeColor="accent4"/>
          <w:bottom w:val="single" w:sz="8" w:space="0" w:color="FDB933" w:themeColor="accent4"/>
          <w:right w:val="single" w:sz="8" w:space="0" w:color="FDB933" w:themeColor="accent4"/>
          <w:insideH w:val="nil"/>
          <w:insideV w:val="single" w:sz="8" w:space="0" w:color="FDB93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933" w:themeColor="accent4"/>
          <w:left w:val="single" w:sz="8" w:space="0" w:color="FDB933" w:themeColor="accent4"/>
          <w:bottom w:val="single" w:sz="8" w:space="0" w:color="FDB933" w:themeColor="accent4"/>
          <w:right w:val="single" w:sz="8" w:space="0" w:color="FDB933" w:themeColor="accent4"/>
        </w:tcBorders>
      </w:tcPr>
    </w:tblStylePr>
    <w:tblStylePr w:type="band1Vert">
      <w:tblPr/>
      <w:tcPr>
        <w:tcBorders>
          <w:top w:val="single" w:sz="8" w:space="0" w:color="FDB933" w:themeColor="accent4"/>
          <w:left w:val="single" w:sz="8" w:space="0" w:color="FDB933" w:themeColor="accent4"/>
          <w:bottom w:val="single" w:sz="8" w:space="0" w:color="FDB933" w:themeColor="accent4"/>
          <w:right w:val="single" w:sz="8" w:space="0" w:color="FDB933" w:themeColor="accent4"/>
        </w:tcBorders>
        <w:shd w:val="clear" w:color="auto" w:fill="FEEDCC" w:themeFill="accent4" w:themeFillTint="3F"/>
      </w:tcPr>
    </w:tblStylePr>
    <w:tblStylePr w:type="band1Horz">
      <w:tblPr/>
      <w:tcPr>
        <w:tcBorders>
          <w:top w:val="single" w:sz="8" w:space="0" w:color="FDB933" w:themeColor="accent4"/>
          <w:left w:val="single" w:sz="8" w:space="0" w:color="FDB933" w:themeColor="accent4"/>
          <w:bottom w:val="single" w:sz="8" w:space="0" w:color="FDB933" w:themeColor="accent4"/>
          <w:right w:val="single" w:sz="8" w:space="0" w:color="FDB933" w:themeColor="accent4"/>
          <w:insideV w:val="single" w:sz="8" w:space="0" w:color="FDB933" w:themeColor="accent4"/>
        </w:tcBorders>
        <w:shd w:val="clear" w:color="auto" w:fill="FEEDCC" w:themeFill="accent4" w:themeFillTint="3F"/>
      </w:tcPr>
    </w:tblStylePr>
    <w:tblStylePr w:type="band2Horz">
      <w:tblPr/>
      <w:tcPr>
        <w:tcBorders>
          <w:top w:val="single" w:sz="8" w:space="0" w:color="FDB933" w:themeColor="accent4"/>
          <w:left w:val="single" w:sz="8" w:space="0" w:color="FDB933" w:themeColor="accent4"/>
          <w:bottom w:val="single" w:sz="8" w:space="0" w:color="FDB933" w:themeColor="accent4"/>
          <w:right w:val="single" w:sz="8" w:space="0" w:color="FDB933" w:themeColor="accent4"/>
          <w:insideV w:val="single" w:sz="8" w:space="0" w:color="FDB933" w:themeColor="accent4"/>
        </w:tcBorders>
      </w:tcPr>
    </w:tblStylePr>
  </w:style>
  <w:style w:type="table" w:styleId="LightGrid-Accent5">
    <w:name w:val="Light Grid Accent 5"/>
    <w:basedOn w:val="TableNormal"/>
    <w:uiPriority w:val="62"/>
    <w:semiHidden/>
    <w:unhideWhenUsed/>
    <w:pPr>
      <w:spacing w:before="0" w:after="0"/>
    </w:pPr>
    <w:tblPr>
      <w:tblStyleRowBandSize w:val="1"/>
      <w:tblStyleColBandSize w:val="1"/>
      <w:tblBorders>
        <w:top w:val="single" w:sz="8" w:space="0" w:color="6CAD6C" w:themeColor="accent5"/>
        <w:left w:val="single" w:sz="8" w:space="0" w:color="6CAD6C" w:themeColor="accent5"/>
        <w:bottom w:val="single" w:sz="8" w:space="0" w:color="6CAD6C" w:themeColor="accent5"/>
        <w:right w:val="single" w:sz="8" w:space="0" w:color="6CAD6C" w:themeColor="accent5"/>
        <w:insideH w:val="single" w:sz="8" w:space="0" w:color="6CAD6C" w:themeColor="accent5"/>
        <w:insideV w:val="single" w:sz="8" w:space="0" w:color="6CAD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AD6C" w:themeColor="accent5"/>
          <w:left w:val="single" w:sz="8" w:space="0" w:color="6CAD6C" w:themeColor="accent5"/>
          <w:bottom w:val="single" w:sz="18" w:space="0" w:color="6CAD6C" w:themeColor="accent5"/>
          <w:right w:val="single" w:sz="8" w:space="0" w:color="6CAD6C" w:themeColor="accent5"/>
          <w:insideH w:val="nil"/>
          <w:insideV w:val="single" w:sz="8" w:space="0" w:color="6CAD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AD6C" w:themeColor="accent5"/>
          <w:left w:val="single" w:sz="8" w:space="0" w:color="6CAD6C" w:themeColor="accent5"/>
          <w:bottom w:val="single" w:sz="8" w:space="0" w:color="6CAD6C" w:themeColor="accent5"/>
          <w:right w:val="single" w:sz="8" w:space="0" w:color="6CAD6C" w:themeColor="accent5"/>
          <w:insideH w:val="nil"/>
          <w:insideV w:val="single" w:sz="8" w:space="0" w:color="6CAD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AD6C" w:themeColor="accent5"/>
          <w:left w:val="single" w:sz="8" w:space="0" w:color="6CAD6C" w:themeColor="accent5"/>
          <w:bottom w:val="single" w:sz="8" w:space="0" w:color="6CAD6C" w:themeColor="accent5"/>
          <w:right w:val="single" w:sz="8" w:space="0" w:color="6CAD6C" w:themeColor="accent5"/>
        </w:tcBorders>
      </w:tcPr>
    </w:tblStylePr>
    <w:tblStylePr w:type="band1Vert">
      <w:tblPr/>
      <w:tcPr>
        <w:tcBorders>
          <w:top w:val="single" w:sz="8" w:space="0" w:color="6CAD6C" w:themeColor="accent5"/>
          <w:left w:val="single" w:sz="8" w:space="0" w:color="6CAD6C" w:themeColor="accent5"/>
          <w:bottom w:val="single" w:sz="8" w:space="0" w:color="6CAD6C" w:themeColor="accent5"/>
          <w:right w:val="single" w:sz="8" w:space="0" w:color="6CAD6C" w:themeColor="accent5"/>
        </w:tcBorders>
        <w:shd w:val="clear" w:color="auto" w:fill="DAEADA" w:themeFill="accent5" w:themeFillTint="3F"/>
      </w:tcPr>
    </w:tblStylePr>
    <w:tblStylePr w:type="band1Horz">
      <w:tblPr/>
      <w:tcPr>
        <w:tcBorders>
          <w:top w:val="single" w:sz="8" w:space="0" w:color="6CAD6C" w:themeColor="accent5"/>
          <w:left w:val="single" w:sz="8" w:space="0" w:color="6CAD6C" w:themeColor="accent5"/>
          <w:bottom w:val="single" w:sz="8" w:space="0" w:color="6CAD6C" w:themeColor="accent5"/>
          <w:right w:val="single" w:sz="8" w:space="0" w:color="6CAD6C" w:themeColor="accent5"/>
          <w:insideV w:val="single" w:sz="8" w:space="0" w:color="6CAD6C" w:themeColor="accent5"/>
        </w:tcBorders>
        <w:shd w:val="clear" w:color="auto" w:fill="DAEADA" w:themeFill="accent5" w:themeFillTint="3F"/>
      </w:tcPr>
    </w:tblStylePr>
    <w:tblStylePr w:type="band2Horz">
      <w:tblPr/>
      <w:tcPr>
        <w:tcBorders>
          <w:top w:val="single" w:sz="8" w:space="0" w:color="6CAD6C" w:themeColor="accent5"/>
          <w:left w:val="single" w:sz="8" w:space="0" w:color="6CAD6C" w:themeColor="accent5"/>
          <w:bottom w:val="single" w:sz="8" w:space="0" w:color="6CAD6C" w:themeColor="accent5"/>
          <w:right w:val="single" w:sz="8" w:space="0" w:color="6CAD6C" w:themeColor="accent5"/>
          <w:insideV w:val="single" w:sz="8" w:space="0" w:color="6CAD6C" w:themeColor="accent5"/>
        </w:tcBorders>
      </w:tcPr>
    </w:tblStylePr>
  </w:style>
  <w:style w:type="table" w:styleId="LightGrid-Accent6">
    <w:name w:val="Light Grid Accent 6"/>
    <w:basedOn w:val="TableNormal"/>
    <w:uiPriority w:val="62"/>
    <w:semiHidden/>
    <w:unhideWhenUsed/>
    <w:pPr>
      <w:spacing w:before="0" w:after="0"/>
    </w:pPr>
    <w:tblPr>
      <w:tblStyleRowBandSize w:val="1"/>
      <w:tblStyleColBandSize w:val="1"/>
      <w:tblBorders>
        <w:top w:val="single" w:sz="8" w:space="0" w:color="BD2644" w:themeColor="accent6"/>
        <w:left w:val="single" w:sz="8" w:space="0" w:color="BD2644" w:themeColor="accent6"/>
        <w:bottom w:val="single" w:sz="8" w:space="0" w:color="BD2644" w:themeColor="accent6"/>
        <w:right w:val="single" w:sz="8" w:space="0" w:color="BD2644" w:themeColor="accent6"/>
        <w:insideH w:val="single" w:sz="8" w:space="0" w:color="BD2644" w:themeColor="accent6"/>
        <w:insideV w:val="single" w:sz="8" w:space="0" w:color="BD2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2644" w:themeColor="accent6"/>
          <w:left w:val="single" w:sz="8" w:space="0" w:color="BD2644" w:themeColor="accent6"/>
          <w:bottom w:val="single" w:sz="18" w:space="0" w:color="BD2644" w:themeColor="accent6"/>
          <w:right w:val="single" w:sz="8" w:space="0" w:color="BD2644" w:themeColor="accent6"/>
          <w:insideH w:val="nil"/>
          <w:insideV w:val="single" w:sz="8" w:space="0" w:color="BD2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2644" w:themeColor="accent6"/>
          <w:left w:val="single" w:sz="8" w:space="0" w:color="BD2644" w:themeColor="accent6"/>
          <w:bottom w:val="single" w:sz="8" w:space="0" w:color="BD2644" w:themeColor="accent6"/>
          <w:right w:val="single" w:sz="8" w:space="0" w:color="BD2644" w:themeColor="accent6"/>
          <w:insideH w:val="nil"/>
          <w:insideV w:val="single" w:sz="8" w:space="0" w:color="BD2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2644" w:themeColor="accent6"/>
          <w:left w:val="single" w:sz="8" w:space="0" w:color="BD2644" w:themeColor="accent6"/>
          <w:bottom w:val="single" w:sz="8" w:space="0" w:color="BD2644" w:themeColor="accent6"/>
          <w:right w:val="single" w:sz="8" w:space="0" w:color="BD2644" w:themeColor="accent6"/>
        </w:tcBorders>
      </w:tcPr>
    </w:tblStylePr>
    <w:tblStylePr w:type="band1Vert">
      <w:tblPr/>
      <w:tcPr>
        <w:tcBorders>
          <w:top w:val="single" w:sz="8" w:space="0" w:color="BD2644" w:themeColor="accent6"/>
          <w:left w:val="single" w:sz="8" w:space="0" w:color="BD2644" w:themeColor="accent6"/>
          <w:bottom w:val="single" w:sz="8" w:space="0" w:color="BD2644" w:themeColor="accent6"/>
          <w:right w:val="single" w:sz="8" w:space="0" w:color="BD2644" w:themeColor="accent6"/>
        </w:tcBorders>
        <w:shd w:val="clear" w:color="auto" w:fill="F3C4CD" w:themeFill="accent6" w:themeFillTint="3F"/>
      </w:tcPr>
    </w:tblStylePr>
    <w:tblStylePr w:type="band1Horz">
      <w:tblPr/>
      <w:tcPr>
        <w:tcBorders>
          <w:top w:val="single" w:sz="8" w:space="0" w:color="BD2644" w:themeColor="accent6"/>
          <w:left w:val="single" w:sz="8" w:space="0" w:color="BD2644" w:themeColor="accent6"/>
          <w:bottom w:val="single" w:sz="8" w:space="0" w:color="BD2644" w:themeColor="accent6"/>
          <w:right w:val="single" w:sz="8" w:space="0" w:color="BD2644" w:themeColor="accent6"/>
          <w:insideV w:val="single" w:sz="8" w:space="0" w:color="BD2644" w:themeColor="accent6"/>
        </w:tcBorders>
        <w:shd w:val="clear" w:color="auto" w:fill="F3C4CD" w:themeFill="accent6" w:themeFillTint="3F"/>
      </w:tcPr>
    </w:tblStylePr>
    <w:tblStylePr w:type="band2Horz">
      <w:tblPr/>
      <w:tcPr>
        <w:tcBorders>
          <w:top w:val="single" w:sz="8" w:space="0" w:color="BD2644" w:themeColor="accent6"/>
          <w:left w:val="single" w:sz="8" w:space="0" w:color="BD2644" w:themeColor="accent6"/>
          <w:bottom w:val="single" w:sz="8" w:space="0" w:color="BD2644" w:themeColor="accent6"/>
          <w:right w:val="single" w:sz="8" w:space="0" w:color="BD2644" w:themeColor="accent6"/>
          <w:insideV w:val="single" w:sz="8" w:space="0" w:color="BD2644" w:themeColor="accent6"/>
        </w:tcBorders>
      </w:tcPr>
    </w:tblStylePr>
  </w:style>
  <w:style w:type="table" w:styleId="LightList">
    <w:name w:val="Light List"/>
    <w:basedOn w:val="TableNormal"/>
    <w:uiPriority w:val="61"/>
    <w:semiHidden/>
    <w:unhideWhenUsed/>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after="0"/>
    </w:pPr>
    <w:tblPr>
      <w:tblStyleRowBandSize w:val="1"/>
      <w:tblStyleColBandSize w:val="1"/>
      <w:tblBorders>
        <w:top w:val="single" w:sz="8" w:space="0" w:color="02847D" w:themeColor="accent1"/>
        <w:left w:val="single" w:sz="8" w:space="0" w:color="02847D" w:themeColor="accent1"/>
        <w:bottom w:val="single" w:sz="8" w:space="0" w:color="02847D" w:themeColor="accent1"/>
        <w:right w:val="single" w:sz="8" w:space="0" w:color="02847D" w:themeColor="accent1"/>
      </w:tblBorders>
    </w:tblPr>
    <w:tblStylePr w:type="firstRow">
      <w:pPr>
        <w:spacing w:before="0" w:after="0" w:line="240" w:lineRule="auto"/>
      </w:pPr>
      <w:rPr>
        <w:b/>
        <w:bCs/>
        <w:color w:val="FFFFFF" w:themeColor="background1"/>
      </w:rPr>
      <w:tblPr/>
      <w:tcPr>
        <w:shd w:val="clear" w:color="auto" w:fill="02847D" w:themeFill="accent1"/>
      </w:tcPr>
    </w:tblStylePr>
    <w:tblStylePr w:type="lastRow">
      <w:pPr>
        <w:spacing w:before="0" w:after="0" w:line="240" w:lineRule="auto"/>
      </w:pPr>
      <w:rPr>
        <w:b/>
        <w:bCs/>
      </w:rPr>
      <w:tblPr/>
      <w:tcPr>
        <w:tcBorders>
          <w:top w:val="double" w:sz="6" w:space="0" w:color="02847D" w:themeColor="accent1"/>
          <w:left w:val="single" w:sz="8" w:space="0" w:color="02847D" w:themeColor="accent1"/>
          <w:bottom w:val="single" w:sz="8" w:space="0" w:color="02847D" w:themeColor="accent1"/>
          <w:right w:val="single" w:sz="8" w:space="0" w:color="02847D" w:themeColor="accent1"/>
        </w:tcBorders>
      </w:tcPr>
    </w:tblStylePr>
    <w:tblStylePr w:type="firstCol">
      <w:rPr>
        <w:b/>
        <w:bCs/>
      </w:rPr>
    </w:tblStylePr>
    <w:tblStylePr w:type="lastCol">
      <w:rPr>
        <w:b/>
        <w:bCs/>
      </w:rPr>
    </w:tblStylePr>
    <w:tblStylePr w:type="band1Vert">
      <w:tblPr/>
      <w:tcPr>
        <w:tcBorders>
          <w:top w:val="single" w:sz="8" w:space="0" w:color="02847D" w:themeColor="accent1"/>
          <w:left w:val="single" w:sz="8" w:space="0" w:color="02847D" w:themeColor="accent1"/>
          <w:bottom w:val="single" w:sz="8" w:space="0" w:color="02847D" w:themeColor="accent1"/>
          <w:right w:val="single" w:sz="8" w:space="0" w:color="02847D" w:themeColor="accent1"/>
        </w:tcBorders>
      </w:tcPr>
    </w:tblStylePr>
    <w:tblStylePr w:type="band1Horz">
      <w:tblPr/>
      <w:tcPr>
        <w:tcBorders>
          <w:top w:val="single" w:sz="8" w:space="0" w:color="02847D" w:themeColor="accent1"/>
          <w:left w:val="single" w:sz="8" w:space="0" w:color="02847D" w:themeColor="accent1"/>
          <w:bottom w:val="single" w:sz="8" w:space="0" w:color="02847D" w:themeColor="accent1"/>
          <w:right w:val="single" w:sz="8" w:space="0" w:color="02847D" w:themeColor="accent1"/>
        </w:tcBorders>
      </w:tcPr>
    </w:tblStylePr>
  </w:style>
  <w:style w:type="table" w:styleId="LightList-Accent2">
    <w:name w:val="Light List Accent 2"/>
    <w:basedOn w:val="TableNormal"/>
    <w:uiPriority w:val="61"/>
    <w:semiHidden/>
    <w:unhideWhenUsed/>
    <w:pPr>
      <w:spacing w:before="0" w:after="0"/>
    </w:pPr>
    <w:tblPr>
      <w:tblStyleRowBandSize w:val="1"/>
      <w:tblStyleColBandSize w:val="1"/>
      <w:tblBorders>
        <w:top w:val="single" w:sz="8" w:space="0" w:color="F36E44" w:themeColor="accent2"/>
        <w:left w:val="single" w:sz="8" w:space="0" w:color="F36E44" w:themeColor="accent2"/>
        <w:bottom w:val="single" w:sz="8" w:space="0" w:color="F36E44" w:themeColor="accent2"/>
        <w:right w:val="single" w:sz="8" w:space="0" w:color="F36E44" w:themeColor="accent2"/>
      </w:tblBorders>
    </w:tblPr>
    <w:tblStylePr w:type="firstRow">
      <w:pPr>
        <w:spacing w:before="0" w:after="0" w:line="240" w:lineRule="auto"/>
      </w:pPr>
      <w:rPr>
        <w:b/>
        <w:bCs/>
        <w:color w:val="FFFFFF" w:themeColor="background1"/>
      </w:rPr>
      <w:tblPr/>
      <w:tcPr>
        <w:shd w:val="clear" w:color="auto" w:fill="F36E44" w:themeFill="accent2"/>
      </w:tcPr>
    </w:tblStylePr>
    <w:tblStylePr w:type="lastRow">
      <w:pPr>
        <w:spacing w:before="0" w:after="0" w:line="240" w:lineRule="auto"/>
      </w:pPr>
      <w:rPr>
        <w:b/>
        <w:bCs/>
      </w:rPr>
      <w:tblPr/>
      <w:tcPr>
        <w:tcBorders>
          <w:top w:val="double" w:sz="6" w:space="0" w:color="F36E44" w:themeColor="accent2"/>
          <w:left w:val="single" w:sz="8" w:space="0" w:color="F36E44" w:themeColor="accent2"/>
          <w:bottom w:val="single" w:sz="8" w:space="0" w:color="F36E44" w:themeColor="accent2"/>
          <w:right w:val="single" w:sz="8" w:space="0" w:color="F36E44" w:themeColor="accent2"/>
        </w:tcBorders>
      </w:tcPr>
    </w:tblStylePr>
    <w:tblStylePr w:type="firstCol">
      <w:rPr>
        <w:b/>
        <w:bCs/>
      </w:rPr>
    </w:tblStylePr>
    <w:tblStylePr w:type="lastCol">
      <w:rPr>
        <w:b/>
        <w:bCs/>
      </w:rPr>
    </w:tblStylePr>
    <w:tblStylePr w:type="band1Vert">
      <w:tblPr/>
      <w:tcPr>
        <w:tcBorders>
          <w:top w:val="single" w:sz="8" w:space="0" w:color="F36E44" w:themeColor="accent2"/>
          <w:left w:val="single" w:sz="8" w:space="0" w:color="F36E44" w:themeColor="accent2"/>
          <w:bottom w:val="single" w:sz="8" w:space="0" w:color="F36E44" w:themeColor="accent2"/>
          <w:right w:val="single" w:sz="8" w:space="0" w:color="F36E44" w:themeColor="accent2"/>
        </w:tcBorders>
      </w:tcPr>
    </w:tblStylePr>
    <w:tblStylePr w:type="band1Horz">
      <w:tblPr/>
      <w:tcPr>
        <w:tcBorders>
          <w:top w:val="single" w:sz="8" w:space="0" w:color="F36E44" w:themeColor="accent2"/>
          <w:left w:val="single" w:sz="8" w:space="0" w:color="F36E44" w:themeColor="accent2"/>
          <w:bottom w:val="single" w:sz="8" w:space="0" w:color="F36E44" w:themeColor="accent2"/>
          <w:right w:val="single" w:sz="8" w:space="0" w:color="F36E44" w:themeColor="accent2"/>
        </w:tcBorders>
      </w:tcPr>
    </w:tblStylePr>
  </w:style>
  <w:style w:type="table" w:styleId="LightList-Accent3">
    <w:name w:val="Light List Accent 3"/>
    <w:basedOn w:val="TableNormal"/>
    <w:uiPriority w:val="61"/>
    <w:semiHidden/>
    <w:unhideWhenUsed/>
    <w:pPr>
      <w:spacing w:before="0" w:after="0"/>
    </w:pPr>
    <w:tblPr>
      <w:tblStyleRowBandSize w:val="1"/>
      <w:tblStyleColBandSize w:val="1"/>
      <w:tblBorders>
        <w:top w:val="single" w:sz="8" w:space="0" w:color="59BDB8" w:themeColor="accent3"/>
        <w:left w:val="single" w:sz="8" w:space="0" w:color="59BDB8" w:themeColor="accent3"/>
        <w:bottom w:val="single" w:sz="8" w:space="0" w:color="59BDB8" w:themeColor="accent3"/>
        <w:right w:val="single" w:sz="8" w:space="0" w:color="59BDB8" w:themeColor="accent3"/>
      </w:tblBorders>
    </w:tblPr>
    <w:tblStylePr w:type="firstRow">
      <w:pPr>
        <w:spacing w:before="0" w:after="0" w:line="240" w:lineRule="auto"/>
      </w:pPr>
      <w:rPr>
        <w:b/>
        <w:bCs/>
        <w:color w:val="FFFFFF" w:themeColor="background1"/>
      </w:rPr>
      <w:tblPr/>
      <w:tcPr>
        <w:shd w:val="clear" w:color="auto" w:fill="59BDB8" w:themeFill="accent3"/>
      </w:tcPr>
    </w:tblStylePr>
    <w:tblStylePr w:type="lastRow">
      <w:pPr>
        <w:spacing w:before="0" w:after="0" w:line="240" w:lineRule="auto"/>
      </w:pPr>
      <w:rPr>
        <w:b/>
        <w:bCs/>
      </w:rPr>
      <w:tblPr/>
      <w:tcPr>
        <w:tcBorders>
          <w:top w:val="double" w:sz="6" w:space="0" w:color="59BDB8" w:themeColor="accent3"/>
          <w:left w:val="single" w:sz="8" w:space="0" w:color="59BDB8" w:themeColor="accent3"/>
          <w:bottom w:val="single" w:sz="8" w:space="0" w:color="59BDB8" w:themeColor="accent3"/>
          <w:right w:val="single" w:sz="8" w:space="0" w:color="59BDB8" w:themeColor="accent3"/>
        </w:tcBorders>
      </w:tcPr>
    </w:tblStylePr>
    <w:tblStylePr w:type="firstCol">
      <w:rPr>
        <w:b/>
        <w:bCs/>
      </w:rPr>
    </w:tblStylePr>
    <w:tblStylePr w:type="lastCol">
      <w:rPr>
        <w:b/>
        <w:bCs/>
      </w:rPr>
    </w:tblStylePr>
    <w:tblStylePr w:type="band1Vert">
      <w:tblPr/>
      <w:tcPr>
        <w:tcBorders>
          <w:top w:val="single" w:sz="8" w:space="0" w:color="59BDB8" w:themeColor="accent3"/>
          <w:left w:val="single" w:sz="8" w:space="0" w:color="59BDB8" w:themeColor="accent3"/>
          <w:bottom w:val="single" w:sz="8" w:space="0" w:color="59BDB8" w:themeColor="accent3"/>
          <w:right w:val="single" w:sz="8" w:space="0" w:color="59BDB8" w:themeColor="accent3"/>
        </w:tcBorders>
      </w:tcPr>
    </w:tblStylePr>
    <w:tblStylePr w:type="band1Horz">
      <w:tblPr/>
      <w:tcPr>
        <w:tcBorders>
          <w:top w:val="single" w:sz="8" w:space="0" w:color="59BDB8" w:themeColor="accent3"/>
          <w:left w:val="single" w:sz="8" w:space="0" w:color="59BDB8" w:themeColor="accent3"/>
          <w:bottom w:val="single" w:sz="8" w:space="0" w:color="59BDB8" w:themeColor="accent3"/>
          <w:right w:val="single" w:sz="8" w:space="0" w:color="59BDB8" w:themeColor="accent3"/>
        </w:tcBorders>
      </w:tcPr>
    </w:tblStylePr>
  </w:style>
  <w:style w:type="table" w:styleId="LightList-Accent4">
    <w:name w:val="Light List Accent 4"/>
    <w:basedOn w:val="TableNormal"/>
    <w:uiPriority w:val="61"/>
    <w:semiHidden/>
    <w:unhideWhenUsed/>
    <w:pPr>
      <w:spacing w:before="0" w:after="0"/>
    </w:pPr>
    <w:tblPr>
      <w:tblStyleRowBandSize w:val="1"/>
      <w:tblStyleColBandSize w:val="1"/>
      <w:tblBorders>
        <w:top w:val="single" w:sz="8" w:space="0" w:color="FDB933" w:themeColor="accent4"/>
        <w:left w:val="single" w:sz="8" w:space="0" w:color="FDB933" w:themeColor="accent4"/>
        <w:bottom w:val="single" w:sz="8" w:space="0" w:color="FDB933" w:themeColor="accent4"/>
        <w:right w:val="single" w:sz="8" w:space="0" w:color="FDB933" w:themeColor="accent4"/>
      </w:tblBorders>
    </w:tblPr>
    <w:tblStylePr w:type="firstRow">
      <w:pPr>
        <w:spacing w:before="0" w:after="0" w:line="240" w:lineRule="auto"/>
      </w:pPr>
      <w:rPr>
        <w:b/>
        <w:bCs/>
        <w:color w:val="FFFFFF" w:themeColor="background1"/>
      </w:rPr>
      <w:tblPr/>
      <w:tcPr>
        <w:shd w:val="clear" w:color="auto" w:fill="FDB933" w:themeFill="accent4"/>
      </w:tcPr>
    </w:tblStylePr>
    <w:tblStylePr w:type="lastRow">
      <w:pPr>
        <w:spacing w:before="0" w:after="0" w:line="240" w:lineRule="auto"/>
      </w:pPr>
      <w:rPr>
        <w:b/>
        <w:bCs/>
      </w:rPr>
      <w:tblPr/>
      <w:tcPr>
        <w:tcBorders>
          <w:top w:val="double" w:sz="6" w:space="0" w:color="FDB933" w:themeColor="accent4"/>
          <w:left w:val="single" w:sz="8" w:space="0" w:color="FDB933" w:themeColor="accent4"/>
          <w:bottom w:val="single" w:sz="8" w:space="0" w:color="FDB933" w:themeColor="accent4"/>
          <w:right w:val="single" w:sz="8" w:space="0" w:color="FDB933" w:themeColor="accent4"/>
        </w:tcBorders>
      </w:tcPr>
    </w:tblStylePr>
    <w:tblStylePr w:type="firstCol">
      <w:rPr>
        <w:b/>
        <w:bCs/>
      </w:rPr>
    </w:tblStylePr>
    <w:tblStylePr w:type="lastCol">
      <w:rPr>
        <w:b/>
        <w:bCs/>
      </w:rPr>
    </w:tblStylePr>
    <w:tblStylePr w:type="band1Vert">
      <w:tblPr/>
      <w:tcPr>
        <w:tcBorders>
          <w:top w:val="single" w:sz="8" w:space="0" w:color="FDB933" w:themeColor="accent4"/>
          <w:left w:val="single" w:sz="8" w:space="0" w:color="FDB933" w:themeColor="accent4"/>
          <w:bottom w:val="single" w:sz="8" w:space="0" w:color="FDB933" w:themeColor="accent4"/>
          <w:right w:val="single" w:sz="8" w:space="0" w:color="FDB933" w:themeColor="accent4"/>
        </w:tcBorders>
      </w:tcPr>
    </w:tblStylePr>
    <w:tblStylePr w:type="band1Horz">
      <w:tblPr/>
      <w:tcPr>
        <w:tcBorders>
          <w:top w:val="single" w:sz="8" w:space="0" w:color="FDB933" w:themeColor="accent4"/>
          <w:left w:val="single" w:sz="8" w:space="0" w:color="FDB933" w:themeColor="accent4"/>
          <w:bottom w:val="single" w:sz="8" w:space="0" w:color="FDB933" w:themeColor="accent4"/>
          <w:right w:val="single" w:sz="8" w:space="0" w:color="FDB933" w:themeColor="accent4"/>
        </w:tcBorders>
      </w:tcPr>
    </w:tblStylePr>
  </w:style>
  <w:style w:type="table" w:styleId="LightList-Accent5">
    <w:name w:val="Light List Accent 5"/>
    <w:basedOn w:val="TableNormal"/>
    <w:uiPriority w:val="61"/>
    <w:semiHidden/>
    <w:unhideWhenUsed/>
    <w:pPr>
      <w:spacing w:before="0" w:after="0"/>
    </w:pPr>
    <w:tblPr>
      <w:tblStyleRowBandSize w:val="1"/>
      <w:tblStyleColBandSize w:val="1"/>
      <w:tblBorders>
        <w:top w:val="single" w:sz="8" w:space="0" w:color="6CAD6C" w:themeColor="accent5"/>
        <w:left w:val="single" w:sz="8" w:space="0" w:color="6CAD6C" w:themeColor="accent5"/>
        <w:bottom w:val="single" w:sz="8" w:space="0" w:color="6CAD6C" w:themeColor="accent5"/>
        <w:right w:val="single" w:sz="8" w:space="0" w:color="6CAD6C" w:themeColor="accent5"/>
      </w:tblBorders>
    </w:tblPr>
    <w:tblStylePr w:type="firstRow">
      <w:pPr>
        <w:spacing w:before="0" w:after="0" w:line="240" w:lineRule="auto"/>
      </w:pPr>
      <w:rPr>
        <w:b/>
        <w:bCs/>
        <w:color w:val="FFFFFF" w:themeColor="background1"/>
      </w:rPr>
      <w:tblPr/>
      <w:tcPr>
        <w:shd w:val="clear" w:color="auto" w:fill="6CAD6C" w:themeFill="accent5"/>
      </w:tcPr>
    </w:tblStylePr>
    <w:tblStylePr w:type="lastRow">
      <w:pPr>
        <w:spacing w:before="0" w:after="0" w:line="240" w:lineRule="auto"/>
      </w:pPr>
      <w:rPr>
        <w:b/>
        <w:bCs/>
      </w:rPr>
      <w:tblPr/>
      <w:tcPr>
        <w:tcBorders>
          <w:top w:val="double" w:sz="6" w:space="0" w:color="6CAD6C" w:themeColor="accent5"/>
          <w:left w:val="single" w:sz="8" w:space="0" w:color="6CAD6C" w:themeColor="accent5"/>
          <w:bottom w:val="single" w:sz="8" w:space="0" w:color="6CAD6C" w:themeColor="accent5"/>
          <w:right w:val="single" w:sz="8" w:space="0" w:color="6CAD6C" w:themeColor="accent5"/>
        </w:tcBorders>
      </w:tcPr>
    </w:tblStylePr>
    <w:tblStylePr w:type="firstCol">
      <w:rPr>
        <w:b/>
        <w:bCs/>
      </w:rPr>
    </w:tblStylePr>
    <w:tblStylePr w:type="lastCol">
      <w:rPr>
        <w:b/>
        <w:bCs/>
      </w:rPr>
    </w:tblStylePr>
    <w:tblStylePr w:type="band1Vert">
      <w:tblPr/>
      <w:tcPr>
        <w:tcBorders>
          <w:top w:val="single" w:sz="8" w:space="0" w:color="6CAD6C" w:themeColor="accent5"/>
          <w:left w:val="single" w:sz="8" w:space="0" w:color="6CAD6C" w:themeColor="accent5"/>
          <w:bottom w:val="single" w:sz="8" w:space="0" w:color="6CAD6C" w:themeColor="accent5"/>
          <w:right w:val="single" w:sz="8" w:space="0" w:color="6CAD6C" w:themeColor="accent5"/>
        </w:tcBorders>
      </w:tcPr>
    </w:tblStylePr>
    <w:tblStylePr w:type="band1Horz">
      <w:tblPr/>
      <w:tcPr>
        <w:tcBorders>
          <w:top w:val="single" w:sz="8" w:space="0" w:color="6CAD6C" w:themeColor="accent5"/>
          <w:left w:val="single" w:sz="8" w:space="0" w:color="6CAD6C" w:themeColor="accent5"/>
          <w:bottom w:val="single" w:sz="8" w:space="0" w:color="6CAD6C" w:themeColor="accent5"/>
          <w:right w:val="single" w:sz="8" w:space="0" w:color="6CAD6C" w:themeColor="accent5"/>
        </w:tcBorders>
      </w:tcPr>
    </w:tblStylePr>
  </w:style>
  <w:style w:type="table" w:styleId="LightList-Accent6">
    <w:name w:val="Light List Accent 6"/>
    <w:basedOn w:val="TableNormal"/>
    <w:uiPriority w:val="61"/>
    <w:semiHidden/>
    <w:unhideWhenUsed/>
    <w:pPr>
      <w:spacing w:before="0" w:after="0"/>
    </w:pPr>
    <w:tblPr>
      <w:tblStyleRowBandSize w:val="1"/>
      <w:tblStyleColBandSize w:val="1"/>
      <w:tblBorders>
        <w:top w:val="single" w:sz="8" w:space="0" w:color="BD2644" w:themeColor="accent6"/>
        <w:left w:val="single" w:sz="8" w:space="0" w:color="BD2644" w:themeColor="accent6"/>
        <w:bottom w:val="single" w:sz="8" w:space="0" w:color="BD2644" w:themeColor="accent6"/>
        <w:right w:val="single" w:sz="8" w:space="0" w:color="BD2644" w:themeColor="accent6"/>
      </w:tblBorders>
    </w:tblPr>
    <w:tblStylePr w:type="firstRow">
      <w:pPr>
        <w:spacing w:before="0" w:after="0" w:line="240" w:lineRule="auto"/>
      </w:pPr>
      <w:rPr>
        <w:b/>
        <w:bCs/>
        <w:color w:val="FFFFFF" w:themeColor="background1"/>
      </w:rPr>
      <w:tblPr/>
      <w:tcPr>
        <w:shd w:val="clear" w:color="auto" w:fill="BD2644" w:themeFill="accent6"/>
      </w:tcPr>
    </w:tblStylePr>
    <w:tblStylePr w:type="lastRow">
      <w:pPr>
        <w:spacing w:before="0" w:after="0" w:line="240" w:lineRule="auto"/>
      </w:pPr>
      <w:rPr>
        <w:b/>
        <w:bCs/>
      </w:rPr>
      <w:tblPr/>
      <w:tcPr>
        <w:tcBorders>
          <w:top w:val="double" w:sz="6" w:space="0" w:color="BD2644" w:themeColor="accent6"/>
          <w:left w:val="single" w:sz="8" w:space="0" w:color="BD2644" w:themeColor="accent6"/>
          <w:bottom w:val="single" w:sz="8" w:space="0" w:color="BD2644" w:themeColor="accent6"/>
          <w:right w:val="single" w:sz="8" w:space="0" w:color="BD2644" w:themeColor="accent6"/>
        </w:tcBorders>
      </w:tcPr>
    </w:tblStylePr>
    <w:tblStylePr w:type="firstCol">
      <w:rPr>
        <w:b/>
        <w:bCs/>
      </w:rPr>
    </w:tblStylePr>
    <w:tblStylePr w:type="lastCol">
      <w:rPr>
        <w:b/>
        <w:bCs/>
      </w:rPr>
    </w:tblStylePr>
    <w:tblStylePr w:type="band1Vert">
      <w:tblPr/>
      <w:tcPr>
        <w:tcBorders>
          <w:top w:val="single" w:sz="8" w:space="0" w:color="BD2644" w:themeColor="accent6"/>
          <w:left w:val="single" w:sz="8" w:space="0" w:color="BD2644" w:themeColor="accent6"/>
          <w:bottom w:val="single" w:sz="8" w:space="0" w:color="BD2644" w:themeColor="accent6"/>
          <w:right w:val="single" w:sz="8" w:space="0" w:color="BD2644" w:themeColor="accent6"/>
        </w:tcBorders>
      </w:tcPr>
    </w:tblStylePr>
    <w:tblStylePr w:type="band1Horz">
      <w:tblPr/>
      <w:tcPr>
        <w:tcBorders>
          <w:top w:val="single" w:sz="8" w:space="0" w:color="BD2644" w:themeColor="accent6"/>
          <w:left w:val="single" w:sz="8" w:space="0" w:color="BD2644" w:themeColor="accent6"/>
          <w:bottom w:val="single" w:sz="8" w:space="0" w:color="BD2644" w:themeColor="accent6"/>
          <w:right w:val="single" w:sz="8" w:space="0" w:color="BD2644" w:themeColor="accent6"/>
        </w:tcBorders>
      </w:tcPr>
    </w:tblStylePr>
  </w:style>
  <w:style w:type="table" w:styleId="LightShading-Accent1">
    <w:name w:val="Light Shading Accent 1"/>
    <w:basedOn w:val="TableNormal"/>
    <w:uiPriority w:val="60"/>
    <w:semiHidden/>
    <w:unhideWhenUsed/>
    <w:pPr>
      <w:spacing w:before="0" w:after="0"/>
    </w:pPr>
    <w:rPr>
      <w:color w:val="01625D" w:themeColor="accent1" w:themeShade="BF"/>
    </w:rPr>
    <w:tblPr>
      <w:tblStyleRowBandSize w:val="1"/>
      <w:tblStyleColBandSize w:val="1"/>
      <w:tblBorders>
        <w:top w:val="single" w:sz="8" w:space="0" w:color="02847D" w:themeColor="accent1"/>
        <w:bottom w:val="single" w:sz="8" w:space="0" w:color="02847D" w:themeColor="accent1"/>
      </w:tblBorders>
    </w:tblPr>
    <w:tblStylePr w:type="firstRow">
      <w:pPr>
        <w:spacing w:before="0" w:after="0" w:line="240" w:lineRule="auto"/>
      </w:pPr>
      <w:rPr>
        <w:b/>
        <w:bCs/>
      </w:rPr>
      <w:tblPr/>
      <w:tcPr>
        <w:tcBorders>
          <w:top w:val="single" w:sz="8" w:space="0" w:color="02847D" w:themeColor="accent1"/>
          <w:left w:val="nil"/>
          <w:bottom w:val="single" w:sz="8" w:space="0" w:color="02847D" w:themeColor="accent1"/>
          <w:right w:val="nil"/>
          <w:insideH w:val="nil"/>
          <w:insideV w:val="nil"/>
        </w:tcBorders>
      </w:tcPr>
    </w:tblStylePr>
    <w:tblStylePr w:type="lastRow">
      <w:pPr>
        <w:spacing w:before="0" w:after="0" w:line="240" w:lineRule="auto"/>
      </w:pPr>
      <w:rPr>
        <w:b/>
        <w:bCs/>
      </w:rPr>
      <w:tblPr/>
      <w:tcPr>
        <w:tcBorders>
          <w:top w:val="single" w:sz="8" w:space="0" w:color="02847D" w:themeColor="accent1"/>
          <w:left w:val="nil"/>
          <w:bottom w:val="single" w:sz="8" w:space="0" w:color="02847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FDF8" w:themeFill="accent1" w:themeFillTint="3F"/>
      </w:tcPr>
    </w:tblStylePr>
    <w:tblStylePr w:type="band1Horz">
      <w:tblPr/>
      <w:tcPr>
        <w:tcBorders>
          <w:left w:val="nil"/>
          <w:right w:val="nil"/>
          <w:insideH w:val="nil"/>
          <w:insideV w:val="nil"/>
        </w:tcBorders>
        <w:shd w:val="clear" w:color="auto" w:fill="A3FDF8" w:themeFill="accent1" w:themeFillTint="3F"/>
      </w:tcPr>
    </w:tblStylePr>
  </w:style>
  <w:style w:type="table" w:styleId="LightShading-Accent2">
    <w:name w:val="Light Shading Accent 2"/>
    <w:basedOn w:val="TableNormal"/>
    <w:uiPriority w:val="60"/>
    <w:semiHidden/>
    <w:unhideWhenUsed/>
    <w:pPr>
      <w:spacing w:before="0" w:after="0"/>
    </w:pPr>
    <w:rPr>
      <w:color w:val="DA3F0E" w:themeColor="accent2" w:themeShade="BF"/>
    </w:rPr>
    <w:tblPr>
      <w:tblStyleRowBandSize w:val="1"/>
      <w:tblStyleColBandSize w:val="1"/>
      <w:tblBorders>
        <w:top w:val="single" w:sz="8" w:space="0" w:color="F36E44" w:themeColor="accent2"/>
        <w:bottom w:val="single" w:sz="8" w:space="0" w:color="F36E44" w:themeColor="accent2"/>
      </w:tblBorders>
    </w:tblPr>
    <w:tblStylePr w:type="firstRow">
      <w:pPr>
        <w:spacing w:before="0" w:after="0" w:line="240" w:lineRule="auto"/>
      </w:pPr>
      <w:rPr>
        <w:b/>
        <w:bCs/>
      </w:rPr>
      <w:tblPr/>
      <w:tcPr>
        <w:tcBorders>
          <w:top w:val="single" w:sz="8" w:space="0" w:color="F36E44" w:themeColor="accent2"/>
          <w:left w:val="nil"/>
          <w:bottom w:val="single" w:sz="8" w:space="0" w:color="F36E44" w:themeColor="accent2"/>
          <w:right w:val="nil"/>
          <w:insideH w:val="nil"/>
          <w:insideV w:val="nil"/>
        </w:tcBorders>
      </w:tcPr>
    </w:tblStylePr>
    <w:tblStylePr w:type="lastRow">
      <w:pPr>
        <w:spacing w:before="0" w:after="0" w:line="240" w:lineRule="auto"/>
      </w:pPr>
      <w:rPr>
        <w:b/>
        <w:bCs/>
      </w:rPr>
      <w:tblPr/>
      <w:tcPr>
        <w:tcBorders>
          <w:top w:val="single" w:sz="8" w:space="0" w:color="F36E44" w:themeColor="accent2"/>
          <w:left w:val="nil"/>
          <w:bottom w:val="single" w:sz="8" w:space="0" w:color="F36E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D0" w:themeFill="accent2" w:themeFillTint="3F"/>
      </w:tcPr>
    </w:tblStylePr>
    <w:tblStylePr w:type="band1Horz">
      <w:tblPr/>
      <w:tcPr>
        <w:tcBorders>
          <w:left w:val="nil"/>
          <w:right w:val="nil"/>
          <w:insideH w:val="nil"/>
          <w:insideV w:val="nil"/>
        </w:tcBorders>
        <w:shd w:val="clear" w:color="auto" w:fill="FCDAD0" w:themeFill="accent2" w:themeFillTint="3F"/>
      </w:tcPr>
    </w:tblStylePr>
  </w:style>
  <w:style w:type="table" w:styleId="LightShading-Accent3">
    <w:name w:val="Light Shading Accent 3"/>
    <w:basedOn w:val="TableNormal"/>
    <w:uiPriority w:val="60"/>
    <w:semiHidden/>
    <w:unhideWhenUsed/>
    <w:pPr>
      <w:spacing w:before="0" w:after="0"/>
    </w:pPr>
    <w:rPr>
      <w:color w:val="3B9490" w:themeColor="accent3" w:themeShade="BF"/>
    </w:rPr>
    <w:tblPr>
      <w:tblStyleRowBandSize w:val="1"/>
      <w:tblStyleColBandSize w:val="1"/>
      <w:tblBorders>
        <w:top w:val="single" w:sz="8" w:space="0" w:color="59BDB8" w:themeColor="accent3"/>
        <w:bottom w:val="single" w:sz="8" w:space="0" w:color="59BDB8" w:themeColor="accent3"/>
      </w:tblBorders>
    </w:tblPr>
    <w:tblStylePr w:type="firstRow">
      <w:pPr>
        <w:spacing w:before="0" w:after="0" w:line="240" w:lineRule="auto"/>
      </w:pPr>
      <w:rPr>
        <w:b/>
        <w:bCs/>
      </w:rPr>
      <w:tblPr/>
      <w:tcPr>
        <w:tcBorders>
          <w:top w:val="single" w:sz="8" w:space="0" w:color="59BDB8" w:themeColor="accent3"/>
          <w:left w:val="nil"/>
          <w:bottom w:val="single" w:sz="8" w:space="0" w:color="59BDB8" w:themeColor="accent3"/>
          <w:right w:val="nil"/>
          <w:insideH w:val="nil"/>
          <w:insideV w:val="nil"/>
        </w:tcBorders>
      </w:tcPr>
    </w:tblStylePr>
    <w:tblStylePr w:type="lastRow">
      <w:pPr>
        <w:spacing w:before="0" w:after="0" w:line="240" w:lineRule="auto"/>
      </w:pPr>
      <w:rPr>
        <w:b/>
        <w:bCs/>
      </w:rPr>
      <w:tblPr/>
      <w:tcPr>
        <w:tcBorders>
          <w:top w:val="single" w:sz="8" w:space="0" w:color="59BDB8" w:themeColor="accent3"/>
          <w:left w:val="nil"/>
          <w:bottom w:val="single" w:sz="8" w:space="0" w:color="59BDB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EED" w:themeFill="accent3" w:themeFillTint="3F"/>
      </w:tcPr>
    </w:tblStylePr>
    <w:tblStylePr w:type="band1Horz">
      <w:tblPr/>
      <w:tcPr>
        <w:tcBorders>
          <w:left w:val="nil"/>
          <w:right w:val="nil"/>
          <w:insideH w:val="nil"/>
          <w:insideV w:val="nil"/>
        </w:tcBorders>
        <w:shd w:val="clear" w:color="auto" w:fill="D5EEED" w:themeFill="accent3" w:themeFillTint="3F"/>
      </w:tcPr>
    </w:tblStylePr>
  </w:style>
  <w:style w:type="table" w:styleId="LightShading-Accent4">
    <w:name w:val="Light Shading Accent 4"/>
    <w:basedOn w:val="TableNormal"/>
    <w:uiPriority w:val="60"/>
    <w:semiHidden/>
    <w:unhideWhenUsed/>
    <w:pPr>
      <w:spacing w:before="0" w:after="0"/>
    </w:pPr>
    <w:rPr>
      <w:color w:val="E19602" w:themeColor="accent4" w:themeShade="BF"/>
    </w:rPr>
    <w:tblPr>
      <w:tblStyleRowBandSize w:val="1"/>
      <w:tblStyleColBandSize w:val="1"/>
      <w:tblBorders>
        <w:top w:val="single" w:sz="8" w:space="0" w:color="FDB933" w:themeColor="accent4"/>
        <w:bottom w:val="single" w:sz="8" w:space="0" w:color="FDB933" w:themeColor="accent4"/>
      </w:tblBorders>
    </w:tblPr>
    <w:tblStylePr w:type="firstRow">
      <w:pPr>
        <w:spacing w:before="0" w:after="0" w:line="240" w:lineRule="auto"/>
      </w:pPr>
      <w:rPr>
        <w:b/>
        <w:bCs/>
      </w:rPr>
      <w:tblPr/>
      <w:tcPr>
        <w:tcBorders>
          <w:top w:val="single" w:sz="8" w:space="0" w:color="FDB933" w:themeColor="accent4"/>
          <w:left w:val="nil"/>
          <w:bottom w:val="single" w:sz="8" w:space="0" w:color="FDB933" w:themeColor="accent4"/>
          <w:right w:val="nil"/>
          <w:insideH w:val="nil"/>
          <w:insideV w:val="nil"/>
        </w:tcBorders>
      </w:tcPr>
    </w:tblStylePr>
    <w:tblStylePr w:type="lastRow">
      <w:pPr>
        <w:spacing w:before="0" w:after="0" w:line="240" w:lineRule="auto"/>
      </w:pPr>
      <w:rPr>
        <w:b/>
        <w:bCs/>
      </w:rPr>
      <w:tblPr/>
      <w:tcPr>
        <w:tcBorders>
          <w:top w:val="single" w:sz="8" w:space="0" w:color="FDB933" w:themeColor="accent4"/>
          <w:left w:val="nil"/>
          <w:bottom w:val="single" w:sz="8" w:space="0" w:color="FDB93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C" w:themeFill="accent4" w:themeFillTint="3F"/>
      </w:tcPr>
    </w:tblStylePr>
    <w:tblStylePr w:type="band1Horz">
      <w:tblPr/>
      <w:tcPr>
        <w:tcBorders>
          <w:left w:val="nil"/>
          <w:right w:val="nil"/>
          <w:insideH w:val="nil"/>
          <w:insideV w:val="nil"/>
        </w:tcBorders>
        <w:shd w:val="clear" w:color="auto" w:fill="FEEDCC" w:themeFill="accent4" w:themeFillTint="3F"/>
      </w:tcPr>
    </w:tblStylePr>
  </w:style>
  <w:style w:type="table" w:styleId="ListTable1Light">
    <w:name w:val="List Table 1 Light"/>
    <w:basedOn w:val="TableNormal"/>
    <w:uiPriority w:val="4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after="0"/>
    </w:pPr>
    <w:tblPr>
      <w:tblStyleRowBandSize w:val="1"/>
      <w:tblStyleColBandSize w:val="1"/>
    </w:tblPr>
    <w:tblStylePr w:type="firstRow">
      <w:rPr>
        <w:b/>
        <w:bCs/>
      </w:rPr>
      <w:tblPr/>
      <w:tcPr>
        <w:tcBorders>
          <w:bottom w:val="single" w:sz="4" w:space="0" w:color="20FBEF" w:themeColor="accent1" w:themeTint="99"/>
        </w:tcBorders>
      </w:tcPr>
    </w:tblStylePr>
    <w:tblStylePr w:type="lastRow">
      <w:rPr>
        <w:b/>
        <w:bCs/>
      </w:rPr>
      <w:tblPr/>
      <w:tcPr>
        <w:tcBorders>
          <w:top w:val="single" w:sz="4" w:space="0" w:color="20FBEF" w:themeColor="accent1" w:themeTint="99"/>
        </w:tcBorders>
      </w:tcPr>
    </w:tblStylePr>
    <w:tblStylePr w:type="firstCol">
      <w:rPr>
        <w:b/>
        <w:bCs/>
      </w:rPr>
    </w:tblStylePr>
    <w:tblStylePr w:type="lastCol">
      <w:rPr>
        <w:b/>
        <w:bCs/>
      </w:rPr>
    </w:tblStylePr>
    <w:tblStylePr w:type="band1Vert">
      <w:tblPr/>
      <w:tcPr>
        <w:shd w:val="clear" w:color="auto" w:fill="B4FEF9" w:themeFill="accent1" w:themeFillTint="33"/>
      </w:tcPr>
    </w:tblStylePr>
    <w:tblStylePr w:type="band1Horz">
      <w:tblPr/>
      <w:tcPr>
        <w:shd w:val="clear" w:color="auto" w:fill="B4FEF9"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Pr>
    <w:tblStylePr w:type="firstRow">
      <w:rPr>
        <w:b/>
        <w:bCs/>
      </w:rPr>
      <w:tblPr/>
      <w:tcPr>
        <w:tcBorders>
          <w:bottom w:val="single" w:sz="4" w:space="0" w:color="F7A78E" w:themeColor="accent2" w:themeTint="99"/>
        </w:tcBorders>
      </w:tcPr>
    </w:tblStylePr>
    <w:tblStylePr w:type="lastRow">
      <w:rPr>
        <w:b/>
        <w:bCs/>
      </w:rPr>
      <w:tblPr/>
      <w:tcPr>
        <w:tcBorders>
          <w:top w:val="single" w:sz="4" w:space="0" w:color="F7A78E" w:themeColor="accent2" w:themeTint="99"/>
        </w:tcBorders>
      </w:tcPr>
    </w:tblStylePr>
    <w:tblStylePr w:type="firstCol">
      <w:rPr>
        <w:b/>
        <w:bCs/>
      </w:rPr>
    </w:tblStylePr>
    <w:tblStylePr w:type="lastCol">
      <w:rPr>
        <w:b/>
        <w:bCs/>
      </w:rPr>
    </w:tblStylePr>
    <w:tblStylePr w:type="band1Vert">
      <w:tblPr/>
      <w:tcPr>
        <w:shd w:val="clear" w:color="auto" w:fill="FCE1D9" w:themeFill="accent2" w:themeFillTint="33"/>
      </w:tcPr>
    </w:tblStylePr>
    <w:tblStylePr w:type="band1Horz">
      <w:tblPr/>
      <w:tcPr>
        <w:shd w:val="clear" w:color="auto" w:fill="FCE1D9" w:themeFill="accent2" w:themeFillTint="33"/>
      </w:tcPr>
    </w:tblStylePr>
  </w:style>
  <w:style w:type="table" w:styleId="ListTable1Light-Accent3">
    <w:name w:val="List Table 1 Light Accent 3"/>
    <w:basedOn w:val="TableNormal"/>
    <w:uiPriority w:val="46"/>
    <w:pPr>
      <w:spacing w:after="0"/>
    </w:pPr>
    <w:tblPr>
      <w:tblStyleRowBandSize w:val="1"/>
      <w:tblStyleColBandSize w:val="1"/>
    </w:tblPr>
    <w:tblStylePr w:type="firstRow">
      <w:rPr>
        <w:b/>
        <w:bCs/>
      </w:rPr>
      <w:tblPr/>
      <w:tcPr>
        <w:tcBorders>
          <w:bottom w:val="single" w:sz="4" w:space="0" w:color="9BD7D4" w:themeColor="accent3" w:themeTint="99"/>
        </w:tcBorders>
      </w:tcPr>
    </w:tblStylePr>
    <w:tblStylePr w:type="lastRow">
      <w:rPr>
        <w:b/>
        <w:bCs/>
      </w:rPr>
      <w:tblPr/>
      <w:tcPr>
        <w:tcBorders>
          <w:top w:val="single" w:sz="4" w:space="0" w:color="9BD7D4" w:themeColor="accent3" w:themeTint="99"/>
        </w:tcBorders>
      </w:tcPr>
    </w:tblStylePr>
    <w:tblStylePr w:type="firstCol">
      <w:rPr>
        <w:b/>
        <w:bCs/>
      </w:rPr>
    </w:tblStylePr>
    <w:tblStylePr w:type="lastCol">
      <w:rPr>
        <w:b/>
        <w:bCs/>
      </w:rPr>
    </w:tblStylePr>
    <w:tblStylePr w:type="band1Vert">
      <w:tblPr/>
      <w:tcPr>
        <w:shd w:val="clear" w:color="auto" w:fill="DDF1F0" w:themeFill="accent3" w:themeFillTint="33"/>
      </w:tcPr>
    </w:tblStylePr>
    <w:tblStylePr w:type="band1Horz">
      <w:tblPr/>
      <w:tcPr>
        <w:shd w:val="clear" w:color="auto" w:fill="DDF1F0" w:themeFill="accent3" w:themeFillTint="33"/>
      </w:tcPr>
    </w:tblStylePr>
  </w:style>
  <w:style w:type="table" w:styleId="ListTable1Light-Accent4">
    <w:name w:val="List Table 1 Light Accent 4"/>
    <w:basedOn w:val="TableNormal"/>
    <w:uiPriority w:val="46"/>
    <w:pPr>
      <w:spacing w:after="0"/>
    </w:pPr>
    <w:tblPr>
      <w:tblStyleRowBandSize w:val="1"/>
      <w:tblStyleColBandSize w:val="1"/>
    </w:tblPr>
    <w:tblStylePr w:type="firstRow">
      <w:rPr>
        <w:b/>
        <w:bCs/>
      </w:rPr>
      <w:tblPr/>
      <w:tcPr>
        <w:tcBorders>
          <w:bottom w:val="single" w:sz="4" w:space="0" w:color="FDD484" w:themeColor="accent4" w:themeTint="99"/>
        </w:tcBorders>
      </w:tcPr>
    </w:tblStylePr>
    <w:tblStylePr w:type="lastRow">
      <w:rPr>
        <w:b/>
        <w:bCs/>
      </w:rPr>
      <w:tblPr/>
      <w:tcPr>
        <w:tcBorders>
          <w:top w:val="single" w:sz="4" w:space="0" w:color="FDD484" w:themeColor="accent4" w:themeTint="99"/>
        </w:tcBorders>
      </w:tcPr>
    </w:tblStylePr>
    <w:tblStylePr w:type="firstCol">
      <w:rPr>
        <w:b/>
        <w:bCs/>
      </w:rPr>
    </w:tblStylePr>
    <w:tblStylePr w:type="lastCol">
      <w:rPr>
        <w:b/>
        <w:bCs/>
      </w:rPr>
    </w:tblStylePr>
    <w:tblStylePr w:type="band1Vert">
      <w:tblPr/>
      <w:tcPr>
        <w:shd w:val="clear" w:color="auto" w:fill="FEF0D6" w:themeFill="accent4" w:themeFillTint="33"/>
      </w:tcPr>
    </w:tblStylePr>
    <w:tblStylePr w:type="band1Horz">
      <w:tblPr/>
      <w:tcPr>
        <w:shd w:val="clear" w:color="auto" w:fill="FEF0D6" w:themeFill="accent4" w:themeFillTint="33"/>
      </w:tcPr>
    </w:tblStylePr>
  </w:style>
  <w:style w:type="table" w:styleId="ListTable1Light-Accent5">
    <w:name w:val="List Table 1 Light Accent 5"/>
    <w:basedOn w:val="TableNormal"/>
    <w:uiPriority w:val="46"/>
    <w:pPr>
      <w:spacing w:after="0"/>
    </w:pPr>
    <w:tblPr>
      <w:tblStyleRowBandSize w:val="1"/>
      <w:tblStyleColBandSize w:val="1"/>
    </w:tblPr>
    <w:tblStylePr w:type="firstRow">
      <w:rPr>
        <w:b/>
        <w:bCs/>
      </w:rPr>
      <w:tblPr/>
      <w:tcPr>
        <w:tcBorders>
          <w:bottom w:val="single" w:sz="4" w:space="0" w:color="A6CDA6" w:themeColor="accent5" w:themeTint="99"/>
        </w:tcBorders>
      </w:tcPr>
    </w:tblStylePr>
    <w:tblStylePr w:type="lastRow">
      <w:rPr>
        <w:b/>
        <w:bCs/>
      </w:rPr>
      <w:tblPr/>
      <w:tcPr>
        <w:tcBorders>
          <w:top w:val="single" w:sz="4" w:space="0" w:color="A6CDA6" w:themeColor="accent5" w:themeTint="99"/>
        </w:tcBorders>
      </w:tcPr>
    </w:tblStylePr>
    <w:tblStylePr w:type="firstCol">
      <w:rPr>
        <w:b/>
        <w:bCs/>
      </w:rPr>
    </w:tblStylePr>
    <w:tblStylePr w:type="lastCol">
      <w:rPr>
        <w:b/>
        <w:bCs/>
      </w:rPr>
    </w:tblStylePr>
    <w:tblStylePr w:type="band1Vert">
      <w:tblPr/>
      <w:tcPr>
        <w:shd w:val="clear" w:color="auto" w:fill="E1EEE1" w:themeFill="accent5" w:themeFillTint="33"/>
      </w:tcPr>
    </w:tblStylePr>
    <w:tblStylePr w:type="band1Horz">
      <w:tblPr/>
      <w:tcPr>
        <w:shd w:val="clear" w:color="auto" w:fill="E1EEE1" w:themeFill="accent5" w:themeFillTint="33"/>
      </w:tcPr>
    </w:tblStylePr>
  </w:style>
  <w:style w:type="table" w:styleId="ListTable1Light-Accent6">
    <w:name w:val="List Table 1 Light Accent 6"/>
    <w:basedOn w:val="TableNormal"/>
    <w:uiPriority w:val="46"/>
    <w:pPr>
      <w:spacing w:after="0"/>
    </w:pPr>
    <w:tblPr>
      <w:tblStyleRowBandSize w:val="1"/>
      <w:tblStyleColBandSize w:val="1"/>
    </w:tblPr>
    <w:tblStylePr w:type="firstRow">
      <w:rPr>
        <w:b/>
        <w:bCs/>
      </w:rPr>
      <w:tblPr/>
      <w:tcPr>
        <w:tcBorders>
          <w:bottom w:val="single" w:sz="4" w:space="0" w:color="E27187" w:themeColor="accent6" w:themeTint="99"/>
        </w:tcBorders>
      </w:tcPr>
    </w:tblStylePr>
    <w:tblStylePr w:type="lastRow">
      <w:rPr>
        <w:b/>
        <w:bCs/>
      </w:rPr>
      <w:tblPr/>
      <w:tcPr>
        <w:tcBorders>
          <w:top w:val="single" w:sz="4" w:space="0" w:color="E27187" w:themeColor="accent6" w:themeTint="99"/>
        </w:tcBorders>
      </w:tcPr>
    </w:tblStylePr>
    <w:tblStylePr w:type="firstCol">
      <w:rPr>
        <w:b/>
        <w:bCs/>
      </w:rPr>
    </w:tblStylePr>
    <w:tblStylePr w:type="lastCol">
      <w:rPr>
        <w:b/>
        <w:bCs/>
      </w:rPr>
    </w:tblStylePr>
    <w:tblStylePr w:type="band1Vert">
      <w:tblPr/>
      <w:tcPr>
        <w:shd w:val="clear" w:color="auto" w:fill="F5CFD7" w:themeFill="accent6" w:themeFillTint="33"/>
      </w:tcPr>
    </w:tblStylePr>
    <w:tblStylePr w:type="band1Horz">
      <w:tblPr/>
      <w:tcPr>
        <w:shd w:val="clear" w:color="auto" w:fill="F5CFD7" w:themeFill="accent6" w:themeFillTint="33"/>
      </w:tcPr>
    </w:tblStylePr>
  </w:style>
  <w:style w:type="table" w:styleId="ListTable2">
    <w:name w:val="List Table 2"/>
    <w:basedOn w:val="TableNormal"/>
    <w:uiPriority w:val="4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20FBEF" w:themeColor="accent1" w:themeTint="99"/>
        <w:bottom w:val="single" w:sz="4" w:space="0" w:color="20FBEF" w:themeColor="accent1" w:themeTint="99"/>
        <w:insideH w:val="single" w:sz="4" w:space="0" w:color="20FBE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EF9" w:themeFill="accent1" w:themeFillTint="33"/>
      </w:tcPr>
    </w:tblStylePr>
    <w:tblStylePr w:type="band1Horz">
      <w:tblPr/>
      <w:tcPr>
        <w:shd w:val="clear" w:color="auto" w:fill="B4FEF9" w:themeFill="accent1" w:themeFillTint="33"/>
      </w:tcPr>
    </w:tblStylePr>
  </w:style>
  <w:style w:type="table" w:styleId="ListTable2-Accent3">
    <w:name w:val="List Table 2 Accent 3"/>
    <w:basedOn w:val="TableNormal"/>
    <w:uiPriority w:val="47"/>
    <w:pPr>
      <w:spacing w:after="0"/>
    </w:pPr>
    <w:tblPr>
      <w:tblStyleRowBandSize w:val="1"/>
      <w:tblStyleColBandSize w:val="1"/>
      <w:tblBorders>
        <w:top w:val="single" w:sz="4" w:space="0" w:color="9BD7D4" w:themeColor="accent3" w:themeTint="99"/>
        <w:bottom w:val="single" w:sz="4" w:space="0" w:color="9BD7D4" w:themeColor="accent3" w:themeTint="99"/>
        <w:insideH w:val="single" w:sz="4" w:space="0" w:color="9BD7D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F0" w:themeFill="accent3" w:themeFillTint="33"/>
      </w:tcPr>
    </w:tblStylePr>
    <w:tblStylePr w:type="band1Horz">
      <w:tblPr/>
      <w:tcPr>
        <w:shd w:val="clear" w:color="auto" w:fill="DDF1F0" w:themeFill="accent3" w:themeFillTint="33"/>
      </w:tcPr>
    </w:tblStylePr>
  </w:style>
  <w:style w:type="table" w:styleId="ListTable2-Accent4">
    <w:name w:val="List Table 2 Accent 4"/>
    <w:basedOn w:val="TableNormal"/>
    <w:uiPriority w:val="47"/>
    <w:pPr>
      <w:spacing w:after="0"/>
    </w:pPr>
    <w:tblPr>
      <w:tblStyleRowBandSize w:val="1"/>
      <w:tblStyleColBandSize w:val="1"/>
      <w:tblBorders>
        <w:top w:val="single" w:sz="4" w:space="0" w:color="FDD484" w:themeColor="accent4" w:themeTint="99"/>
        <w:bottom w:val="single" w:sz="4" w:space="0" w:color="FDD484" w:themeColor="accent4" w:themeTint="99"/>
        <w:insideH w:val="single" w:sz="4" w:space="0" w:color="FDD48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0D6" w:themeFill="accent4" w:themeFillTint="33"/>
      </w:tcPr>
    </w:tblStylePr>
    <w:tblStylePr w:type="band1Horz">
      <w:tblPr/>
      <w:tcPr>
        <w:shd w:val="clear" w:color="auto" w:fill="FEF0D6" w:themeFill="accent4" w:themeFillTint="33"/>
      </w:tcPr>
    </w:tblStylePr>
  </w:style>
  <w:style w:type="table" w:styleId="ListTable2-Accent5">
    <w:name w:val="List Table 2 Accent 5"/>
    <w:basedOn w:val="TableNormal"/>
    <w:uiPriority w:val="47"/>
    <w:pPr>
      <w:spacing w:after="0"/>
    </w:pPr>
    <w:tblPr>
      <w:tblStyleRowBandSize w:val="1"/>
      <w:tblStyleColBandSize w:val="1"/>
      <w:tblBorders>
        <w:top w:val="single" w:sz="4" w:space="0" w:color="A6CDA6" w:themeColor="accent5" w:themeTint="99"/>
        <w:bottom w:val="single" w:sz="4" w:space="0" w:color="A6CDA6" w:themeColor="accent5" w:themeTint="99"/>
        <w:insideH w:val="single" w:sz="4" w:space="0" w:color="A6CDA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1" w:themeFill="accent5" w:themeFillTint="33"/>
      </w:tcPr>
    </w:tblStylePr>
    <w:tblStylePr w:type="band1Horz">
      <w:tblPr/>
      <w:tcPr>
        <w:shd w:val="clear" w:color="auto" w:fill="E1EEE1" w:themeFill="accent5" w:themeFillTint="33"/>
      </w:tcPr>
    </w:tblStylePr>
  </w:style>
  <w:style w:type="table" w:styleId="ListTable2-Accent6">
    <w:name w:val="List Table 2 Accent 6"/>
    <w:basedOn w:val="TableNormal"/>
    <w:uiPriority w:val="47"/>
    <w:pPr>
      <w:spacing w:after="0"/>
    </w:pPr>
    <w:tblPr>
      <w:tblStyleRowBandSize w:val="1"/>
      <w:tblStyleColBandSize w:val="1"/>
      <w:tblBorders>
        <w:top w:val="single" w:sz="4" w:space="0" w:color="E27187" w:themeColor="accent6" w:themeTint="99"/>
        <w:bottom w:val="single" w:sz="4" w:space="0" w:color="E27187" w:themeColor="accent6" w:themeTint="99"/>
        <w:insideH w:val="single" w:sz="4" w:space="0" w:color="E2718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CFD7" w:themeFill="accent6" w:themeFillTint="33"/>
      </w:tcPr>
    </w:tblStylePr>
    <w:tblStylePr w:type="band1Horz">
      <w:tblPr/>
      <w:tcPr>
        <w:shd w:val="clear" w:color="auto" w:fill="F5CFD7" w:themeFill="accent6" w:themeFillTint="33"/>
      </w:tcPr>
    </w:tblStylePr>
  </w:style>
  <w:style w:type="table" w:styleId="ListTable3">
    <w:name w:val="List Table 3"/>
    <w:basedOn w:val="TableNormal"/>
    <w:uiPriority w:val="4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after="0"/>
    </w:pPr>
    <w:tblPr>
      <w:tblStyleRowBandSize w:val="1"/>
      <w:tblStyleColBandSize w:val="1"/>
      <w:tblBorders>
        <w:top w:val="single" w:sz="4" w:space="0" w:color="02847D" w:themeColor="accent1"/>
        <w:left w:val="single" w:sz="4" w:space="0" w:color="02847D" w:themeColor="accent1"/>
        <w:bottom w:val="single" w:sz="4" w:space="0" w:color="02847D" w:themeColor="accent1"/>
        <w:right w:val="single" w:sz="4" w:space="0" w:color="02847D" w:themeColor="accent1"/>
      </w:tblBorders>
    </w:tblPr>
    <w:tblStylePr w:type="firstRow">
      <w:rPr>
        <w:b/>
        <w:bCs/>
        <w:color w:val="FFFFFF" w:themeColor="background1"/>
      </w:rPr>
      <w:tblPr/>
      <w:tcPr>
        <w:shd w:val="clear" w:color="auto" w:fill="02847D" w:themeFill="accent1"/>
      </w:tcPr>
    </w:tblStylePr>
    <w:tblStylePr w:type="lastRow">
      <w:rPr>
        <w:b/>
        <w:bCs/>
      </w:rPr>
      <w:tblPr/>
      <w:tcPr>
        <w:tcBorders>
          <w:top w:val="double" w:sz="4" w:space="0" w:color="02847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847D" w:themeColor="accent1"/>
          <w:right w:val="single" w:sz="4" w:space="0" w:color="02847D" w:themeColor="accent1"/>
        </w:tcBorders>
      </w:tcPr>
    </w:tblStylePr>
    <w:tblStylePr w:type="band1Horz">
      <w:tblPr/>
      <w:tcPr>
        <w:tcBorders>
          <w:top w:val="single" w:sz="4" w:space="0" w:color="02847D" w:themeColor="accent1"/>
          <w:bottom w:val="single" w:sz="4" w:space="0" w:color="02847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847D" w:themeColor="accent1"/>
          <w:left w:val="nil"/>
        </w:tcBorders>
      </w:tcPr>
    </w:tblStylePr>
    <w:tblStylePr w:type="swCell">
      <w:tblPr/>
      <w:tcPr>
        <w:tcBorders>
          <w:top w:val="double" w:sz="4" w:space="0" w:color="02847D" w:themeColor="accent1"/>
          <w:right w:val="nil"/>
        </w:tcBorders>
      </w:tcPr>
    </w:tblStylePr>
  </w:style>
  <w:style w:type="table" w:styleId="ListTable3-Accent2">
    <w:name w:val="List Table 3 Accent 2"/>
    <w:basedOn w:val="TableNormal"/>
    <w:uiPriority w:val="48"/>
    <w:pPr>
      <w:spacing w:after="0"/>
    </w:pPr>
    <w:tblPr>
      <w:tblStyleRowBandSize w:val="1"/>
      <w:tblStyleColBandSize w:val="1"/>
      <w:tblBorders>
        <w:top w:val="single" w:sz="4" w:space="0" w:color="F36E44" w:themeColor="accent2"/>
        <w:left w:val="single" w:sz="4" w:space="0" w:color="F36E44" w:themeColor="accent2"/>
        <w:bottom w:val="single" w:sz="4" w:space="0" w:color="F36E44" w:themeColor="accent2"/>
        <w:right w:val="single" w:sz="4" w:space="0" w:color="F36E44" w:themeColor="accent2"/>
      </w:tblBorders>
    </w:tblPr>
    <w:tblStylePr w:type="firstRow">
      <w:rPr>
        <w:b/>
        <w:bCs/>
        <w:color w:val="FFFFFF" w:themeColor="background1"/>
      </w:rPr>
      <w:tblPr/>
      <w:tcPr>
        <w:shd w:val="clear" w:color="auto" w:fill="F36E44" w:themeFill="accent2"/>
      </w:tcPr>
    </w:tblStylePr>
    <w:tblStylePr w:type="lastRow">
      <w:rPr>
        <w:b/>
        <w:bCs/>
      </w:rPr>
      <w:tblPr/>
      <w:tcPr>
        <w:tcBorders>
          <w:top w:val="double" w:sz="4" w:space="0" w:color="F36E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6E44" w:themeColor="accent2"/>
          <w:right w:val="single" w:sz="4" w:space="0" w:color="F36E44" w:themeColor="accent2"/>
        </w:tcBorders>
      </w:tcPr>
    </w:tblStylePr>
    <w:tblStylePr w:type="band1Horz">
      <w:tblPr/>
      <w:tcPr>
        <w:tcBorders>
          <w:top w:val="single" w:sz="4" w:space="0" w:color="F36E44" w:themeColor="accent2"/>
          <w:bottom w:val="single" w:sz="4" w:space="0" w:color="F36E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6E44" w:themeColor="accent2"/>
          <w:left w:val="nil"/>
        </w:tcBorders>
      </w:tcPr>
    </w:tblStylePr>
    <w:tblStylePr w:type="swCell">
      <w:tblPr/>
      <w:tcPr>
        <w:tcBorders>
          <w:top w:val="double" w:sz="4" w:space="0" w:color="F36E44" w:themeColor="accent2"/>
          <w:right w:val="nil"/>
        </w:tcBorders>
      </w:tcPr>
    </w:tblStylePr>
  </w:style>
  <w:style w:type="table" w:styleId="ListTable3-Accent3">
    <w:name w:val="List Table 3 Accent 3"/>
    <w:basedOn w:val="TableNormal"/>
    <w:uiPriority w:val="48"/>
    <w:pPr>
      <w:spacing w:after="0"/>
    </w:pPr>
    <w:tblPr>
      <w:tblStyleRowBandSize w:val="1"/>
      <w:tblStyleColBandSize w:val="1"/>
      <w:tblBorders>
        <w:top w:val="single" w:sz="4" w:space="0" w:color="59BDB8" w:themeColor="accent3"/>
        <w:left w:val="single" w:sz="4" w:space="0" w:color="59BDB8" w:themeColor="accent3"/>
        <w:bottom w:val="single" w:sz="4" w:space="0" w:color="59BDB8" w:themeColor="accent3"/>
        <w:right w:val="single" w:sz="4" w:space="0" w:color="59BDB8" w:themeColor="accent3"/>
      </w:tblBorders>
    </w:tblPr>
    <w:tblStylePr w:type="firstRow">
      <w:rPr>
        <w:b/>
        <w:bCs/>
        <w:color w:val="FFFFFF" w:themeColor="background1"/>
      </w:rPr>
      <w:tblPr/>
      <w:tcPr>
        <w:shd w:val="clear" w:color="auto" w:fill="59BDB8" w:themeFill="accent3"/>
      </w:tcPr>
    </w:tblStylePr>
    <w:tblStylePr w:type="lastRow">
      <w:rPr>
        <w:b/>
        <w:bCs/>
      </w:rPr>
      <w:tblPr/>
      <w:tcPr>
        <w:tcBorders>
          <w:top w:val="double" w:sz="4" w:space="0" w:color="59BDB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DB8" w:themeColor="accent3"/>
          <w:right w:val="single" w:sz="4" w:space="0" w:color="59BDB8" w:themeColor="accent3"/>
        </w:tcBorders>
      </w:tcPr>
    </w:tblStylePr>
    <w:tblStylePr w:type="band1Horz">
      <w:tblPr/>
      <w:tcPr>
        <w:tcBorders>
          <w:top w:val="single" w:sz="4" w:space="0" w:color="59BDB8" w:themeColor="accent3"/>
          <w:bottom w:val="single" w:sz="4" w:space="0" w:color="59BDB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DB8" w:themeColor="accent3"/>
          <w:left w:val="nil"/>
        </w:tcBorders>
      </w:tcPr>
    </w:tblStylePr>
    <w:tblStylePr w:type="swCell">
      <w:tblPr/>
      <w:tcPr>
        <w:tcBorders>
          <w:top w:val="double" w:sz="4" w:space="0" w:color="59BDB8" w:themeColor="accent3"/>
          <w:right w:val="nil"/>
        </w:tcBorders>
      </w:tcPr>
    </w:tblStylePr>
  </w:style>
  <w:style w:type="table" w:styleId="ListTable3-Accent4">
    <w:name w:val="List Table 3 Accent 4"/>
    <w:basedOn w:val="TableNormal"/>
    <w:uiPriority w:val="48"/>
    <w:pPr>
      <w:spacing w:after="0"/>
    </w:pPr>
    <w:tblPr>
      <w:tblStyleRowBandSize w:val="1"/>
      <w:tblStyleColBandSize w:val="1"/>
      <w:tblBorders>
        <w:top w:val="single" w:sz="4" w:space="0" w:color="FDB933" w:themeColor="accent4"/>
        <w:left w:val="single" w:sz="4" w:space="0" w:color="FDB933" w:themeColor="accent4"/>
        <w:bottom w:val="single" w:sz="4" w:space="0" w:color="FDB933" w:themeColor="accent4"/>
        <w:right w:val="single" w:sz="4" w:space="0" w:color="FDB933" w:themeColor="accent4"/>
      </w:tblBorders>
    </w:tblPr>
    <w:tblStylePr w:type="firstRow">
      <w:rPr>
        <w:b/>
        <w:bCs/>
        <w:color w:val="FFFFFF" w:themeColor="background1"/>
      </w:rPr>
      <w:tblPr/>
      <w:tcPr>
        <w:shd w:val="clear" w:color="auto" w:fill="FDB933" w:themeFill="accent4"/>
      </w:tcPr>
    </w:tblStylePr>
    <w:tblStylePr w:type="lastRow">
      <w:rPr>
        <w:b/>
        <w:bCs/>
      </w:rPr>
      <w:tblPr/>
      <w:tcPr>
        <w:tcBorders>
          <w:top w:val="double" w:sz="4" w:space="0" w:color="FDB93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B933" w:themeColor="accent4"/>
          <w:right w:val="single" w:sz="4" w:space="0" w:color="FDB933" w:themeColor="accent4"/>
        </w:tcBorders>
      </w:tcPr>
    </w:tblStylePr>
    <w:tblStylePr w:type="band1Horz">
      <w:tblPr/>
      <w:tcPr>
        <w:tcBorders>
          <w:top w:val="single" w:sz="4" w:space="0" w:color="FDB933" w:themeColor="accent4"/>
          <w:bottom w:val="single" w:sz="4" w:space="0" w:color="FDB93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B933" w:themeColor="accent4"/>
          <w:left w:val="nil"/>
        </w:tcBorders>
      </w:tcPr>
    </w:tblStylePr>
    <w:tblStylePr w:type="swCell">
      <w:tblPr/>
      <w:tcPr>
        <w:tcBorders>
          <w:top w:val="double" w:sz="4" w:space="0" w:color="FDB933" w:themeColor="accent4"/>
          <w:right w:val="nil"/>
        </w:tcBorders>
      </w:tcPr>
    </w:tblStylePr>
  </w:style>
  <w:style w:type="table" w:styleId="ListTable3-Accent5">
    <w:name w:val="List Table 3 Accent 5"/>
    <w:basedOn w:val="TableNormal"/>
    <w:uiPriority w:val="48"/>
    <w:pPr>
      <w:spacing w:after="0"/>
    </w:pPr>
    <w:tblPr>
      <w:tblStyleRowBandSize w:val="1"/>
      <w:tblStyleColBandSize w:val="1"/>
      <w:tblBorders>
        <w:top w:val="single" w:sz="4" w:space="0" w:color="6CAD6C" w:themeColor="accent5"/>
        <w:left w:val="single" w:sz="4" w:space="0" w:color="6CAD6C" w:themeColor="accent5"/>
        <w:bottom w:val="single" w:sz="4" w:space="0" w:color="6CAD6C" w:themeColor="accent5"/>
        <w:right w:val="single" w:sz="4" w:space="0" w:color="6CAD6C" w:themeColor="accent5"/>
      </w:tblBorders>
    </w:tblPr>
    <w:tblStylePr w:type="firstRow">
      <w:rPr>
        <w:b/>
        <w:bCs/>
        <w:color w:val="FFFFFF" w:themeColor="background1"/>
      </w:rPr>
      <w:tblPr/>
      <w:tcPr>
        <w:shd w:val="clear" w:color="auto" w:fill="6CAD6C" w:themeFill="accent5"/>
      </w:tcPr>
    </w:tblStylePr>
    <w:tblStylePr w:type="lastRow">
      <w:rPr>
        <w:b/>
        <w:bCs/>
      </w:rPr>
      <w:tblPr/>
      <w:tcPr>
        <w:tcBorders>
          <w:top w:val="double" w:sz="4" w:space="0" w:color="6CAD6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AD6C" w:themeColor="accent5"/>
          <w:right w:val="single" w:sz="4" w:space="0" w:color="6CAD6C" w:themeColor="accent5"/>
        </w:tcBorders>
      </w:tcPr>
    </w:tblStylePr>
    <w:tblStylePr w:type="band1Horz">
      <w:tblPr/>
      <w:tcPr>
        <w:tcBorders>
          <w:top w:val="single" w:sz="4" w:space="0" w:color="6CAD6C" w:themeColor="accent5"/>
          <w:bottom w:val="single" w:sz="4" w:space="0" w:color="6CAD6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AD6C" w:themeColor="accent5"/>
          <w:left w:val="nil"/>
        </w:tcBorders>
      </w:tcPr>
    </w:tblStylePr>
    <w:tblStylePr w:type="swCell">
      <w:tblPr/>
      <w:tcPr>
        <w:tcBorders>
          <w:top w:val="double" w:sz="4" w:space="0" w:color="6CAD6C" w:themeColor="accent5"/>
          <w:right w:val="nil"/>
        </w:tcBorders>
      </w:tcPr>
    </w:tblStylePr>
  </w:style>
  <w:style w:type="table" w:styleId="ListTable3-Accent6">
    <w:name w:val="List Table 3 Accent 6"/>
    <w:basedOn w:val="TableNormal"/>
    <w:uiPriority w:val="48"/>
    <w:pPr>
      <w:spacing w:after="0"/>
    </w:pPr>
    <w:tblPr>
      <w:tblStyleRowBandSize w:val="1"/>
      <w:tblStyleColBandSize w:val="1"/>
      <w:tblBorders>
        <w:top w:val="single" w:sz="4" w:space="0" w:color="BD2644" w:themeColor="accent6"/>
        <w:left w:val="single" w:sz="4" w:space="0" w:color="BD2644" w:themeColor="accent6"/>
        <w:bottom w:val="single" w:sz="4" w:space="0" w:color="BD2644" w:themeColor="accent6"/>
        <w:right w:val="single" w:sz="4" w:space="0" w:color="BD2644" w:themeColor="accent6"/>
      </w:tblBorders>
    </w:tblPr>
    <w:tblStylePr w:type="firstRow">
      <w:rPr>
        <w:b/>
        <w:bCs/>
        <w:color w:val="FFFFFF" w:themeColor="background1"/>
      </w:rPr>
      <w:tblPr/>
      <w:tcPr>
        <w:shd w:val="clear" w:color="auto" w:fill="BD2644" w:themeFill="accent6"/>
      </w:tcPr>
    </w:tblStylePr>
    <w:tblStylePr w:type="lastRow">
      <w:rPr>
        <w:b/>
        <w:bCs/>
      </w:rPr>
      <w:tblPr/>
      <w:tcPr>
        <w:tcBorders>
          <w:top w:val="double" w:sz="4" w:space="0" w:color="BD2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2644" w:themeColor="accent6"/>
          <w:right w:val="single" w:sz="4" w:space="0" w:color="BD2644" w:themeColor="accent6"/>
        </w:tcBorders>
      </w:tcPr>
    </w:tblStylePr>
    <w:tblStylePr w:type="band1Horz">
      <w:tblPr/>
      <w:tcPr>
        <w:tcBorders>
          <w:top w:val="single" w:sz="4" w:space="0" w:color="BD2644" w:themeColor="accent6"/>
          <w:bottom w:val="single" w:sz="4" w:space="0" w:color="BD2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2644" w:themeColor="accent6"/>
          <w:left w:val="nil"/>
        </w:tcBorders>
      </w:tcPr>
    </w:tblStylePr>
    <w:tblStylePr w:type="swCell">
      <w:tblPr/>
      <w:tcPr>
        <w:tcBorders>
          <w:top w:val="double" w:sz="4" w:space="0" w:color="BD2644" w:themeColor="accent6"/>
          <w:right w:val="nil"/>
        </w:tcBorders>
      </w:tcPr>
    </w:tblStylePr>
  </w:style>
  <w:style w:type="table" w:styleId="ListTable4">
    <w:name w:val="List Table 4"/>
    <w:basedOn w:val="TableNormal"/>
    <w:uiPriority w:val="4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after="0"/>
    </w:pPr>
    <w:tblPr>
      <w:tblStyleRowBandSize w:val="1"/>
      <w:tblStyleColBandSize w:val="1"/>
      <w:tblBorders>
        <w:top w:val="single" w:sz="4" w:space="0" w:color="20FBEF" w:themeColor="accent1" w:themeTint="99"/>
        <w:left w:val="single" w:sz="4" w:space="0" w:color="20FBEF" w:themeColor="accent1" w:themeTint="99"/>
        <w:bottom w:val="single" w:sz="4" w:space="0" w:color="20FBEF" w:themeColor="accent1" w:themeTint="99"/>
        <w:right w:val="single" w:sz="4" w:space="0" w:color="20FBEF" w:themeColor="accent1" w:themeTint="99"/>
        <w:insideH w:val="single" w:sz="4" w:space="0" w:color="20FBEF" w:themeColor="accent1" w:themeTint="99"/>
      </w:tblBorders>
    </w:tblPr>
    <w:tblStylePr w:type="firstRow">
      <w:rPr>
        <w:b/>
        <w:bCs/>
        <w:color w:val="FFFFFF" w:themeColor="background1"/>
      </w:rPr>
      <w:tblPr/>
      <w:tcPr>
        <w:tcBorders>
          <w:top w:val="single" w:sz="4" w:space="0" w:color="02847D" w:themeColor="accent1"/>
          <w:left w:val="single" w:sz="4" w:space="0" w:color="02847D" w:themeColor="accent1"/>
          <w:bottom w:val="single" w:sz="4" w:space="0" w:color="02847D" w:themeColor="accent1"/>
          <w:right w:val="single" w:sz="4" w:space="0" w:color="02847D" w:themeColor="accent1"/>
          <w:insideH w:val="nil"/>
        </w:tcBorders>
        <w:shd w:val="clear" w:color="auto" w:fill="02847D" w:themeFill="accent1"/>
      </w:tcPr>
    </w:tblStylePr>
    <w:tblStylePr w:type="lastRow">
      <w:rPr>
        <w:b/>
        <w:bCs/>
      </w:rPr>
      <w:tblPr/>
      <w:tcPr>
        <w:tcBorders>
          <w:top w:val="double" w:sz="4" w:space="0" w:color="20FBEF" w:themeColor="accent1" w:themeTint="99"/>
        </w:tcBorders>
      </w:tcPr>
    </w:tblStylePr>
    <w:tblStylePr w:type="firstCol">
      <w:rPr>
        <w:b/>
        <w:bCs/>
      </w:rPr>
    </w:tblStylePr>
    <w:tblStylePr w:type="lastCol">
      <w:rPr>
        <w:b/>
        <w:bCs/>
      </w:rPr>
    </w:tblStylePr>
    <w:tblStylePr w:type="band1Vert">
      <w:tblPr/>
      <w:tcPr>
        <w:shd w:val="clear" w:color="auto" w:fill="B4FEF9" w:themeFill="accent1" w:themeFillTint="33"/>
      </w:tcPr>
    </w:tblStylePr>
    <w:tblStylePr w:type="band1Horz">
      <w:tblPr/>
      <w:tcPr>
        <w:shd w:val="clear" w:color="auto" w:fill="B4FEF9" w:themeFill="accent1" w:themeFillTint="33"/>
      </w:tcPr>
    </w:tblStylePr>
  </w:style>
  <w:style w:type="table" w:styleId="ListTable4-Accent2">
    <w:name w:val="List Table 4 Accent 2"/>
    <w:basedOn w:val="TableNormal"/>
    <w:uiPriority w:val="49"/>
    <w:pPr>
      <w:spacing w:after="0"/>
    </w:pPr>
    <w:tblPr>
      <w:tblStyleRowBandSize w:val="1"/>
      <w:tblStyleColBandSize w:val="1"/>
      <w:tblBorders>
        <w:top w:val="single" w:sz="4" w:space="0" w:color="F7A78E" w:themeColor="accent2" w:themeTint="99"/>
        <w:left w:val="single" w:sz="4" w:space="0" w:color="F7A78E" w:themeColor="accent2" w:themeTint="99"/>
        <w:bottom w:val="single" w:sz="4" w:space="0" w:color="F7A78E" w:themeColor="accent2" w:themeTint="99"/>
        <w:right w:val="single" w:sz="4" w:space="0" w:color="F7A78E" w:themeColor="accent2" w:themeTint="99"/>
        <w:insideH w:val="single" w:sz="4" w:space="0" w:color="F7A78E" w:themeColor="accent2" w:themeTint="99"/>
      </w:tblBorders>
    </w:tblPr>
    <w:tblStylePr w:type="firstRow">
      <w:rPr>
        <w:b/>
        <w:bCs/>
        <w:color w:val="FFFFFF" w:themeColor="background1"/>
      </w:rPr>
      <w:tblPr/>
      <w:tcPr>
        <w:tcBorders>
          <w:top w:val="single" w:sz="4" w:space="0" w:color="F36E44" w:themeColor="accent2"/>
          <w:left w:val="single" w:sz="4" w:space="0" w:color="F36E44" w:themeColor="accent2"/>
          <w:bottom w:val="single" w:sz="4" w:space="0" w:color="F36E44" w:themeColor="accent2"/>
          <w:right w:val="single" w:sz="4" w:space="0" w:color="F36E44" w:themeColor="accent2"/>
          <w:insideH w:val="nil"/>
        </w:tcBorders>
        <w:shd w:val="clear" w:color="auto" w:fill="F36E44" w:themeFill="accent2"/>
      </w:tcPr>
    </w:tblStylePr>
    <w:tblStylePr w:type="lastRow">
      <w:rPr>
        <w:b/>
        <w:bCs/>
      </w:rPr>
      <w:tblPr/>
      <w:tcPr>
        <w:tcBorders>
          <w:top w:val="double" w:sz="4" w:space="0" w:color="F7A78E" w:themeColor="accent2" w:themeTint="99"/>
        </w:tcBorders>
      </w:tcPr>
    </w:tblStylePr>
    <w:tblStylePr w:type="firstCol">
      <w:rPr>
        <w:b/>
        <w:bCs/>
      </w:rPr>
    </w:tblStylePr>
    <w:tblStylePr w:type="lastCol">
      <w:rPr>
        <w:b/>
        <w:bCs/>
      </w:rPr>
    </w:tblStylePr>
    <w:tblStylePr w:type="band1Vert">
      <w:tblPr/>
      <w:tcPr>
        <w:shd w:val="clear" w:color="auto" w:fill="FCE1D9" w:themeFill="accent2" w:themeFillTint="33"/>
      </w:tcPr>
    </w:tblStylePr>
    <w:tblStylePr w:type="band1Horz">
      <w:tblPr/>
      <w:tcPr>
        <w:shd w:val="clear" w:color="auto" w:fill="FCE1D9" w:themeFill="accent2" w:themeFillTint="33"/>
      </w:tcPr>
    </w:tblStylePr>
  </w:style>
  <w:style w:type="table" w:styleId="ListTable4-Accent3">
    <w:name w:val="List Table 4 Accent 3"/>
    <w:basedOn w:val="TableNormal"/>
    <w:uiPriority w:val="49"/>
    <w:pPr>
      <w:spacing w:after="0"/>
    </w:pPr>
    <w:tblPr>
      <w:tblStyleRowBandSize w:val="1"/>
      <w:tblStyleColBandSize w:val="1"/>
      <w:tblBorders>
        <w:top w:val="single" w:sz="4" w:space="0" w:color="9BD7D4" w:themeColor="accent3" w:themeTint="99"/>
        <w:left w:val="single" w:sz="4" w:space="0" w:color="9BD7D4" w:themeColor="accent3" w:themeTint="99"/>
        <w:bottom w:val="single" w:sz="4" w:space="0" w:color="9BD7D4" w:themeColor="accent3" w:themeTint="99"/>
        <w:right w:val="single" w:sz="4" w:space="0" w:color="9BD7D4" w:themeColor="accent3" w:themeTint="99"/>
        <w:insideH w:val="single" w:sz="4" w:space="0" w:color="9BD7D4" w:themeColor="accent3" w:themeTint="99"/>
      </w:tblBorders>
    </w:tblPr>
    <w:tblStylePr w:type="firstRow">
      <w:rPr>
        <w:b/>
        <w:bCs/>
        <w:color w:val="FFFFFF" w:themeColor="background1"/>
      </w:rPr>
      <w:tblPr/>
      <w:tcPr>
        <w:tcBorders>
          <w:top w:val="single" w:sz="4" w:space="0" w:color="59BDB8" w:themeColor="accent3"/>
          <w:left w:val="single" w:sz="4" w:space="0" w:color="59BDB8" w:themeColor="accent3"/>
          <w:bottom w:val="single" w:sz="4" w:space="0" w:color="59BDB8" w:themeColor="accent3"/>
          <w:right w:val="single" w:sz="4" w:space="0" w:color="59BDB8" w:themeColor="accent3"/>
          <w:insideH w:val="nil"/>
        </w:tcBorders>
        <w:shd w:val="clear" w:color="auto" w:fill="59BDB8" w:themeFill="accent3"/>
      </w:tcPr>
    </w:tblStylePr>
    <w:tblStylePr w:type="lastRow">
      <w:rPr>
        <w:b/>
        <w:bCs/>
      </w:rPr>
      <w:tblPr/>
      <w:tcPr>
        <w:tcBorders>
          <w:top w:val="double" w:sz="4" w:space="0" w:color="9BD7D4" w:themeColor="accent3" w:themeTint="99"/>
        </w:tcBorders>
      </w:tcPr>
    </w:tblStylePr>
    <w:tblStylePr w:type="firstCol">
      <w:rPr>
        <w:b/>
        <w:bCs/>
      </w:rPr>
    </w:tblStylePr>
    <w:tblStylePr w:type="lastCol">
      <w:rPr>
        <w:b/>
        <w:bCs/>
      </w:rPr>
    </w:tblStylePr>
    <w:tblStylePr w:type="band1Vert">
      <w:tblPr/>
      <w:tcPr>
        <w:shd w:val="clear" w:color="auto" w:fill="DDF1F0" w:themeFill="accent3" w:themeFillTint="33"/>
      </w:tcPr>
    </w:tblStylePr>
    <w:tblStylePr w:type="band1Horz">
      <w:tblPr/>
      <w:tcPr>
        <w:shd w:val="clear" w:color="auto" w:fill="DDF1F0" w:themeFill="accent3" w:themeFillTint="33"/>
      </w:tcPr>
    </w:tblStylePr>
  </w:style>
  <w:style w:type="table" w:styleId="ListTable4-Accent4">
    <w:name w:val="List Table 4 Accent 4"/>
    <w:basedOn w:val="TableNormal"/>
    <w:uiPriority w:val="49"/>
    <w:pPr>
      <w:spacing w:after="0"/>
    </w:pPr>
    <w:tblPr>
      <w:tblStyleRowBandSize w:val="1"/>
      <w:tblStyleColBandSize w:val="1"/>
      <w:tblBorders>
        <w:top w:val="single" w:sz="4" w:space="0" w:color="FDD484" w:themeColor="accent4" w:themeTint="99"/>
        <w:left w:val="single" w:sz="4" w:space="0" w:color="FDD484" w:themeColor="accent4" w:themeTint="99"/>
        <w:bottom w:val="single" w:sz="4" w:space="0" w:color="FDD484" w:themeColor="accent4" w:themeTint="99"/>
        <w:right w:val="single" w:sz="4" w:space="0" w:color="FDD484" w:themeColor="accent4" w:themeTint="99"/>
        <w:insideH w:val="single" w:sz="4" w:space="0" w:color="FDD484" w:themeColor="accent4" w:themeTint="99"/>
      </w:tblBorders>
    </w:tblPr>
    <w:tblStylePr w:type="firstRow">
      <w:rPr>
        <w:b/>
        <w:bCs/>
        <w:color w:val="FFFFFF" w:themeColor="background1"/>
      </w:rPr>
      <w:tblPr/>
      <w:tcPr>
        <w:tcBorders>
          <w:top w:val="single" w:sz="4" w:space="0" w:color="FDB933" w:themeColor="accent4"/>
          <w:left w:val="single" w:sz="4" w:space="0" w:color="FDB933" w:themeColor="accent4"/>
          <w:bottom w:val="single" w:sz="4" w:space="0" w:color="FDB933" w:themeColor="accent4"/>
          <w:right w:val="single" w:sz="4" w:space="0" w:color="FDB933" w:themeColor="accent4"/>
          <w:insideH w:val="nil"/>
        </w:tcBorders>
        <w:shd w:val="clear" w:color="auto" w:fill="FDB933" w:themeFill="accent4"/>
      </w:tcPr>
    </w:tblStylePr>
    <w:tblStylePr w:type="lastRow">
      <w:rPr>
        <w:b/>
        <w:bCs/>
      </w:rPr>
      <w:tblPr/>
      <w:tcPr>
        <w:tcBorders>
          <w:top w:val="double" w:sz="4" w:space="0" w:color="FDD484" w:themeColor="accent4" w:themeTint="99"/>
        </w:tcBorders>
      </w:tcPr>
    </w:tblStylePr>
    <w:tblStylePr w:type="firstCol">
      <w:rPr>
        <w:b/>
        <w:bCs/>
      </w:rPr>
    </w:tblStylePr>
    <w:tblStylePr w:type="lastCol">
      <w:rPr>
        <w:b/>
        <w:bCs/>
      </w:rPr>
    </w:tblStylePr>
    <w:tblStylePr w:type="band1Vert">
      <w:tblPr/>
      <w:tcPr>
        <w:shd w:val="clear" w:color="auto" w:fill="FEF0D6" w:themeFill="accent4" w:themeFillTint="33"/>
      </w:tcPr>
    </w:tblStylePr>
    <w:tblStylePr w:type="band1Horz">
      <w:tblPr/>
      <w:tcPr>
        <w:shd w:val="clear" w:color="auto" w:fill="FEF0D6" w:themeFill="accent4" w:themeFillTint="33"/>
      </w:tcPr>
    </w:tblStylePr>
  </w:style>
  <w:style w:type="table" w:styleId="ListTable4-Accent5">
    <w:name w:val="List Table 4 Accent 5"/>
    <w:basedOn w:val="TableNormal"/>
    <w:uiPriority w:val="49"/>
    <w:pPr>
      <w:spacing w:after="0"/>
    </w:pPr>
    <w:tblPr>
      <w:tblStyleRowBandSize w:val="1"/>
      <w:tblStyleColBandSize w:val="1"/>
      <w:tblBorders>
        <w:top w:val="single" w:sz="4" w:space="0" w:color="A6CDA6" w:themeColor="accent5" w:themeTint="99"/>
        <w:left w:val="single" w:sz="4" w:space="0" w:color="A6CDA6" w:themeColor="accent5" w:themeTint="99"/>
        <w:bottom w:val="single" w:sz="4" w:space="0" w:color="A6CDA6" w:themeColor="accent5" w:themeTint="99"/>
        <w:right w:val="single" w:sz="4" w:space="0" w:color="A6CDA6" w:themeColor="accent5" w:themeTint="99"/>
        <w:insideH w:val="single" w:sz="4" w:space="0" w:color="A6CDA6" w:themeColor="accent5" w:themeTint="99"/>
      </w:tblBorders>
    </w:tblPr>
    <w:tblStylePr w:type="firstRow">
      <w:rPr>
        <w:b/>
        <w:bCs/>
        <w:color w:val="FFFFFF" w:themeColor="background1"/>
      </w:rPr>
      <w:tblPr/>
      <w:tcPr>
        <w:tcBorders>
          <w:top w:val="single" w:sz="4" w:space="0" w:color="6CAD6C" w:themeColor="accent5"/>
          <w:left w:val="single" w:sz="4" w:space="0" w:color="6CAD6C" w:themeColor="accent5"/>
          <w:bottom w:val="single" w:sz="4" w:space="0" w:color="6CAD6C" w:themeColor="accent5"/>
          <w:right w:val="single" w:sz="4" w:space="0" w:color="6CAD6C" w:themeColor="accent5"/>
          <w:insideH w:val="nil"/>
        </w:tcBorders>
        <w:shd w:val="clear" w:color="auto" w:fill="6CAD6C" w:themeFill="accent5"/>
      </w:tcPr>
    </w:tblStylePr>
    <w:tblStylePr w:type="lastRow">
      <w:rPr>
        <w:b/>
        <w:bCs/>
      </w:rPr>
      <w:tblPr/>
      <w:tcPr>
        <w:tcBorders>
          <w:top w:val="double" w:sz="4" w:space="0" w:color="A6CDA6" w:themeColor="accent5" w:themeTint="99"/>
        </w:tcBorders>
      </w:tcPr>
    </w:tblStylePr>
    <w:tblStylePr w:type="firstCol">
      <w:rPr>
        <w:b/>
        <w:bCs/>
      </w:rPr>
    </w:tblStylePr>
    <w:tblStylePr w:type="lastCol">
      <w:rPr>
        <w:b/>
        <w:bCs/>
      </w:rPr>
    </w:tblStylePr>
    <w:tblStylePr w:type="band1Vert">
      <w:tblPr/>
      <w:tcPr>
        <w:shd w:val="clear" w:color="auto" w:fill="E1EEE1" w:themeFill="accent5" w:themeFillTint="33"/>
      </w:tcPr>
    </w:tblStylePr>
    <w:tblStylePr w:type="band1Horz">
      <w:tblPr/>
      <w:tcPr>
        <w:shd w:val="clear" w:color="auto" w:fill="E1EEE1" w:themeFill="accent5" w:themeFillTint="33"/>
      </w:tcPr>
    </w:tblStylePr>
  </w:style>
  <w:style w:type="table" w:styleId="ListTable4-Accent6">
    <w:name w:val="List Table 4 Accent 6"/>
    <w:basedOn w:val="TableNormal"/>
    <w:uiPriority w:val="49"/>
    <w:pPr>
      <w:spacing w:after="0"/>
    </w:pPr>
    <w:tblPr>
      <w:tblStyleRowBandSize w:val="1"/>
      <w:tblStyleColBandSize w:val="1"/>
      <w:tblBorders>
        <w:top w:val="single" w:sz="4" w:space="0" w:color="E27187" w:themeColor="accent6" w:themeTint="99"/>
        <w:left w:val="single" w:sz="4" w:space="0" w:color="E27187" w:themeColor="accent6" w:themeTint="99"/>
        <w:bottom w:val="single" w:sz="4" w:space="0" w:color="E27187" w:themeColor="accent6" w:themeTint="99"/>
        <w:right w:val="single" w:sz="4" w:space="0" w:color="E27187" w:themeColor="accent6" w:themeTint="99"/>
        <w:insideH w:val="single" w:sz="4" w:space="0" w:color="E27187" w:themeColor="accent6" w:themeTint="99"/>
      </w:tblBorders>
    </w:tblPr>
    <w:tblStylePr w:type="firstRow">
      <w:rPr>
        <w:b/>
        <w:bCs/>
        <w:color w:val="FFFFFF" w:themeColor="background1"/>
      </w:rPr>
      <w:tblPr/>
      <w:tcPr>
        <w:tcBorders>
          <w:top w:val="single" w:sz="4" w:space="0" w:color="BD2644" w:themeColor="accent6"/>
          <w:left w:val="single" w:sz="4" w:space="0" w:color="BD2644" w:themeColor="accent6"/>
          <w:bottom w:val="single" w:sz="4" w:space="0" w:color="BD2644" w:themeColor="accent6"/>
          <w:right w:val="single" w:sz="4" w:space="0" w:color="BD2644" w:themeColor="accent6"/>
          <w:insideH w:val="nil"/>
        </w:tcBorders>
        <w:shd w:val="clear" w:color="auto" w:fill="BD2644" w:themeFill="accent6"/>
      </w:tcPr>
    </w:tblStylePr>
    <w:tblStylePr w:type="lastRow">
      <w:rPr>
        <w:b/>
        <w:bCs/>
      </w:rPr>
      <w:tblPr/>
      <w:tcPr>
        <w:tcBorders>
          <w:top w:val="double" w:sz="4" w:space="0" w:color="E27187" w:themeColor="accent6" w:themeTint="99"/>
        </w:tcBorders>
      </w:tcPr>
    </w:tblStylePr>
    <w:tblStylePr w:type="firstCol">
      <w:rPr>
        <w:b/>
        <w:bCs/>
      </w:rPr>
    </w:tblStylePr>
    <w:tblStylePr w:type="lastCol">
      <w:rPr>
        <w:b/>
        <w:bCs/>
      </w:rPr>
    </w:tblStylePr>
    <w:tblStylePr w:type="band1Vert">
      <w:tblPr/>
      <w:tcPr>
        <w:shd w:val="clear" w:color="auto" w:fill="F5CFD7" w:themeFill="accent6" w:themeFillTint="33"/>
      </w:tcPr>
    </w:tblStylePr>
    <w:tblStylePr w:type="band1Horz">
      <w:tblPr/>
      <w:tcPr>
        <w:shd w:val="clear" w:color="auto" w:fill="F5CFD7" w:themeFill="accent6" w:themeFillTint="33"/>
      </w:tcPr>
    </w:tblStylePr>
  </w:style>
  <w:style w:type="table" w:styleId="ListTable5Dark">
    <w:name w:val="List Table 5 Dark"/>
    <w:basedOn w:val="TableNormal"/>
    <w:uiPriority w:val="50"/>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after="0"/>
    </w:pPr>
    <w:rPr>
      <w:color w:val="FFFFFF" w:themeColor="background1"/>
    </w:rPr>
    <w:tblPr>
      <w:tblStyleRowBandSize w:val="1"/>
      <w:tblStyleColBandSize w:val="1"/>
      <w:tblBorders>
        <w:top w:val="single" w:sz="24" w:space="0" w:color="02847D" w:themeColor="accent1"/>
        <w:left w:val="single" w:sz="24" w:space="0" w:color="02847D" w:themeColor="accent1"/>
        <w:bottom w:val="single" w:sz="24" w:space="0" w:color="02847D" w:themeColor="accent1"/>
        <w:right w:val="single" w:sz="24" w:space="0" w:color="02847D" w:themeColor="accent1"/>
      </w:tblBorders>
    </w:tblPr>
    <w:tcPr>
      <w:shd w:val="clear" w:color="auto" w:fill="0284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after="0"/>
    </w:pPr>
    <w:rPr>
      <w:color w:val="FFFFFF" w:themeColor="background1"/>
    </w:rPr>
    <w:tblPr>
      <w:tblStyleRowBandSize w:val="1"/>
      <w:tblStyleColBandSize w:val="1"/>
      <w:tblBorders>
        <w:top w:val="single" w:sz="24" w:space="0" w:color="F36E44" w:themeColor="accent2"/>
        <w:left w:val="single" w:sz="24" w:space="0" w:color="F36E44" w:themeColor="accent2"/>
        <w:bottom w:val="single" w:sz="24" w:space="0" w:color="F36E44" w:themeColor="accent2"/>
        <w:right w:val="single" w:sz="24" w:space="0" w:color="F36E44" w:themeColor="accent2"/>
      </w:tblBorders>
    </w:tblPr>
    <w:tcPr>
      <w:shd w:val="clear" w:color="auto" w:fill="F36E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after="0"/>
    </w:pPr>
    <w:rPr>
      <w:color w:val="FFFFFF" w:themeColor="background1"/>
    </w:rPr>
    <w:tblPr>
      <w:tblStyleRowBandSize w:val="1"/>
      <w:tblStyleColBandSize w:val="1"/>
      <w:tblBorders>
        <w:top w:val="single" w:sz="24" w:space="0" w:color="59BDB8" w:themeColor="accent3"/>
        <w:left w:val="single" w:sz="24" w:space="0" w:color="59BDB8" w:themeColor="accent3"/>
        <w:bottom w:val="single" w:sz="24" w:space="0" w:color="59BDB8" w:themeColor="accent3"/>
        <w:right w:val="single" w:sz="24" w:space="0" w:color="59BDB8" w:themeColor="accent3"/>
      </w:tblBorders>
    </w:tblPr>
    <w:tcPr>
      <w:shd w:val="clear" w:color="auto" w:fill="59BDB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after="0"/>
    </w:pPr>
    <w:rPr>
      <w:color w:val="FFFFFF" w:themeColor="background1"/>
    </w:rPr>
    <w:tblPr>
      <w:tblStyleRowBandSize w:val="1"/>
      <w:tblStyleColBandSize w:val="1"/>
      <w:tblBorders>
        <w:top w:val="single" w:sz="24" w:space="0" w:color="FDB933" w:themeColor="accent4"/>
        <w:left w:val="single" w:sz="24" w:space="0" w:color="FDB933" w:themeColor="accent4"/>
        <w:bottom w:val="single" w:sz="24" w:space="0" w:color="FDB933" w:themeColor="accent4"/>
        <w:right w:val="single" w:sz="24" w:space="0" w:color="FDB933" w:themeColor="accent4"/>
      </w:tblBorders>
    </w:tblPr>
    <w:tcPr>
      <w:shd w:val="clear" w:color="auto" w:fill="FDB93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after="0"/>
    </w:pPr>
    <w:rPr>
      <w:color w:val="FFFFFF" w:themeColor="background1"/>
    </w:rPr>
    <w:tblPr>
      <w:tblStyleRowBandSize w:val="1"/>
      <w:tblStyleColBandSize w:val="1"/>
      <w:tblBorders>
        <w:top w:val="single" w:sz="24" w:space="0" w:color="6CAD6C" w:themeColor="accent5"/>
        <w:left w:val="single" w:sz="24" w:space="0" w:color="6CAD6C" w:themeColor="accent5"/>
        <w:bottom w:val="single" w:sz="24" w:space="0" w:color="6CAD6C" w:themeColor="accent5"/>
        <w:right w:val="single" w:sz="24" w:space="0" w:color="6CAD6C" w:themeColor="accent5"/>
      </w:tblBorders>
    </w:tblPr>
    <w:tcPr>
      <w:shd w:val="clear" w:color="auto" w:fill="6CAD6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after="0"/>
    </w:pPr>
    <w:rPr>
      <w:color w:val="FFFFFF" w:themeColor="background1"/>
    </w:rPr>
    <w:tblPr>
      <w:tblStyleRowBandSize w:val="1"/>
      <w:tblStyleColBandSize w:val="1"/>
      <w:tblBorders>
        <w:top w:val="single" w:sz="24" w:space="0" w:color="BD2644" w:themeColor="accent6"/>
        <w:left w:val="single" w:sz="24" w:space="0" w:color="BD2644" w:themeColor="accent6"/>
        <w:bottom w:val="single" w:sz="24" w:space="0" w:color="BD2644" w:themeColor="accent6"/>
        <w:right w:val="single" w:sz="24" w:space="0" w:color="BD2644" w:themeColor="accent6"/>
      </w:tblBorders>
    </w:tblPr>
    <w:tcPr>
      <w:shd w:val="clear" w:color="auto" w:fill="BD2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pPr>
      <w:spacing w:after="0"/>
    </w:pPr>
    <w:rPr>
      <w:color w:val="01625D" w:themeColor="accent1" w:themeShade="BF"/>
    </w:rPr>
    <w:tblPr>
      <w:tblStyleRowBandSize w:val="1"/>
      <w:tblStyleColBandSize w:val="1"/>
      <w:tblBorders>
        <w:top w:val="single" w:sz="4" w:space="0" w:color="02847D" w:themeColor="accent1"/>
        <w:bottom w:val="single" w:sz="4" w:space="0" w:color="02847D" w:themeColor="accent1"/>
      </w:tblBorders>
    </w:tblPr>
    <w:tblStylePr w:type="firstRow">
      <w:rPr>
        <w:b/>
        <w:bCs/>
      </w:rPr>
      <w:tblPr/>
      <w:tcPr>
        <w:tcBorders>
          <w:bottom w:val="single" w:sz="4" w:space="0" w:color="02847D" w:themeColor="accent1"/>
        </w:tcBorders>
      </w:tcPr>
    </w:tblStylePr>
    <w:tblStylePr w:type="lastRow">
      <w:rPr>
        <w:b/>
        <w:bCs/>
      </w:rPr>
      <w:tblPr/>
      <w:tcPr>
        <w:tcBorders>
          <w:top w:val="double" w:sz="4" w:space="0" w:color="02847D" w:themeColor="accent1"/>
        </w:tcBorders>
      </w:tcPr>
    </w:tblStylePr>
    <w:tblStylePr w:type="firstCol">
      <w:rPr>
        <w:b/>
        <w:bCs/>
      </w:rPr>
    </w:tblStylePr>
    <w:tblStylePr w:type="lastCol">
      <w:rPr>
        <w:b/>
        <w:bCs/>
      </w:rPr>
    </w:tblStylePr>
    <w:tblStylePr w:type="band1Vert">
      <w:tblPr/>
      <w:tcPr>
        <w:shd w:val="clear" w:color="auto" w:fill="B4FEF9" w:themeFill="accent1" w:themeFillTint="33"/>
      </w:tcPr>
    </w:tblStylePr>
    <w:tblStylePr w:type="band1Horz">
      <w:tblPr/>
      <w:tcPr>
        <w:shd w:val="clear" w:color="auto" w:fill="B4FEF9" w:themeFill="accent1" w:themeFillTint="33"/>
      </w:tcPr>
    </w:tblStylePr>
  </w:style>
  <w:style w:type="table" w:styleId="ListTable6Colorful-Accent2">
    <w:name w:val="List Table 6 Colorful Accent 2"/>
    <w:basedOn w:val="TableNormal"/>
    <w:uiPriority w:val="51"/>
    <w:pPr>
      <w:spacing w:after="0"/>
    </w:pPr>
    <w:rPr>
      <w:color w:val="DA3F0E" w:themeColor="accent2" w:themeShade="BF"/>
    </w:rPr>
    <w:tblPr>
      <w:tblStyleRowBandSize w:val="1"/>
      <w:tblStyleColBandSize w:val="1"/>
      <w:tblBorders>
        <w:top w:val="single" w:sz="4" w:space="0" w:color="F36E44" w:themeColor="accent2"/>
        <w:bottom w:val="single" w:sz="4" w:space="0" w:color="F36E44" w:themeColor="accent2"/>
      </w:tblBorders>
    </w:tblPr>
    <w:tblStylePr w:type="firstRow">
      <w:rPr>
        <w:b/>
        <w:bCs/>
      </w:rPr>
      <w:tblPr/>
      <w:tcPr>
        <w:tcBorders>
          <w:bottom w:val="single" w:sz="4" w:space="0" w:color="F36E44" w:themeColor="accent2"/>
        </w:tcBorders>
      </w:tcPr>
    </w:tblStylePr>
    <w:tblStylePr w:type="lastRow">
      <w:rPr>
        <w:b/>
        <w:bCs/>
      </w:rPr>
      <w:tblPr/>
      <w:tcPr>
        <w:tcBorders>
          <w:top w:val="double" w:sz="4" w:space="0" w:color="F36E44" w:themeColor="accent2"/>
        </w:tcBorders>
      </w:tcPr>
    </w:tblStylePr>
    <w:tblStylePr w:type="firstCol">
      <w:rPr>
        <w:b/>
        <w:bCs/>
      </w:rPr>
    </w:tblStylePr>
    <w:tblStylePr w:type="lastCol">
      <w:rPr>
        <w:b/>
        <w:bCs/>
      </w:rPr>
    </w:tblStylePr>
    <w:tblStylePr w:type="band1Vert">
      <w:tblPr/>
      <w:tcPr>
        <w:shd w:val="clear" w:color="auto" w:fill="FCE1D9" w:themeFill="accent2" w:themeFillTint="33"/>
      </w:tcPr>
    </w:tblStylePr>
    <w:tblStylePr w:type="band1Horz">
      <w:tblPr/>
      <w:tcPr>
        <w:shd w:val="clear" w:color="auto" w:fill="FCE1D9" w:themeFill="accent2" w:themeFillTint="33"/>
      </w:tcPr>
    </w:tblStylePr>
  </w:style>
  <w:style w:type="table" w:styleId="ListTable6Colorful-Accent3">
    <w:name w:val="List Table 6 Colorful Accent 3"/>
    <w:basedOn w:val="TableNormal"/>
    <w:uiPriority w:val="51"/>
    <w:pPr>
      <w:spacing w:after="0"/>
    </w:pPr>
    <w:rPr>
      <w:color w:val="3B9490" w:themeColor="accent3" w:themeShade="BF"/>
    </w:rPr>
    <w:tblPr>
      <w:tblStyleRowBandSize w:val="1"/>
      <w:tblStyleColBandSize w:val="1"/>
      <w:tblBorders>
        <w:top w:val="single" w:sz="4" w:space="0" w:color="59BDB8" w:themeColor="accent3"/>
        <w:bottom w:val="single" w:sz="4" w:space="0" w:color="59BDB8" w:themeColor="accent3"/>
      </w:tblBorders>
    </w:tblPr>
    <w:tblStylePr w:type="firstRow">
      <w:rPr>
        <w:b/>
        <w:bCs/>
      </w:rPr>
      <w:tblPr/>
      <w:tcPr>
        <w:tcBorders>
          <w:bottom w:val="single" w:sz="4" w:space="0" w:color="59BDB8" w:themeColor="accent3"/>
        </w:tcBorders>
      </w:tcPr>
    </w:tblStylePr>
    <w:tblStylePr w:type="lastRow">
      <w:rPr>
        <w:b/>
        <w:bCs/>
      </w:rPr>
      <w:tblPr/>
      <w:tcPr>
        <w:tcBorders>
          <w:top w:val="double" w:sz="4" w:space="0" w:color="59BDB8" w:themeColor="accent3"/>
        </w:tcBorders>
      </w:tcPr>
    </w:tblStylePr>
    <w:tblStylePr w:type="firstCol">
      <w:rPr>
        <w:b/>
        <w:bCs/>
      </w:rPr>
    </w:tblStylePr>
    <w:tblStylePr w:type="lastCol">
      <w:rPr>
        <w:b/>
        <w:bCs/>
      </w:rPr>
    </w:tblStylePr>
    <w:tblStylePr w:type="band1Vert">
      <w:tblPr/>
      <w:tcPr>
        <w:shd w:val="clear" w:color="auto" w:fill="DDF1F0" w:themeFill="accent3" w:themeFillTint="33"/>
      </w:tcPr>
    </w:tblStylePr>
    <w:tblStylePr w:type="band1Horz">
      <w:tblPr/>
      <w:tcPr>
        <w:shd w:val="clear" w:color="auto" w:fill="DDF1F0" w:themeFill="accent3" w:themeFillTint="33"/>
      </w:tcPr>
    </w:tblStylePr>
  </w:style>
  <w:style w:type="table" w:styleId="ListTable6Colorful-Accent4">
    <w:name w:val="List Table 6 Colorful Accent 4"/>
    <w:basedOn w:val="TableNormal"/>
    <w:uiPriority w:val="51"/>
    <w:pPr>
      <w:spacing w:after="0"/>
    </w:pPr>
    <w:rPr>
      <w:color w:val="E19602" w:themeColor="accent4" w:themeShade="BF"/>
    </w:rPr>
    <w:tblPr>
      <w:tblStyleRowBandSize w:val="1"/>
      <w:tblStyleColBandSize w:val="1"/>
      <w:tblBorders>
        <w:top w:val="single" w:sz="4" w:space="0" w:color="FDB933" w:themeColor="accent4"/>
        <w:bottom w:val="single" w:sz="4" w:space="0" w:color="FDB933" w:themeColor="accent4"/>
      </w:tblBorders>
    </w:tblPr>
    <w:tblStylePr w:type="firstRow">
      <w:rPr>
        <w:b/>
        <w:bCs/>
      </w:rPr>
      <w:tblPr/>
      <w:tcPr>
        <w:tcBorders>
          <w:bottom w:val="single" w:sz="4" w:space="0" w:color="FDB933" w:themeColor="accent4"/>
        </w:tcBorders>
      </w:tcPr>
    </w:tblStylePr>
    <w:tblStylePr w:type="lastRow">
      <w:rPr>
        <w:b/>
        <w:bCs/>
      </w:rPr>
      <w:tblPr/>
      <w:tcPr>
        <w:tcBorders>
          <w:top w:val="double" w:sz="4" w:space="0" w:color="FDB933" w:themeColor="accent4"/>
        </w:tcBorders>
      </w:tcPr>
    </w:tblStylePr>
    <w:tblStylePr w:type="firstCol">
      <w:rPr>
        <w:b/>
        <w:bCs/>
      </w:rPr>
    </w:tblStylePr>
    <w:tblStylePr w:type="lastCol">
      <w:rPr>
        <w:b/>
        <w:bCs/>
      </w:rPr>
    </w:tblStylePr>
    <w:tblStylePr w:type="band1Vert">
      <w:tblPr/>
      <w:tcPr>
        <w:shd w:val="clear" w:color="auto" w:fill="FEF0D6" w:themeFill="accent4" w:themeFillTint="33"/>
      </w:tcPr>
    </w:tblStylePr>
    <w:tblStylePr w:type="band1Horz">
      <w:tblPr/>
      <w:tcPr>
        <w:shd w:val="clear" w:color="auto" w:fill="FEF0D6" w:themeFill="accent4" w:themeFillTint="33"/>
      </w:tcPr>
    </w:tblStylePr>
  </w:style>
  <w:style w:type="table" w:styleId="ListTable6Colorful-Accent5">
    <w:name w:val="List Table 6 Colorful Accent 5"/>
    <w:basedOn w:val="TableNormal"/>
    <w:uiPriority w:val="51"/>
    <w:pPr>
      <w:spacing w:after="0"/>
    </w:pPr>
    <w:rPr>
      <w:color w:val="4B864B" w:themeColor="accent5" w:themeShade="BF"/>
    </w:rPr>
    <w:tblPr>
      <w:tblStyleRowBandSize w:val="1"/>
      <w:tblStyleColBandSize w:val="1"/>
      <w:tblBorders>
        <w:top w:val="single" w:sz="4" w:space="0" w:color="6CAD6C" w:themeColor="accent5"/>
        <w:bottom w:val="single" w:sz="4" w:space="0" w:color="6CAD6C" w:themeColor="accent5"/>
      </w:tblBorders>
    </w:tblPr>
    <w:tblStylePr w:type="firstRow">
      <w:rPr>
        <w:b/>
        <w:bCs/>
      </w:rPr>
      <w:tblPr/>
      <w:tcPr>
        <w:tcBorders>
          <w:bottom w:val="single" w:sz="4" w:space="0" w:color="6CAD6C" w:themeColor="accent5"/>
        </w:tcBorders>
      </w:tcPr>
    </w:tblStylePr>
    <w:tblStylePr w:type="lastRow">
      <w:rPr>
        <w:b/>
        <w:bCs/>
      </w:rPr>
      <w:tblPr/>
      <w:tcPr>
        <w:tcBorders>
          <w:top w:val="double" w:sz="4" w:space="0" w:color="6CAD6C" w:themeColor="accent5"/>
        </w:tcBorders>
      </w:tcPr>
    </w:tblStylePr>
    <w:tblStylePr w:type="firstCol">
      <w:rPr>
        <w:b/>
        <w:bCs/>
      </w:rPr>
    </w:tblStylePr>
    <w:tblStylePr w:type="lastCol">
      <w:rPr>
        <w:b/>
        <w:bCs/>
      </w:rPr>
    </w:tblStylePr>
    <w:tblStylePr w:type="band1Vert">
      <w:tblPr/>
      <w:tcPr>
        <w:shd w:val="clear" w:color="auto" w:fill="E1EEE1" w:themeFill="accent5" w:themeFillTint="33"/>
      </w:tcPr>
    </w:tblStylePr>
    <w:tblStylePr w:type="band1Horz">
      <w:tblPr/>
      <w:tcPr>
        <w:shd w:val="clear" w:color="auto" w:fill="E1EEE1" w:themeFill="accent5" w:themeFillTint="33"/>
      </w:tcPr>
    </w:tblStylePr>
  </w:style>
  <w:style w:type="table" w:styleId="ListTable6Colorful-Accent6">
    <w:name w:val="List Table 6 Colorful Accent 6"/>
    <w:basedOn w:val="TableNormal"/>
    <w:uiPriority w:val="51"/>
    <w:pPr>
      <w:spacing w:after="0"/>
    </w:pPr>
    <w:rPr>
      <w:color w:val="8D1C32" w:themeColor="accent6" w:themeShade="BF"/>
    </w:rPr>
    <w:tblPr>
      <w:tblStyleRowBandSize w:val="1"/>
      <w:tblStyleColBandSize w:val="1"/>
      <w:tblBorders>
        <w:top w:val="single" w:sz="4" w:space="0" w:color="BD2644" w:themeColor="accent6"/>
        <w:bottom w:val="single" w:sz="4" w:space="0" w:color="BD2644" w:themeColor="accent6"/>
      </w:tblBorders>
    </w:tblPr>
    <w:tblStylePr w:type="firstRow">
      <w:rPr>
        <w:b/>
        <w:bCs/>
      </w:rPr>
      <w:tblPr/>
      <w:tcPr>
        <w:tcBorders>
          <w:bottom w:val="single" w:sz="4" w:space="0" w:color="BD2644" w:themeColor="accent6"/>
        </w:tcBorders>
      </w:tcPr>
    </w:tblStylePr>
    <w:tblStylePr w:type="lastRow">
      <w:rPr>
        <w:b/>
        <w:bCs/>
      </w:rPr>
      <w:tblPr/>
      <w:tcPr>
        <w:tcBorders>
          <w:top w:val="double" w:sz="4" w:space="0" w:color="BD2644" w:themeColor="accent6"/>
        </w:tcBorders>
      </w:tcPr>
    </w:tblStylePr>
    <w:tblStylePr w:type="firstCol">
      <w:rPr>
        <w:b/>
        <w:bCs/>
      </w:rPr>
    </w:tblStylePr>
    <w:tblStylePr w:type="lastCol">
      <w:rPr>
        <w:b/>
        <w:bCs/>
      </w:rPr>
    </w:tblStylePr>
    <w:tblStylePr w:type="band1Vert">
      <w:tblPr/>
      <w:tcPr>
        <w:shd w:val="clear" w:color="auto" w:fill="F5CFD7" w:themeFill="accent6" w:themeFillTint="33"/>
      </w:tcPr>
    </w:tblStylePr>
    <w:tblStylePr w:type="band1Horz">
      <w:tblPr/>
      <w:tcPr>
        <w:shd w:val="clear" w:color="auto" w:fill="F5CFD7" w:themeFill="accent6" w:themeFillTint="33"/>
      </w:tcPr>
    </w:tblStylePr>
  </w:style>
  <w:style w:type="table" w:styleId="ListTable7Colorful">
    <w:name w:val="List Table 7 Colorful"/>
    <w:basedOn w:val="TableNormal"/>
    <w:uiPriority w:val="5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pPr>
      <w:spacing w:after="0"/>
    </w:pPr>
    <w:rPr>
      <w:color w:val="01625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847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847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847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847D" w:themeColor="accent1"/>
        </w:tcBorders>
        <w:shd w:val="clear" w:color="auto" w:fill="FFFFFF" w:themeFill="background1"/>
      </w:tcPr>
    </w:tblStylePr>
    <w:tblStylePr w:type="band1Vert">
      <w:tblPr/>
      <w:tcPr>
        <w:shd w:val="clear" w:color="auto" w:fill="B4FEF9" w:themeFill="accent1" w:themeFillTint="33"/>
      </w:tcPr>
    </w:tblStylePr>
    <w:tblStylePr w:type="band1Horz">
      <w:tblPr/>
      <w:tcPr>
        <w:shd w:val="clear" w:color="auto" w:fill="B4F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pPr>
      <w:spacing w:after="0"/>
    </w:pPr>
    <w:rPr>
      <w:color w:val="DA3F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6E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6E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6E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6E44" w:themeColor="accent2"/>
        </w:tcBorders>
        <w:shd w:val="clear" w:color="auto" w:fill="FFFFFF" w:themeFill="background1"/>
      </w:tcPr>
    </w:tblStylePr>
    <w:tblStylePr w:type="band1Vert">
      <w:tblPr/>
      <w:tcPr>
        <w:shd w:val="clear" w:color="auto" w:fill="FCE1D9" w:themeFill="accent2" w:themeFillTint="33"/>
      </w:tcPr>
    </w:tblStylePr>
    <w:tblStylePr w:type="band1Horz">
      <w:tblPr/>
      <w:tcPr>
        <w:shd w:val="clear" w:color="auto" w:fill="FCE1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after="0"/>
    </w:pPr>
    <w:rPr>
      <w:color w:val="3B949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DB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DB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DB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DB8" w:themeColor="accent3"/>
        </w:tcBorders>
        <w:shd w:val="clear" w:color="auto" w:fill="FFFFFF" w:themeFill="background1"/>
      </w:tcPr>
    </w:tblStylePr>
    <w:tblStylePr w:type="band1Vert">
      <w:tblPr/>
      <w:tcPr>
        <w:shd w:val="clear" w:color="auto" w:fill="DDF1F0" w:themeFill="accent3" w:themeFillTint="33"/>
      </w:tcPr>
    </w:tblStylePr>
    <w:tblStylePr w:type="band1Horz">
      <w:tblPr/>
      <w:tcPr>
        <w:shd w:val="clear" w:color="auto" w:fill="DDF1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pPr>
      <w:spacing w:after="0"/>
    </w:pPr>
    <w:rPr>
      <w:color w:val="E1960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B93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B93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B93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B933" w:themeColor="accent4"/>
        </w:tcBorders>
        <w:shd w:val="clear" w:color="auto" w:fill="FFFFFF" w:themeFill="background1"/>
      </w:tcPr>
    </w:tblStylePr>
    <w:tblStylePr w:type="band1Vert">
      <w:tblPr/>
      <w:tcPr>
        <w:shd w:val="clear" w:color="auto" w:fill="FEF0D6" w:themeFill="accent4" w:themeFillTint="33"/>
      </w:tcPr>
    </w:tblStylePr>
    <w:tblStylePr w:type="band1Horz">
      <w:tblPr/>
      <w:tcPr>
        <w:shd w:val="clear" w:color="auto" w:fill="FEF0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pPr>
      <w:spacing w:after="0"/>
    </w:pPr>
    <w:rPr>
      <w:color w:val="4B864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AD6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AD6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AD6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AD6C" w:themeColor="accent5"/>
        </w:tcBorders>
        <w:shd w:val="clear" w:color="auto" w:fill="FFFFFF" w:themeFill="background1"/>
      </w:tcPr>
    </w:tblStylePr>
    <w:tblStylePr w:type="band1Vert">
      <w:tblPr/>
      <w:tcPr>
        <w:shd w:val="clear" w:color="auto" w:fill="E1EEE1" w:themeFill="accent5" w:themeFillTint="33"/>
      </w:tcPr>
    </w:tblStylePr>
    <w:tblStylePr w:type="band1Horz">
      <w:tblPr/>
      <w:tcPr>
        <w:shd w:val="clear" w:color="auto" w:fill="E1EE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pPr>
      <w:spacing w:after="0"/>
    </w:pPr>
    <w:rPr>
      <w:color w:val="8D1C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2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2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2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2644" w:themeColor="accent6"/>
        </w:tcBorders>
        <w:shd w:val="clear" w:color="auto" w:fill="FFFFFF" w:themeFill="background1"/>
      </w:tcPr>
    </w:tblStylePr>
    <w:tblStylePr w:type="band1Vert">
      <w:tblPr/>
      <w:tcPr>
        <w:shd w:val="clear" w:color="auto" w:fill="F5CFD7" w:themeFill="accent6" w:themeFillTint="33"/>
      </w:tcPr>
    </w:tblStylePr>
    <w:tblStylePr w:type="band1Horz">
      <w:tblPr/>
      <w:tcPr>
        <w:shd w:val="clear" w:color="auto" w:fill="F5CFD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after="0"/>
    </w:pPr>
    <w:tblPr>
      <w:tblStyleRowBandSize w:val="1"/>
      <w:tblStyleColBandSize w:val="1"/>
      <w:tblBorders>
        <w:top w:val="single" w:sz="8" w:space="0" w:color="03E0D4" w:themeColor="accent1" w:themeTint="BF"/>
        <w:left w:val="single" w:sz="8" w:space="0" w:color="03E0D4" w:themeColor="accent1" w:themeTint="BF"/>
        <w:bottom w:val="single" w:sz="8" w:space="0" w:color="03E0D4" w:themeColor="accent1" w:themeTint="BF"/>
        <w:right w:val="single" w:sz="8" w:space="0" w:color="03E0D4" w:themeColor="accent1" w:themeTint="BF"/>
        <w:insideH w:val="single" w:sz="8" w:space="0" w:color="03E0D4" w:themeColor="accent1" w:themeTint="BF"/>
        <w:insideV w:val="single" w:sz="8" w:space="0" w:color="03E0D4" w:themeColor="accent1" w:themeTint="BF"/>
      </w:tblBorders>
    </w:tblPr>
    <w:tcPr>
      <w:shd w:val="clear" w:color="auto" w:fill="A3FDF8" w:themeFill="accent1" w:themeFillTint="3F"/>
    </w:tcPr>
    <w:tblStylePr w:type="firstRow">
      <w:rPr>
        <w:b/>
        <w:bCs/>
      </w:rPr>
    </w:tblStylePr>
    <w:tblStylePr w:type="lastRow">
      <w:rPr>
        <w:b/>
        <w:bCs/>
      </w:rPr>
      <w:tblPr/>
      <w:tcPr>
        <w:tcBorders>
          <w:top w:val="single" w:sz="18" w:space="0" w:color="03E0D4" w:themeColor="accent1" w:themeTint="BF"/>
        </w:tcBorders>
      </w:tcPr>
    </w:tblStylePr>
    <w:tblStylePr w:type="firstCol">
      <w:rPr>
        <w:b/>
        <w:bCs/>
      </w:rPr>
    </w:tblStylePr>
    <w:tblStylePr w:type="lastCol">
      <w:rPr>
        <w:b/>
        <w:bCs/>
      </w:rPr>
    </w:tblStylePr>
    <w:tblStylePr w:type="band1Vert">
      <w:tblPr/>
      <w:tcPr>
        <w:shd w:val="clear" w:color="auto" w:fill="46FCF2" w:themeFill="accent1" w:themeFillTint="7F"/>
      </w:tcPr>
    </w:tblStylePr>
    <w:tblStylePr w:type="band1Horz">
      <w:tblPr/>
      <w:tcPr>
        <w:shd w:val="clear" w:color="auto" w:fill="46FCF2" w:themeFill="accent1" w:themeFillTint="7F"/>
      </w:tcPr>
    </w:tblStylePr>
  </w:style>
  <w:style w:type="table" w:styleId="MediumGrid1-Accent2">
    <w:name w:val="Medium Grid 1 Accent 2"/>
    <w:basedOn w:val="TableNormal"/>
    <w:uiPriority w:val="67"/>
    <w:semiHidden/>
    <w:unhideWhenUsed/>
    <w:pPr>
      <w:spacing w:before="0" w:after="0"/>
    </w:pPr>
    <w:tblPr>
      <w:tblStyleRowBandSize w:val="1"/>
      <w:tblStyleColBandSize w:val="1"/>
      <w:tblBorders>
        <w:top w:val="single" w:sz="8" w:space="0" w:color="F69272" w:themeColor="accent2" w:themeTint="BF"/>
        <w:left w:val="single" w:sz="8" w:space="0" w:color="F69272" w:themeColor="accent2" w:themeTint="BF"/>
        <w:bottom w:val="single" w:sz="8" w:space="0" w:color="F69272" w:themeColor="accent2" w:themeTint="BF"/>
        <w:right w:val="single" w:sz="8" w:space="0" w:color="F69272" w:themeColor="accent2" w:themeTint="BF"/>
        <w:insideH w:val="single" w:sz="8" w:space="0" w:color="F69272" w:themeColor="accent2" w:themeTint="BF"/>
        <w:insideV w:val="single" w:sz="8" w:space="0" w:color="F69272" w:themeColor="accent2" w:themeTint="BF"/>
      </w:tblBorders>
    </w:tblPr>
    <w:tcPr>
      <w:shd w:val="clear" w:color="auto" w:fill="FCDAD0" w:themeFill="accent2" w:themeFillTint="3F"/>
    </w:tcPr>
    <w:tblStylePr w:type="firstRow">
      <w:rPr>
        <w:b/>
        <w:bCs/>
      </w:rPr>
    </w:tblStylePr>
    <w:tblStylePr w:type="lastRow">
      <w:rPr>
        <w:b/>
        <w:bCs/>
      </w:rPr>
      <w:tblPr/>
      <w:tcPr>
        <w:tcBorders>
          <w:top w:val="single" w:sz="18" w:space="0" w:color="F69272" w:themeColor="accent2" w:themeTint="BF"/>
        </w:tcBorders>
      </w:tcPr>
    </w:tblStylePr>
    <w:tblStylePr w:type="firstCol">
      <w:rPr>
        <w:b/>
        <w:bCs/>
      </w:rPr>
    </w:tblStylePr>
    <w:tblStylePr w:type="lastCol">
      <w:rPr>
        <w:b/>
        <w:bCs/>
      </w:rPr>
    </w:tblStylePr>
    <w:tblStylePr w:type="band1Vert">
      <w:tblPr/>
      <w:tcPr>
        <w:shd w:val="clear" w:color="auto" w:fill="F9B6A1" w:themeFill="accent2" w:themeFillTint="7F"/>
      </w:tcPr>
    </w:tblStylePr>
    <w:tblStylePr w:type="band1Horz">
      <w:tblPr/>
      <w:tcPr>
        <w:shd w:val="clear" w:color="auto" w:fill="F9B6A1" w:themeFill="accent2" w:themeFillTint="7F"/>
      </w:tcPr>
    </w:tblStylePr>
  </w:style>
  <w:style w:type="table" w:styleId="MediumGrid1-Accent3">
    <w:name w:val="Medium Grid 1 Accent 3"/>
    <w:basedOn w:val="TableNormal"/>
    <w:uiPriority w:val="67"/>
    <w:semiHidden/>
    <w:unhideWhenUsed/>
    <w:pPr>
      <w:spacing w:before="0" w:after="0"/>
    </w:pPr>
    <w:tblPr>
      <w:tblStyleRowBandSize w:val="1"/>
      <w:tblStyleColBandSize w:val="1"/>
      <w:tblBorders>
        <w:top w:val="single" w:sz="8" w:space="0" w:color="82CDC9" w:themeColor="accent3" w:themeTint="BF"/>
        <w:left w:val="single" w:sz="8" w:space="0" w:color="82CDC9" w:themeColor="accent3" w:themeTint="BF"/>
        <w:bottom w:val="single" w:sz="8" w:space="0" w:color="82CDC9" w:themeColor="accent3" w:themeTint="BF"/>
        <w:right w:val="single" w:sz="8" w:space="0" w:color="82CDC9" w:themeColor="accent3" w:themeTint="BF"/>
        <w:insideH w:val="single" w:sz="8" w:space="0" w:color="82CDC9" w:themeColor="accent3" w:themeTint="BF"/>
        <w:insideV w:val="single" w:sz="8" w:space="0" w:color="82CDC9" w:themeColor="accent3" w:themeTint="BF"/>
      </w:tblBorders>
    </w:tblPr>
    <w:tcPr>
      <w:shd w:val="clear" w:color="auto" w:fill="D5EEED" w:themeFill="accent3" w:themeFillTint="3F"/>
    </w:tcPr>
    <w:tblStylePr w:type="firstRow">
      <w:rPr>
        <w:b/>
        <w:bCs/>
      </w:rPr>
    </w:tblStylePr>
    <w:tblStylePr w:type="lastRow">
      <w:rPr>
        <w:b/>
        <w:bCs/>
      </w:rPr>
      <w:tblPr/>
      <w:tcPr>
        <w:tcBorders>
          <w:top w:val="single" w:sz="18" w:space="0" w:color="82CDC9" w:themeColor="accent3" w:themeTint="BF"/>
        </w:tcBorders>
      </w:tcPr>
    </w:tblStylePr>
    <w:tblStylePr w:type="firstCol">
      <w:rPr>
        <w:b/>
        <w:bCs/>
      </w:rPr>
    </w:tblStylePr>
    <w:tblStylePr w:type="lastCol">
      <w:rPr>
        <w:b/>
        <w:bCs/>
      </w:rPr>
    </w:tblStylePr>
    <w:tblStylePr w:type="band1Vert">
      <w:tblPr/>
      <w:tcPr>
        <w:shd w:val="clear" w:color="auto" w:fill="ACDEDB" w:themeFill="accent3" w:themeFillTint="7F"/>
      </w:tcPr>
    </w:tblStylePr>
    <w:tblStylePr w:type="band1Horz">
      <w:tblPr/>
      <w:tcPr>
        <w:shd w:val="clear" w:color="auto" w:fill="ACDEDB" w:themeFill="accent3" w:themeFillTint="7F"/>
      </w:tcPr>
    </w:tblStylePr>
  </w:style>
  <w:style w:type="table" w:styleId="MediumGrid1-Accent4">
    <w:name w:val="Medium Grid 1 Accent 4"/>
    <w:basedOn w:val="TableNormal"/>
    <w:uiPriority w:val="67"/>
    <w:semiHidden/>
    <w:unhideWhenUsed/>
    <w:pPr>
      <w:spacing w:before="0" w:after="0"/>
    </w:pPr>
    <w:tblPr>
      <w:tblStyleRowBandSize w:val="1"/>
      <w:tblStyleColBandSize w:val="1"/>
      <w:tblBorders>
        <w:top w:val="single" w:sz="8" w:space="0" w:color="FDCA66" w:themeColor="accent4" w:themeTint="BF"/>
        <w:left w:val="single" w:sz="8" w:space="0" w:color="FDCA66" w:themeColor="accent4" w:themeTint="BF"/>
        <w:bottom w:val="single" w:sz="8" w:space="0" w:color="FDCA66" w:themeColor="accent4" w:themeTint="BF"/>
        <w:right w:val="single" w:sz="8" w:space="0" w:color="FDCA66" w:themeColor="accent4" w:themeTint="BF"/>
        <w:insideH w:val="single" w:sz="8" w:space="0" w:color="FDCA66" w:themeColor="accent4" w:themeTint="BF"/>
        <w:insideV w:val="single" w:sz="8" w:space="0" w:color="FDCA66" w:themeColor="accent4" w:themeTint="BF"/>
      </w:tblBorders>
    </w:tblPr>
    <w:tcPr>
      <w:shd w:val="clear" w:color="auto" w:fill="FEEDCC" w:themeFill="accent4" w:themeFillTint="3F"/>
    </w:tcPr>
    <w:tblStylePr w:type="firstRow">
      <w:rPr>
        <w:b/>
        <w:bCs/>
      </w:rPr>
    </w:tblStylePr>
    <w:tblStylePr w:type="lastRow">
      <w:rPr>
        <w:b/>
        <w:bCs/>
      </w:rPr>
      <w:tblPr/>
      <w:tcPr>
        <w:tcBorders>
          <w:top w:val="single" w:sz="18" w:space="0" w:color="FDCA66" w:themeColor="accent4" w:themeTint="BF"/>
        </w:tcBorders>
      </w:tcPr>
    </w:tblStylePr>
    <w:tblStylePr w:type="firstCol">
      <w:rPr>
        <w:b/>
        <w:bCs/>
      </w:rPr>
    </w:tblStylePr>
    <w:tblStylePr w:type="lastCol">
      <w:rPr>
        <w:b/>
        <w:bCs/>
      </w:rPr>
    </w:tblStylePr>
    <w:tblStylePr w:type="band1Vert">
      <w:tblPr/>
      <w:tcPr>
        <w:shd w:val="clear" w:color="auto" w:fill="FEDC99" w:themeFill="accent4" w:themeFillTint="7F"/>
      </w:tcPr>
    </w:tblStylePr>
    <w:tblStylePr w:type="band1Horz">
      <w:tblPr/>
      <w:tcPr>
        <w:shd w:val="clear" w:color="auto" w:fill="FEDC99" w:themeFill="accent4" w:themeFillTint="7F"/>
      </w:tcPr>
    </w:tblStylePr>
  </w:style>
  <w:style w:type="table" w:styleId="MediumGrid1-Accent5">
    <w:name w:val="Medium Grid 1 Accent 5"/>
    <w:basedOn w:val="TableNormal"/>
    <w:uiPriority w:val="67"/>
    <w:semiHidden/>
    <w:unhideWhenUsed/>
    <w:pPr>
      <w:spacing w:before="0" w:after="0"/>
    </w:pPr>
    <w:tblPr>
      <w:tblStyleRowBandSize w:val="1"/>
      <w:tblStyleColBandSize w:val="1"/>
      <w:tblBorders>
        <w:top w:val="single" w:sz="8" w:space="0" w:color="90C190" w:themeColor="accent5" w:themeTint="BF"/>
        <w:left w:val="single" w:sz="8" w:space="0" w:color="90C190" w:themeColor="accent5" w:themeTint="BF"/>
        <w:bottom w:val="single" w:sz="8" w:space="0" w:color="90C190" w:themeColor="accent5" w:themeTint="BF"/>
        <w:right w:val="single" w:sz="8" w:space="0" w:color="90C190" w:themeColor="accent5" w:themeTint="BF"/>
        <w:insideH w:val="single" w:sz="8" w:space="0" w:color="90C190" w:themeColor="accent5" w:themeTint="BF"/>
        <w:insideV w:val="single" w:sz="8" w:space="0" w:color="90C190" w:themeColor="accent5" w:themeTint="BF"/>
      </w:tblBorders>
    </w:tblPr>
    <w:tcPr>
      <w:shd w:val="clear" w:color="auto" w:fill="DAEADA" w:themeFill="accent5" w:themeFillTint="3F"/>
    </w:tcPr>
    <w:tblStylePr w:type="firstRow">
      <w:rPr>
        <w:b/>
        <w:bCs/>
      </w:rPr>
    </w:tblStylePr>
    <w:tblStylePr w:type="lastRow">
      <w:rPr>
        <w:b/>
        <w:bCs/>
      </w:rPr>
      <w:tblPr/>
      <w:tcPr>
        <w:tcBorders>
          <w:top w:val="single" w:sz="18" w:space="0" w:color="90C190" w:themeColor="accent5" w:themeTint="BF"/>
        </w:tcBorders>
      </w:tcPr>
    </w:tblStylePr>
    <w:tblStylePr w:type="firstCol">
      <w:rPr>
        <w:b/>
        <w:bCs/>
      </w:rPr>
    </w:tblStylePr>
    <w:tblStylePr w:type="lastCol">
      <w:rPr>
        <w:b/>
        <w:bCs/>
      </w:rPr>
    </w:tblStylePr>
    <w:tblStylePr w:type="band1Vert">
      <w:tblPr/>
      <w:tcPr>
        <w:shd w:val="clear" w:color="auto" w:fill="B5D6B5" w:themeFill="accent5" w:themeFillTint="7F"/>
      </w:tcPr>
    </w:tblStylePr>
    <w:tblStylePr w:type="band1Horz">
      <w:tblPr/>
      <w:tcPr>
        <w:shd w:val="clear" w:color="auto" w:fill="B5D6B5" w:themeFill="accent5" w:themeFillTint="7F"/>
      </w:tcPr>
    </w:tblStylePr>
  </w:style>
  <w:style w:type="table" w:styleId="MediumGrid1-Accent6">
    <w:name w:val="Medium Grid 1 Accent 6"/>
    <w:basedOn w:val="TableNormal"/>
    <w:uiPriority w:val="67"/>
    <w:semiHidden/>
    <w:unhideWhenUsed/>
    <w:pPr>
      <w:spacing w:before="0" w:after="0"/>
    </w:pPr>
    <w:tblPr>
      <w:tblStyleRowBandSize w:val="1"/>
      <w:tblStyleColBandSize w:val="1"/>
      <w:tblBorders>
        <w:top w:val="single" w:sz="8" w:space="0" w:color="DB4E6A" w:themeColor="accent6" w:themeTint="BF"/>
        <w:left w:val="single" w:sz="8" w:space="0" w:color="DB4E6A" w:themeColor="accent6" w:themeTint="BF"/>
        <w:bottom w:val="single" w:sz="8" w:space="0" w:color="DB4E6A" w:themeColor="accent6" w:themeTint="BF"/>
        <w:right w:val="single" w:sz="8" w:space="0" w:color="DB4E6A" w:themeColor="accent6" w:themeTint="BF"/>
        <w:insideH w:val="single" w:sz="8" w:space="0" w:color="DB4E6A" w:themeColor="accent6" w:themeTint="BF"/>
        <w:insideV w:val="single" w:sz="8" w:space="0" w:color="DB4E6A" w:themeColor="accent6" w:themeTint="BF"/>
      </w:tblBorders>
    </w:tblPr>
    <w:tcPr>
      <w:shd w:val="clear" w:color="auto" w:fill="F3C4CD" w:themeFill="accent6" w:themeFillTint="3F"/>
    </w:tcPr>
    <w:tblStylePr w:type="firstRow">
      <w:rPr>
        <w:b/>
        <w:bCs/>
      </w:rPr>
    </w:tblStylePr>
    <w:tblStylePr w:type="lastRow">
      <w:rPr>
        <w:b/>
        <w:bCs/>
      </w:rPr>
      <w:tblPr/>
      <w:tcPr>
        <w:tcBorders>
          <w:top w:val="single" w:sz="18" w:space="0" w:color="DB4E6A" w:themeColor="accent6" w:themeTint="BF"/>
        </w:tcBorders>
      </w:tcPr>
    </w:tblStylePr>
    <w:tblStylePr w:type="firstCol">
      <w:rPr>
        <w:b/>
        <w:bCs/>
      </w:rPr>
    </w:tblStylePr>
    <w:tblStylePr w:type="lastCol">
      <w:rPr>
        <w:b/>
        <w:bCs/>
      </w:rPr>
    </w:tblStylePr>
    <w:tblStylePr w:type="band1Vert">
      <w:tblPr/>
      <w:tcPr>
        <w:shd w:val="clear" w:color="auto" w:fill="E7899B" w:themeFill="accent6" w:themeFillTint="7F"/>
      </w:tcPr>
    </w:tblStylePr>
    <w:tblStylePr w:type="band1Horz">
      <w:tblPr/>
      <w:tcPr>
        <w:shd w:val="clear" w:color="auto" w:fill="E7899B" w:themeFill="accent6" w:themeFillTint="7F"/>
      </w:tcPr>
    </w:tblStylePr>
  </w:style>
  <w:style w:type="table" w:styleId="MediumGrid2">
    <w:name w:val="Medium Grid 2"/>
    <w:basedOn w:val="TableNormal"/>
    <w:uiPriority w:val="68"/>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2847D" w:themeColor="accent1"/>
        <w:left w:val="single" w:sz="8" w:space="0" w:color="02847D" w:themeColor="accent1"/>
        <w:bottom w:val="single" w:sz="8" w:space="0" w:color="02847D" w:themeColor="accent1"/>
        <w:right w:val="single" w:sz="8" w:space="0" w:color="02847D" w:themeColor="accent1"/>
        <w:insideH w:val="single" w:sz="8" w:space="0" w:color="02847D" w:themeColor="accent1"/>
        <w:insideV w:val="single" w:sz="8" w:space="0" w:color="02847D" w:themeColor="accent1"/>
      </w:tblBorders>
    </w:tblPr>
    <w:tcPr>
      <w:shd w:val="clear" w:color="auto" w:fill="A3FDF8" w:themeFill="accent1" w:themeFillTint="3F"/>
    </w:tcPr>
    <w:tblStylePr w:type="firstRow">
      <w:rPr>
        <w:b/>
        <w:bCs/>
        <w:color w:val="000000" w:themeColor="text1"/>
      </w:rPr>
      <w:tblPr/>
      <w:tcPr>
        <w:shd w:val="clear" w:color="auto" w:fill="DAFE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EF9" w:themeFill="accent1" w:themeFillTint="33"/>
      </w:tcPr>
    </w:tblStylePr>
    <w:tblStylePr w:type="band1Vert">
      <w:tblPr/>
      <w:tcPr>
        <w:shd w:val="clear" w:color="auto" w:fill="46FCF2" w:themeFill="accent1" w:themeFillTint="7F"/>
      </w:tcPr>
    </w:tblStylePr>
    <w:tblStylePr w:type="band1Horz">
      <w:tblPr/>
      <w:tcPr>
        <w:tcBorders>
          <w:insideH w:val="single" w:sz="6" w:space="0" w:color="02847D" w:themeColor="accent1"/>
          <w:insideV w:val="single" w:sz="6" w:space="0" w:color="02847D" w:themeColor="accent1"/>
        </w:tcBorders>
        <w:shd w:val="clear" w:color="auto" w:fill="46FCF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6E44" w:themeColor="accent2"/>
        <w:left w:val="single" w:sz="8" w:space="0" w:color="F36E44" w:themeColor="accent2"/>
        <w:bottom w:val="single" w:sz="8" w:space="0" w:color="F36E44" w:themeColor="accent2"/>
        <w:right w:val="single" w:sz="8" w:space="0" w:color="F36E44" w:themeColor="accent2"/>
        <w:insideH w:val="single" w:sz="8" w:space="0" w:color="F36E44" w:themeColor="accent2"/>
        <w:insideV w:val="single" w:sz="8" w:space="0" w:color="F36E44" w:themeColor="accent2"/>
      </w:tblBorders>
    </w:tblPr>
    <w:tcPr>
      <w:shd w:val="clear" w:color="auto" w:fill="FCDAD0" w:themeFill="accent2" w:themeFillTint="3F"/>
    </w:tcPr>
    <w:tblStylePr w:type="firstRow">
      <w:rPr>
        <w:b/>
        <w:bCs/>
        <w:color w:val="000000" w:themeColor="text1"/>
      </w:rPr>
      <w:tblPr/>
      <w:tcPr>
        <w:shd w:val="clear" w:color="auto" w:fill="FDF0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1D9" w:themeFill="accent2" w:themeFillTint="33"/>
      </w:tcPr>
    </w:tblStylePr>
    <w:tblStylePr w:type="band1Vert">
      <w:tblPr/>
      <w:tcPr>
        <w:shd w:val="clear" w:color="auto" w:fill="F9B6A1" w:themeFill="accent2" w:themeFillTint="7F"/>
      </w:tcPr>
    </w:tblStylePr>
    <w:tblStylePr w:type="band1Horz">
      <w:tblPr/>
      <w:tcPr>
        <w:tcBorders>
          <w:insideH w:val="single" w:sz="6" w:space="0" w:color="F36E44" w:themeColor="accent2"/>
          <w:insideV w:val="single" w:sz="6" w:space="0" w:color="F36E44" w:themeColor="accent2"/>
        </w:tcBorders>
        <w:shd w:val="clear" w:color="auto" w:fill="F9B6A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9BDB8" w:themeColor="accent3"/>
        <w:left w:val="single" w:sz="8" w:space="0" w:color="59BDB8" w:themeColor="accent3"/>
        <w:bottom w:val="single" w:sz="8" w:space="0" w:color="59BDB8" w:themeColor="accent3"/>
        <w:right w:val="single" w:sz="8" w:space="0" w:color="59BDB8" w:themeColor="accent3"/>
        <w:insideH w:val="single" w:sz="8" w:space="0" w:color="59BDB8" w:themeColor="accent3"/>
        <w:insideV w:val="single" w:sz="8" w:space="0" w:color="59BDB8" w:themeColor="accent3"/>
      </w:tblBorders>
    </w:tblPr>
    <w:tcPr>
      <w:shd w:val="clear" w:color="auto" w:fill="D5EEED" w:themeFill="accent3" w:themeFillTint="3F"/>
    </w:tcPr>
    <w:tblStylePr w:type="firstRow">
      <w:rPr>
        <w:b/>
        <w:bCs/>
        <w:color w:val="000000" w:themeColor="text1"/>
      </w:rPr>
      <w:tblPr/>
      <w:tcPr>
        <w:shd w:val="clear" w:color="auto" w:fill="EEF8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F0" w:themeFill="accent3" w:themeFillTint="33"/>
      </w:tcPr>
    </w:tblStylePr>
    <w:tblStylePr w:type="band1Vert">
      <w:tblPr/>
      <w:tcPr>
        <w:shd w:val="clear" w:color="auto" w:fill="ACDEDB" w:themeFill="accent3" w:themeFillTint="7F"/>
      </w:tcPr>
    </w:tblStylePr>
    <w:tblStylePr w:type="band1Horz">
      <w:tblPr/>
      <w:tcPr>
        <w:tcBorders>
          <w:insideH w:val="single" w:sz="6" w:space="0" w:color="59BDB8" w:themeColor="accent3"/>
          <w:insideV w:val="single" w:sz="6" w:space="0" w:color="59BDB8" w:themeColor="accent3"/>
        </w:tcBorders>
        <w:shd w:val="clear" w:color="auto" w:fill="ACDED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DB933" w:themeColor="accent4"/>
        <w:left w:val="single" w:sz="8" w:space="0" w:color="FDB933" w:themeColor="accent4"/>
        <w:bottom w:val="single" w:sz="8" w:space="0" w:color="FDB933" w:themeColor="accent4"/>
        <w:right w:val="single" w:sz="8" w:space="0" w:color="FDB933" w:themeColor="accent4"/>
        <w:insideH w:val="single" w:sz="8" w:space="0" w:color="FDB933" w:themeColor="accent4"/>
        <w:insideV w:val="single" w:sz="8" w:space="0" w:color="FDB933" w:themeColor="accent4"/>
      </w:tblBorders>
    </w:tblPr>
    <w:tcPr>
      <w:shd w:val="clear" w:color="auto" w:fill="FEEDCC" w:themeFill="accent4" w:themeFillTint="3F"/>
    </w:tcPr>
    <w:tblStylePr w:type="firstRow">
      <w:rPr>
        <w:b/>
        <w:bCs/>
        <w:color w:val="000000" w:themeColor="text1"/>
      </w:rPr>
      <w:tblPr/>
      <w:tcPr>
        <w:shd w:val="clear" w:color="auto" w:fill="FEF8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D6" w:themeFill="accent4" w:themeFillTint="33"/>
      </w:tcPr>
    </w:tblStylePr>
    <w:tblStylePr w:type="band1Vert">
      <w:tblPr/>
      <w:tcPr>
        <w:shd w:val="clear" w:color="auto" w:fill="FEDC99" w:themeFill="accent4" w:themeFillTint="7F"/>
      </w:tcPr>
    </w:tblStylePr>
    <w:tblStylePr w:type="band1Horz">
      <w:tblPr/>
      <w:tcPr>
        <w:tcBorders>
          <w:insideH w:val="single" w:sz="6" w:space="0" w:color="FDB933" w:themeColor="accent4"/>
          <w:insideV w:val="single" w:sz="6" w:space="0" w:color="FDB933" w:themeColor="accent4"/>
        </w:tcBorders>
        <w:shd w:val="clear" w:color="auto" w:fill="FEDC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AD6C" w:themeColor="accent5"/>
        <w:left w:val="single" w:sz="8" w:space="0" w:color="6CAD6C" w:themeColor="accent5"/>
        <w:bottom w:val="single" w:sz="8" w:space="0" w:color="6CAD6C" w:themeColor="accent5"/>
        <w:right w:val="single" w:sz="8" w:space="0" w:color="6CAD6C" w:themeColor="accent5"/>
        <w:insideH w:val="single" w:sz="8" w:space="0" w:color="6CAD6C" w:themeColor="accent5"/>
        <w:insideV w:val="single" w:sz="8" w:space="0" w:color="6CAD6C" w:themeColor="accent5"/>
      </w:tblBorders>
    </w:tblPr>
    <w:tcPr>
      <w:shd w:val="clear" w:color="auto" w:fill="DAEADA" w:themeFill="accent5" w:themeFillTint="3F"/>
    </w:tcPr>
    <w:tblStylePr w:type="firstRow">
      <w:rPr>
        <w:b/>
        <w:bCs/>
        <w:color w:val="000000" w:themeColor="text1"/>
      </w:rPr>
      <w:tblPr/>
      <w:tcPr>
        <w:shd w:val="clear" w:color="auto" w:fill="F0F7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EE1" w:themeFill="accent5" w:themeFillTint="33"/>
      </w:tcPr>
    </w:tblStylePr>
    <w:tblStylePr w:type="band1Vert">
      <w:tblPr/>
      <w:tcPr>
        <w:shd w:val="clear" w:color="auto" w:fill="B5D6B5" w:themeFill="accent5" w:themeFillTint="7F"/>
      </w:tcPr>
    </w:tblStylePr>
    <w:tblStylePr w:type="band1Horz">
      <w:tblPr/>
      <w:tcPr>
        <w:tcBorders>
          <w:insideH w:val="single" w:sz="6" w:space="0" w:color="6CAD6C" w:themeColor="accent5"/>
          <w:insideV w:val="single" w:sz="6" w:space="0" w:color="6CAD6C" w:themeColor="accent5"/>
        </w:tcBorders>
        <w:shd w:val="clear" w:color="auto" w:fill="B5D6B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D2644" w:themeColor="accent6"/>
        <w:left w:val="single" w:sz="8" w:space="0" w:color="BD2644" w:themeColor="accent6"/>
        <w:bottom w:val="single" w:sz="8" w:space="0" w:color="BD2644" w:themeColor="accent6"/>
        <w:right w:val="single" w:sz="8" w:space="0" w:color="BD2644" w:themeColor="accent6"/>
        <w:insideH w:val="single" w:sz="8" w:space="0" w:color="BD2644" w:themeColor="accent6"/>
        <w:insideV w:val="single" w:sz="8" w:space="0" w:color="BD2644" w:themeColor="accent6"/>
      </w:tblBorders>
    </w:tblPr>
    <w:tcPr>
      <w:shd w:val="clear" w:color="auto" w:fill="F3C4CD" w:themeFill="accent6" w:themeFillTint="3F"/>
    </w:tcPr>
    <w:tblStylePr w:type="firstRow">
      <w:rPr>
        <w:b/>
        <w:bCs/>
        <w:color w:val="000000" w:themeColor="text1"/>
      </w:rPr>
      <w:tblPr/>
      <w:tcPr>
        <w:shd w:val="clear" w:color="auto" w:fill="FAE7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FD7" w:themeFill="accent6" w:themeFillTint="33"/>
      </w:tcPr>
    </w:tblStylePr>
    <w:tblStylePr w:type="band1Vert">
      <w:tblPr/>
      <w:tcPr>
        <w:shd w:val="clear" w:color="auto" w:fill="E7899B" w:themeFill="accent6" w:themeFillTint="7F"/>
      </w:tcPr>
    </w:tblStylePr>
    <w:tblStylePr w:type="band1Horz">
      <w:tblPr/>
      <w:tcPr>
        <w:tcBorders>
          <w:insideH w:val="single" w:sz="6" w:space="0" w:color="BD2644" w:themeColor="accent6"/>
          <w:insideV w:val="single" w:sz="6" w:space="0" w:color="BD2644" w:themeColor="accent6"/>
        </w:tcBorders>
        <w:shd w:val="clear" w:color="auto" w:fill="E7899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FD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847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847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847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847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FCF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FCF2" w:themeFill="accent1" w:themeFillTint="7F"/>
      </w:tcPr>
    </w:tblStylePr>
  </w:style>
  <w:style w:type="table" w:styleId="MediumGrid3-Accent2">
    <w:name w:val="Medium Grid 3 Accent 2"/>
    <w:basedOn w:val="TableNormal"/>
    <w:uiPriority w:val="69"/>
    <w:semiHidden/>
    <w:unhideWhenUsed/>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6E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6E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6E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6E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6A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6A1" w:themeFill="accent2" w:themeFillTint="7F"/>
      </w:tcPr>
    </w:tblStylePr>
  </w:style>
  <w:style w:type="table" w:styleId="MediumGrid3-Accent3">
    <w:name w:val="Medium Grid 3 Accent 3"/>
    <w:basedOn w:val="TableNormal"/>
    <w:uiPriority w:val="69"/>
    <w:semiHidden/>
    <w:unhideWhenUsed/>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E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DB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DB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DB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DB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ED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EDB" w:themeFill="accent3" w:themeFillTint="7F"/>
      </w:tcPr>
    </w:tblStylePr>
  </w:style>
  <w:style w:type="table" w:styleId="MediumGrid3-Accent4">
    <w:name w:val="Medium Grid 3 Accent 4"/>
    <w:basedOn w:val="TableNormal"/>
    <w:uiPriority w:val="69"/>
    <w:semiHidden/>
    <w:unhideWhenUsed/>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93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93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93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93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C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C99" w:themeFill="accent4" w:themeFillTint="7F"/>
      </w:tcPr>
    </w:tblStylePr>
  </w:style>
  <w:style w:type="table" w:styleId="MediumGrid3-Accent5">
    <w:name w:val="Medium Grid 3 Accent 5"/>
    <w:basedOn w:val="TableNormal"/>
    <w:uiPriority w:val="69"/>
    <w:semiHidden/>
    <w:unhideWhenUsed/>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A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AD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AD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AD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AD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D6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D6B5" w:themeFill="accent5" w:themeFillTint="7F"/>
      </w:tcPr>
    </w:tblStylePr>
  </w:style>
  <w:style w:type="table" w:styleId="MediumGrid3-Accent6">
    <w:name w:val="Medium Grid 3 Accent 6"/>
    <w:basedOn w:val="TableNormal"/>
    <w:uiPriority w:val="69"/>
    <w:semiHidden/>
    <w:unhideWhenUsed/>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4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2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2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2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2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89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899B" w:themeFill="accent6" w:themeFillTint="7F"/>
      </w:tcPr>
    </w:tblStylePr>
  </w:style>
  <w:style w:type="table" w:styleId="MediumList1">
    <w:name w:val="Medium List 1"/>
    <w:basedOn w:val="TableNormal"/>
    <w:uiPriority w:val="65"/>
    <w:semiHidden/>
    <w:unhideWhenUsed/>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5F9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after="0"/>
    </w:pPr>
    <w:rPr>
      <w:color w:val="000000" w:themeColor="text1"/>
    </w:rPr>
    <w:tblPr>
      <w:tblStyleRowBandSize w:val="1"/>
      <w:tblStyleColBandSize w:val="1"/>
      <w:tblBorders>
        <w:top w:val="single" w:sz="8" w:space="0" w:color="02847D" w:themeColor="accent1"/>
        <w:bottom w:val="single" w:sz="8" w:space="0" w:color="02847D" w:themeColor="accent1"/>
      </w:tblBorders>
    </w:tblPr>
    <w:tblStylePr w:type="firstRow">
      <w:rPr>
        <w:rFonts w:asciiTheme="majorHAnsi" w:eastAsiaTheme="majorEastAsia" w:hAnsiTheme="majorHAnsi" w:cstheme="majorBidi"/>
      </w:rPr>
      <w:tblPr/>
      <w:tcPr>
        <w:tcBorders>
          <w:top w:val="nil"/>
          <w:bottom w:val="single" w:sz="8" w:space="0" w:color="02847D" w:themeColor="accent1"/>
        </w:tcBorders>
      </w:tcPr>
    </w:tblStylePr>
    <w:tblStylePr w:type="lastRow">
      <w:rPr>
        <w:b/>
        <w:bCs/>
        <w:color w:val="245F95" w:themeColor="text2"/>
      </w:rPr>
      <w:tblPr/>
      <w:tcPr>
        <w:tcBorders>
          <w:top w:val="single" w:sz="8" w:space="0" w:color="02847D" w:themeColor="accent1"/>
          <w:bottom w:val="single" w:sz="8" w:space="0" w:color="02847D" w:themeColor="accent1"/>
        </w:tcBorders>
      </w:tcPr>
    </w:tblStylePr>
    <w:tblStylePr w:type="firstCol">
      <w:rPr>
        <w:b/>
        <w:bCs/>
      </w:rPr>
    </w:tblStylePr>
    <w:tblStylePr w:type="lastCol">
      <w:rPr>
        <w:b/>
        <w:bCs/>
      </w:rPr>
      <w:tblPr/>
      <w:tcPr>
        <w:tcBorders>
          <w:top w:val="single" w:sz="8" w:space="0" w:color="02847D" w:themeColor="accent1"/>
          <w:bottom w:val="single" w:sz="8" w:space="0" w:color="02847D" w:themeColor="accent1"/>
        </w:tcBorders>
      </w:tcPr>
    </w:tblStylePr>
    <w:tblStylePr w:type="band1Vert">
      <w:tblPr/>
      <w:tcPr>
        <w:shd w:val="clear" w:color="auto" w:fill="A3FDF8" w:themeFill="accent1" w:themeFillTint="3F"/>
      </w:tcPr>
    </w:tblStylePr>
    <w:tblStylePr w:type="band1Horz">
      <w:tblPr/>
      <w:tcPr>
        <w:shd w:val="clear" w:color="auto" w:fill="A3FDF8" w:themeFill="accent1" w:themeFillTint="3F"/>
      </w:tcPr>
    </w:tblStylePr>
  </w:style>
  <w:style w:type="table" w:styleId="MediumList1-Accent2">
    <w:name w:val="Medium List 1 Accent 2"/>
    <w:basedOn w:val="TableNormal"/>
    <w:uiPriority w:val="65"/>
    <w:semiHidden/>
    <w:unhideWhenUsed/>
    <w:pPr>
      <w:spacing w:before="0" w:after="0"/>
    </w:pPr>
    <w:rPr>
      <w:color w:val="000000" w:themeColor="text1"/>
    </w:rPr>
    <w:tblPr>
      <w:tblStyleRowBandSize w:val="1"/>
      <w:tblStyleColBandSize w:val="1"/>
      <w:tblBorders>
        <w:top w:val="single" w:sz="8" w:space="0" w:color="F36E44" w:themeColor="accent2"/>
        <w:bottom w:val="single" w:sz="8" w:space="0" w:color="F36E44" w:themeColor="accent2"/>
      </w:tblBorders>
    </w:tblPr>
    <w:tblStylePr w:type="firstRow">
      <w:rPr>
        <w:rFonts w:asciiTheme="majorHAnsi" w:eastAsiaTheme="majorEastAsia" w:hAnsiTheme="majorHAnsi" w:cstheme="majorBidi"/>
      </w:rPr>
      <w:tblPr/>
      <w:tcPr>
        <w:tcBorders>
          <w:top w:val="nil"/>
          <w:bottom w:val="single" w:sz="8" w:space="0" w:color="F36E44" w:themeColor="accent2"/>
        </w:tcBorders>
      </w:tcPr>
    </w:tblStylePr>
    <w:tblStylePr w:type="lastRow">
      <w:rPr>
        <w:b/>
        <w:bCs/>
        <w:color w:val="245F95" w:themeColor="text2"/>
      </w:rPr>
      <w:tblPr/>
      <w:tcPr>
        <w:tcBorders>
          <w:top w:val="single" w:sz="8" w:space="0" w:color="F36E44" w:themeColor="accent2"/>
          <w:bottom w:val="single" w:sz="8" w:space="0" w:color="F36E44" w:themeColor="accent2"/>
        </w:tcBorders>
      </w:tcPr>
    </w:tblStylePr>
    <w:tblStylePr w:type="firstCol">
      <w:rPr>
        <w:b/>
        <w:bCs/>
      </w:rPr>
    </w:tblStylePr>
    <w:tblStylePr w:type="lastCol">
      <w:rPr>
        <w:b/>
        <w:bCs/>
      </w:rPr>
      <w:tblPr/>
      <w:tcPr>
        <w:tcBorders>
          <w:top w:val="single" w:sz="8" w:space="0" w:color="F36E44" w:themeColor="accent2"/>
          <w:bottom w:val="single" w:sz="8" w:space="0" w:color="F36E44" w:themeColor="accent2"/>
        </w:tcBorders>
      </w:tcPr>
    </w:tblStylePr>
    <w:tblStylePr w:type="band1Vert">
      <w:tblPr/>
      <w:tcPr>
        <w:shd w:val="clear" w:color="auto" w:fill="FCDAD0" w:themeFill="accent2" w:themeFillTint="3F"/>
      </w:tcPr>
    </w:tblStylePr>
    <w:tblStylePr w:type="band1Horz">
      <w:tblPr/>
      <w:tcPr>
        <w:shd w:val="clear" w:color="auto" w:fill="FCDAD0" w:themeFill="accent2" w:themeFillTint="3F"/>
      </w:tcPr>
    </w:tblStylePr>
  </w:style>
  <w:style w:type="table" w:styleId="MediumList1-Accent3">
    <w:name w:val="Medium List 1 Accent 3"/>
    <w:basedOn w:val="TableNormal"/>
    <w:uiPriority w:val="65"/>
    <w:semiHidden/>
    <w:unhideWhenUsed/>
    <w:pPr>
      <w:spacing w:before="0" w:after="0"/>
    </w:pPr>
    <w:rPr>
      <w:color w:val="000000" w:themeColor="text1"/>
    </w:rPr>
    <w:tblPr>
      <w:tblStyleRowBandSize w:val="1"/>
      <w:tblStyleColBandSize w:val="1"/>
      <w:tblBorders>
        <w:top w:val="single" w:sz="8" w:space="0" w:color="59BDB8" w:themeColor="accent3"/>
        <w:bottom w:val="single" w:sz="8" w:space="0" w:color="59BDB8" w:themeColor="accent3"/>
      </w:tblBorders>
    </w:tblPr>
    <w:tblStylePr w:type="firstRow">
      <w:rPr>
        <w:rFonts w:asciiTheme="majorHAnsi" w:eastAsiaTheme="majorEastAsia" w:hAnsiTheme="majorHAnsi" w:cstheme="majorBidi"/>
      </w:rPr>
      <w:tblPr/>
      <w:tcPr>
        <w:tcBorders>
          <w:top w:val="nil"/>
          <w:bottom w:val="single" w:sz="8" w:space="0" w:color="59BDB8" w:themeColor="accent3"/>
        </w:tcBorders>
      </w:tcPr>
    </w:tblStylePr>
    <w:tblStylePr w:type="lastRow">
      <w:rPr>
        <w:b/>
        <w:bCs/>
        <w:color w:val="245F95" w:themeColor="text2"/>
      </w:rPr>
      <w:tblPr/>
      <w:tcPr>
        <w:tcBorders>
          <w:top w:val="single" w:sz="8" w:space="0" w:color="59BDB8" w:themeColor="accent3"/>
          <w:bottom w:val="single" w:sz="8" w:space="0" w:color="59BDB8" w:themeColor="accent3"/>
        </w:tcBorders>
      </w:tcPr>
    </w:tblStylePr>
    <w:tblStylePr w:type="firstCol">
      <w:rPr>
        <w:b/>
        <w:bCs/>
      </w:rPr>
    </w:tblStylePr>
    <w:tblStylePr w:type="lastCol">
      <w:rPr>
        <w:b/>
        <w:bCs/>
      </w:rPr>
      <w:tblPr/>
      <w:tcPr>
        <w:tcBorders>
          <w:top w:val="single" w:sz="8" w:space="0" w:color="59BDB8" w:themeColor="accent3"/>
          <w:bottom w:val="single" w:sz="8" w:space="0" w:color="59BDB8" w:themeColor="accent3"/>
        </w:tcBorders>
      </w:tcPr>
    </w:tblStylePr>
    <w:tblStylePr w:type="band1Vert">
      <w:tblPr/>
      <w:tcPr>
        <w:shd w:val="clear" w:color="auto" w:fill="D5EEED" w:themeFill="accent3" w:themeFillTint="3F"/>
      </w:tcPr>
    </w:tblStylePr>
    <w:tblStylePr w:type="band1Horz">
      <w:tblPr/>
      <w:tcPr>
        <w:shd w:val="clear" w:color="auto" w:fill="D5EEED" w:themeFill="accent3" w:themeFillTint="3F"/>
      </w:tcPr>
    </w:tblStylePr>
  </w:style>
  <w:style w:type="table" w:styleId="MediumList1-Accent4">
    <w:name w:val="Medium List 1 Accent 4"/>
    <w:basedOn w:val="TableNormal"/>
    <w:uiPriority w:val="65"/>
    <w:semiHidden/>
    <w:unhideWhenUsed/>
    <w:pPr>
      <w:spacing w:before="0" w:after="0"/>
    </w:pPr>
    <w:rPr>
      <w:color w:val="000000" w:themeColor="text1"/>
    </w:rPr>
    <w:tblPr>
      <w:tblStyleRowBandSize w:val="1"/>
      <w:tblStyleColBandSize w:val="1"/>
      <w:tblBorders>
        <w:top w:val="single" w:sz="8" w:space="0" w:color="FDB933" w:themeColor="accent4"/>
        <w:bottom w:val="single" w:sz="8" w:space="0" w:color="FDB933" w:themeColor="accent4"/>
      </w:tblBorders>
    </w:tblPr>
    <w:tblStylePr w:type="firstRow">
      <w:rPr>
        <w:rFonts w:asciiTheme="majorHAnsi" w:eastAsiaTheme="majorEastAsia" w:hAnsiTheme="majorHAnsi" w:cstheme="majorBidi"/>
      </w:rPr>
      <w:tblPr/>
      <w:tcPr>
        <w:tcBorders>
          <w:top w:val="nil"/>
          <w:bottom w:val="single" w:sz="8" w:space="0" w:color="FDB933" w:themeColor="accent4"/>
        </w:tcBorders>
      </w:tcPr>
    </w:tblStylePr>
    <w:tblStylePr w:type="lastRow">
      <w:rPr>
        <w:b/>
        <w:bCs/>
        <w:color w:val="245F95" w:themeColor="text2"/>
      </w:rPr>
      <w:tblPr/>
      <w:tcPr>
        <w:tcBorders>
          <w:top w:val="single" w:sz="8" w:space="0" w:color="FDB933" w:themeColor="accent4"/>
          <w:bottom w:val="single" w:sz="8" w:space="0" w:color="FDB933" w:themeColor="accent4"/>
        </w:tcBorders>
      </w:tcPr>
    </w:tblStylePr>
    <w:tblStylePr w:type="firstCol">
      <w:rPr>
        <w:b/>
        <w:bCs/>
      </w:rPr>
    </w:tblStylePr>
    <w:tblStylePr w:type="lastCol">
      <w:rPr>
        <w:b/>
        <w:bCs/>
      </w:rPr>
      <w:tblPr/>
      <w:tcPr>
        <w:tcBorders>
          <w:top w:val="single" w:sz="8" w:space="0" w:color="FDB933" w:themeColor="accent4"/>
          <w:bottom w:val="single" w:sz="8" w:space="0" w:color="FDB933" w:themeColor="accent4"/>
        </w:tcBorders>
      </w:tcPr>
    </w:tblStylePr>
    <w:tblStylePr w:type="band1Vert">
      <w:tblPr/>
      <w:tcPr>
        <w:shd w:val="clear" w:color="auto" w:fill="FEEDCC" w:themeFill="accent4" w:themeFillTint="3F"/>
      </w:tcPr>
    </w:tblStylePr>
    <w:tblStylePr w:type="band1Horz">
      <w:tblPr/>
      <w:tcPr>
        <w:shd w:val="clear" w:color="auto" w:fill="FEEDCC" w:themeFill="accent4" w:themeFillTint="3F"/>
      </w:tcPr>
    </w:tblStylePr>
  </w:style>
  <w:style w:type="table" w:styleId="MediumList1-Accent5">
    <w:name w:val="Medium List 1 Accent 5"/>
    <w:basedOn w:val="TableNormal"/>
    <w:uiPriority w:val="65"/>
    <w:semiHidden/>
    <w:unhideWhenUsed/>
    <w:pPr>
      <w:spacing w:before="0" w:after="0"/>
    </w:pPr>
    <w:rPr>
      <w:color w:val="000000" w:themeColor="text1"/>
    </w:rPr>
    <w:tblPr>
      <w:tblStyleRowBandSize w:val="1"/>
      <w:tblStyleColBandSize w:val="1"/>
      <w:tblBorders>
        <w:top w:val="single" w:sz="8" w:space="0" w:color="6CAD6C" w:themeColor="accent5"/>
        <w:bottom w:val="single" w:sz="8" w:space="0" w:color="6CAD6C" w:themeColor="accent5"/>
      </w:tblBorders>
    </w:tblPr>
    <w:tblStylePr w:type="firstRow">
      <w:rPr>
        <w:rFonts w:asciiTheme="majorHAnsi" w:eastAsiaTheme="majorEastAsia" w:hAnsiTheme="majorHAnsi" w:cstheme="majorBidi"/>
      </w:rPr>
      <w:tblPr/>
      <w:tcPr>
        <w:tcBorders>
          <w:top w:val="nil"/>
          <w:bottom w:val="single" w:sz="8" w:space="0" w:color="6CAD6C" w:themeColor="accent5"/>
        </w:tcBorders>
      </w:tcPr>
    </w:tblStylePr>
    <w:tblStylePr w:type="lastRow">
      <w:rPr>
        <w:b/>
        <w:bCs/>
        <w:color w:val="245F95" w:themeColor="text2"/>
      </w:rPr>
      <w:tblPr/>
      <w:tcPr>
        <w:tcBorders>
          <w:top w:val="single" w:sz="8" w:space="0" w:color="6CAD6C" w:themeColor="accent5"/>
          <w:bottom w:val="single" w:sz="8" w:space="0" w:color="6CAD6C" w:themeColor="accent5"/>
        </w:tcBorders>
      </w:tcPr>
    </w:tblStylePr>
    <w:tblStylePr w:type="firstCol">
      <w:rPr>
        <w:b/>
        <w:bCs/>
      </w:rPr>
    </w:tblStylePr>
    <w:tblStylePr w:type="lastCol">
      <w:rPr>
        <w:b/>
        <w:bCs/>
      </w:rPr>
      <w:tblPr/>
      <w:tcPr>
        <w:tcBorders>
          <w:top w:val="single" w:sz="8" w:space="0" w:color="6CAD6C" w:themeColor="accent5"/>
          <w:bottom w:val="single" w:sz="8" w:space="0" w:color="6CAD6C" w:themeColor="accent5"/>
        </w:tcBorders>
      </w:tcPr>
    </w:tblStylePr>
    <w:tblStylePr w:type="band1Vert">
      <w:tblPr/>
      <w:tcPr>
        <w:shd w:val="clear" w:color="auto" w:fill="DAEADA" w:themeFill="accent5" w:themeFillTint="3F"/>
      </w:tcPr>
    </w:tblStylePr>
    <w:tblStylePr w:type="band1Horz">
      <w:tblPr/>
      <w:tcPr>
        <w:shd w:val="clear" w:color="auto" w:fill="DAEADA" w:themeFill="accent5" w:themeFillTint="3F"/>
      </w:tcPr>
    </w:tblStylePr>
  </w:style>
  <w:style w:type="table" w:styleId="MediumList1-Accent6">
    <w:name w:val="Medium List 1 Accent 6"/>
    <w:basedOn w:val="TableNormal"/>
    <w:uiPriority w:val="65"/>
    <w:semiHidden/>
    <w:unhideWhenUsed/>
    <w:pPr>
      <w:spacing w:before="0" w:after="0"/>
    </w:pPr>
    <w:rPr>
      <w:color w:val="000000" w:themeColor="text1"/>
    </w:rPr>
    <w:tblPr>
      <w:tblStyleRowBandSize w:val="1"/>
      <w:tblStyleColBandSize w:val="1"/>
      <w:tblBorders>
        <w:top w:val="single" w:sz="8" w:space="0" w:color="BD2644" w:themeColor="accent6"/>
        <w:bottom w:val="single" w:sz="8" w:space="0" w:color="BD2644" w:themeColor="accent6"/>
      </w:tblBorders>
    </w:tblPr>
    <w:tblStylePr w:type="firstRow">
      <w:rPr>
        <w:rFonts w:asciiTheme="majorHAnsi" w:eastAsiaTheme="majorEastAsia" w:hAnsiTheme="majorHAnsi" w:cstheme="majorBidi"/>
      </w:rPr>
      <w:tblPr/>
      <w:tcPr>
        <w:tcBorders>
          <w:top w:val="nil"/>
          <w:bottom w:val="single" w:sz="8" w:space="0" w:color="BD2644" w:themeColor="accent6"/>
        </w:tcBorders>
      </w:tcPr>
    </w:tblStylePr>
    <w:tblStylePr w:type="lastRow">
      <w:rPr>
        <w:b/>
        <w:bCs/>
        <w:color w:val="245F95" w:themeColor="text2"/>
      </w:rPr>
      <w:tblPr/>
      <w:tcPr>
        <w:tcBorders>
          <w:top w:val="single" w:sz="8" w:space="0" w:color="BD2644" w:themeColor="accent6"/>
          <w:bottom w:val="single" w:sz="8" w:space="0" w:color="BD2644" w:themeColor="accent6"/>
        </w:tcBorders>
      </w:tcPr>
    </w:tblStylePr>
    <w:tblStylePr w:type="firstCol">
      <w:rPr>
        <w:b/>
        <w:bCs/>
      </w:rPr>
    </w:tblStylePr>
    <w:tblStylePr w:type="lastCol">
      <w:rPr>
        <w:b/>
        <w:bCs/>
      </w:rPr>
      <w:tblPr/>
      <w:tcPr>
        <w:tcBorders>
          <w:top w:val="single" w:sz="8" w:space="0" w:color="BD2644" w:themeColor="accent6"/>
          <w:bottom w:val="single" w:sz="8" w:space="0" w:color="BD2644" w:themeColor="accent6"/>
        </w:tcBorders>
      </w:tcPr>
    </w:tblStylePr>
    <w:tblStylePr w:type="band1Vert">
      <w:tblPr/>
      <w:tcPr>
        <w:shd w:val="clear" w:color="auto" w:fill="F3C4CD" w:themeFill="accent6" w:themeFillTint="3F"/>
      </w:tcPr>
    </w:tblStylePr>
    <w:tblStylePr w:type="band1Horz">
      <w:tblPr/>
      <w:tcPr>
        <w:shd w:val="clear" w:color="auto" w:fill="F3C4CD" w:themeFill="accent6" w:themeFillTint="3F"/>
      </w:tcPr>
    </w:tblStylePr>
  </w:style>
  <w:style w:type="table" w:styleId="MediumList2">
    <w:name w:val="Medium List 2"/>
    <w:basedOn w:val="TableNormal"/>
    <w:uiPriority w:val="66"/>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2847D" w:themeColor="accent1"/>
        <w:left w:val="single" w:sz="8" w:space="0" w:color="02847D" w:themeColor="accent1"/>
        <w:bottom w:val="single" w:sz="8" w:space="0" w:color="02847D" w:themeColor="accent1"/>
        <w:right w:val="single" w:sz="8" w:space="0" w:color="02847D" w:themeColor="accent1"/>
      </w:tblBorders>
    </w:tblPr>
    <w:tblStylePr w:type="firstRow">
      <w:rPr>
        <w:sz w:val="24"/>
        <w:szCs w:val="24"/>
      </w:rPr>
      <w:tblPr/>
      <w:tcPr>
        <w:tcBorders>
          <w:top w:val="nil"/>
          <w:left w:val="nil"/>
          <w:bottom w:val="single" w:sz="24" w:space="0" w:color="02847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847D" w:themeColor="accent1"/>
          <w:insideH w:val="nil"/>
          <w:insideV w:val="nil"/>
        </w:tcBorders>
        <w:shd w:val="clear" w:color="auto" w:fill="FFFFFF" w:themeFill="background1"/>
      </w:tcPr>
    </w:tblStylePr>
    <w:tblStylePr w:type="lastCol">
      <w:tblPr/>
      <w:tcPr>
        <w:tcBorders>
          <w:top w:val="nil"/>
          <w:left w:val="single" w:sz="8" w:space="0" w:color="02847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FDF8" w:themeFill="accent1" w:themeFillTint="3F"/>
      </w:tcPr>
    </w:tblStylePr>
    <w:tblStylePr w:type="band1Horz">
      <w:tblPr/>
      <w:tcPr>
        <w:tcBorders>
          <w:top w:val="nil"/>
          <w:bottom w:val="nil"/>
          <w:insideH w:val="nil"/>
          <w:insideV w:val="nil"/>
        </w:tcBorders>
        <w:shd w:val="clear" w:color="auto" w:fill="A3FD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6E44" w:themeColor="accent2"/>
        <w:left w:val="single" w:sz="8" w:space="0" w:color="F36E44" w:themeColor="accent2"/>
        <w:bottom w:val="single" w:sz="8" w:space="0" w:color="F36E44" w:themeColor="accent2"/>
        <w:right w:val="single" w:sz="8" w:space="0" w:color="F36E44" w:themeColor="accent2"/>
      </w:tblBorders>
    </w:tblPr>
    <w:tblStylePr w:type="firstRow">
      <w:rPr>
        <w:sz w:val="24"/>
        <w:szCs w:val="24"/>
      </w:rPr>
      <w:tblPr/>
      <w:tcPr>
        <w:tcBorders>
          <w:top w:val="nil"/>
          <w:left w:val="nil"/>
          <w:bottom w:val="single" w:sz="24" w:space="0" w:color="F36E44"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6E44" w:themeColor="accent2"/>
          <w:insideH w:val="nil"/>
          <w:insideV w:val="nil"/>
        </w:tcBorders>
        <w:shd w:val="clear" w:color="auto" w:fill="FFFFFF" w:themeFill="background1"/>
      </w:tcPr>
    </w:tblStylePr>
    <w:tblStylePr w:type="lastCol">
      <w:tblPr/>
      <w:tcPr>
        <w:tcBorders>
          <w:top w:val="nil"/>
          <w:left w:val="single" w:sz="8" w:space="0" w:color="F36E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D0" w:themeFill="accent2" w:themeFillTint="3F"/>
      </w:tcPr>
    </w:tblStylePr>
    <w:tblStylePr w:type="band1Horz">
      <w:tblPr/>
      <w:tcPr>
        <w:tcBorders>
          <w:top w:val="nil"/>
          <w:bottom w:val="nil"/>
          <w:insideH w:val="nil"/>
          <w:insideV w:val="nil"/>
        </w:tcBorders>
        <w:shd w:val="clear" w:color="auto" w:fill="FCDA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9BDB8" w:themeColor="accent3"/>
        <w:left w:val="single" w:sz="8" w:space="0" w:color="59BDB8" w:themeColor="accent3"/>
        <w:bottom w:val="single" w:sz="8" w:space="0" w:color="59BDB8" w:themeColor="accent3"/>
        <w:right w:val="single" w:sz="8" w:space="0" w:color="59BDB8" w:themeColor="accent3"/>
      </w:tblBorders>
    </w:tblPr>
    <w:tblStylePr w:type="firstRow">
      <w:rPr>
        <w:sz w:val="24"/>
        <w:szCs w:val="24"/>
      </w:rPr>
      <w:tblPr/>
      <w:tcPr>
        <w:tcBorders>
          <w:top w:val="nil"/>
          <w:left w:val="nil"/>
          <w:bottom w:val="single" w:sz="24" w:space="0" w:color="59BDB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DB8" w:themeColor="accent3"/>
          <w:insideH w:val="nil"/>
          <w:insideV w:val="nil"/>
        </w:tcBorders>
        <w:shd w:val="clear" w:color="auto" w:fill="FFFFFF" w:themeFill="background1"/>
      </w:tcPr>
    </w:tblStylePr>
    <w:tblStylePr w:type="lastCol">
      <w:tblPr/>
      <w:tcPr>
        <w:tcBorders>
          <w:top w:val="nil"/>
          <w:left w:val="single" w:sz="8" w:space="0" w:color="59BDB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EED" w:themeFill="accent3" w:themeFillTint="3F"/>
      </w:tcPr>
    </w:tblStylePr>
    <w:tblStylePr w:type="band1Horz">
      <w:tblPr/>
      <w:tcPr>
        <w:tcBorders>
          <w:top w:val="nil"/>
          <w:bottom w:val="nil"/>
          <w:insideH w:val="nil"/>
          <w:insideV w:val="nil"/>
        </w:tcBorders>
        <w:shd w:val="clear" w:color="auto" w:fill="D5EE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DB933" w:themeColor="accent4"/>
        <w:left w:val="single" w:sz="8" w:space="0" w:color="FDB933" w:themeColor="accent4"/>
        <w:bottom w:val="single" w:sz="8" w:space="0" w:color="FDB933" w:themeColor="accent4"/>
        <w:right w:val="single" w:sz="8" w:space="0" w:color="FDB933" w:themeColor="accent4"/>
      </w:tblBorders>
    </w:tblPr>
    <w:tblStylePr w:type="firstRow">
      <w:rPr>
        <w:sz w:val="24"/>
        <w:szCs w:val="24"/>
      </w:rPr>
      <w:tblPr/>
      <w:tcPr>
        <w:tcBorders>
          <w:top w:val="nil"/>
          <w:left w:val="nil"/>
          <w:bottom w:val="single" w:sz="24" w:space="0" w:color="FDB93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933" w:themeColor="accent4"/>
          <w:insideH w:val="nil"/>
          <w:insideV w:val="nil"/>
        </w:tcBorders>
        <w:shd w:val="clear" w:color="auto" w:fill="FFFFFF" w:themeFill="background1"/>
      </w:tcPr>
    </w:tblStylePr>
    <w:tblStylePr w:type="lastCol">
      <w:tblPr/>
      <w:tcPr>
        <w:tcBorders>
          <w:top w:val="nil"/>
          <w:left w:val="single" w:sz="8" w:space="0" w:color="FDB93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C" w:themeFill="accent4" w:themeFillTint="3F"/>
      </w:tcPr>
    </w:tblStylePr>
    <w:tblStylePr w:type="band1Horz">
      <w:tblPr/>
      <w:tcPr>
        <w:tcBorders>
          <w:top w:val="nil"/>
          <w:bottom w:val="nil"/>
          <w:insideH w:val="nil"/>
          <w:insideV w:val="nil"/>
        </w:tcBorders>
        <w:shd w:val="clear" w:color="auto" w:fill="FEED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AD6C" w:themeColor="accent5"/>
        <w:left w:val="single" w:sz="8" w:space="0" w:color="6CAD6C" w:themeColor="accent5"/>
        <w:bottom w:val="single" w:sz="8" w:space="0" w:color="6CAD6C" w:themeColor="accent5"/>
        <w:right w:val="single" w:sz="8" w:space="0" w:color="6CAD6C" w:themeColor="accent5"/>
      </w:tblBorders>
    </w:tblPr>
    <w:tblStylePr w:type="firstRow">
      <w:rPr>
        <w:sz w:val="24"/>
        <w:szCs w:val="24"/>
      </w:rPr>
      <w:tblPr/>
      <w:tcPr>
        <w:tcBorders>
          <w:top w:val="nil"/>
          <w:left w:val="nil"/>
          <w:bottom w:val="single" w:sz="24" w:space="0" w:color="6CAD6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AD6C" w:themeColor="accent5"/>
          <w:insideH w:val="nil"/>
          <w:insideV w:val="nil"/>
        </w:tcBorders>
        <w:shd w:val="clear" w:color="auto" w:fill="FFFFFF" w:themeFill="background1"/>
      </w:tcPr>
    </w:tblStylePr>
    <w:tblStylePr w:type="lastCol">
      <w:tblPr/>
      <w:tcPr>
        <w:tcBorders>
          <w:top w:val="nil"/>
          <w:left w:val="single" w:sz="8" w:space="0" w:color="6CAD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ADA" w:themeFill="accent5" w:themeFillTint="3F"/>
      </w:tcPr>
    </w:tblStylePr>
    <w:tblStylePr w:type="band1Horz">
      <w:tblPr/>
      <w:tcPr>
        <w:tcBorders>
          <w:top w:val="nil"/>
          <w:bottom w:val="nil"/>
          <w:insideH w:val="nil"/>
          <w:insideV w:val="nil"/>
        </w:tcBorders>
        <w:shd w:val="clear" w:color="auto" w:fill="DAEA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D2644" w:themeColor="accent6"/>
        <w:left w:val="single" w:sz="8" w:space="0" w:color="BD2644" w:themeColor="accent6"/>
        <w:bottom w:val="single" w:sz="8" w:space="0" w:color="BD2644" w:themeColor="accent6"/>
        <w:right w:val="single" w:sz="8" w:space="0" w:color="BD2644" w:themeColor="accent6"/>
      </w:tblBorders>
    </w:tblPr>
    <w:tblStylePr w:type="firstRow">
      <w:rPr>
        <w:sz w:val="24"/>
        <w:szCs w:val="24"/>
      </w:rPr>
      <w:tblPr/>
      <w:tcPr>
        <w:tcBorders>
          <w:top w:val="nil"/>
          <w:left w:val="nil"/>
          <w:bottom w:val="single" w:sz="24" w:space="0" w:color="BD2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2644" w:themeColor="accent6"/>
          <w:insideH w:val="nil"/>
          <w:insideV w:val="nil"/>
        </w:tcBorders>
        <w:shd w:val="clear" w:color="auto" w:fill="FFFFFF" w:themeFill="background1"/>
      </w:tcPr>
    </w:tblStylePr>
    <w:tblStylePr w:type="lastCol">
      <w:tblPr/>
      <w:tcPr>
        <w:tcBorders>
          <w:top w:val="nil"/>
          <w:left w:val="single" w:sz="8" w:space="0" w:color="BD2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4CD" w:themeFill="accent6" w:themeFillTint="3F"/>
      </w:tcPr>
    </w:tblStylePr>
    <w:tblStylePr w:type="band1Horz">
      <w:tblPr/>
      <w:tcPr>
        <w:tcBorders>
          <w:top w:val="nil"/>
          <w:bottom w:val="nil"/>
          <w:insideH w:val="nil"/>
          <w:insideV w:val="nil"/>
        </w:tcBorders>
        <w:shd w:val="clear" w:color="auto" w:fill="F3C4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after="0"/>
    </w:pPr>
    <w:tblPr>
      <w:tblStyleRowBandSize w:val="1"/>
      <w:tblStyleColBandSize w:val="1"/>
      <w:tblBorders>
        <w:top w:val="single" w:sz="8" w:space="0" w:color="03E0D4" w:themeColor="accent1" w:themeTint="BF"/>
        <w:left w:val="single" w:sz="8" w:space="0" w:color="03E0D4" w:themeColor="accent1" w:themeTint="BF"/>
        <w:bottom w:val="single" w:sz="8" w:space="0" w:color="03E0D4" w:themeColor="accent1" w:themeTint="BF"/>
        <w:right w:val="single" w:sz="8" w:space="0" w:color="03E0D4" w:themeColor="accent1" w:themeTint="BF"/>
        <w:insideH w:val="single" w:sz="8" w:space="0" w:color="03E0D4" w:themeColor="accent1" w:themeTint="BF"/>
      </w:tblBorders>
    </w:tblPr>
    <w:tblStylePr w:type="firstRow">
      <w:pPr>
        <w:spacing w:before="0" w:after="0" w:line="240" w:lineRule="auto"/>
      </w:pPr>
      <w:rPr>
        <w:b/>
        <w:bCs/>
        <w:color w:val="FFFFFF" w:themeColor="background1"/>
      </w:rPr>
      <w:tblPr/>
      <w:tcPr>
        <w:tcBorders>
          <w:top w:val="single" w:sz="8" w:space="0" w:color="03E0D4" w:themeColor="accent1" w:themeTint="BF"/>
          <w:left w:val="single" w:sz="8" w:space="0" w:color="03E0D4" w:themeColor="accent1" w:themeTint="BF"/>
          <w:bottom w:val="single" w:sz="8" w:space="0" w:color="03E0D4" w:themeColor="accent1" w:themeTint="BF"/>
          <w:right w:val="single" w:sz="8" w:space="0" w:color="03E0D4" w:themeColor="accent1" w:themeTint="BF"/>
          <w:insideH w:val="nil"/>
          <w:insideV w:val="nil"/>
        </w:tcBorders>
        <w:shd w:val="clear" w:color="auto" w:fill="02847D" w:themeFill="accent1"/>
      </w:tcPr>
    </w:tblStylePr>
    <w:tblStylePr w:type="lastRow">
      <w:pPr>
        <w:spacing w:before="0" w:after="0" w:line="240" w:lineRule="auto"/>
      </w:pPr>
      <w:rPr>
        <w:b/>
        <w:bCs/>
      </w:rPr>
      <w:tblPr/>
      <w:tcPr>
        <w:tcBorders>
          <w:top w:val="double" w:sz="6" w:space="0" w:color="03E0D4" w:themeColor="accent1" w:themeTint="BF"/>
          <w:left w:val="single" w:sz="8" w:space="0" w:color="03E0D4" w:themeColor="accent1" w:themeTint="BF"/>
          <w:bottom w:val="single" w:sz="8" w:space="0" w:color="03E0D4" w:themeColor="accent1" w:themeTint="BF"/>
          <w:right w:val="single" w:sz="8" w:space="0" w:color="03E0D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FDF8" w:themeFill="accent1" w:themeFillTint="3F"/>
      </w:tcPr>
    </w:tblStylePr>
    <w:tblStylePr w:type="band1Horz">
      <w:tblPr/>
      <w:tcPr>
        <w:tcBorders>
          <w:insideH w:val="nil"/>
          <w:insideV w:val="nil"/>
        </w:tcBorders>
        <w:shd w:val="clear" w:color="auto" w:fill="A3FDF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after="0"/>
    </w:pPr>
    <w:tblPr>
      <w:tblStyleRowBandSize w:val="1"/>
      <w:tblStyleColBandSize w:val="1"/>
      <w:tblBorders>
        <w:top w:val="single" w:sz="8" w:space="0" w:color="F69272" w:themeColor="accent2" w:themeTint="BF"/>
        <w:left w:val="single" w:sz="8" w:space="0" w:color="F69272" w:themeColor="accent2" w:themeTint="BF"/>
        <w:bottom w:val="single" w:sz="8" w:space="0" w:color="F69272" w:themeColor="accent2" w:themeTint="BF"/>
        <w:right w:val="single" w:sz="8" w:space="0" w:color="F69272" w:themeColor="accent2" w:themeTint="BF"/>
        <w:insideH w:val="single" w:sz="8" w:space="0" w:color="F69272" w:themeColor="accent2" w:themeTint="BF"/>
      </w:tblBorders>
    </w:tblPr>
    <w:tblStylePr w:type="firstRow">
      <w:pPr>
        <w:spacing w:before="0" w:after="0" w:line="240" w:lineRule="auto"/>
      </w:pPr>
      <w:rPr>
        <w:b/>
        <w:bCs/>
        <w:color w:val="FFFFFF" w:themeColor="background1"/>
      </w:rPr>
      <w:tblPr/>
      <w:tcPr>
        <w:tcBorders>
          <w:top w:val="single" w:sz="8" w:space="0" w:color="F69272" w:themeColor="accent2" w:themeTint="BF"/>
          <w:left w:val="single" w:sz="8" w:space="0" w:color="F69272" w:themeColor="accent2" w:themeTint="BF"/>
          <w:bottom w:val="single" w:sz="8" w:space="0" w:color="F69272" w:themeColor="accent2" w:themeTint="BF"/>
          <w:right w:val="single" w:sz="8" w:space="0" w:color="F69272" w:themeColor="accent2" w:themeTint="BF"/>
          <w:insideH w:val="nil"/>
          <w:insideV w:val="nil"/>
        </w:tcBorders>
        <w:shd w:val="clear" w:color="auto" w:fill="F36E44" w:themeFill="accent2"/>
      </w:tcPr>
    </w:tblStylePr>
    <w:tblStylePr w:type="lastRow">
      <w:pPr>
        <w:spacing w:before="0" w:after="0" w:line="240" w:lineRule="auto"/>
      </w:pPr>
      <w:rPr>
        <w:b/>
        <w:bCs/>
      </w:rPr>
      <w:tblPr/>
      <w:tcPr>
        <w:tcBorders>
          <w:top w:val="double" w:sz="6" w:space="0" w:color="F69272" w:themeColor="accent2" w:themeTint="BF"/>
          <w:left w:val="single" w:sz="8" w:space="0" w:color="F69272" w:themeColor="accent2" w:themeTint="BF"/>
          <w:bottom w:val="single" w:sz="8" w:space="0" w:color="F69272" w:themeColor="accent2" w:themeTint="BF"/>
          <w:right w:val="single" w:sz="8" w:space="0" w:color="F6927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DAD0" w:themeFill="accent2" w:themeFillTint="3F"/>
      </w:tcPr>
    </w:tblStylePr>
    <w:tblStylePr w:type="band1Horz">
      <w:tblPr/>
      <w:tcPr>
        <w:tcBorders>
          <w:insideH w:val="nil"/>
          <w:insideV w:val="nil"/>
        </w:tcBorders>
        <w:shd w:val="clear" w:color="auto" w:fill="FCDA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after="0"/>
    </w:pPr>
    <w:tblPr>
      <w:tblStyleRowBandSize w:val="1"/>
      <w:tblStyleColBandSize w:val="1"/>
      <w:tblBorders>
        <w:top w:val="single" w:sz="8" w:space="0" w:color="82CDC9" w:themeColor="accent3" w:themeTint="BF"/>
        <w:left w:val="single" w:sz="8" w:space="0" w:color="82CDC9" w:themeColor="accent3" w:themeTint="BF"/>
        <w:bottom w:val="single" w:sz="8" w:space="0" w:color="82CDC9" w:themeColor="accent3" w:themeTint="BF"/>
        <w:right w:val="single" w:sz="8" w:space="0" w:color="82CDC9" w:themeColor="accent3" w:themeTint="BF"/>
        <w:insideH w:val="single" w:sz="8" w:space="0" w:color="82CDC9" w:themeColor="accent3" w:themeTint="BF"/>
      </w:tblBorders>
    </w:tblPr>
    <w:tblStylePr w:type="firstRow">
      <w:pPr>
        <w:spacing w:before="0" w:after="0" w:line="240" w:lineRule="auto"/>
      </w:pPr>
      <w:rPr>
        <w:b/>
        <w:bCs/>
        <w:color w:val="FFFFFF" w:themeColor="background1"/>
      </w:rPr>
      <w:tblPr/>
      <w:tcPr>
        <w:tcBorders>
          <w:top w:val="single" w:sz="8" w:space="0" w:color="82CDC9" w:themeColor="accent3" w:themeTint="BF"/>
          <w:left w:val="single" w:sz="8" w:space="0" w:color="82CDC9" w:themeColor="accent3" w:themeTint="BF"/>
          <w:bottom w:val="single" w:sz="8" w:space="0" w:color="82CDC9" w:themeColor="accent3" w:themeTint="BF"/>
          <w:right w:val="single" w:sz="8" w:space="0" w:color="82CDC9" w:themeColor="accent3" w:themeTint="BF"/>
          <w:insideH w:val="nil"/>
          <w:insideV w:val="nil"/>
        </w:tcBorders>
        <w:shd w:val="clear" w:color="auto" w:fill="59BDB8" w:themeFill="accent3"/>
      </w:tcPr>
    </w:tblStylePr>
    <w:tblStylePr w:type="lastRow">
      <w:pPr>
        <w:spacing w:before="0" w:after="0" w:line="240" w:lineRule="auto"/>
      </w:pPr>
      <w:rPr>
        <w:b/>
        <w:bCs/>
      </w:rPr>
      <w:tblPr/>
      <w:tcPr>
        <w:tcBorders>
          <w:top w:val="double" w:sz="6" w:space="0" w:color="82CDC9" w:themeColor="accent3" w:themeTint="BF"/>
          <w:left w:val="single" w:sz="8" w:space="0" w:color="82CDC9" w:themeColor="accent3" w:themeTint="BF"/>
          <w:bottom w:val="single" w:sz="8" w:space="0" w:color="82CDC9" w:themeColor="accent3" w:themeTint="BF"/>
          <w:right w:val="single" w:sz="8" w:space="0" w:color="82CDC9"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EED" w:themeFill="accent3" w:themeFillTint="3F"/>
      </w:tcPr>
    </w:tblStylePr>
    <w:tblStylePr w:type="band1Horz">
      <w:tblPr/>
      <w:tcPr>
        <w:tcBorders>
          <w:insideH w:val="nil"/>
          <w:insideV w:val="nil"/>
        </w:tcBorders>
        <w:shd w:val="clear" w:color="auto" w:fill="D5EE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after="0"/>
    </w:pPr>
    <w:tblPr>
      <w:tblStyleRowBandSize w:val="1"/>
      <w:tblStyleColBandSize w:val="1"/>
      <w:tblBorders>
        <w:top w:val="single" w:sz="8" w:space="0" w:color="FDCA66" w:themeColor="accent4" w:themeTint="BF"/>
        <w:left w:val="single" w:sz="8" w:space="0" w:color="FDCA66" w:themeColor="accent4" w:themeTint="BF"/>
        <w:bottom w:val="single" w:sz="8" w:space="0" w:color="FDCA66" w:themeColor="accent4" w:themeTint="BF"/>
        <w:right w:val="single" w:sz="8" w:space="0" w:color="FDCA66" w:themeColor="accent4" w:themeTint="BF"/>
        <w:insideH w:val="single" w:sz="8" w:space="0" w:color="FDCA66" w:themeColor="accent4" w:themeTint="BF"/>
      </w:tblBorders>
    </w:tblPr>
    <w:tblStylePr w:type="firstRow">
      <w:pPr>
        <w:spacing w:before="0" w:after="0" w:line="240" w:lineRule="auto"/>
      </w:pPr>
      <w:rPr>
        <w:b/>
        <w:bCs/>
        <w:color w:val="FFFFFF" w:themeColor="background1"/>
      </w:rPr>
      <w:tblPr/>
      <w:tcPr>
        <w:tcBorders>
          <w:top w:val="single" w:sz="8" w:space="0" w:color="FDCA66" w:themeColor="accent4" w:themeTint="BF"/>
          <w:left w:val="single" w:sz="8" w:space="0" w:color="FDCA66" w:themeColor="accent4" w:themeTint="BF"/>
          <w:bottom w:val="single" w:sz="8" w:space="0" w:color="FDCA66" w:themeColor="accent4" w:themeTint="BF"/>
          <w:right w:val="single" w:sz="8" w:space="0" w:color="FDCA66" w:themeColor="accent4" w:themeTint="BF"/>
          <w:insideH w:val="nil"/>
          <w:insideV w:val="nil"/>
        </w:tcBorders>
        <w:shd w:val="clear" w:color="auto" w:fill="FDB933" w:themeFill="accent4"/>
      </w:tcPr>
    </w:tblStylePr>
    <w:tblStylePr w:type="lastRow">
      <w:pPr>
        <w:spacing w:before="0" w:after="0" w:line="240" w:lineRule="auto"/>
      </w:pPr>
      <w:rPr>
        <w:b/>
        <w:bCs/>
      </w:rPr>
      <w:tblPr/>
      <w:tcPr>
        <w:tcBorders>
          <w:top w:val="double" w:sz="6" w:space="0" w:color="FDCA66" w:themeColor="accent4" w:themeTint="BF"/>
          <w:left w:val="single" w:sz="8" w:space="0" w:color="FDCA66" w:themeColor="accent4" w:themeTint="BF"/>
          <w:bottom w:val="single" w:sz="8" w:space="0" w:color="FDCA66" w:themeColor="accent4" w:themeTint="BF"/>
          <w:right w:val="single" w:sz="8" w:space="0" w:color="FDCA6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C" w:themeFill="accent4" w:themeFillTint="3F"/>
      </w:tcPr>
    </w:tblStylePr>
    <w:tblStylePr w:type="band1Horz">
      <w:tblPr/>
      <w:tcPr>
        <w:tcBorders>
          <w:insideH w:val="nil"/>
          <w:insideV w:val="nil"/>
        </w:tcBorders>
        <w:shd w:val="clear" w:color="auto" w:fill="FEED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after="0"/>
    </w:pPr>
    <w:tblPr>
      <w:tblStyleRowBandSize w:val="1"/>
      <w:tblStyleColBandSize w:val="1"/>
      <w:tblBorders>
        <w:top w:val="single" w:sz="8" w:space="0" w:color="90C190" w:themeColor="accent5" w:themeTint="BF"/>
        <w:left w:val="single" w:sz="8" w:space="0" w:color="90C190" w:themeColor="accent5" w:themeTint="BF"/>
        <w:bottom w:val="single" w:sz="8" w:space="0" w:color="90C190" w:themeColor="accent5" w:themeTint="BF"/>
        <w:right w:val="single" w:sz="8" w:space="0" w:color="90C190" w:themeColor="accent5" w:themeTint="BF"/>
        <w:insideH w:val="single" w:sz="8" w:space="0" w:color="90C190" w:themeColor="accent5" w:themeTint="BF"/>
      </w:tblBorders>
    </w:tblPr>
    <w:tblStylePr w:type="firstRow">
      <w:pPr>
        <w:spacing w:before="0" w:after="0" w:line="240" w:lineRule="auto"/>
      </w:pPr>
      <w:rPr>
        <w:b/>
        <w:bCs/>
        <w:color w:val="FFFFFF" w:themeColor="background1"/>
      </w:rPr>
      <w:tblPr/>
      <w:tcPr>
        <w:tcBorders>
          <w:top w:val="single" w:sz="8" w:space="0" w:color="90C190" w:themeColor="accent5" w:themeTint="BF"/>
          <w:left w:val="single" w:sz="8" w:space="0" w:color="90C190" w:themeColor="accent5" w:themeTint="BF"/>
          <w:bottom w:val="single" w:sz="8" w:space="0" w:color="90C190" w:themeColor="accent5" w:themeTint="BF"/>
          <w:right w:val="single" w:sz="8" w:space="0" w:color="90C190" w:themeColor="accent5" w:themeTint="BF"/>
          <w:insideH w:val="nil"/>
          <w:insideV w:val="nil"/>
        </w:tcBorders>
        <w:shd w:val="clear" w:color="auto" w:fill="6CAD6C" w:themeFill="accent5"/>
      </w:tcPr>
    </w:tblStylePr>
    <w:tblStylePr w:type="lastRow">
      <w:pPr>
        <w:spacing w:before="0" w:after="0" w:line="240" w:lineRule="auto"/>
      </w:pPr>
      <w:rPr>
        <w:b/>
        <w:bCs/>
      </w:rPr>
      <w:tblPr/>
      <w:tcPr>
        <w:tcBorders>
          <w:top w:val="double" w:sz="6" w:space="0" w:color="90C190" w:themeColor="accent5" w:themeTint="BF"/>
          <w:left w:val="single" w:sz="8" w:space="0" w:color="90C190" w:themeColor="accent5" w:themeTint="BF"/>
          <w:bottom w:val="single" w:sz="8" w:space="0" w:color="90C190" w:themeColor="accent5" w:themeTint="BF"/>
          <w:right w:val="single" w:sz="8" w:space="0" w:color="90C1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AEADA" w:themeFill="accent5" w:themeFillTint="3F"/>
      </w:tcPr>
    </w:tblStylePr>
    <w:tblStylePr w:type="band1Horz">
      <w:tblPr/>
      <w:tcPr>
        <w:tcBorders>
          <w:insideH w:val="nil"/>
          <w:insideV w:val="nil"/>
        </w:tcBorders>
        <w:shd w:val="clear" w:color="auto" w:fill="DAEAD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after="0"/>
    </w:pPr>
    <w:tblPr>
      <w:tblStyleRowBandSize w:val="1"/>
      <w:tblStyleColBandSize w:val="1"/>
      <w:tblBorders>
        <w:top w:val="single" w:sz="8" w:space="0" w:color="DB4E6A" w:themeColor="accent6" w:themeTint="BF"/>
        <w:left w:val="single" w:sz="8" w:space="0" w:color="DB4E6A" w:themeColor="accent6" w:themeTint="BF"/>
        <w:bottom w:val="single" w:sz="8" w:space="0" w:color="DB4E6A" w:themeColor="accent6" w:themeTint="BF"/>
        <w:right w:val="single" w:sz="8" w:space="0" w:color="DB4E6A" w:themeColor="accent6" w:themeTint="BF"/>
        <w:insideH w:val="single" w:sz="8" w:space="0" w:color="DB4E6A" w:themeColor="accent6" w:themeTint="BF"/>
      </w:tblBorders>
    </w:tblPr>
    <w:tblStylePr w:type="firstRow">
      <w:pPr>
        <w:spacing w:before="0" w:after="0" w:line="240" w:lineRule="auto"/>
      </w:pPr>
      <w:rPr>
        <w:b/>
        <w:bCs/>
        <w:color w:val="FFFFFF" w:themeColor="background1"/>
      </w:rPr>
      <w:tblPr/>
      <w:tcPr>
        <w:tcBorders>
          <w:top w:val="single" w:sz="8" w:space="0" w:color="DB4E6A" w:themeColor="accent6" w:themeTint="BF"/>
          <w:left w:val="single" w:sz="8" w:space="0" w:color="DB4E6A" w:themeColor="accent6" w:themeTint="BF"/>
          <w:bottom w:val="single" w:sz="8" w:space="0" w:color="DB4E6A" w:themeColor="accent6" w:themeTint="BF"/>
          <w:right w:val="single" w:sz="8" w:space="0" w:color="DB4E6A" w:themeColor="accent6" w:themeTint="BF"/>
          <w:insideH w:val="nil"/>
          <w:insideV w:val="nil"/>
        </w:tcBorders>
        <w:shd w:val="clear" w:color="auto" w:fill="BD2644" w:themeFill="accent6"/>
      </w:tcPr>
    </w:tblStylePr>
    <w:tblStylePr w:type="lastRow">
      <w:pPr>
        <w:spacing w:before="0" w:after="0" w:line="240" w:lineRule="auto"/>
      </w:pPr>
      <w:rPr>
        <w:b/>
        <w:bCs/>
      </w:rPr>
      <w:tblPr/>
      <w:tcPr>
        <w:tcBorders>
          <w:top w:val="double" w:sz="6" w:space="0" w:color="DB4E6A" w:themeColor="accent6" w:themeTint="BF"/>
          <w:left w:val="single" w:sz="8" w:space="0" w:color="DB4E6A" w:themeColor="accent6" w:themeTint="BF"/>
          <w:bottom w:val="single" w:sz="8" w:space="0" w:color="DB4E6A" w:themeColor="accent6" w:themeTint="BF"/>
          <w:right w:val="single" w:sz="8" w:space="0" w:color="DB4E6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C4CD" w:themeFill="accent6" w:themeFillTint="3F"/>
      </w:tcPr>
    </w:tblStylePr>
    <w:tblStylePr w:type="band1Horz">
      <w:tblPr/>
      <w:tcPr>
        <w:tcBorders>
          <w:insideH w:val="nil"/>
          <w:insideV w:val="nil"/>
        </w:tcBorders>
        <w:shd w:val="clear" w:color="auto" w:fill="F3C4C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6E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6E44" w:themeFill="accent2"/>
      </w:tcPr>
    </w:tblStylePr>
    <w:tblStylePr w:type="lastCol">
      <w:rPr>
        <w:b/>
        <w:bCs/>
        <w:color w:val="FFFFFF" w:themeColor="background1"/>
      </w:rPr>
      <w:tblPr/>
      <w:tcPr>
        <w:tcBorders>
          <w:left w:val="nil"/>
          <w:right w:val="nil"/>
          <w:insideH w:val="nil"/>
          <w:insideV w:val="nil"/>
        </w:tcBorders>
        <w:shd w:val="clear" w:color="auto" w:fill="F36E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DB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DB8" w:themeFill="accent3"/>
      </w:tcPr>
    </w:tblStylePr>
    <w:tblStylePr w:type="lastCol">
      <w:rPr>
        <w:b/>
        <w:bCs/>
        <w:color w:val="FFFFFF" w:themeColor="background1"/>
      </w:rPr>
      <w:tblPr/>
      <w:tcPr>
        <w:tcBorders>
          <w:left w:val="nil"/>
          <w:right w:val="nil"/>
          <w:insideH w:val="nil"/>
          <w:insideV w:val="nil"/>
        </w:tcBorders>
        <w:shd w:val="clear" w:color="auto" w:fill="59BDB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93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DB933" w:themeFill="accent4"/>
      </w:tcPr>
    </w:tblStylePr>
    <w:tblStylePr w:type="lastCol">
      <w:rPr>
        <w:b/>
        <w:bCs/>
        <w:color w:val="FFFFFF" w:themeColor="background1"/>
      </w:rPr>
      <w:tblPr/>
      <w:tcPr>
        <w:tcBorders>
          <w:left w:val="nil"/>
          <w:right w:val="nil"/>
          <w:insideH w:val="nil"/>
          <w:insideV w:val="nil"/>
        </w:tcBorders>
        <w:shd w:val="clear" w:color="auto" w:fill="FDB93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AD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AD6C" w:themeFill="accent5"/>
      </w:tcPr>
    </w:tblStylePr>
    <w:tblStylePr w:type="lastCol">
      <w:rPr>
        <w:b/>
        <w:bCs/>
        <w:color w:val="FFFFFF" w:themeColor="background1"/>
      </w:rPr>
      <w:tblPr/>
      <w:tcPr>
        <w:tcBorders>
          <w:left w:val="nil"/>
          <w:right w:val="nil"/>
          <w:insideH w:val="nil"/>
          <w:insideV w:val="nil"/>
        </w:tcBorders>
        <w:shd w:val="clear" w:color="auto" w:fill="6CAD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2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2644" w:themeFill="accent6"/>
      </w:tcPr>
    </w:tblStylePr>
    <w:tblStylePr w:type="lastCol">
      <w:rPr>
        <w:b/>
        <w:bCs/>
        <w:color w:val="FFFFFF" w:themeColor="background1"/>
      </w:rPr>
      <w:tblPr/>
      <w:tcPr>
        <w:tcBorders>
          <w:left w:val="nil"/>
          <w:right w:val="nil"/>
          <w:insideH w:val="nil"/>
          <w:insideV w:val="nil"/>
        </w:tcBorders>
        <w:shd w:val="clear" w:color="auto" w:fill="BD2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uiPriority w:val="4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val="en-GB"/>
    </w:rPr>
  </w:style>
  <w:style w:type="character" w:styleId="Strong">
    <w:name w:val="Strong"/>
    <w:basedOn w:val="DefaultParagraphFont"/>
    <w:uiPriority w:val="22"/>
    <w:qFormat/>
    <w:rPr>
      <w:b/>
      <w:bCs/>
      <w:lang w:val="en-GB"/>
    </w:rPr>
  </w:style>
  <w:style w:type="paragraph" w:styleId="Subtitle">
    <w:name w:val="Subtitle"/>
    <w:basedOn w:val="Normal"/>
    <w:next w:val="Normal"/>
    <w:link w:val="SubtitleChar"/>
    <w:uiPriority w:val="11"/>
    <w:pPr>
      <w:numPr>
        <w:ilvl w:val="1"/>
      </w:numPr>
    </w:pPr>
    <w:rPr>
      <w:rFonts w:asciiTheme="minorHAnsi" w:eastAsiaTheme="minorEastAsia" w:hAnsiTheme="minorHAnsi"/>
      <w:color w:val="000000" w:themeColor="text1"/>
      <w:spacing w:val="15"/>
      <w:sz w:val="22"/>
      <w:szCs w:val="22"/>
    </w:rPr>
  </w:style>
  <w:style w:type="character" w:customStyle="1" w:styleId="SubtitleChar">
    <w:name w:val="Subtitle Char"/>
    <w:basedOn w:val="DefaultParagraphFont"/>
    <w:link w:val="Subtitle"/>
    <w:uiPriority w:val="11"/>
    <w:rPr>
      <w:rFonts w:asciiTheme="minorHAnsi" w:eastAsiaTheme="minorEastAsia" w:hAnsiTheme="minorHAnsi"/>
      <w:color w:val="000000" w:themeColor="text1"/>
      <w:spacing w:val="15"/>
      <w:sz w:val="22"/>
      <w:szCs w:val="22"/>
      <w:lang w:val="en-GB"/>
    </w:rPr>
  </w:style>
  <w:style w:type="character" w:styleId="SubtleEmphasis">
    <w:name w:val="Subtle Emphasis"/>
    <w:basedOn w:val="DefaultParagraphFont"/>
    <w:uiPriority w:val="19"/>
    <w:semiHidden/>
    <w:rPr>
      <w:i/>
      <w:iCs/>
      <w:color w:val="404040" w:themeColor="text1" w:themeTint="BF"/>
      <w:lang w:val="en-GB"/>
    </w:rPr>
  </w:style>
  <w:style w:type="character" w:styleId="SubtleReference">
    <w:name w:val="Subtle Reference"/>
    <w:basedOn w:val="DefaultParagraphFont"/>
    <w:uiPriority w:val="31"/>
    <w:semiHidden/>
    <w:qFormat/>
    <w:rPr>
      <w:smallCaps/>
      <w:color w:val="5A5A5A" w:themeColor="text1" w:themeTint="A5"/>
      <w:lang w:val="en-GB"/>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styleId="TOC2">
    <w:name w:val="toc 2"/>
    <w:basedOn w:val="Normal"/>
    <w:next w:val="Normal"/>
    <w:autoRedefine/>
    <w:uiPriority w:val="39"/>
    <w:unhideWhenUsed/>
    <w:qFormat/>
    <w:rsid w:val="000F0FD4"/>
    <w:pPr>
      <w:tabs>
        <w:tab w:val="left" w:pos="880"/>
        <w:tab w:val="right" w:leader="dot" w:pos="9072"/>
        <w:tab w:val="right" w:leader="dot" w:pos="9594"/>
      </w:tabs>
      <w:spacing w:before="0" w:after="120" w:line="240" w:lineRule="auto"/>
    </w:pPr>
    <w:rPr>
      <w:noProof/>
    </w:rPr>
  </w:style>
  <w:style w:type="paragraph" w:styleId="TOC3">
    <w:name w:val="toc 3"/>
    <w:basedOn w:val="Normal"/>
    <w:next w:val="Normal"/>
    <w:autoRedefine/>
    <w:uiPriority w:val="39"/>
    <w:unhideWhenUsed/>
    <w:qFormat/>
    <w:rsid w:val="000E4F78"/>
    <w:pPr>
      <w:tabs>
        <w:tab w:val="left" w:pos="1400"/>
        <w:tab w:val="right" w:leader="dot" w:pos="9072"/>
      </w:tabs>
      <w:ind w:left="284"/>
    </w:pPr>
  </w:style>
  <w:style w:type="paragraph" w:styleId="TOC4">
    <w:name w:val="toc 4"/>
    <w:basedOn w:val="Normal"/>
    <w:next w:val="Normal"/>
    <w:autoRedefine/>
    <w:uiPriority w:val="39"/>
    <w:semiHidden/>
    <w:unhideWhenUsed/>
    <w:pPr>
      <w:spacing w:after="100"/>
      <w:ind w:left="600"/>
    </w:pPr>
  </w:style>
  <w:style w:type="paragraph" w:styleId="TOC5">
    <w:name w:val="toc 5"/>
    <w:basedOn w:val="Normal"/>
    <w:next w:val="Normal"/>
    <w:autoRedefine/>
    <w:uiPriority w:val="39"/>
    <w:semiHidden/>
    <w:unhideWhenUsed/>
    <w:pPr>
      <w:spacing w:after="100"/>
      <w:ind w:left="800"/>
    </w:pPr>
  </w:style>
  <w:style w:type="paragraph" w:styleId="TOC6">
    <w:name w:val="toc 6"/>
    <w:basedOn w:val="Normal"/>
    <w:next w:val="Normal"/>
    <w:autoRedefine/>
    <w:uiPriority w:val="39"/>
    <w:semiHidden/>
    <w:unhideWhenUsed/>
    <w:pPr>
      <w:spacing w:after="100"/>
      <w:ind w:left="1000"/>
    </w:pPr>
  </w:style>
  <w:style w:type="paragraph" w:styleId="TOC7">
    <w:name w:val="toc 7"/>
    <w:basedOn w:val="Normal"/>
    <w:next w:val="Normal"/>
    <w:autoRedefine/>
    <w:uiPriority w:val="39"/>
    <w:semiHidden/>
    <w:unhideWhenUsed/>
    <w:pPr>
      <w:spacing w:after="100"/>
      <w:ind w:left="1200"/>
    </w:pPr>
  </w:style>
  <w:style w:type="paragraph" w:styleId="TOC8">
    <w:name w:val="toc 8"/>
    <w:basedOn w:val="Normal"/>
    <w:next w:val="Normal"/>
    <w:autoRedefine/>
    <w:uiPriority w:val="39"/>
    <w:semiHidden/>
    <w:unhideWhenUsed/>
    <w:pPr>
      <w:spacing w:after="100"/>
      <w:ind w:left="1400"/>
    </w:pPr>
  </w:style>
  <w:style w:type="paragraph" w:styleId="TOC9">
    <w:name w:val="toc 9"/>
    <w:basedOn w:val="Normal"/>
    <w:next w:val="Normal"/>
    <w:autoRedefine/>
    <w:uiPriority w:val="39"/>
    <w:semiHidden/>
    <w:unhideWhenUsed/>
    <w:pPr>
      <w:spacing w:after="100"/>
      <w:ind w:left="1600"/>
    </w:pPr>
  </w:style>
  <w:style w:type="paragraph" w:styleId="TOCHeading">
    <w:name w:val="TOC Heading"/>
    <w:basedOn w:val="amprH1TITLE-noTOC"/>
    <w:next w:val="Normal"/>
    <w:uiPriority w:val="39"/>
    <w:unhideWhenUsed/>
    <w:qFormat/>
  </w:style>
  <w:style w:type="paragraph" w:customStyle="1" w:styleId="amprH2TITLE1-Numbered-1">
    <w:name w:val="[ampr H2] TITLE 1 - Numbered - 1."/>
    <w:basedOn w:val="amprH2TITLE1"/>
    <w:next w:val="amprBodyText"/>
    <w:uiPriority w:val="9"/>
    <w:qFormat/>
    <w:rsid w:val="007E57AA"/>
    <w:pPr>
      <w:pageBreakBefore w:val="0"/>
      <w:numPr>
        <w:numId w:val="13"/>
      </w:numPr>
      <w:spacing w:before="360" w:after="480"/>
    </w:pPr>
  </w:style>
  <w:style w:type="paragraph" w:customStyle="1" w:styleId="amprH3Title2-Numbered-11">
    <w:name w:val="[ampr H3] Title 2 - Numbered - 1.1."/>
    <w:basedOn w:val="amprH3Title2"/>
    <w:next w:val="amprBodyText"/>
    <w:uiPriority w:val="9"/>
    <w:qFormat/>
    <w:rsid w:val="00FB4DAD"/>
    <w:pPr>
      <w:numPr>
        <w:ilvl w:val="1"/>
        <w:numId w:val="13"/>
      </w:numPr>
      <w:ind w:left="576" w:hanging="576"/>
    </w:pPr>
  </w:style>
  <w:style w:type="paragraph" w:customStyle="1" w:styleId="amprH5Subhead2-Numbered-1111">
    <w:name w:val="[ampr H5] Subhead 2 - Numbered - 1.1.1.1."/>
    <w:basedOn w:val="amprH5Subhead2"/>
    <w:next w:val="amprBodyText"/>
    <w:uiPriority w:val="9"/>
    <w:qFormat/>
    <w:pPr>
      <w:numPr>
        <w:ilvl w:val="3"/>
        <w:numId w:val="13"/>
      </w:numPr>
    </w:pPr>
  </w:style>
  <w:style w:type="table" w:customStyle="1" w:styleId="amprbox1">
    <w:name w:val="[ampr] box 1"/>
    <w:basedOn w:val="TableNormal"/>
    <w:uiPriority w:val="99"/>
    <w:pPr>
      <w:keepLines/>
    </w:pPr>
    <w:tblPr>
      <w:jc w:val="center"/>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blBorders>
      <w:tblCellMar>
        <w:left w:w="198" w:type="dxa"/>
        <w:right w:w="198" w:type="dxa"/>
      </w:tblCellMar>
    </w:tblPr>
    <w:trPr>
      <w:jc w:val="center"/>
    </w:trPr>
    <w:tcPr>
      <w:shd w:val="clear" w:color="auto" w:fill="F2F2F2" w:themeFill="background1" w:themeFillShade="F2"/>
    </w:tcPr>
  </w:style>
  <w:style w:type="paragraph" w:customStyle="1" w:styleId="amprboxGREYtext">
    <w:name w:val="[ampr box GREY] text"/>
    <w:basedOn w:val="BASE-STYLE-TEXT"/>
    <w:uiPriority w:val="5"/>
    <w:qFormat/>
    <w:pPr>
      <w:pBdr>
        <w:top w:val="single" w:sz="12" w:space="8" w:color="F2F2F2" w:themeColor="background1" w:themeShade="F2"/>
        <w:left w:val="single" w:sz="12" w:space="8" w:color="F2F2F2" w:themeColor="background1" w:themeShade="F2"/>
        <w:bottom w:val="single" w:sz="12" w:space="8" w:color="F2F2F2" w:themeColor="background1" w:themeShade="F2"/>
        <w:right w:val="single" w:sz="12" w:space="8" w:color="F2F2F2" w:themeColor="background1" w:themeShade="F2"/>
      </w:pBdr>
      <w:shd w:val="clear" w:color="auto" w:fill="F2F2F2" w:themeFill="background1" w:themeFillShade="F2"/>
      <w:spacing w:before="240" w:after="240"/>
    </w:pPr>
    <w:rPr>
      <w:color w:val="auto"/>
      <w:sz w:val="20"/>
      <w:lang w:eastAsia="fr-BE"/>
    </w:rPr>
  </w:style>
  <w:style w:type="paragraph" w:customStyle="1" w:styleId="amprLISTblackbullets-L1consecutiveparagraph">
    <w:name w:val="[ampr LIST black] bullets - L1 (consecutive paragraph)"/>
    <w:basedOn w:val="amprLISTblackbullets-L1"/>
    <w:uiPriority w:val="5"/>
    <w:qFormat/>
    <w:pPr>
      <w:numPr>
        <w:numId w:val="0"/>
      </w:numPr>
      <w:ind w:left="720"/>
    </w:pPr>
  </w:style>
  <w:style w:type="paragraph" w:customStyle="1" w:styleId="amprLISTblackbullets-L2consecutiveparagraph">
    <w:name w:val="[ampr LIST black] bullets - L2 (consecutive paragraph)"/>
    <w:basedOn w:val="amprLISTblackbullets-L2"/>
    <w:uiPriority w:val="5"/>
    <w:qFormat/>
    <w:pPr>
      <w:numPr>
        <w:ilvl w:val="0"/>
        <w:numId w:val="0"/>
      </w:numPr>
      <w:ind w:left="1435"/>
    </w:pPr>
  </w:style>
  <w:style w:type="paragraph" w:customStyle="1" w:styleId="amprLISTgreenbullets-L2consecutiveparagraph">
    <w:name w:val="[ampr LIST green] bullets - L2 (consecutive paragraph)"/>
    <w:basedOn w:val="amprLISTgreenbullets-L2"/>
    <w:uiPriority w:val="5"/>
    <w:qFormat/>
    <w:pPr>
      <w:numPr>
        <w:ilvl w:val="0"/>
        <w:numId w:val="0"/>
      </w:numPr>
      <w:ind w:left="1435"/>
    </w:pPr>
  </w:style>
  <w:style w:type="paragraph" w:customStyle="1" w:styleId="amprH1Sectiontitle">
    <w:name w:val="[ampr H1] Section title"/>
    <w:basedOn w:val="BASE-STYLE-HEADINGS"/>
    <w:next w:val="amprBodyText"/>
    <w:uiPriority w:val="9"/>
    <w:qFormat/>
    <w:pPr>
      <w:spacing w:before="8000" w:after="240"/>
      <w:ind w:left="4321"/>
      <w:jc w:val="left"/>
      <w:outlineLvl w:val="0"/>
    </w:pPr>
    <w:rPr>
      <w:rFonts w:ascii="EC Square Sans Pro Light" w:eastAsiaTheme="minorHAnsi" w:hAnsi="EC Square Sans Pro Light" w:cstheme="minorBidi"/>
      <w:color w:val="FFFFFF" w:themeColor="background1"/>
      <w:sz w:val="96"/>
      <w:szCs w:val="96"/>
    </w:rPr>
  </w:style>
  <w:style w:type="numbering" w:customStyle="1" w:styleId="amprHLISTNumberedheadings">
    <w:name w:val="[ampr H LIST] Numbered headings"/>
    <w:uiPriority w:val="99"/>
    <w:pPr>
      <w:numPr>
        <w:numId w:val="12"/>
      </w:numPr>
    </w:pPr>
  </w:style>
  <w:style w:type="table" w:customStyle="1" w:styleId="amprbox2">
    <w:name w:val="[ampr] box 2"/>
    <w:basedOn w:val="TableNormal"/>
    <w:uiPriority w:val="99"/>
    <w:pPr>
      <w:keepLines/>
    </w:pPr>
    <w:rPr>
      <w:color w:val="FFFFFF" w:themeColor="background1"/>
    </w:rPr>
    <w:tblPr>
      <w:jc w:val="center"/>
      <w:tblBorders>
        <w:top w:val="single" w:sz="12" w:space="0" w:color="245F95" w:themeColor="text2"/>
        <w:left w:val="single" w:sz="12" w:space="0" w:color="245F95" w:themeColor="text2"/>
        <w:bottom w:val="single" w:sz="12" w:space="0" w:color="245F95" w:themeColor="text2"/>
        <w:right w:val="single" w:sz="12" w:space="0" w:color="245F95" w:themeColor="text2"/>
        <w:insideH w:val="single" w:sz="12" w:space="0" w:color="245F95" w:themeColor="text2"/>
        <w:insideV w:val="single" w:sz="12" w:space="0" w:color="245F95" w:themeColor="text2"/>
      </w:tblBorders>
      <w:tblCellMar>
        <w:left w:w="198" w:type="dxa"/>
        <w:right w:w="198" w:type="dxa"/>
      </w:tblCellMar>
    </w:tblPr>
    <w:trPr>
      <w:jc w:val="center"/>
    </w:trPr>
    <w:tcPr>
      <w:shd w:val="clear" w:color="auto" w:fill="245F95" w:themeFill="text2"/>
    </w:tcPr>
  </w:style>
  <w:style w:type="table" w:customStyle="1" w:styleId="amprbox3">
    <w:name w:val="[ampr] box 3"/>
    <w:basedOn w:val="TableNormal"/>
    <w:uiPriority w:val="99"/>
    <w:pPr>
      <w:keepLines/>
    </w:pPr>
    <w:tblPr>
      <w:jc w:val="center"/>
      <w:tblBorders>
        <w:top w:val="dashSmallGap" w:sz="12" w:space="0" w:color="02847D" w:themeColor="accent1"/>
        <w:left w:val="dashSmallGap" w:sz="12" w:space="0" w:color="02847D" w:themeColor="accent1"/>
        <w:bottom w:val="dashSmallGap" w:sz="12" w:space="0" w:color="02847D" w:themeColor="accent1"/>
        <w:right w:val="dashSmallGap" w:sz="12" w:space="0" w:color="02847D" w:themeColor="accent1"/>
      </w:tblBorders>
      <w:tblCellMar>
        <w:left w:w="198" w:type="dxa"/>
        <w:right w:w="198" w:type="dxa"/>
      </w:tblCellMar>
    </w:tblPr>
    <w:trPr>
      <w:jc w:val="center"/>
    </w:trPr>
    <w:tcPr>
      <w:shd w:val="clear" w:color="auto" w:fill="auto"/>
    </w:tcPr>
  </w:style>
  <w:style w:type="paragraph" w:customStyle="1" w:styleId="amprboxBLUEdashedtext">
    <w:name w:val="[ampr box BLUE dashed] text"/>
    <w:basedOn w:val="BASE-STYLE-TEXT"/>
    <w:uiPriority w:val="5"/>
    <w:qFormat/>
    <w:pPr>
      <w:keepLines/>
      <w:pBdr>
        <w:top w:val="dashSmallGap" w:sz="12" w:space="8" w:color="245F95" w:themeColor="text2"/>
        <w:left w:val="dashSmallGap" w:sz="12" w:space="8" w:color="245F95" w:themeColor="text2"/>
        <w:bottom w:val="dashSmallGap" w:sz="12" w:space="8" w:color="245F95" w:themeColor="text2"/>
        <w:right w:val="dashSmallGap" w:sz="12" w:space="8" w:color="245F95" w:themeColor="text2"/>
      </w:pBdr>
      <w:spacing w:before="240" w:after="240"/>
    </w:pPr>
    <w:rPr>
      <w:sz w:val="20"/>
      <w:lang w:eastAsia="fr-BE"/>
    </w:rPr>
  </w:style>
  <w:style w:type="paragraph" w:customStyle="1" w:styleId="amprboxBLUEdashedheading">
    <w:name w:val="[ampr box BLUE dashed] heading"/>
    <w:basedOn w:val="amprboxBLUEdashedtext"/>
    <w:next w:val="amprboxBLUEdashedtext"/>
    <w:uiPriority w:val="5"/>
    <w:qFormat/>
    <w:pPr>
      <w:keepNext/>
    </w:pPr>
    <w:rPr>
      <w:b/>
      <w:color w:val="245F95" w:themeColor="text2"/>
    </w:rPr>
  </w:style>
  <w:style w:type="paragraph" w:customStyle="1" w:styleId="amprboxBLUEdashedbulletlist">
    <w:name w:val="[ampr box BLUE dashed] bullet list"/>
    <w:basedOn w:val="amprboxBLUEdashedtext"/>
    <w:next w:val="amprboxBLUEdashedtext"/>
    <w:uiPriority w:val="5"/>
    <w:qFormat/>
    <w:pPr>
      <w:numPr>
        <w:numId w:val="14"/>
      </w:numPr>
      <w:spacing w:before="60" w:after="60"/>
      <w:ind w:left="357" w:hanging="357"/>
    </w:pPr>
  </w:style>
  <w:style w:type="paragraph" w:customStyle="1" w:styleId="amprLISTOrdered-L1">
    <w:name w:val="[ampr LIST Ordered] - L1"/>
    <w:basedOn w:val="BASE-STYLE-TEXT"/>
    <w:uiPriority w:val="5"/>
    <w:qFormat/>
    <w:pPr>
      <w:numPr>
        <w:numId w:val="15"/>
      </w:numPr>
      <w:spacing w:before="80" w:after="80"/>
    </w:pPr>
    <w:rPr>
      <w:rFonts w:ascii="Proxima Nova" w:hAnsi="Proxima Nova"/>
      <w:szCs w:val="22"/>
    </w:rPr>
  </w:style>
  <w:style w:type="paragraph" w:customStyle="1" w:styleId="amprLISTOrdered-L2">
    <w:name w:val="[ampr LIST Ordered] - L2"/>
    <w:basedOn w:val="amprLISTOrdered-L1"/>
    <w:uiPriority w:val="5"/>
    <w:qFormat/>
    <w:pPr>
      <w:numPr>
        <w:ilvl w:val="1"/>
      </w:numPr>
    </w:pPr>
  </w:style>
  <w:style w:type="paragraph" w:customStyle="1" w:styleId="amprLISTOrdered-L3">
    <w:name w:val="[ampr LIST Ordered] - L3"/>
    <w:basedOn w:val="amprLISTOrdered-L2"/>
    <w:uiPriority w:val="5"/>
    <w:qFormat/>
    <w:pPr>
      <w:numPr>
        <w:ilvl w:val="2"/>
      </w:numPr>
    </w:pPr>
  </w:style>
  <w:style w:type="paragraph" w:customStyle="1" w:styleId="amprLISTOrdered-L1consecutiveparagraph">
    <w:name w:val="[ampr LIST Ordered] - L1 (consecutive paragraph)"/>
    <w:basedOn w:val="amprLISTOrdered-L1"/>
    <w:uiPriority w:val="5"/>
    <w:qFormat/>
    <w:pPr>
      <w:numPr>
        <w:numId w:val="0"/>
      </w:numPr>
      <w:ind w:left="714"/>
    </w:pPr>
  </w:style>
  <w:style w:type="paragraph" w:customStyle="1" w:styleId="amprLISTOrdered-L2consecutiveparagraph">
    <w:name w:val="[ampr LIST Ordered] - L2 (consecutive paragraph)"/>
    <w:basedOn w:val="amprLISTOrdered-L2"/>
    <w:uiPriority w:val="5"/>
    <w:qFormat/>
    <w:pPr>
      <w:numPr>
        <w:ilvl w:val="0"/>
        <w:numId w:val="0"/>
      </w:numPr>
      <w:ind w:left="1185"/>
    </w:pPr>
  </w:style>
  <w:style w:type="paragraph" w:customStyle="1" w:styleId="amprLISTOrdered-L3consecutiveparagraph">
    <w:name w:val="[ampr LIST Ordered] - L3 (consecutive paragraph)"/>
    <w:basedOn w:val="amprLISTOrdered-L3"/>
    <w:uiPriority w:val="5"/>
    <w:qFormat/>
    <w:pPr>
      <w:numPr>
        <w:ilvl w:val="0"/>
        <w:numId w:val="0"/>
      </w:numPr>
      <w:ind w:left="1769"/>
    </w:pPr>
  </w:style>
  <w:style w:type="numbering" w:customStyle="1" w:styleId="amprLIST-Ordered">
    <w:name w:val="[ampr LIST]-Ordered"/>
    <w:uiPriority w:val="99"/>
    <w:pPr>
      <w:numPr>
        <w:numId w:val="15"/>
      </w:numPr>
    </w:pPr>
  </w:style>
  <w:style w:type="paragraph" w:customStyle="1" w:styleId="amprLISTOrdered-L4">
    <w:name w:val="[ampr LIST Ordered] - L4"/>
    <w:basedOn w:val="amprLISTOrdered-L3"/>
    <w:uiPriority w:val="5"/>
    <w:qFormat/>
    <w:pPr>
      <w:numPr>
        <w:ilvl w:val="3"/>
      </w:numPr>
    </w:pPr>
  </w:style>
  <w:style w:type="paragraph" w:customStyle="1" w:styleId="amprLISTOrdered-L4consecutiveparagraph">
    <w:name w:val="[ampr LIST Ordered] - L4 (consecutive paragraph)"/>
    <w:basedOn w:val="amprLISTOrdered-L4"/>
    <w:uiPriority w:val="5"/>
    <w:qFormat/>
    <w:pPr>
      <w:numPr>
        <w:ilvl w:val="0"/>
        <w:numId w:val="0"/>
      </w:numPr>
      <w:ind w:left="2466"/>
    </w:pPr>
  </w:style>
  <w:style w:type="paragraph" w:customStyle="1" w:styleId="amprLISTMixed-L1">
    <w:name w:val="[ampr LIST Mixed] - L1"/>
    <w:basedOn w:val="BASE-STYLE-TEXT"/>
    <w:uiPriority w:val="5"/>
    <w:qFormat/>
    <w:pPr>
      <w:numPr>
        <w:numId w:val="17"/>
      </w:numPr>
      <w:spacing w:before="80" w:after="80"/>
    </w:pPr>
    <w:rPr>
      <w:szCs w:val="22"/>
    </w:rPr>
  </w:style>
  <w:style w:type="paragraph" w:customStyle="1" w:styleId="amprLISTMixed-L2">
    <w:name w:val="[ampr LIST Mixed] - L2"/>
    <w:basedOn w:val="amprLISTMixed-L1"/>
    <w:uiPriority w:val="5"/>
    <w:qFormat/>
    <w:pPr>
      <w:numPr>
        <w:ilvl w:val="1"/>
      </w:numPr>
    </w:pPr>
  </w:style>
  <w:style w:type="paragraph" w:customStyle="1" w:styleId="amprLISTMixed-L3">
    <w:name w:val="[ampr LIST Mixed] - L3"/>
    <w:basedOn w:val="amprLISTMixed-L2"/>
    <w:uiPriority w:val="5"/>
    <w:qFormat/>
    <w:pPr>
      <w:numPr>
        <w:ilvl w:val="2"/>
      </w:numPr>
    </w:pPr>
  </w:style>
  <w:style w:type="paragraph" w:customStyle="1" w:styleId="amprLISTMixed-L1consecutiveparagraph">
    <w:name w:val="[ampr LIST Mixed] - L1 (consecutive paragraph)"/>
    <w:basedOn w:val="amprLISTMixed-L1"/>
    <w:uiPriority w:val="5"/>
    <w:qFormat/>
    <w:pPr>
      <w:numPr>
        <w:numId w:val="0"/>
      </w:numPr>
      <w:ind w:left="714"/>
    </w:pPr>
  </w:style>
  <w:style w:type="paragraph" w:customStyle="1" w:styleId="amprLISTMixed-L2consecutiveparagraph">
    <w:name w:val="[ampr LIST Mixed] - L2 (consecutive paragraph)"/>
    <w:basedOn w:val="amprLISTMixed-L2"/>
    <w:uiPriority w:val="5"/>
    <w:qFormat/>
    <w:pPr>
      <w:numPr>
        <w:ilvl w:val="0"/>
        <w:numId w:val="0"/>
      </w:numPr>
      <w:ind w:left="1072"/>
    </w:pPr>
  </w:style>
  <w:style w:type="paragraph" w:customStyle="1" w:styleId="amprLISTMixed-L3consecutiveparagraph">
    <w:name w:val="[ampr LIST Mixed] - L3 (consecutive paragraph)"/>
    <w:basedOn w:val="amprLISTMixed-L3"/>
    <w:uiPriority w:val="5"/>
    <w:qFormat/>
    <w:pPr>
      <w:numPr>
        <w:ilvl w:val="0"/>
        <w:numId w:val="0"/>
      </w:numPr>
      <w:ind w:left="1429"/>
    </w:pPr>
  </w:style>
  <w:style w:type="numbering" w:customStyle="1" w:styleId="amprLIST-Mixed">
    <w:name w:val="[ampr LIST]-Mixed"/>
    <w:uiPriority w:val="99"/>
    <w:pPr>
      <w:numPr>
        <w:numId w:val="16"/>
      </w:numPr>
    </w:pPr>
  </w:style>
  <w:style w:type="table" w:customStyle="1" w:styleId="AMPR20212">
    <w:name w:val="AMPR_2021_2"/>
    <w:basedOn w:val="TableNormal"/>
    <w:uiPriority w:val="99"/>
    <w:pPr>
      <w:spacing w:before="60" w:after="60" w:line="240" w:lineRule="auto"/>
    </w:pPr>
    <w:tblPr>
      <w:jc w:val="center"/>
      <w:tblBorders>
        <w:top w:val="single" w:sz="4" w:space="0" w:color="8C8C8C"/>
        <w:left w:val="single" w:sz="4" w:space="0" w:color="8C8C8C"/>
        <w:bottom w:val="single" w:sz="4" w:space="0" w:color="8C8C8C"/>
        <w:right w:val="single" w:sz="4" w:space="0" w:color="8C8C8C"/>
        <w:insideH w:val="single" w:sz="4" w:space="0" w:color="8C8C8C"/>
        <w:insideV w:val="single" w:sz="4" w:space="0" w:color="8C8C8C"/>
      </w:tblBorders>
    </w:tblPr>
    <w:trPr>
      <w:jc w:val="center"/>
    </w:trPr>
    <w:tcPr>
      <w:shd w:val="clear" w:color="auto" w:fill="F2F2F2" w:themeFill="background1" w:themeFillShade="F2"/>
    </w:tcPr>
    <w:tblStylePr w:type="firstRow">
      <w:pPr>
        <w:wordWrap/>
        <w:spacing w:beforeLines="0" w:before="100" w:beforeAutospacing="0" w:afterLines="0" w:after="100" w:afterAutospacing="0" w:line="240" w:lineRule="auto"/>
        <w:contextualSpacing w:val="0"/>
      </w:pPr>
      <w:rPr>
        <w:b/>
        <w:color w:val="FFFFFF" w:themeColor="background1"/>
      </w:rPr>
      <w:tblPr/>
      <w:tcPr>
        <w:tcBorders>
          <w:top w:val="single" w:sz="4" w:space="0" w:color="245F95" w:themeColor="text2"/>
          <w:left w:val="single" w:sz="4" w:space="0" w:color="245F95" w:themeColor="text2"/>
          <w:bottom w:val="single" w:sz="4" w:space="0" w:color="245F95" w:themeColor="text2"/>
          <w:right w:val="single" w:sz="4" w:space="0" w:color="245F95" w:themeColor="text2"/>
          <w:insideH w:val="nil"/>
          <w:insideV w:val="single" w:sz="4" w:space="0" w:color="FFFFFF" w:themeColor="background1"/>
          <w:tl2br w:val="nil"/>
          <w:tr2bl w:val="nil"/>
        </w:tcBorders>
        <w:shd w:val="clear" w:color="auto" w:fill="245F95" w:themeFill="text2"/>
      </w:tcPr>
    </w:tblStylePr>
    <w:tblStylePr w:type="firstCol">
      <w:rPr>
        <w:b/>
        <w:i w:val="0"/>
        <w:color w:val="02847D" w:themeColor="accent1"/>
      </w:rPr>
    </w:tblStylePr>
  </w:style>
  <w:style w:type="paragraph" w:customStyle="1" w:styleId="ZCom">
    <w:name w:val="Z_Com"/>
    <w:basedOn w:val="Normal"/>
    <w:next w:val="ZDGName"/>
    <w:pPr>
      <w:widowControl w:val="0"/>
      <w:autoSpaceDE w:val="0"/>
      <w:autoSpaceDN w:val="0"/>
      <w:spacing w:before="0" w:after="0" w:line="240" w:lineRule="auto"/>
      <w:ind w:right="85"/>
      <w:jc w:val="both"/>
    </w:pPr>
    <w:rPr>
      <w:rFonts w:ascii="Arial" w:eastAsia="Times New Roman" w:hAnsi="Arial" w:cs="Arial"/>
      <w:sz w:val="24"/>
      <w:szCs w:val="24"/>
      <w:lang w:val="fr-FR" w:eastAsia="ko-KR"/>
    </w:rPr>
  </w:style>
  <w:style w:type="paragraph" w:customStyle="1" w:styleId="ZDGName">
    <w:name w:val="Z_DGName"/>
    <w:basedOn w:val="Normal"/>
    <w:pPr>
      <w:widowControl w:val="0"/>
      <w:autoSpaceDE w:val="0"/>
      <w:autoSpaceDN w:val="0"/>
      <w:spacing w:before="0" w:after="0" w:line="240" w:lineRule="auto"/>
      <w:ind w:right="85"/>
    </w:pPr>
    <w:rPr>
      <w:rFonts w:ascii="Arial" w:eastAsia="Times New Roman" w:hAnsi="Arial" w:cs="Arial"/>
      <w:sz w:val="16"/>
      <w:szCs w:val="16"/>
      <w:lang w:val="fr-FR" w:eastAsia="ko-KR"/>
    </w:rPr>
  </w:style>
  <w:style w:type="paragraph" w:customStyle="1" w:styleId="NoteHead">
    <w:name w:val="NoteHead"/>
    <w:basedOn w:val="Normal"/>
    <w:next w:val="Normal"/>
    <w:pPr>
      <w:spacing w:before="720" w:after="720" w:line="240" w:lineRule="auto"/>
      <w:jc w:val="center"/>
    </w:pPr>
    <w:rPr>
      <w:rFonts w:ascii="Times New Roman" w:eastAsia="Times New Roman" w:hAnsi="Times New Roman" w:cs="Times New Roman"/>
      <w:b/>
      <w:smallCaps/>
      <w:sz w:val="24"/>
      <w:lang w:val="en-IE"/>
    </w:rPr>
  </w:style>
  <w:style w:type="paragraph" w:customStyle="1" w:styleId="Text3">
    <w:name w:val="Text 3"/>
    <w:basedOn w:val="Normal"/>
    <w:pPr>
      <w:spacing w:before="120" w:after="120" w:line="240" w:lineRule="auto"/>
      <w:ind w:left="851"/>
      <w:jc w:val="both"/>
    </w:pPr>
    <w:rPr>
      <w:rFonts w:ascii="Times New Roman" w:eastAsia="Times New Roman" w:hAnsi="Times New Roman" w:cs="Times New Roman"/>
      <w:sz w:val="24"/>
      <w:lang w:val="en-IE" w:eastAsia="fr-BE"/>
    </w:rPr>
  </w:style>
  <w:style w:type="paragraph" w:customStyle="1" w:styleId="Tiret0">
    <w:name w:val="Tiret 0"/>
    <w:basedOn w:val="Normal"/>
    <w:link w:val="Tiret0Char"/>
    <w:uiPriority w:val="99"/>
    <w:pPr>
      <w:numPr>
        <w:numId w:val="18"/>
      </w:numPr>
      <w:spacing w:before="120" w:after="120" w:line="240" w:lineRule="auto"/>
      <w:jc w:val="both"/>
    </w:pPr>
    <w:rPr>
      <w:rFonts w:ascii="Times New Roman" w:eastAsia="Times New Roman" w:hAnsi="Times New Roman" w:cs="Times New Roman"/>
      <w:sz w:val="24"/>
      <w:szCs w:val="24"/>
      <w:lang w:val="en-IE" w:eastAsia="en-GB"/>
    </w:rPr>
  </w:style>
  <w:style w:type="character" w:customStyle="1" w:styleId="Tiret0Char">
    <w:name w:val="Tiret 0 Char"/>
    <w:basedOn w:val="DefaultParagraphFont"/>
    <w:link w:val="Tiret0"/>
    <w:uiPriority w:val="99"/>
    <w:rPr>
      <w:rFonts w:ascii="Times New Roman" w:eastAsia="Times New Roman" w:hAnsi="Times New Roman" w:cs="Times New Roman"/>
      <w:sz w:val="24"/>
      <w:szCs w:val="24"/>
      <w:lang w:val="en-IE" w:eastAsia="en-GB"/>
    </w:rPr>
  </w:style>
  <w:style w:type="paragraph" w:customStyle="1" w:styleId="Text1">
    <w:name w:val="Text 1"/>
    <w:basedOn w:val="Normal"/>
    <w:link w:val="Text1Char"/>
    <w:pPr>
      <w:spacing w:before="0" w:line="240" w:lineRule="auto"/>
      <w:ind w:left="482"/>
      <w:jc w:val="both"/>
    </w:pPr>
    <w:rPr>
      <w:rFonts w:ascii="Times New Roman" w:eastAsia="Times New Roman" w:hAnsi="Times New Roman" w:cs="Times New Roman"/>
      <w:sz w:val="24"/>
      <w:lang w:val="en-IE"/>
    </w:rPr>
  </w:style>
  <w:style w:type="paragraph" w:customStyle="1" w:styleId="Text2">
    <w:name w:val="Text 2"/>
    <w:basedOn w:val="Normal"/>
    <w:pPr>
      <w:tabs>
        <w:tab w:val="left" w:pos="2160"/>
      </w:tabs>
      <w:spacing w:before="0" w:line="240" w:lineRule="auto"/>
      <w:ind w:left="1077"/>
      <w:jc w:val="both"/>
    </w:pPr>
    <w:rPr>
      <w:rFonts w:ascii="Times New Roman" w:eastAsia="Times New Roman" w:hAnsi="Times New Roman" w:cs="Times New Roman"/>
      <w:sz w:val="24"/>
      <w:lang w:val="en-IE"/>
    </w:rPr>
  </w:style>
  <w:style w:type="paragraph" w:customStyle="1" w:styleId="Subject">
    <w:name w:val="Subject"/>
    <w:basedOn w:val="Normal"/>
    <w:next w:val="Normal"/>
    <w:pPr>
      <w:spacing w:before="0" w:after="480" w:line="240" w:lineRule="auto"/>
      <w:ind w:left="1191" w:hanging="1191"/>
    </w:pPr>
    <w:rPr>
      <w:rFonts w:ascii="Times New Roman" w:eastAsia="Times New Roman" w:hAnsi="Times New Roman" w:cs="Times New Roman"/>
      <w:b/>
      <w:sz w:val="24"/>
      <w:lang w:val="en-IE"/>
    </w:rPr>
  </w:style>
  <w:style w:type="character" w:customStyle="1" w:styleId="Text1Char">
    <w:name w:val="Text 1 Char"/>
    <w:basedOn w:val="DefaultParagraphFont"/>
    <w:link w:val="Text1"/>
    <w:rPr>
      <w:rFonts w:ascii="Times New Roman" w:eastAsia="Times New Roman" w:hAnsi="Times New Roman" w:cs="Times New Roman"/>
      <w:sz w:val="24"/>
      <w:lang w:val="en-IE"/>
    </w:rPr>
  </w:style>
  <w:style w:type="paragraph" w:customStyle="1" w:styleId="Default">
    <w:name w:val="Default"/>
    <w:pPr>
      <w:autoSpaceDE w:val="0"/>
      <w:autoSpaceDN w:val="0"/>
      <w:adjustRightInd w:val="0"/>
      <w:spacing w:before="0" w:after="0" w:line="240" w:lineRule="auto"/>
    </w:pPr>
    <w:rPr>
      <w:rFonts w:ascii="EUAlbertina" w:eastAsia="Times New Roman" w:hAnsi="EUAlbertina" w:cs="EUAlbertina"/>
      <w:color w:val="000000"/>
      <w:sz w:val="24"/>
      <w:szCs w:val="24"/>
      <w:lang w:val="en-GB" w:eastAsia="en-GB"/>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line="240" w:lineRule="auto"/>
      <w:jc w:val="both"/>
    </w:pPr>
    <w:rPr>
      <w:rFonts w:ascii="Times New Roman" w:hAnsi="Times New Roman" w:cs="Times New Roman"/>
      <w:sz w:val="24"/>
      <w:szCs w:val="22"/>
      <w:lang w:val="en-I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CaptionChar">
    <w:name w:val="Caption Char"/>
    <w:basedOn w:val="DefaultParagraphFont"/>
    <w:link w:val="Caption"/>
    <w:rPr>
      <w:i/>
      <w:iCs/>
      <w:color w:val="245F95" w:themeColor="text2"/>
      <w:sz w:val="18"/>
      <w:szCs w:val="18"/>
      <w:lang w:val="en-GB"/>
    </w:rPr>
  </w:style>
  <w:style w:type="character" w:customStyle="1" w:styleId="FooterCoverPageChar">
    <w:name w:val="Footer Cover Page Char"/>
    <w:basedOn w:val="CaptionChar"/>
    <w:link w:val="FooterCoverPage"/>
    <w:rPr>
      <w:rFonts w:ascii="Times New Roman" w:hAnsi="Times New Roman" w:cs="Times New Roman"/>
      <w:i w:val="0"/>
      <w:iCs w:val="0"/>
      <w:color w:val="245F95" w:themeColor="text2"/>
      <w:sz w:val="24"/>
      <w:szCs w:val="18"/>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CaptionChar"/>
    <w:link w:val="FooterSensitivity"/>
    <w:rPr>
      <w:rFonts w:ascii="Times New Roman" w:hAnsi="Times New Roman" w:cs="Times New Roman"/>
      <w:b/>
      <w:i w:val="0"/>
      <w:iCs w:val="0"/>
      <w:color w:val="245F95" w:themeColor="text2"/>
      <w:sz w:val="32"/>
      <w:szCs w:val="18"/>
      <w:lang w:val="en-GB"/>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rPr>
      <w:rFonts w:ascii="Times New Roman" w:hAnsi="Times New Roman" w:cs="Times New Roman"/>
      <w:sz w:val="24"/>
    </w:rPr>
  </w:style>
  <w:style w:type="character" w:customStyle="1" w:styleId="HeaderCoverPageChar">
    <w:name w:val="Header Cover Page Char"/>
    <w:basedOn w:val="CaptionChar"/>
    <w:link w:val="HeaderCoverPage"/>
    <w:rPr>
      <w:rFonts w:ascii="Times New Roman" w:hAnsi="Times New Roman" w:cs="Times New Roman"/>
      <w:i w:val="0"/>
      <w:iCs w:val="0"/>
      <w:color w:val="245F95" w:themeColor="text2"/>
      <w:sz w:val="24"/>
      <w:szCs w:val="18"/>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CaptionChar"/>
    <w:link w:val="HeaderSensitivity"/>
    <w:rPr>
      <w:rFonts w:ascii="Times New Roman" w:hAnsi="Times New Roman" w:cs="Times New Roman"/>
      <w:b/>
      <w:i w:val="0"/>
      <w:iCs w:val="0"/>
      <w:color w:val="245F95" w:themeColor="text2"/>
      <w:sz w:val="32"/>
      <w:szCs w:val="18"/>
      <w:lang w:val="en-GB"/>
    </w:rPr>
  </w:style>
  <w:style w:type="character" w:customStyle="1" w:styleId="WW8Num4z1">
    <w:name w:val="WW8Num4z1"/>
    <w:rPr>
      <w:rFonts w:ascii="Wingdings" w:hAnsi="Wingdings" w:cs="Symbol" w:hint="default"/>
    </w:rPr>
  </w:style>
  <w:style w:type="character" w:customStyle="1" w:styleId="footnotereference0">
    <w:name w:val="footnotereference"/>
    <w:basedOn w:val="DefaultParagraphFont"/>
    <w:rPr>
      <w:rFonts w:ascii="Times New Roman" w:hAnsi="Times New Roman" w:cs="Times New Roman" w:hint="default"/>
    </w:rPr>
  </w:style>
  <w:style w:type="paragraph" w:customStyle="1" w:styleId="SecurityMarking">
    <w:name w:val="SecurityMarking"/>
    <w:basedOn w:val="Normal"/>
    <w:pPr>
      <w:spacing w:before="0" w:after="0" w:line="276" w:lineRule="auto"/>
      <w:ind w:left="5103"/>
    </w:pPr>
    <w:rPr>
      <w:rFonts w:ascii="Times New Roman" w:hAnsi="Times New Roman" w:cs="Times New Roman"/>
      <w:sz w:val="28"/>
      <w:szCs w:val="22"/>
      <w:lang w:val="en-IE"/>
    </w:rPr>
  </w:style>
  <w:style w:type="paragraph" w:customStyle="1" w:styleId="DateMarking">
    <w:name w:val="DateMarking"/>
    <w:basedOn w:val="Normal"/>
    <w:pPr>
      <w:spacing w:before="0" w:after="0" w:line="276" w:lineRule="auto"/>
      <w:ind w:left="5103"/>
    </w:pPr>
    <w:rPr>
      <w:rFonts w:ascii="Times New Roman" w:hAnsi="Times New Roman" w:cs="Times New Roman"/>
      <w:i/>
      <w:sz w:val="28"/>
      <w:szCs w:val="22"/>
      <w:lang w:val="en-IE"/>
    </w:rPr>
  </w:style>
  <w:style w:type="paragraph" w:customStyle="1" w:styleId="ReleasableTo">
    <w:name w:val="ReleasableTo"/>
    <w:basedOn w:val="Normal"/>
    <w:pPr>
      <w:spacing w:before="0" w:after="0" w:line="276" w:lineRule="auto"/>
      <w:ind w:left="5103"/>
    </w:pPr>
    <w:rPr>
      <w:rFonts w:ascii="Times New Roman" w:hAnsi="Times New Roman" w:cs="Times New Roman"/>
      <w:i/>
      <w:sz w:val="28"/>
      <w:szCs w:val="22"/>
      <w:lang w:val="en-IE"/>
    </w:rPr>
  </w:style>
  <w:style w:type="paragraph" w:customStyle="1" w:styleId="HeaderSensitivityRight">
    <w:name w:val="Header Sensitivity Right"/>
    <w:basedOn w:val="Normal"/>
    <w:pPr>
      <w:spacing w:before="0" w:after="120" w:line="240" w:lineRule="auto"/>
      <w:jc w:val="right"/>
    </w:pPr>
    <w:rPr>
      <w:rFonts w:ascii="Times New Roman" w:hAnsi="Times New Roman" w:cs="Times New Roman"/>
      <w:sz w:val="28"/>
    </w:rPr>
  </w:style>
  <w:style w:type="paragraph" w:customStyle="1" w:styleId="Point0">
    <w:name w:val="Point 0"/>
    <w:basedOn w:val="Normal"/>
    <w:uiPriority w:val="99"/>
    <w:pPr>
      <w:spacing w:before="120" w:after="120" w:line="240" w:lineRule="auto"/>
      <w:ind w:left="850" w:hanging="850"/>
      <w:jc w:val="both"/>
    </w:pPr>
    <w:rPr>
      <w:rFonts w:ascii="Times New Roman" w:eastAsiaTheme="minorEastAsia" w:hAnsi="Times New Roman" w:cs="Times New Roman"/>
      <w:sz w:val="24"/>
      <w:szCs w:val="24"/>
      <w:lang w:val="en-IE" w:eastAsia="en-GB"/>
    </w:rPr>
  </w:style>
  <w:style w:type="character" w:customStyle="1" w:styleId="markedcontent">
    <w:name w:val="markedcontent"/>
    <w:basedOn w:val="DefaultParagraphFont"/>
  </w:style>
  <w:style w:type="paragraph" w:customStyle="1" w:styleId="title-bold">
    <w:name w:val="title-bold"/>
    <w:basedOn w:val="Normal"/>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NormalRight">
    <w:name w:val="Normal Right"/>
    <w:basedOn w:val="Normal"/>
    <w:uiPriority w:val="99"/>
    <w:rsid w:val="0027372E"/>
    <w:pPr>
      <w:spacing w:before="120" w:after="120" w:line="240" w:lineRule="auto"/>
      <w:jc w:val="right"/>
    </w:pPr>
    <w:rPr>
      <w:rFonts w:ascii="Times New Roman" w:eastAsiaTheme="minorEastAsia" w:hAnsi="Times New Roman" w:cs="Times New Roman"/>
      <w:sz w:val="24"/>
      <w:szCs w:val="24"/>
      <w:lang w:eastAsia="en-IE"/>
    </w:rPr>
  </w:style>
  <w:style w:type="character" w:customStyle="1" w:styleId="Mention">
    <w:name w:val="Mention"/>
    <w:basedOn w:val="DefaultParagraphFont"/>
    <w:uiPriority w:val="99"/>
    <w:unhideWhenUsed/>
    <w:rsid w:val="007E65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340">
      <w:bodyDiv w:val="1"/>
      <w:marLeft w:val="0"/>
      <w:marRight w:val="0"/>
      <w:marTop w:val="0"/>
      <w:marBottom w:val="0"/>
      <w:divBdr>
        <w:top w:val="none" w:sz="0" w:space="0" w:color="auto"/>
        <w:left w:val="none" w:sz="0" w:space="0" w:color="auto"/>
        <w:bottom w:val="none" w:sz="0" w:space="0" w:color="auto"/>
        <w:right w:val="none" w:sz="0" w:space="0" w:color="auto"/>
      </w:divBdr>
    </w:div>
    <w:div w:id="17318377">
      <w:bodyDiv w:val="1"/>
      <w:marLeft w:val="0"/>
      <w:marRight w:val="0"/>
      <w:marTop w:val="0"/>
      <w:marBottom w:val="0"/>
      <w:divBdr>
        <w:top w:val="none" w:sz="0" w:space="0" w:color="auto"/>
        <w:left w:val="none" w:sz="0" w:space="0" w:color="auto"/>
        <w:bottom w:val="none" w:sz="0" w:space="0" w:color="auto"/>
        <w:right w:val="none" w:sz="0" w:space="0" w:color="auto"/>
      </w:divBdr>
    </w:div>
    <w:div w:id="24672186">
      <w:bodyDiv w:val="1"/>
      <w:marLeft w:val="0"/>
      <w:marRight w:val="0"/>
      <w:marTop w:val="0"/>
      <w:marBottom w:val="0"/>
      <w:divBdr>
        <w:top w:val="none" w:sz="0" w:space="0" w:color="auto"/>
        <w:left w:val="none" w:sz="0" w:space="0" w:color="auto"/>
        <w:bottom w:val="none" w:sz="0" w:space="0" w:color="auto"/>
        <w:right w:val="none" w:sz="0" w:space="0" w:color="auto"/>
      </w:divBdr>
    </w:div>
    <w:div w:id="56518824">
      <w:bodyDiv w:val="1"/>
      <w:marLeft w:val="0"/>
      <w:marRight w:val="0"/>
      <w:marTop w:val="0"/>
      <w:marBottom w:val="0"/>
      <w:divBdr>
        <w:top w:val="none" w:sz="0" w:space="0" w:color="auto"/>
        <w:left w:val="none" w:sz="0" w:space="0" w:color="auto"/>
        <w:bottom w:val="none" w:sz="0" w:space="0" w:color="auto"/>
        <w:right w:val="none" w:sz="0" w:space="0" w:color="auto"/>
      </w:divBdr>
    </w:div>
    <w:div w:id="124474031">
      <w:bodyDiv w:val="1"/>
      <w:marLeft w:val="0"/>
      <w:marRight w:val="0"/>
      <w:marTop w:val="0"/>
      <w:marBottom w:val="0"/>
      <w:divBdr>
        <w:top w:val="none" w:sz="0" w:space="0" w:color="auto"/>
        <w:left w:val="none" w:sz="0" w:space="0" w:color="auto"/>
        <w:bottom w:val="none" w:sz="0" w:space="0" w:color="auto"/>
        <w:right w:val="none" w:sz="0" w:space="0" w:color="auto"/>
      </w:divBdr>
    </w:div>
    <w:div w:id="133062814">
      <w:bodyDiv w:val="1"/>
      <w:marLeft w:val="0"/>
      <w:marRight w:val="0"/>
      <w:marTop w:val="0"/>
      <w:marBottom w:val="0"/>
      <w:divBdr>
        <w:top w:val="none" w:sz="0" w:space="0" w:color="auto"/>
        <w:left w:val="none" w:sz="0" w:space="0" w:color="auto"/>
        <w:bottom w:val="none" w:sz="0" w:space="0" w:color="auto"/>
        <w:right w:val="none" w:sz="0" w:space="0" w:color="auto"/>
      </w:divBdr>
    </w:div>
    <w:div w:id="154498362">
      <w:bodyDiv w:val="1"/>
      <w:marLeft w:val="0"/>
      <w:marRight w:val="0"/>
      <w:marTop w:val="0"/>
      <w:marBottom w:val="0"/>
      <w:divBdr>
        <w:top w:val="none" w:sz="0" w:space="0" w:color="auto"/>
        <w:left w:val="none" w:sz="0" w:space="0" w:color="auto"/>
        <w:bottom w:val="none" w:sz="0" w:space="0" w:color="auto"/>
        <w:right w:val="none" w:sz="0" w:space="0" w:color="auto"/>
      </w:divBdr>
    </w:div>
    <w:div w:id="163471648">
      <w:bodyDiv w:val="1"/>
      <w:marLeft w:val="0"/>
      <w:marRight w:val="0"/>
      <w:marTop w:val="0"/>
      <w:marBottom w:val="0"/>
      <w:divBdr>
        <w:top w:val="none" w:sz="0" w:space="0" w:color="auto"/>
        <w:left w:val="none" w:sz="0" w:space="0" w:color="auto"/>
        <w:bottom w:val="none" w:sz="0" w:space="0" w:color="auto"/>
        <w:right w:val="none" w:sz="0" w:space="0" w:color="auto"/>
      </w:divBdr>
      <w:divsChild>
        <w:div w:id="1545603797">
          <w:marLeft w:val="0"/>
          <w:marRight w:val="0"/>
          <w:marTop w:val="0"/>
          <w:marBottom w:val="0"/>
          <w:divBdr>
            <w:top w:val="none" w:sz="0" w:space="0" w:color="auto"/>
            <w:left w:val="none" w:sz="0" w:space="0" w:color="auto"/>
            <w:bottom w:val="none" w:sz="0" w:space="0" w:color="auto"/>
            <w:right w:val="none" w:sz="0" w:space="0" w:color="auto"/>
          </w:divBdr>
          <w:divsChild>
            <w:div w:id="2087412605">
              <w:marLeft w:val="0"/>
              <w:marRight w:val="0"/>
              <w:marTop w:val="0"/>
              <w:marBottom w:val="0"/>
              <w:divBdr>
                <w:top w:val="none" w:sz="0" w:space="0" w:color="auto"/>
                <w:left w:val="none" w:sz="0" w:space="0" w:color="auto"/>
                <w:bottom w:val="none" w:sz="0" w:space="0" w:color="auto"/>
                <w:right w:val="none" w:sz="0" w:space="0" w:color="auto"/>
              </w:divBdr>
              <w:divsChild>
                <w:div w:id="414977839">
                  <w:marLeft w:val="0"/>
                  <w:marRight w:val="0"/>
                  <w:marTop w:val="0"/>
                  <w:marBottom w:val="0"/>
                  <w:divBdr>
                    <w:top w:val="none" w:sz="0" w:space="0" w:color="auto"/>
                    <w:left w:val="none" w:sz="0" w:space="0" w:color="auto"/>
                    <w:bottom w:val="none" w:sz="0" w:space="0" w:color="auto"/>
                    <w:right w:val="none" w:sz="0" w:space="0" w:color="auto"/>
                  </w:divBdr>
                  <w:divsChild>
                    <w:div w:id="1951547590">
                      <w:marLeft w:val="0"/>
                      <w:marRight w:val="0"/>
                      <w:marTop w:val="0"/>
                      <w:marBottom w:val="0"/>
                      <w:divBdr>
                        <w:top w:val="none" w:sz="0" w:space="0" w:color="auto"/>
                        <w:left w:val="none" w:sz="0" w:space="0" w:color="auto"/>
                        <w:bottom w:val="none" w:sz="0" w:space="0" w:color="auto"/>
                        <w:right w:val="none" w:sz="0" w:space="0" w:color="auto"/>
                      </w:divBdr>
                      <w:divsChild>
                        <w:div w:id="1997223519">
                          <w:marLeft w:val="0"/>
                          <w:marRight w:val="0"/>
                          <w:marTop w:val="0"/>
                          <w:marBottom w:val="0"/>
                          <w:divBdr>
                            <w:top w:val="none" w:sz="0" w:space="0" w:color="auto"/>
                            <w:left w:val="none" w:sz="0" w:space="0" w:color="auto"/>
                            <w:bottom w:val="none" w:sz="0" w:space="0" w:color="auto"/>
                            <w:right w:val="none" w:sz="0" w:space="0" w:color="auto"/>
                          </w:divBdr>
                          <w:divsChild>
                            <w:div w:id="665859235">
                              <w:marLeft w:val="-225"/>
                              <w:marRight w:val="-225"/>
                              <w:marTop w:val="0"/>
                              <w:marBottom w:val="0"/>
                              <w:divBdr>
                                <w:top w:val="none" w:sz="0" w:space="0" w:color="auto"/>
                                <w:left w:val="none" w:sz="0" w:space="0" w:color="auto"/>
                                <w:bottom w:val="none" w:sz="0" w:space="0" w:color="auto"/>
                                <w:right w:val="none" w:sz="0" w:space="0" w:color="auto"/>
                              </w:divBdr>
                              <w:divsChild>
                                <w:div w:id="1634603584">
                                  <w:marLeft w:val="0"/>
                                  <w:marRight w:val="0"/>
                                  <w:marTop w:val="0"/>
                                  <w:marBottom w:val="133"/>
                                  <w:divBdr>
                                    <w:top w:val="none" w:sz="0" w:space="0" w:color="auto"/>
                                    <w:left w:val="none" w:sz="0" w:space="0" w:color="auto"/>
                                    <w:bottom w:val="none" w:sz="0" w:space="0" w:color="auto"/>
                                    <w:right w:val="none" w:sz="0" w:space="0" w:color="auto"/>
                                  </w:divBdr>
                                  <w:divsChild>
                                    <w:div w:id="8583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4693">
      <w:bodyDiv w:val="1"/>
      <w:marLeft w:val="0"/>
      <w:marRight w:val="0"/>
      <w:marTop w:val="0"/>
      <w:marBottom w:val="0"/>
      <w:divBdr>
        <w:top w:val="none" w:sz="0" w:space="0" w:color="auto"/>
        <w:left w:val="none" w:sz="0" w:space="0" w:color="auto"/>
        <w:bottom w:val="none" w:sz="0" w:space="0" w:color="auto"/>
        <w:right w:val="none" w:sz="0" w:space="0" w:color="auto"/>
      </w:divBdr>
    </w:div>
    <w:div w:id="207642439">
      <w:bodyDiv w:val="1"/>
      <w:marLeft w:val="0"/>
      <w:marRight w:val="0"/>
      <w:marTop w:val="0"/>
      <w:marBottom w:val="0"/>
      <w:divBdr>
        <w:top w:val="none" w:sz="0" w:space="0" w:color="auto"/>
        <w:left w:val="none" w:sz="0" w:space="0" w:color="auto"/>
        <w:bottom w:val="none" w:sz="0" w:space="0" w:color="auto"/>
        <w:right w:val="none" w:sz="0" w:space="0" w:color="auto"/>
      </w:divBdr>
    </w:div>
    <w:div w:id="229850510">
      <w:bodyDiv w:val="1"/>
      <w:marLeft w:val="0"/>
      <w:marRight w:val="0"/>
      <w:marTop w:val="0"/>
      <w:marBottom w:val="0"/>
      <w:divBdr>
        <w:top w:val="none" w:sz="0" w:space="0" w:color="auto"/>
        <w:left w:val="none" w:sz="0" w:space="0" w:color="auto"/>
        <w:bottom w:val="none" w:sz="0" w:space="0" w:color="auto"/>
        <w:right w:val="none" w:sz="0" w:space="0" w:color="auto"/>
      </w:divBdr>
    </w:div>
    <w:div w:id="233854571">
      <w:bodyDiv w:val="1"/>
      <w:marLeft w:val="0"/>
      <w:marRight w:val="0"/>
      <w:marTop w:val="0"/>
      <w:marBottom w:val="0"/>
      <w:divBdr>
        <w:top w:val="none" w:sz="0" w:space="0" w:color="auto"/>
        <w:left w:val="none" w:sz="0" w:space="0" w:color="auto"/>
        <w:bottom w:val="none" w:sz="0" w:space="0" w:color="auto"/>
        <w:right w:val="none" w:sz="0" w:space="0" w:color="auto"/>
      </w:divBdr>
    </w:div>
    <w:div w:id="251816919">
      <w:bodyDiv w:val="1"/>
      <w:marLeft w:val="0"/>
      <w:marRight w:val="0"/>
      <w:marTop w:val="0"/>
      <w:marBottom w:val="0"/>
      <w:divBdr>
        <w:top w:val="none" w:sz="0" w:space="0" w:color="auto"/>
        <w:left w:val="none" w:sz="0" w:space="0" w:color="auto"/>
        <w:bottom w:val="none" w:sz="0" w:space="0" w:color="auto"/>
        <w:right w:val="none" w:sz="0" w:space="0" w:color="auto"/>
      </w:divBdr>
    </w:div>
    <w:div w:id="256796035">
      <w:bodyDiv w:val="1"/>
      <w:marLeft w:val="0"/>
      <w:marRight w:val="0"/>
      <w:marTop w:val="0"/>
      <w:marBottom w:val="0"/>
      <w:divBdr>
        <w:top w:val="none" w:sz="0" w:space="0" w:color="auto"/>
        <w:left w:val="none" w:sz="0" w:space="0" w:color="auto"/>
        <w:bottom w:val="none" w:sz="0" w:space="0" w:color="auto"/>
        <w:right w:val="none" w:sz="0" w:space="0" w:color="auto"/>
      </w:divBdr>
    </w:div>
    <w:div w:id="306596134">
      <w:bodyDiv w:val="1"/>
      <w:marLeft w:val="0"/>
      <w:marRight w:val="0"/>
      <w:marTop w:val="0"/>
      <w:marBottom w:val="0"/>
      <w:divBdr>
        <w:top w:val="none" w:sz="0" w:space="0" w:color="auto"/>
        <w:left w:val="none" w:sz="0" w:space="0" w:color="auto"/>
        <w:bottom w:val="none" w:sz="0" w:space="0" w:color="auto"/>
        <w:right w:val="none" w:sz="0" w:space="0" w:color="auto"/>
      </w:divBdr>
    </w:div>
    <w:div w:id="308438651">
      <w:bodyDiv w:val="1"/>
      <w:marLeft w:val="0"/>
      <w:marRight w:val="0"/>
      <w:marTop w:val="0"/>
      <w:marBottom w:val="0"/>
      <w:divBdr>
        <w:top w:val="none" w:sz="0" w:space="0" w:color="auto"/>
        <w:left w:val="none" w:sz="0" w:space="0" w:color="auto"/>
        <w:bottom w:val="none" w:sz="0" w:space="0" w:color="auto"/>
        <w:right w:val="none" w:sz="0" w:space="0" w:color="auto"/>
      </w:divBdr>
    </w:div>
    <w:div w:id="354618136">
      <w:bodyDiv w:val="1"/>
      <w:marLeft w:val="0"/>
      <w:marRight w:val="0"/>
      <w:marTop w:val="0"/>
      <w:marBottom w:val="0"/>
      <w:divBdr>
        <w:top w:val="none" w:sz="0" w:space="0" w:color="auto"/>
        <w:left w:val="none" w:sz="0" w:space="0" w:color="auto"/>
        <w:bottom w:val="none" w:sz="0" w:space="0" w:color="auto"/>
        <w:right w:val="none" w:sz="0" w:space="0" w:color="auto"/>
      </w:divBdr>
    </w:div>
    <w:div w:id="362098488">
      <w:bodyDiv w:val="1"/>
      <w:marLeft w:val="0"/>
      <w:marRight w:val="0"/>
      <w:marTop w:val="0"/>
      <w:marBottom w:val="0"/>
      <w:divBdr>
        <w:top w:val="none" w:sz="0" w:space="0" w:color="auto"/>
        <w:left w:val="none" w:sz="0" w:space="0" w:color="auto"/>
        <w:bottom w:val="none" w:sz="0" w:space="0" w:color="auto"/>
        <w:right w:val="none" w:sz="0" w:space="0" w:color="auto"/>
      </w:divBdr>
    </w:div>
    <w:div w:id="378669119">
      <w:bodyDiv w:val="1"/>
      <w:marLeft w:val="0"/>
      <w:marRight w:val="0"/>
      <w:marTop w:val="0"/>
      <w:marBottom w:val="0"/>
      <w:divBdr>
        <w:top w:val="none" w:sz="0" w:space="0" w:color="auto"/>
        <w:left w:val="none" w:sz="0" w:space="0" w:color="auto"/>
        <w:bottom w:val="none" w:sz="0" w:space="0" w:color="auto"/>
        <w:right w:val="none" w:sz="0" w:space="0" w:color="auto"/>
      </w:divBdr>
    </w:div>
    <w:div w:id="382218318">
      <w:bodyDiv w:val="1"/>
      <w:marLeft w:val="0"/>
      <w:marRight w:val="0"/>
      <w:marTop w:val="0"/>
      <w:marBottom w:val="0"/>
      <w:divBdr>
        <w:top w:val="none" w:sz="0" w:space="0" w:color="auto"/>
        <w:left w:val="none" w:sz="0" w:space="0" w:color="auto"/>
        <w:bottom w:val="none" w:sz="0" w:space="0" w:color="auto"/>
        <w:right w:val="none" w:sz="0" w:space="0" w:color="auto"/>
      </w:divBdr>
      <w:divsChild>
        <w:div w:id="13771394">
          <w:marLeft w:val="0"/>
          <w:marRight w:val="0"/>
          <w:marTop w:val="0"/>
          <w:marBottom w:val="0"/>
          <w:divBdr>
            <w:top w:val="none" w:sz="0" w:space="0" w:color="auto"/>
            <w:left w:val="none" w:sz="0" w:space="0" w:color="auto"/>
            <w:bottom w:val="none" w:sz="0" w:space="0" w:color="auto"/>
            <w:right w:val="none" w:sz="0" w:space="0" w:color="auto"/>
          </w:divBdr>
        </w:div>
        <w:div w:id="351037791">
          <w:marLeft w:val="0"/>
          <w:marRight w:val="0"/>
          <w:marTop w:val="0"/>
          <w:marBottom w:val="0"/>
          <w:divBdr>
            <w:top w:val="none" w:sz="0" w:space="0" w:color="auto"/>
            <w:left w:val="none" w:sz="0" w:space="0" w:color="auto"/>
            <w:bottom w:val="none" w:sz="0" w:space="0" w:color="auto"/>
            <w:right w:val="none" w:sz="0" w:space="0" w:color="auto"/>
          </w:divBdr>
        </w:div>
        <w:div w:id="1160927742">
          <w:marLeft w:val="0"/>
          <w:marRight w:val="0"/>
          <w:marTop w:val="0"/>
          <w:marBottom w:val="0"/>
          <w:divBdr>
            <w:top w:val="none" w:sz="0" w:space="0" w:color="auto"/>
            <w:left w:val="none" w:sz="0" w:space="0" w:color="auto"/>
            <w:bottom w:val="none" w:sz="0" w:space="0" w:color="auto"/>
            <w:right w:val="none" w:sz="0" w:space="0" w:color="auto"/>
          </w:divBdr>
        </w:div>
        <w:div w:id="1696610093">
          <w:marLeft w:val="0"/>
          <w:marRight w:val="0"/>
          <w:marTop w:val="0"/>
          <w:marBottom w:val="0"/>
          <w:divBdr>
            <w:top w:val="none" w:sz="0" w:space="0" w:color="auto"/>
            <w:left w:val="none" w:sz="0" w:space="0" w:color="auto"/>
            <w:bottom w:val="none" w:sz="0" w:space="0" w:color="auto"/>
            <w:right w:val="none" w:sz="0" w:space="0" w:color="auto"/>
          </w:divBdr>
        </w:div>
        <w:div w:id="1951353634">
          <w:marLeft w:val="0"/>
          <w:marRight w:val="0"/>
          <w:marTop w:val="0"/>
          <w:marBottom w:val="0"/>
          <w:divBdr>
            <w:top w:val="none" w:sz="0" w:space="0" w:color="auto"/>
            <w:left w:val="none" w:sz="0" w:space="0" w:color="auto"/>
            <w:bottom w:val="none" w:sz="0" w:space="0" w:color="auto"/>
            <w:right w:val="none" w:sz="0" w:space="0" w:color="auto"/>
          </w:divBdr>
        </w:div>
      </w:divsChild>
    </w:div>
    <w:div w:id="441609357">
      <w:bodyDiv w:val="1"/>
      <w:marLeft w:val="0"/>
      <w:marRight w:val="0"/>
      <w:marTop w:val="0"/>
      <w:marBottom w:val="0"/>
      <w:divBdr>
        <w:top w:val="none" w:sz="0" w:space="0" w:color="auto"/>
        <w:left w:val="none" w:sz="0" w:space="0" w:color="auto"/>
        <w:bottom w:val="none" w:sz="0" w:space="0" w:color="auto"/>
        <w:right w:val="none" w:sz="0" w:space="0" w:color="auto"/>
      </w:divBdr>
      <w:divsChild>
        <w:div w:id="583799303">
          <w:marLeft w:val="0"/>
          <w:marRight w:val="0"/>
          <w:marTop w:val="0"/>
          <w:marBottom w:val="0"/>
          <w:divBdr>
            <w:top w:val="none" w:sz="0" w:space="0" w:color="auto"/>
            <w:left w:val="none" w:sz="0" w:space="0" w:color="auto"/>
            <w:bottom w:val="none" w:sz="0" w:space="0" w:color="auto"/>
            <w:right w:val="none" w:sz="0" w:space="0" w:color="auto"/>
          </w:divBdr>
          <w:divsChild>
            <w:div w:id="208156326">
              <w:marLeft w:val="0"/>
              <w:marRight w:val="0"/>
              <w:marTop w:val="0"/>
              <w:marBottom w:val="0"/>
              <w:divBdr>
                <w:top w:val="none" w:sz="0" w:space="0" w:color="auto"/>
                <w:left w:val="none" w:sz="0" w:space="0" w:color="auto"/>
                <w:bottom w:val="none" w:sz="0" w:space="0" w:color="auto"/>
                <w:right w:val="none" w:sz="0" w:space="0" w:color="auto"/>
              </w:divBdr>
              <w:divsChild>
                <w:div w:id="702243767">
                  <w:marLeft w:val="0"/>
                  <w:marRight w:val="0"/>
                  <w:marTop w:val="0"/>
                  <w:marBottom w:val="0"/>
                  <w:divBdr>
                    <w:top w:val="none" w:sz="0" w:space="0" w:color="auto"/>
                    <w:left w:val="none" w:sz="0" w:space="0" w:color="auto"/>
                    <w:bottom w:val="none" w:sz="0" w:space="0" w:color="auto"/>
                    <w:right w:val="none" w:sz="0" w:space="0" w:color="auto"/>
                  </w:divBdr>
                  <w:divsChild>
                    <w:div w:id="64422346">
                      <w:marLeft w:val="0"/>
                      <w:marRight w:val="0"/>
                      <w:marTop w:val="0"/>
                      <w:marBottom w:val="0"/>
                      <w:divBdr>
                        <w:top w:val="none" w:sz="0" w:space="0" w:color="auto"/>
                        <w:left w:val="none" w:sz="0" w:space="0" w:color="auto"/>
                        <w:bottom w:val="none" w:sz="0" w:space="0" w:color="auto"/>
                        <w:right w:val="none" w:sz="0" w:space="0" w:color="auto"/>
                      </w:divBdr>
                      <w:divsChild>
                        <w:div w:id="1014117586">
                          <w:marLeft w:val="0"/>
                          <w:marRight w:val="0"/>
                          <w:marTop w:val="0"/>
                          <w:marBottom w:val="0"/>
                          <w:divBdr>
                            <w:top w:val="none" w:sz="0" w:space="0" w:color="auto"/>
                            <w:left w:val="none" w:sz="0" w:space="0" w:color="auto"/>
                            <w:bottom w:val="none" w:sz="0" w:space="0" w:color="auto"/>
                            <w:right w:val="none" w:sz="0" w:space="0" w:color="auto"/>
                          </w:divBdr>
                          <w:divsChild>
                            <w:div w:id="1535147112">
                              <w:marLeft w:val="-225"/>
                              <w:marRight w:val="-225"/>
                              <w:marTop w:val="0"/>
                              <w:marBottom w:val="0"/>
                              <w:divBdr>
                                <w:top w:val="none" w:sz="0" w:space="0" w:color="auto"/>
                                <w:left w:val="none" w:sz="0" w:space="0" w:color="auto"/>
                                <w:bottom w:val="none" w:sz="0" w:space="0" w:color="auto"/>
                                <w:right w:val="none" w:sz="0" w:space="0" w:color="auto"/>
                              </w:divBdr>
                              <w:divsChild>
                                <w:div w:id="759565836">
                                  <w:marLeft w:val="0"/>
                                  <w:marRight w:val="0"/>
                                  <w:marTop w:val="0"/>
                                  <w:marBottom w:val="133"/>
                                  <w:divBdr>
                                    <w:top w:val="none" w:sz="0" w:space="0" w:color="auto"/>
                                    <w:left w:val="none" w:sz="0" w:space="0" w:color="auto"/>
                                    <w:bottom w:val="none" w:sz="0" w:space="0" w:color="auto"/>
                                    <w:right w:val="none" w:sz="0" w:space="0" w:color="auto"/>
                                  </w:divBdr>
                                  <w:divsChild>
                                    <w:div w:id="20977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045589">
      <w:bodyDiv w:val="1"/>
      <w:marLeft w:val="0"/>
      <w:marRight w:val="0"/>
      <w:marTop w:val="0"/>
      <w:marBottom w:val="0"/>
      <w:divBdr>
        <w:top w:val="none" w:sz="0" w:space="0" w:color="auto"/>
        <w:left w:val="none" w:sz="0" w:space="0" w:color="auto"/>
        <w:bottom w:val="none" w:sz="0" w:space="0" w:color="auto"/>
        <w:right w:val="none" w:sz="0" w:space="0" w:color="auto"/>
      </w:divBdr>
    </w:div>
    <w:div w:id="485367911">
      <w:bodyDiv w:val="1"/>
      <w:marLeft w:val="0"/>
      <w:marRight w:val="0"/>
      <w:marTop w:val="0"/>
      <w:marBottom w:val="0"/>
      <w:divBdr>
        <w:top w:val="none" w:sz="0" w:space="0" w:color="auto"/>
        <w:left w:val="none" w:sz="0" w:space="0" w:color="auto"/>
        <w:bottom w:val="none" w:sz="0" w:space="0" w:color="auto"/>
        <w:right w:val="none" w:sz="0" w:space="0" w:color="auto"/>
      </w:divBdr>
    </w:div>
    <w:div w:id="500703562">
      <w:bodyDiv w:val="1"/>
      <w:marLeft w:val="0"/>
      <w:marRight w:val="0"/>
      <w:marTop w:val="0"/>
      <w:marBottom w:val="0"/>
      <w:divBdr>
        <w:top w:val="none" w:sz="0" w:space="0" w:color="auto"/>
        <w:left w:val="none" w:sz="0" w:space="0" w:color="auto"/>
        <w:bottom w:val="none" w:sz="0" w:space="0" w:color="auto"/>
        <w:right w:val="none" w:sz="0" w:space="0" w:color="auto"/>
      </w:divBdr>
    </w:div>
    <w:div w:id="502821650">
      <w:bodyDiv w:val="1"/>
      <w:marLeft w:val="0"/>
      <w:marRight w:val="0"/>
      <w:marTop w:val="0"/>
      <w:marBottom w:val="0"/>
      <w:divBdr>
        <w:top w:val="none" w:sz="0" w:space="0" w:color="auto"/>
        <w:left w:val="none" w:sz="0" w:space="0" w:color="auto"/>
        <w:bottom w:val="none" w:sz="0" w:space="0" w:color="auto"/>
        <w:right w:val="none" w:sz="0" w:space="0" w:color="auto"/>
      </w:divBdr>
    </w:div>
    <w:div w:id="511606774">
      <w:bodyDiv w:val="1"/>
      <w:marLeft w:val="0"/>
      <w:marRight w:val="0"/>
      <w:marTop w:val="0"/>
      <w:marBottom w:val="0"/>
      <w:divBdr>
        <w:top w:val="none" w:sz="0" w:space="0" w:color="auto"/>
        <w:left w:val="none" w:sz="0" w:space="0" w:color="auto"/>
        <w:bottom w:val="none" w:sz="0" w:space="0" w:color="auto"/>
        <w:right w:val="none" w:sz="0" w:space="0" w:color="auto"/>
      </w:divBdr>
    </w:div>
    <w:div w:id="520163498">
      <w:bodyDiv w:val="1"/>
      <w:marLeft w:val="0"/>
      <w:marRight w:val="0"/>
      <w:marTop w:val="0"/>
      <w:marBottom w:val="0"/>
      <w:divBdr>
        <w:top w:val="none" w:sz="0" w:space="0" w:color="auto"/>
        <w:left w:val="none" w:sz="0" w:space="0" w:color="auto"/>
        <w:bottom w:val="none" w:sz="0" w:space="0" w:color="auto"/>
        <w:right w:val="none" w:sz="0" w:space="0" w:color="auto"/>
      </w:divBdr>
    </w:div>
    <w:div w:id="525022587">
      <w:bodyDiv w:val="1"/>
      <w:marLeft w:val="0"/>
      <w:marRight w:val="0"/>
      <w:marTop w:val="0"/>
      <w:marBottom w:val="0"/>
      <w:divBdr>
        <w:top w:val="none" w:sz="0" w:space="0" w:color="auto"/>
        <w:left w:val="none" w:sz="0" w:space="0" w:color="auto"/>
        <w:bottom w:val="none" w:sz="0" w:space="0" w:color="auto"/>
        <w:right w:val="none" w:sz="0" w:space="0" w:color="auto"/>
      </w:divBdr>
    </w:div>
    <w:div w:id="536430408">
      <w:bodyDiv w:val="1"/>
      <w:marLeft w:val="0"/>
      <w:marRight w:val="0"/>
      <w:marTop w:val="0"/>
      <w:marBottom w:val="0"/>
      <w:divBdr>
        <w:top w:val="none" w:sz="0" w:space="0" w:color="auto"/>
        <w:left w:val="none" w:sz="0" w:space="0" w:color="auto"/>
        <w:bottom w:val="none" w:sz="0" w:space="0" w:color="auto"/>
        <w:right w:val="none" w:sz="0" w:space="0" w:color="auto"/>
      </w:divBdr>
    </w:div>
    <w:div w:id="542403621">
      <w:bodyDiv w:val="1"/>
      <w:marLeft w:val="0"/>
      <w:marRight w:val="0"/>
      <w:marTop w:val="0"/>
      <w:marBottom w:val="0"/>
      <w:divBdr>
        <w:top w:val="none" w:sz="0" w:space="0" w:color="auto"/>
        <w:left w:val="none" w:sz="0" w:space="0" w:color="auto"/>
        <w:bottom w:val="none" w:sz="0" w:space="0" w:color="auto"/>
        <w:right w:val="none" w:sz="0" w:space="0" w:color="auto"/>
      </w:divBdr>
    </w:div>
    <w:div w:id="607810853">
      <w:bodyDiv w:val="1"/>
      <w:marLeft w:val="0"/>
      <w:marRight w:val="0"/>
      <w:marTop w:val="0"/>
      <w:marBottom w:val="0"/>
      <w:divBdr>
        <w:top w:val="none" w:sz="0" w:space="0" w:color="auto"/>
        <w:left w:val="none" w:sz="0" w:space="0" w:color="auto"/>
        <w:bottom w:val="none" w:sz="0" w:space="0" w:color="auto"/>
        <w:right w:val="none" w:sz="0" w:space="0" w:color="auto"/>
      </w:divBdr>
    </w:div>
    <w:div w:id="673456627">
      <w:bodyDiv w:val="1"/>
      <w:marLeft w:val="0"/>
      <w:marRight w:val="0"/>
      <w:marTop w:val="0"/>
      <w:marBottom w:val="0"/>
      <w:divBdr>
        <w:top w:val="none" w:sz="0" w:space="0" w:color="auto"/>
        <w:left w:val="none" w:sz="0" w:space="0" w:color="auto"/>
        <w:bottom w:val="none" w:sz="0" w:space="0" w:color="auto"/>
        <w:right w:val="none" w:sz="0" w:space="0" w:color="auto"/>
      </w:divBdr>
    </w:div>
    <w:div w:id="707343200">
      <w:bodyDiv w:val="1"/>
      <w:marLeft w:val="0"/>
      <w:marRight w:val="0"/>
      <w:marTop w:val="0"/>
      <w:marBottom w:val="0"/>
      <w:divBdr>
        <w:top w:val="none" w:sz="0" w:space="0" w:color="auto"/>
        <w:left w:val="none" w:sz="0" w:space="0" w:color="auto"/>
        <w:bottom w:val="none" w:sz="0" w:space="0" w:color="auto"/>
        <w:right w:val="none" w:sz="0" w:space="0" w:color="auto"/>
      </w:divBdr>
    </w:div>
    <w:div w:id="732387652">
      <w:bodyDiv w:val="1"/>
      <w:marLeft w:val="0"/>
      <w:marRight w:val="0"/>
      <w:marTop w:val="0"/>
      <w:marBottom w:val="0"/>
      <w:divBdr>
        <w:top w:val="none" w:sz="0" w:space="0" w:color="auto"/>
        <w:left w:val="none" w:sz="0" w:space="0" w:color="auto"/>
        <w:bottom w:val="none" w:sz="0" w:space="0" w:color="auto"/>
        <w:right w:val="none" w:sz="0" w:space="0" w:color="auto"/>
      </w:divBdr>
    </w:div>
    <w:div w:id="773287929">
      <w:bodyDiv w:val="1"/>
      <w:marLeft w:val="0"/>
      <w:marRight w:val="0"/>
      <w:marTop w:val="0"/>
      <w:marBottom w:val="0"/>
      <w:divBdr>
        <w:top w:val="none" w:sz="0" w:space="0" w:color="auto"/>
        <w:left w:val="none" w:sz="0" w:space="0" w:color="auto"/>
        <w:bottom w:val="none" w:sz="0" w:space="0" w:color="auto"/>
        <w:right w:val="none" w:sz="0" w:space="0" w:color="auto"/>
      </w:divBdr>
    </w:div>
    <w:div w:id="805004994">
      <w:bodyDiv w:val="1"/>
      <w:marLeft w:val="0"/>
      <w:marRight w:val="0"/>
      <w:marTop w:val="0"/>
      <w:marBottom w:val="0"/>
      <w:divBdr>
        <w:top w:val="none" w:sz="0" w:space="0" w:color="auto"/>
        <w:left w:val="none" w:sz="0" w:space="0" w:color="auto"/>
        <w:bottom w:val="none" w:sz="0" w:space="0" w:color="auto"/>
        <w:right w:val="none" w:sz="0" w:space="0" w:color="auto"/>
      </w:divBdr>
    </w:div>
    <w:div w:id="836118116">
      <w:bodyDiv w:val="1"/>
      <w:marLeft w:val="0"/>
      <w:marRight w:val="0"/>
      <w:marTop w:val="0"/>
      <w:marBottom w:val="0"/>
      <w:divBdr>
        <w:top w:val="none" w:sz="0" w:space="0" w:color="auto"/>
        <w:left w:val="none" w:sz="0" w:space="0" w:color="auto"/>
        <w:bottom w:val="none" w:sz="0" w:space="0" w:color="auto"/>
        <w:right w:val="none" w:sz="0" w:space="0" w:color="auto"/>
      </w:divBdr>
      <w:divsChild>
        <w:div w:id="1816333134">
          <w:marLeft w:val="0"/>
          <w:marRight w:val="0"/>
          <w:marTop w:val="0"/>
          <w:marBottom w:val="0"/>
          <w:divBdr>
            <w:top w:val="single" w:sz="2" w:space="0" w:color="CCCCCC"/>
            <w:left w:val="single" w:sz="6" w:space="0" w:color="CCCCCC"/>
            <w:bottom w:val="single" w:sz="6" w:space="0" w:color="CCCCCC"/>
            <w:right w:val="single" w:sz="6" w:space="0" w:color="CCCCCC"/>
          </w:divBdr>
          <w:divsChild>
            <w:div w:id="243033381">
              <w:marLeft w:val="0"/>
              <w:marRight w:val="0"/>
              <w:marTop w:val="0"/>
              <w:marBottom w:val="0"/>
              <w:divBdr>
                <w:top w:val="none" w:sz="0" w:space="0" w:color="auto"/>
                <w:left w:val="none" w:sz="0" w:space="0" w:color="auto"/>
                <w:bottom w:val="none" w:sz="0" w:space="0" w:color="auto"/>
                <w:right w:val="none" w:sz="0" w:space="0" w:color="auto"/>
              </w:divBdr>
              <w:divsChild>
                <w:div w:id="693309435">
                  <w:marLeft w:val="-180"/>
                  <w:marRight w:val="-180"/>
                  <w:marTop w:val="0"/>
                  <w:marBottom w:val="0"/>
                  <w:divBdr>
                    <w:top w:val="none" w:sz="0" w:space="0" w:color="auto"/>
                    <w:left w:val="none" w:sz="0" w:space="0" w:color="auto"/>
                    <w:bottom w:val="none" w:sz="0" w:space="0" w:color="auto"/>
                    <w:right w:val="none" w:sz="0" w:space="0" w:color="auto"/>
                  </w:divBdr>
                  <w:divsChild>
                    <w:div w:id="826286987">
                      <w:marLeft w:val="0"/>
                      <w:marRight w:val="0"/>
                      <w:marTop w:val="0"/>
                      <w:marBottom w:val="0"/>
                      <w:divBdr>
                        <w:top w:val="none" w:sz="0" w:space="0" w:color="auto"/>
                        <w:left w:val="none" w:sz="0" w:space="0" w:color="auto"/>
                        <w:bottom w:val="none" w:sz="0" w:space="0" w:color="auto"/>
                        <w:right w:val="none" w:sz="0" w:space="0" w:color="auto"/>
                      </w:divBdr>
                      <w:divsChild>
                        <w:div w:id="699743034">
                          <w:marLeft w:val="-180"/>
                          <w:marRight w:val="-180"/>
                          <w:marTop w:val="0"/>
                          <w:marBottom w:val="0"/>
                          <w:divBdr>
                            <w:top w:val="none" w:sz="0" w:space="0" w:color="auto"/>
                            <w:left w:val="none" w:sz="0" w:space="0" w:color="auto"/>
                            <w:bottom w:val="none" w:sz="0" w:space="0" w:color="auto"/>
                            <w:right w:val="none" w:sz="0" w:space="0" w:color="auto"/>
                          </w:divBdr>
                          <w:divsChild>
                            <w:div w:id="230701301">
                              <w:marLeft w:val="0"/>
                              <w:marRight w:val="0"/>
                              <w:marTop w:val="0"/>
                              <w:marBottom w:val="0"/>
                              <w:divBdr>
                                <w:top w:val="none" w:sz="0" w:space="0" w:color="auto"/>
                                <w:left w:val="none" w:sz="0" w:space="0" w:color="auto"/>
                                <w:bottom w:val="none" w:sz="0" w:space="0" w:color="auto"/>
                                <w:right w:val="none" w:sz="0" w:space="0" w:color="auto"/>
                              </w:divBdr>
                              <w:divsChild>
                                <w:div w:id="921640175">
                                  <w:marLeft w:val="0"/>
                                  <w:marRight w:val="0"/>
                                  <w:marTop w:val="0"/>
                                  <w:marBottom w:val="0"/>
                                  <w:divBdr>
                                    <w:top w:val="none" w:sz="0" w:space="0" w:color="auto"/>
                                    <w:left w:val="none" w:sz="0" w:space="0" w:color="auto"/>
                                    <w:bottom w:val="none" w:sz="0" w:space="0" w:color="auto"/>
                                    <w:right w:val="none" w:sz="0" w:space="0" w:color="auto"/>
                                  </w:divBdr>
                                  <w:divsChild>
                                    <w:div w:id="382753246">
                                      <w:marLeft w:val="0"/>
                                      <w:marRight w:val="0"/>
                                      <w:marTop w:val="0"/>
                                      <w:marBottom w:val="0"/>
                                      <w:divBdr>
                                        <w:top w:val="none" w:sz="0" w:space="0" w:color="auto"/>
                                        <w:left w:val="none" w:sz="0" w:space="0" w:color="auto"/>
                                        <w:bottom w:val="none" w:sz="0" w:space="0" w:color="auto"/>
                                        <w:right w:val="none" w:sz="0" w:space="0" w:color="auto"/>
                                      </w:divBdr>
                                      <w:divsChild>
                                        <w:div w:id="383716176">
                                          <w:marLeft w:val="0"/>
                                          <w:marRight w:val="0"/>
                                          <w:marTop w:val="0"/>
                                          <w:marBottom w:val="0"/>
                                          <w:divBdr>
                                            <w:top w:val="none" w:sz="0" w:space="0" w:color="auto"/>
                                            <w:left w:val="none" w:sz="0" w:space="0" w:color="auto"/>
                                            <w:bottom w:val="none" w:sz="0" w:space="0" w:color="auto"/>
                                            <w:right w:val="none" w:sz="0" w:space="0" w:color="auto"/>
                                          </w:divBdr>
                                          <w:divsChild>
                                            <w:div w:id="1240797192">
                                              <w:marLeft w:val="0"/>
                                              <w:marRight w:val="0"/>
                                              <w:marTop w:val="0"/>
                                              <w:marBottom w:val="0"/>
                                              <w:divBdr>
                                                <w:top w:val="none" w:sz="0" w:space="0" w:color="auto"/>
                                                <w:left w:val="none" w:sz="0" w:space="0" w:color="auto"/>
                                                <w:bottom w:val="none" w:sz="0" w:space="0" w:color="auto"/>
                                                <w:right w:val="none" w:sz="0" w:space="0" w:color="auto"/>
                                              </w:divBdr>
                                              <w:divsChild>
                                                <w:div w:id="1932661072">
                                                  <w:marLeft w:val="0"/>
                                                  <w:marRight w:val="0"/>
                                                  <w:marTop w:val="0"/>
                                                  <w:marBottom w:val="0"/>
                                                  <w:divBdr>
                                                    <w:top w:val="none" w:sz="0" w:space="0" w:color="auto"/>
                                                    <w:left w:val="none" w:sz="0" w:space="0" w:color="auto"/>
                                                    <w:bottom w:val="none" w:sz="0" w:space="0" w:color="auto"/>
                                                    <w:right w:val="none" w:sz="0" w:space="0" w:color="auto"/>
                                                  </w:divBdr>
                                                  <w:divsChild>
                                                    <w:div w:id="1928880898">
                                                      <w:marLeft w:val="0"/>
                                                      <w:marRight w:val="0"/>
                                                      <w:marTop w:val="0"/>
                                                      <w:marBottom w:val="0"/>
                                                      <w:divBdr>
                                                        <w:top w:val="none" w:sz="0" w:space="0" w:color="auto"/>
                                                        <w:left w:val="none" w:sz="0" w:space="0" w:color="auto"/>
                                                        <w:bottom w:val="none" w:sz="0" w:space="0" w:color="auto"/>
                                                        <w:right w:val="none" w:sz="0" w:space="0" w:color="auto"/>
                                                      </w:divBdr>
                                                      <w:divsChild>
                                                        <w:div w:id="623077403">
                                                          <w:marLeft w:val="-180"/>
                                                          <w:marRight w:val="-180"/>
                                                          <w:marTop w:val="0"/>
                                                          <w:marBottom w:val="0"/>
                                                          <w:divBdr>
                                                            <w:top w:val="none" w:sz="0" w:space="0" w:color="auto"/>
                                                            <w:left w:val="none" w:sz="0" w:space="0" w:color="auto"/>
                                                            <w:bottom w:val="none" w:sz="0" w:space="0" w:color="auto"/>
                                                            <w:right w:val="none" w:sz="0" w:space="0" w:color="auto"/>
                                                          </w:divBdr>
                                                          <w:divsChild>
                                                            <w:div w:id="442504384">
                                                              <w:marLeft w:val="0"/>
                                                              <w:marRight w:val="0"/>
                                                              <w:marTop w:val="0"/>
                                                              <w:marBottom w:val="0"/>
                                                              <w:divBdr>
                                                                <w:top w:val="none" w:sz="0" w:space="0" w:color="auto"/>
                                                                <w:left w:val="none" w:sz="0" w:space="0" w:color="auto"/>
                                                                <w:bottom w:val="none" w:sz="0" w:space="0" w:color="auto"/>
                                                                <w:right w:val="none" w:sz="0" w:space="0" w:color="auto"/>
                                                              </w:divBdr>
                                                              <w:divsChild>
                                                                <w:div w:id="14696957">
                                                                  <w:marLeft w:val="0"/>
                                                                  <w:marRight w:val="0"/>
                                                                  <w:marTop w:val="0"/>
                                                                  <w:marBottom w:val="0"/>
                                                                  <w:divBdr>
                                                                    <w:top w:val="none" w:sz="0" w:space="0" w:color="auto"/>
                                                                    <w:left w:val="none" w:sz="0" w:space="0" w:color="auto"/>
                                                                    <w:bottom w:val="none" w:sz="0" w:space="0" w:color="auto"/>
                                                                    <w:right w:val="none" w:sz="0" w:space="0" w:color="auto"/>
                                                                  </w:divBdr>
                                                                  <w:divsChild>
                                                                    <w:div w:id="1590653096">
                                                                      <w:marLeft w:val="0"/>
                                                                      <w:marRight w:val="0"/>
                                                                      <w:marTop w:val="0"/>
                                                                      <w:marBottom w:val="0"/>
                                                                      <w:divBdr>
                                                                        <w:top w:val="none" w:sz="0" w:space="0" w:color="auto"/>
                                                                        <w:left w:val="none" w:sz="0" w:space="0" w:color="auto"/>
                                                                        <w:bottom w:val="none" w:sz="0" w:space="0" w:color="auto"/>
                                                                        <w:right w:val="none" w:sz="0" w:space="0" w:color="auto"/>
                                                                      </w:divBdr>
                                                                      <w:divsChild>
                                                                        <w:div w:id="106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576547">
      <w:bodyDiv w:val="1"/>
      <w:marLeft w:val="0"/>
      <w:marRight w:val="0"/>
      <w:marTop w:val="0"/>
      <w:marBottom w:val="0"/>
      <w:divBdr>
        <w:top w:val="none" w:sz="0" w:space="0" w:color="auto"/>
        <w:left w:val="none" w:sz="0" w:space="0" w:color="auto"/>
        <w:bottom w:val="none" w:sz="0" w:space="0" w:color="auto"/>
        <w:right w:val="none" w:sz="0" w:space="0" w:color="auto"/>
      </w:divBdr>
    </w:div>
    <w:div w:id="857163708">
      <w:bodyDiv w:val="1"/>
      <w:marLeft w:val="0"/>
      <w:marRight w:val="0"/>
      <w:marTop w:val="0"/>
      <w:marBottom w:val="0"/>
      <w:divBdr>
        <w:top w:val="none" w:sz="0" w:space="0" w:color="auto"/>
        <w:left w:val="none" w:sz="0" w:space="0" w:color="auto"/>
        <w:bottom w:val="none" w:sz="0" w:space="0" w:color="auto"/>
        <w:right w:val="none" w:sz="0" w:space="0" w:color="auto"/>
      </w:divBdr>
      <w:divsChild>
        <w:div w:id="384569576">
          <w:marLeft w:val="0"/>
          <w:marRight w:val="0"/>
          <w:marTop w:val="0"/>
          <w:marBottom w:val="0"/>
          <w:divBdr>
            <w:top w:val="none" w:sz="0" w:space="0" w:color="auto"/>
            <w:left w:val="none" w:sz="0" w:space="0" w:color="auto"/>
            <w:bottom w:val="none" w:sz="0" w:space="0" w:color="auto"/>
            <w:right w:val="none" w:sz="0" w:space="0" w:color="auto"/>
          </w:divBdr>
          <w:divsChild>
            <w:div w:id="1145314700">
              <w:marLeft w:val="0"/>
              <w:marRight w:val="0"/>
              <w:marTop w:val="0"/>
              <w:marBottom w:val="0"/>
              <w:divBdr>
                <w:top w:val="none" w:sz="0" w:space="0" w:color="auto"/>
                <w:left w:val="none" w:sz="0" w:space="0" w:color="auto"/>
                <w:bottom w:val="none" w:sz="0" w:space="0" w:color="auto"/>
                <w:right w:val="none" w:sz="0" w:space="0" w:color="auto"/>
              </w:divBdr>
              <w:divsChild>
                <w:div w:id="603004632">
                  <w:marLeft w:val="0"/>
                  <w:marRight w:val="0"/>
                  <w:marTop w:val="0"/>
                  <w:marBottom w:val="0"/>
                  <w:divBdr>
                    <w:top w:val="none" w:sz="0" w:space="0" w:color="auto"/>
                    <w:left w:val="none" w:sz="0" w:space="0" w:color="auto"/>
                    <w:bottom w:val="none" w:sz="0" w:space="0" w:color="auto"/>
                    <w:right w:val="none" w:sz="0" w:space="0" w:color="auto"/>
                  </w:divBdr>
                  <w:divsChild>
                    <w:div w:id="1084837614">
                      <w:marLeft w:val="0"/>
                      <w:marRight w:val="0"/>
                      <w:marTop w:val="0"/>
                      <w:marBottom w:val="0"/>
                      <w:divBdr>
                        <w:top w:val="none" w:sz="0" w:space="0" w:color="auto"/>
                        <w:left w:val="none" w:sz="0" w:space="0" w:color="auto"/>
                        <w:bottom w:val="none" w:sz="0" w:space="0" w:color="auto"/>
                        <w:right w:val="none" w:sz="0" w:space="0" w:color="auto"/>
                      </w:divBdr>
                      <w:divsChild>
                        <w:div w:id="1277252659">
                          <w:marLeft w:val="0"/>
                          <w:marRight w:val="0"/>
                          <w:marTop w:val="0"/>
                          <w:marBottom w:val="0"/>
                          <w:divBdr>
                            <w:top w:val="none" w:sz="0" w:space="0" w:color="auto"/>
                            <w:left w:val="none" w:sz="0" w:space="0" w:color="auto"/>
                            <w:bottom w:val="none" w:sz="0" w:space="0" w:color="auto"/>
                            <w:right w:val="none" w:sz="0" w:space="0" w:color="auto"/>
                          </w:divBdr>
                          <w:divsChild>
                            <w:div w:id="1596985510">
                              <w:marLeft w:val="-225"/>
                              <w:marRight w:val="-225"/>
                              <w:marTop w:val="0"/>
                              <w:marBottom w:val="0"/>
                              <w:divBdr>
                                <w:top w:val="none" w:sz="0" w:space="0" w:color="auto"/>
                                <w:left w:val="none" w:sz="0" w:space="0" w:color="auto"/>
                                <w:bottom w:val="none" w:sz="0" w:space="0" w:color="auto"/>
                                <w:right w:val="none" w:sz="0" w:space="0" w:color="auto"/>
                              </w:divBdr>
                              <w:divsChild>
                                <w:div w:id="267006942">
                                  <w:marLeft w:val="0"/>
                                  <w:marRight w:val="0"/>
                                  <w:marTop w:val="0"/>
                                  <w:marBottom w:val="133"/>
                                  <w:divBdr>
                                    <w:top w:val="none" w:sz="0" w:space="0" w:color="auto"/>
                                    <w:left w:val="none" w:sz="0" w:space="0" w:color="auto"/>
                                    <w:bottom w:val="none" w:sz="0" w:space="0" w:color="auto"/>
                                    <w:right w:val="none" w:sz="0" w:space="0" w:color="auto"/>
                                  </w:divBdr>
                                  <w:divsChild>
                                    <w:div w:id="3023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175261">
      <w:bodyDiv w:val="1"/>
      <w:marLeft w:val="0"/>
      <w:marRight w:val="0"/>
      <w:marTop w:val="0"/>
      <w:marBottom w:val="0"/>
      <w:divBdr>
        <w:top w:val="none" w:sz="0" w:space="0" w:color="auto"/>
        <w:left w:val="none" w:sz="0" w:space="0" w:color="auto"/>
        <w:bottom w:val="none" w:sz="0" w:space="0" w:color="auto"/>
        <w:right w:val="none" w:sz="0" w:space="0" w:color="auto"/>
      </w:divBdr>
      <w:divsChild>
        <w:div w:id="303899439">
          <w:marLeft w:val="0"/>
          <w:marRight w:val="0"/>
          <w:marTop w:val="0"/>
          <w:marBottom w:val="0"/>
          <w:divBdr>
            <w:top w:val="none" w:sz="0" w:space="0" w:color="auto"/>
            <w:left w:val="none" w:sz="0" w:space="0" w:color="auto"/>
            <w:bottom w:val="none" w:sz="0" w:space="0" w:color="auto"/>
            <w:right w:val="none" w:sz="0" w:space="0" w:color="auto"/>
          </w:divBdr>
        </w:div>
        <w:div w:id="701439095">
          <w:marLeft w:val="0"/>
          <w:marRight w:val="0"/>
          <w:marTop w:val="0"/>
          <w:marBottom w:val="0"/>
          <w:divBdr>
            <w:top w:val="none" w:sz="0" w:space="0" w:color="auto"/>
            <w:left w:val="none" w:sz="0" w:space="0" w:color="auto"/>
            <w:bottom w:val="none" w:sz="0" w:space="0" w:color="auto"/>
            <w:right w:val="none" w:sz="0" w:space="0" w:color="auto"/>
          </w:divBdr>
        </w:div>
        <w:div w:id="1441416683">
          <w:marLeft w:val="0"/>
          <w:marRight w:val="0"/>
          <w:marTop w:val="0"/>
          <w:marBottom w:val="0"/>
          <w:divBdr>
            <w:top w:val="none" w:sz="0" w:space="0" w:color="auto"/>
            <w:left w:val="none" w:sz="0" w:space="0" w:color="auto"/>
            <w:bottom w:val="none" w:sz="0" w:space="0" w:color="auto"/>
            <w:right w:val="none" w:sz="0" w:space="0" w:color="auto"/>
          </w:divBdr>
        </w:div>
        <w:div w:id="1603300060">
          <w:marLeft w:val="0"/>
          <w:marRight w:val="0"/>
          <w:marTop w:val="0"/>
          <w:marBottom w:val="0"/>
          <w:divBdr>
            <w:top w:val="none" w:sz="0" w:space="0" w:color="auto"/>
            <w:left w:val="none" w:sz="0" w:space="0" w:color="auto"/>
            <w:bottom w:val="none" w:sz="0" w:space="0" w:color="auto"/>
            <w:right w:val="none" w:sz="0" w:space="0" w:color="auto"/>
          </w:divBdr>
        </w:div>
        <w:div w:id="1743327301">
          <w:marLeft w:val="0"/>
          <w:marRight w:val="0"/>
          <w:marTop w:val="0"/>
          <w:marBottom w:val="0"/>
          <w:divBdr>
            <w:top w:val="none" w:sz="0" w:space="0" w:color="auto"/>
            <w:left w:val="none" w:sz="0" w:space="0" w:color="auto"/>
            <w:bottom w:val="none" w:sz="0" w:space="0" w:color="auto"/>
            <w:right w:val="none" w:sz="0" w:space="0" w:color="auto"/>
          </w:divBdr>
        </w:div>
      </w:divsChild>
    </w:div>
    <w:div w:id="922907523">
      <w:bodyDiv w:val="1"/>
      <w:marLeft w:val="0"/>
      <w:marRight w:val="0"/>
      <w:marTop w:val="0"/>
      <w:marBottom w:val="0"/>
      <w:divBdr>
        <w:top w:val="none" w:sz="0" w:space="0" w:color="auto"/>
        <w:left w:val="none" w:sz="0" w:space="0" w:color="auto"/>
        <w:bottom w:val="none" w:sz="0" w:space="0" w:color="auto"/>
        <w:right w:val="none" w:sz="0" w:space="0" w:color="auto"/>
      </w:divBdr>
    </w:div>
    <w:div w:id="928268341">
      <w:bodyDiv w:val="1"/>
      <w:marLeft w:val="0"/>
      <w:marRight w:val="0"/>
      <w:marTop w:val="0"/>
      <w:marBottom w:val="0"/>
      <w:divBdr>
        <w:top w:val="none" w:sz="0" w:space="0" w:color="auto"/>
        <w:left w:val="none" w:sz="0" w:space="0" w:color="auto"/>
        <w:bottom w:val="none" w:sz="0" w:space="0" w:color="auto"/>
        <w:right w:val="none" w:sz="0" w:space="0" w:color="auto"/>
      </w:divBdr>
    </w:div>
    <w:div w:id="944770525">
      <w:bodyDiv w:val="1"/>
      <w:marLeft w:val="0"/>
      <w:marRight w:val="0"/>
      <w:marTop w:val="0"/>
      <w:marBottom w:val="0"/>
      <w:divBdr>
        <w:top w:val="none" w:sz="0" w:space="0" w:color="auto"/>
        <w:left w:val="none" w:sz="0" w:space="0" w:color="auto"/>
        <w:bottom w:val="none" w:sz="0" w:space="0" w:color="auto"/>
        <w:right w:val="none" w:sz="0" w:space="0" w:color="auto"/>
      </w:divBdr>
    </w:div>
    <w:div w:id="946235517">
      <w:bodyDiv w:val="1"/>
      <w:marLeft w:val="0"/>
      <w:marRight w:val="0"/>
      <w:marTop w:val="0"/>
      <w:marBottom w:val="0"/>
      <w:divBdr>
        <w:top w:val="none" w:sz="0" w:space="0" w:color="auto"/>
        <w:left w:val="none" w:sz="0" w:space="0" w:color="auto"/>
        <w:bottom w:val="none" w:sz="0" w:space="0" w:color="auto"/>
        <w:right w:val="none" w:sz="0" w:space="0" w:color="auto"/>
      </w:divBdr>
    </w:div>
    <w:div w:id="956374190">
      <w:bodyDiv w:val="1"/>
      <w:marLeft w:val="0"/>
      <w:marRight w:val="0"/>
      <w:marTop w:val="0"/>
      <w:marBottom w:val="0"/>
      <w:divBdr>
        <w:top w:val="none" w:sz="0" w:space="0" w:color="auto"/>
        <w:left w:val="none" w:sz="0" w:space="0" w:color="auto"/>
        <w:bottom w:val="none" w:sz="0" w:space="0" w:color="auto"/>
        <w:right w:val="none" w:sz="0" w:space="0" w:color="auto"/>
      </w:divBdr>
    </w:div>
    <w:div w:id="956910310">
      <w:bodyDiv w:val="1"/>
      <w:marLeft w:val="0"/>
      <w:marRight w:val="0"/>
      <w:marTop w:val="0"/>
      <w:marBottom w:val="0"/>
      <w:divBdr>
        <w:top w:val="none" w:sz="0" w:space="0" w:color="auto"/>
        <w:left w:val="none" w:sz="0" w:space="0" w:color="auto"/>
        <w:bottom w:val="none" w:sz="0" w:space="0" w:color="auto"/>
        <w:right w:val="none" w:sz="0" w:space="0" w:color="auto"/>
      </w:divBdr>
    </w:div>
    <w:div w:id="963928851">
      <w:bodyDiv w:val="1"/>
      <w:marLeft w:val="0"/>
      <w:marRight w:val="0"/>
      <w:marTop w:val="0"/>
      <w:marBottom w:val="0"/>
      <w:divBdr>
        <w:top w:val="none" w:sz="0" w:space="0" w:color="auto"/>
        <w:left w:val="none" w:sz="0" w:space="0" w:color="auto"/>
        <w:bottom w:val="none" w:sz="0" w:space="0" w:color="auto"/>
        <w:right w:val="none" w:sz="0" w:space="0" w:color="auto"/>
      </w:divBdr>
    </w:div>
    <w:div w:id="968630805">
      <w:bodyDiv w:val="1"/>
      <w:marLeft w:val="0"/>
      <w:marRight w:val="0"/>
      <w:marTop w:val="0"/>
      <w:marBottom w:val="0"/>
      <w:divBdr>
        <w:top w:val="none" w:sz="0" w:space="0" w:color="auto"/>
        <w:left w:val="none" w:sz="0" w:space="0" w:color="auto"/>
        <w:bottom w:val="none" w:sz="0" w:space="0" w:color="auto"/>
        <w:right w:val="none" w:sz="0" w:space="0" w:color="auto"/>
      </w:divBdr>
    </w:div>
    <w:div w:id="986012970">
      <w:bodyDiv w:val="1"/>
      <w:marLeft w:val="0"/>
      <w:marRight w:val="0"/>
      <w:marTop w:val="0"/>
      <w:marBottom w:val="0"/>
      <w:divBdr>
        <w:top w:val="none" w:sz="0" w:space="0" w:color="auto"/>
        <w:left w:val="none" w:sz="0" w:space="0" w:color="auto"/>
        <w:bottom w:val="none" w:sz="0" w:space="0" w:color="auto"/>
        <w:right w:val="none" w:sz="0" w:space="0" w:color="auto"/>
      </w:divBdr>
    </w:div>
    <w:div w:id="1034117773">
      <w:bodyDiv w:val="1"/>
      <w:marLeft w:val="0"/>
      <w:marRight w:val="0"/>
      <w:marTop w:val="0"/>
      <w:marBottom w:val="0"/>
      <w:divBdr>
        <w:top w:val="none" w:sz="0" w:space="0" w:color="auto"/>
        <w:left w:val="none" w:sz="0" w:space="0" w:color="auto"/>
        <w:bottom w:val="none" w:sz="0" w:space="0" w:color="auto"/>
        <w:right w:val="none" w:sz="0" w:space="0" w:color="auto"/>
      </w:divBdr>
    </w:div>
    <w:div w:id="1035354747">
      <w:bodyDiv w:val="1"/>
      <w:marLeft w:val="0"/>
      <w:marRight w:val="0"/>
      <w:marTop w:val="0"/>
      <w:marBottom w:val="0"/>
      <w:divBdr>
        <w:top w:val="none" w:sz="0" w:space="0" w:color="auto"/>
        <w:left w:val="none" w:sz="0" w:space="0" w:color="auto"/>
        <w:bottom w:val="none" w:sz="0" w:space="0" w:color="auto"/>
        <w:right w:val="none" w:sz="0" w:space="0" w:color="auto"/>
      </w:divBdr>
    </w:div>
    <w:div w:id="1037707069">
      <w:bodyDiv w:val="1"/>
      <w:marLeft w:val="0"/>
      <w:marRight w:val="0"/>
      <w:marTop w:val="0"/>
      <w:marBottom w:val="0"/>
      <w:divBdr>
        <w:top w:val="none" w:sz="0" w:space="0" w:color="auto"/>
        <w:left w:val="none" w:sz="0" w:space="0" w:color="auto"/>
        <w:bottom w:val="none" w:sz="0" w:space="0" w:color="auto"/>
        <w:right w:val="none" w:sz="0" w:space="0" w:color="auto"/>
      </w:divBdr>
    </w:div>
    <w:div w:id="1053848113">
      <w:bodyDiv w:val="1"/>
      <w:marLeft w:val="0"/>
      <w:marRight w:val="0"/>
      <w:marTop w:val="0"/>
      <w:marBottom w:val="0"/>
      <w:divBdr>
        <w:top w:val="none" w:sz="0" w:space="0" w:color="auto"/>
        <w:left w:val="none" w:sz="0" w:space="0" w:color="auto"/>
        <w:bottom w:val="none" w:sz="0" w:space="0" w:color="auto"/>
        <w:right w:val="none" w:sz="0" w:space="0" w:color="auto"/>
      </w:divBdr>
    </w:div>
    <w:div w:id="1062874348">
      <w:bodyDiv w:val="1"/>
      <w:marLeft w:val="0"/>
      <w:marRight w:val="0"/>
      <w:marTop w:val="0"/>
      <w:marBottom w:val="0"/>
      <w:divBdr>
        <w:top w:val="none" w:sz="0" w:space="0" w:color="auto"/>
        <w:left w:val="none" w:sz="0" w:space="0" w:color="auto"/>
        <w:bottom w:val="none" w:sz="0" w:space="0" w:color="auto"/>
        <w:right w:val="none" w:sz="0" w:space="0" w:color="auto"/>
      </w:divBdr>
    </w:div>
    <w:div w:id="1089471907">
      <w:bodyDiv w:val="1"/>
      <w:marLeft w:val="0"/>
      <w:marRight w:val="0"/>
      <w:marTop w:val="0"/>
      <w:marBottom w:val="0"/>
      <w:divBdr>
        <w:top w:val="none" w:sz="0" w:space="0" w:color="auto"/>
        <w:left w:val="none" w:sz="0" w:space="0" w:color="auto"/>
        <w:bottom w:val="none" w:sz="0" w:space="0" w:color="auto"/>
        <w:right w:val="none" w:sz="0" w:space="0" w:color="auto"/>
      </w:divBdr>
    </w:div>
    <w:div w:id="1115906899">
      <w:bodyDiv w:val="1"/>
      <w:marLeft w:val="0"/>
      <w:marRight w:val="0"/>
      <w:marTop w:val="0"/>
      <w:marBottom w:val="0"/>
      <w:divBdr>
        <w:top w:val="none" w:sz="0" w:space="0" w:color="auto"/>
        <w:left w:val="none" w:sz="0" w:space="0" w:color="auto"/>
        <w:bottom w:val="none" w:sz="0" w:space="0" w:color="auto"/>
        <w:right w:val="none" w:sz="0" w:space="0" w:color="auto"/>
      </w:divBdr>
    </w:div>
    <w:div w:id="1143228947">
      <w:bodyDiv w:val="1"/>
      <w:marLeft w:val="0"/>
      <w:marRight w:val="0"/>
      <w:marTop w:val="0"/>
      <w:marBottom w:val="0"/>
      <w:divBdr>
        <w:top w:val="none" w:sz="0" w:space="0" w:color="auto"/>
        <w:left w:val="none" w:sz="0" w:space="0" w:color="auto"/>
        <w:bottom w:val="none" w:sz="0" w:space="0" w:color="auto"/>
        <w:right w:val="none" w:sz="0" w:space="0" w:color="auto"/>
      </w:divBdr>
    </w:div>
    <w:div w:id="1152714501">
      <w:bodyDiv w:val="1"/>
      <w:marLeft w:val="0"/>
      <w:marRight w:val="0"/>
      <w:marTop w:val="0"/>
      <w:marBottom w:val="0"/>
      <w:divBdr>
        <w:top w:val="none" w:sz="0" w:space="0" w:color="auto"/>
        <w:left w:val="none" w:sz="0" w:space="0" w:color="auto"/>
        <w:bottom w:val="none" w:sz="0" w:space="0" w:color="auto"/>
        <w:right w:val="none" w:sz="0" w:space="0" w:color="auto"/>
      </w:divBdr>
    </w:div>
    <w:div w:id="1170027898">
      <w:bodyDiv w:val="1"/>
      <w:marLeft w:val="0"/>
      <w:marRight w:val="0"/>
      <w:marTop w:val="0"/>
      <w:marBottom w:val="0"/>
      <w:divBdr>
        <w:top w:val="none" w:sz="0" w:space="0" w:color="auto"/>
        <w:left w:val="none" w:sz="0" w:space="0" w:color="auto"/>
        <w:bottom w:val="none" w:sz="0" w:space="0" w:color="auto"/>
        <w:right w:val="none" w:sz="0" w:space="0" w:color="auto"/>
      </w:divBdr>
    </w:div>
    <w:div w:id="1174496443">
      <w:bodyDiv w:val="1"/>
      <w:marLeft w:val="0"/>
      <w:marRight w:val="0"/>
      <w:marTop w:val="0"/>
      <w:marBottom w:val="0"/>
      <w:divBdr>
        <w:top w:val="none" w:sz="0" w:space="0" w:color="auto"/>
        <w:left w:val="none" w:sz="0" w:space="0" w:color="auto"/>
        <w:bottom w:val="none" w:sz="0" w:space="0" w:color="auto"/>
        <w:right w:val="none" w:sz="0" w:space="0" w:color="auto"/>
      </w:divBdr>
    </w:div>
    <w:div w:id="1175148365">
      <w:bodyDiv w:val="1"/>
      <w:marLeft w:val="0"/>
      <w:marRight w:val="0"/>
      <w:marTop w:val="0"/>
      <w:marBottom w:val="0"/>
      <w:divBdr>
        <w:top w:val="none" w:sz="0" w:space="0" w:color="auto"/>
        <w:left w:val="none" w:sz="0" w:space="0" w:color="auto"/>
        <w:bottom w:val="none" w:sz="0" w:space="0" w:color="auto"/>
        <w:right w:val="none" w:sz="0" w:space="0" w:color="auto"/>
      </w:divBdr>
    </w:div>
    <w:div w:id="1202474947">
      <w:bodyDiv w:val="1"/>
      <w:marLeft w:val="0"/>
      <w:marRight w:val="0"/>
      <w:marTop w:val="0"/>
      <w:marBottom w:val="0"/>
      <w:divBdr>
        <w:top w:val="none" w:sz="0" w:space="0" w:color="auto"/>
        <w:left w:val="none" w:sz="0" w:space="0" w:color="auto"/>
        <w:bottom w:val="none" w:sz="0" w:space="0" w:color="auto"/>
        <w:right w:val="none" w:sz="0" w:space="0" w:color="auto"/>
      </w:divBdr>
    </w:div>
    <w:div w:id="1236555188">
      <w:bodyDiv w:val="1"/>
      <w:marLeft w:val="0"/>
      <w:marRight w:val="0"/>
      <w:marTop w:val="0"/>
      <w:marBottom w:val="0"/>
      <w:divBdr>
        <w:top w:val="none" w:sz="0" w:space="0" w:color="auto"/>
        <w:left w:val="none" w:sz="0" w:space="0" w:color="auto"/>
        <w:bottom w:val="none" w:sz="0" w:space="0" w:color="auto"/>
        <w:right w:val="none" w:sz="0" w:space="0" w:color="auto"/>
      </w:divBdr>
    </w:div>
    <w:div w:id="1288123358">
      <w:bodyDiv w:val="1"/>
      <w:marLeft w:val="0"/>
      <w:marRight w:val="0"/>
      <w:marTop w:val="0"/>
      <w:marBottom w:val="0"/>
      <w:divBdr>
        <w:top w:val="none" w:sz="0" w:space="0" w:color="auto"/>
        <w:left w:val="none" w:sz="0" w:space="0" w:color="auto"/>
        <w:bottom w:val="none" w:sz="0" w:space="0" w:color="auto"/>
        <w:right w:val="none" w:sz="0" w:space="0" w:color="auto"/>
      </w:divBdr>
    </w:div>
    <w:div w:id="1297103018">
      <w:bodyDiv w:val="1"/>
      <w:marLeft w:val="0"/>
      <w:marRight w:val="0"/>
      <w:marTop w:val="0"/>
      <w:marBottom w:val="0"/>
      <w:divBdr>
        <w:top w:val="none" w:sz="0" w:space="0" w:color="auto"/>
        <w:left w:val="none" w:sz="0" w:space="0" w:color="auto"/>
        <w:bottom w:val="none" w:sz="0" w:space="0" w:color="auto"/>
        <w:right w:val="none" w:sz="0" w:space="0" w:color="auto"/>
      </w:divBdr>
    </w:div>
    <w:div w:id="1304235338">
      <w:bodyDiv w:val="1"/>
      <w:marLeft w:val="0"/>
      <w:marRight w:val="0"/>
      <w:marTop w:val="0"/>
      <w:marBottom w:val="0"/>
      <w:divBdr>
        <w:top w:val="none" w:sz="0" w:space="0" w:color="auto"/>
        <w:left w:val="none" w:sz="0" w:space="0" w:color="auto"/>
        <w:bottom w:val="none" w:sz="0" w:space="0" w:color="auto"/>
        <w:right w:val="none" w:sz="0" w:space="0" w:color="auto"/>
      </w:divBdr>
    </w:div>
    <w:div w:id="1339819049">
      <w:bodyDiv w:val="1"/>
      <w:marLeft w:val="0"/>
      <w:marRight w:val="0"/>
      <w:marTop w:val="0"/>
      <w:marBottom w:val="0"/>
      <w:divBdr>
        <w:top w:val="none" w:sz="0" w:space="0" w:color="auto"/>
        <w:left w:val="none" w:sz="0" w:space="0" w:color="auto"/>
        <w:bottom w:val="none" w:sz="0" w:space="0" w:color="auto"/>
        <w:right w:val="none" w:sz="0" w:space="0" w:color="auto"/>
      </w:divBdr>
    </w:div>
    <w:div w:id="1357733554">
      <w:bodyDiv w:val="1"/>
      <w:marLeft w:val="0"/>
      <w:marRight w:val="0"/>
      <w:marTop w:val="0"/>
      <w:marBottom w:val="0"/>
      <w:divBdr>
        <w:top w:val="none" w:sz="0" w:space="0" w:color="auto"/>
        <w:left w:val="none" w:sz="0" w:space="0" w:color="auto"/>
        <w:bottom w:val="none" w:sz="0" w:space="0" w:color="auto"/>
        <w:right w:val="none" w:sz="0" w:space="0" w:color="auto"/>
      </w:divBdr>
    </w:div>
    <w:div w:id="1362894796">
      <w:bodyDiv w:val="1"/>
      <w:marLeft w:val="0"/>
      <w:marRight w:val="0"/>
      <w:marTop w:val="0"/>
      <w:marBottom w:val="0"/>
      <w:divBdr>
        <w:top w:val="none" w:sz="0" w:space="0" w:color="auto"/>
        <w:left w:val="none" w:sz="0" w:space="0" w:color="auto"/>
        <w:bottom w:val="none" w:sz="0" w:space="0" w:color="auto"/>
        <w:right w:val="none" w:sz="0" w:space="0" w:color="auto"/>
      </w:divBdr>
    </w:div>
    <w:div w:id="1368946028">
      <w:bodyDiv w:val="1"/>
      <w:marLeft w:val="0"/>
      <w:marRight w:val="0"/>
      <w:marTop w:val="0"/>
      <w:marBottom w:val="0"/>
      <w:divBdr>
        <w:top w:val="none" w:sz="0" w:space="0" w:color="auto"/>
        <w:left w:val="none" w:sz="0" w:space="0" w:color="auto"/>
        <w:bottom w:val="none" w:sz="0" w:space="0" w:color="auto"/>
        <w:right w:val="none" w:sz="0" w:space="0" w:color="auto"/>
      </w:divBdr>
    </w:div>
    <w:div w:id="1422096702">
      <w:bodyDiv w:val="1"/>
      <w:marLeft w:val="0"/>
      <w:marRight w:val="0"/>
      <w:marTop w:val="0"/>
      <w:marBottom w:val="0"/>
      <w:divBdr>
        <w:top w:val="none" w:sz="0" w:space="0" w:color="auto"/>
        <w:left w:val="none" w:sz="0" w:space="0" w:color="auto"/>
        <w:bottom w:val="none" w:sz="0" w:space="0" w:color="auto"/>
        <w:right w:val="none" w:sz="0" w:space="0" w:color="auto"/>
      </w:divBdr>
    </w:div>
    <w:div w:id="1490950157">
      <w:bodyDiv w:val="1"/>
      <w:marLeft w:val="0"/>
      <w:marRight w:val="0"/>
      <w:marTop w:val="0"/>
      <w:marBottom w:val="0"/>
      <w:divBdr>
        <w:top w:val="none" w:sz="0" w:space="0" w:color="auto"/>
        <w:left w:val="none" w:sz="0" w:space="0" w:color="auto"/>
        <w:bottom w:val="none" w:sz="0" w:space="0" w:color="auto"/>
        <w:right w:val="none" w:sz="0" w:space="0" w:color="auto"/>
      </w:divBdr>
    </w:div>
    <w:div w:id="1539122319">
      <w:bodyDiv w:val="1"/>
      <w:marLeft w:val="0"/>
      <w:marRight w:val="0"/>
      <w:marTop w:val="0"/>
      <w:marBottom w:val="0"/>
      <w:divBdr>
        <w:top w:val="none" w:sz="0" w:space="0" w:color="auto"/>
        <w:left w:val="none" w:sz="0" w:space="0" w:color="auto"/>
        <w:bottom w:val="none" w:sz="0" w:space="0" w:color="auto"/>
        <w:right w:val="none" w:sz="0" w:space="0" w:color="auto"/>
      </w:divBdr>
    </w:div>
    <w:div w:id="1554191890">
      <w:bodyDiv w:val="1"/>
      <w:marLeft w:val="0"/>
      <w:marRight w:val="0"/>
      <w:marTop w:val="0"/>
      <w:marBottom w:val="0"/>
      <w:divBdr>
        <w:top w:val="none" w:sz="0" w:space="0" w:color="auto"/>
        <w:left w:val="none" w:sz="0" w:space="0" w:color="auto"/>
        <w:bottom w:val="none" w:sz="0" w:space="0" w:color="auto"/>
        <w:right w:val="none" w:sz="0" w:space="0" w:color="auto"/>
      </w:divBdr>
    </w:div>
    <w:div w:id="1558858962">
      <w:bodyDiv w:val="1"/>
      <w:marLeft w:val="0"/>
      <w:marRight w:val="0"/>
      <w:marTop w:val="0"/>
      <w:marBottom w:val="0"/>
      <w:divBdr>
        <w:top w:val="none" w:sz="0" w:space="0" w:color="auto"/>
        <w:left w:val="none" w:sz="0" w:space="0" w:color="auto"/>
        <w:bottom w:val="none" w:sz="0" w:space="0" w:color="auto"/>
        <w:right w:val="none" w:sz="0" w:space="0" w:color="auto"/>
      </w:divBdr>
    </w:div>
    <w:div w:id="1559977806">
      <w:bodyDiv w:val="1"/>
      <w:marLeft w:val="0"/>
      <w:marRight w:val="0"/>
      <w:marTop w:val="0"/>
      <w:marBottom w:val="0"/>
      <w:divBdr>
        <w:top w:val="none" w:sz="0" w:space="0" w:color="auto"/>
        <w:left w:val="none" w:sz="0" w:space="0" w:color="auto"/>
        <w:bottom w:val="none" w:sz="0" w:space="0" w:color="auto"/>
        <w:right w:val="none" w:sz="0" w:space="0" w:color="auto"/>
      </w:divBdr>
    </w:div>
    <w:div w:id="1562906534">
      <w:bodyDiv w:val="1"/>
      <w:marLeft w:val="0"/>
      <w:marRight w:val="0"/>
      <w:marTop w:val="0"/>
      <w:marBottom w:val="0"/>
      <w:divBdr>
        <w:top w:val="none" w:sz="0" w:space="0" w:color="auto"/>
        <w:left w:val="none" w:sz="0" w:space="0" w:color="auto"/>
        <w:bottom w:val="none" w:sz="0" w:space="0" w:color="auto"/>
        <w:right w:val="none" w:sz="0" w:space="0" w:color="auto"/>
      </w:divBdr>
    </w:div>
    <w:div w:id="1579050749">
      <w:bodyDiv w:val="1"/>
      <w:marLeft w:val="0"/>
      <w:marRight w:val="0"/>
      <w:marTop w:val="0"/>
      <w:marBottom w:val="0"/>
      <w:divBdr>
        <w:top w:val="none" w:sz="0" w:space="0" w:color="auto"/>
        <w:left w:val="none" w:sz="0" w:space="0" w:color="auto"/>
        <w:bottom w:val="none" w:sz="0" w:space="0" w:color="auto"/>
        <w:right w:val="none" w:sz="0" w:space="0" w:color="auto"/>
      </w:divBdr>
    </w:div>
    <w:div w:id="1620839400">
      <w:bodyDiv w:val="1"/>
      <w:marLeft w:val="0"/>
      <w:marRight w:val="0"/>
      <w:marTop w:val="0"/>
      <w:marBottom w:val="0"/>
      <w:divBdr>
        <w:top w:val="none" w:sz="0" w:space="0" w:color="auto"/>
        <w:left w:val="none" w:sz="0" w:space="0" w:color="auto"/>
        <w:bottom w:val="none" w:sz="0" w:space="0" w:color="auto"/>
        <w:right w:val="none" w:sz="0" w:space="0" w:color="auto"/>
      </w:divBdr>
    </w:div>
    <w:div w:id="1666124783">
      <w:bodyDiv w:val="1"/>
      <w:marLeft w:val="0"/>
      <w:marRight w:val="0"/>
      <w:marTop w:val="0"/>
      <w:marBottom w:val="0"/>
      <w:divBdr>
        <w:top w:val="none" w:sz="0" w:space="0" w:color="auto"/>
        <w:left w:val="none" w:sz="0" w:space="0" w:color="auto"/>
        <w:bottom w:val="none" w:sz="0" w:space="0" w:color="auto"/>
        <w:right w:val="none" w:sz="0" w:space="0" w:color="auto"/>
      </w:divBdr>
    </w:div>
    <w:div w:id="1674410561">
      <w:bodyDiv w:val="1"/>
      <w:marLeft w:val="0"/>
      <w:marRight w:val="0"/>
      <w:marTop w:val="0"/>
      <w:marBottom w:val="0"/>
      <w:divBdr>
        <w:top w:val="none" w:sz="0" w:space="0" w:color="auto"/>
        <w:left w:val="none" w:sz="0" w:space="0" w:color="auto"/>
        <w:bottom w:val="none" w:sz="0" w:space="0" w:color="auto"/>
        <w:right w:val="none" w:sz="0" w:space="0" w:color="auto"/>
      </w:divBdr>
    </w:div>
    <w:div w:id="1710452589">
      <w:bodyDiv w:val="1"/>
      <w:marLeft w:val="0"/>
      <w:marRight w:val="0"/>
      <w:marTop w:val="0"/>
      <w:marBottom w:val="0"/>
      <w:divBdr>
        <w:top w:val="none" w:sz="0" w:space="0" w:color="auto"/>
        <w:left w:val="none" w:sz="0" w:space="0" w:color="auto"/>
        <w:bottom w:val="none" w:sz="0" w:space="0" w:color="auto"/>
        <w:right w:val="none" w:sz="0" w:space="0" w:color="auto"/>
      </w:divBdr>
    </w:div>
    <w:div w:id="1724908724">
      <w:bodyDiv w:val="1"/>
      <w:marLeft w:val="0"/>
      <w:marRight w:val="0"/>
      <w:marTop w:val="0"/>
      <w:marBottom w:val="0"/>
      <w:divBdr>
        <w:top w:val="none" w:sz="0" w:space="0" w:color="auto"/>
        <w:left w:val="none" w:sz="0" w:space="0" w:color="auto"/>
        <w:bottom w:val="none" w:sz="0" w:space="0" w:color="auto"/>
        <w:right w:val="none" w:sz="0" w:space="0" w:color="auto"/>
      </w:divBdr>
    </w:div>
    <w:div w:id="1752777900">
      <w:bodyDiv w:val="1"/>
      <w:marLeft w:val="0"/>
      <w:marRight w:val="0"/>
      <w:marTop w:val="0"/>
      <w:marBottom w:val="0"/>
      <w:divBdr>
        <w:top w:val="none" w:sz="0" w:space="0" w:color="auto"/>
        <w:left w:val="none" w:sz="0" w:space="0" w:color="auto"/>
        <w:bottom w:val="none" w:sz="0" w:space="0" w:color="auto"/>
        <w:right w:val="none" w:sz="0" w:space="0" w:color="auto"/>
      </w:divBdr>
    </w:div>
    <w:div w:id="1762994582">
      <w:bodyDiv w:val="1"/>
      <w:marLeft w:val="0"/>
      <w:marRight w:val="0"/>
      <w:marTop w:val="0"/>
      <w:marBottom w:val="0"/>
      <w:divBdr>
        <w:top w:val="none" w:sz="0" w:space="0" w:color="auto"/>
        <w:left w:val="none" w:sz="0" w:space="0" w:color="auto"/>
        <w:bottom w:val="none" w:sz="0" w:space="0" w:color="auto"/>
        <w:right w:val="none" w:sz="0" w:space="0" w:color="auto"/>
      </w:divBdr>
    </w:div>
    <w:div w:id="1817066552">
      <w:bodyDiv w:val="1"/>
      <w:marLeft w:val="0"/>
      <w:marRight w:val="0"/>
      <w:marTop w:val="0"/>
      <w:marBottom w:val="0"/>
      <w:divBdr>
        <w:top w:val="none" w:sz="0" w:space="0" w:color="auto"/>
        <w:left w:val="none" w:sz="0" w:space="0" w:color="auto"/>
        <w:bottom w:val="none" w:sz="0" w:space="0" w:color="auto"/>
        <w:right w:val="none" w:sz="0" w:space="0" w:color="auto"/>
      </w:divBdr>
    </w:div>
    <w:div w:id="1820879658">
      <w:bodyDiv w:val="1"/>
      <w:marLeft w:val="0"/>
      <w:marRight w:val="0"/>
      <w:marTop w:val="0"/>
      <w:marBottom w:val="0"/>
      <w:divBdr>
        <w:top w:val="none" w:sz="0" w:space="0" w:color="auto"/>
        <w:left w:val="none" w:sz="0" w:space="0" w:color="auto"/>
        <w:bottom w:val="none" w:sz="0" w:space="0" w:color="auto"/>
        <w:right w:val="none" w:sz="0" w:space="0" w:color="auto"/>
      </w:divBdr>
    </w:div>
    <w:div w:id="1829976105">
      <w:bodyDiv w:val="1"/>
      <w:marLeft w:val="0"/>
      <w:marRight w:val="0"/>
      <w:marTop w:val="0"/>
      <w:marBottom w:val="0"/>
      <w:divBdr>
        <w:top w:val="none" w:sz="0" w:space="0" w:color="auto"/>
        <w:left w:val="none" w:sz="0" w:space="0" w:color="auto"/>
        <w:bottom w:val="none" w:sz="0" w:space="0" w:color="auto"/>
        <w:right w:val="none" w:sz="0" w:space="0" w:color="auto"/>
      </w:divBdr>
    </w:div>
    <w:div w:id="1846168020">
      <w:bodyDiv w:val="1"/>
      <w:marLeft w:val="0"/>
      <w:marRight w:val="0"/>
      <w:marTop w:val="0"/>
      <w:marBottom w:val="0"/>
      <w:divBdr>
        <w:top w:val="none" w:sz="0" w:space="0" w:color="auto"/>
        <w:left w:val="none" w:sz="0" w:space="0" w:color="auto"/>
        <w:bottom w:val="none" w:sz="0" w:space="0" w:color="auto"/>
        <w:right w:val="none" w:sz="0" w:space="0" w:color="auto"/>
      </w:divBdr>
    </w:div>
    <w:div w:id="1848014453">
      <w:bodyDiv w:val="1"/>
      <w:marLeft w:val="0"/>
      <w:marRight w:val="0"/>
      <w:marTop w:val="0"/>
      <w:marBottom w:val="0"/>
      <w:divBdr>
        <w:top w:val="none" w:sz="0" w:space="0" w:color="auto"/>
        <w:left w:val="none" w:sz="0" w:space="0" w:color="auto"/>
        <w:bottom w:val="none" w:sz="0" w:space="0" w:color="auto"/>
        <w:right w:val="none" w:sz="0" w:space="0" w:color="auto"/>
      </w:divBdr>
    </w:div>
    <w:div w:id="1857621644">
      <w:bodyDiv w:val="1"/>
      <w:marLeft w:val="0"/>
      <w:marRight w:val="0"/>
      <w:marTop w:val="0"/>
      <w:marBottom w:val="0"/>
      <w:divBdr>
        <w:top w:val="none" w:sz="0" w:space="0" w:color="auto"/>
        <w:left w:val="none" w:sz="0" w:space="0" w:color="auto"/>
        <w:bottom w:val="none" w:sz="0" w:space="0" w:color="auto"/>
        <w:right w:val="none" w:sz="0" w:space="0" w:color="auto"/>
      </w:divBdr>
    </w:div>
    <w:div w:id="1870487796">
      <w:bodyDiv w:val="1"/>
      <w:marLeft w:val="0"/>
      <w:marRight w:val="0"/>
      <w:marTop w:val="0"/>
      <w:marBottom w:val="0"/>
      <w:divBdr>
        <w:top w:val="none" w:sz="0" w:space="0" w:color="auto"/>
        <w:left w:val="none" w:sz="0" w:space="0" w:color="auto"/>
        <w:bottom w:val="none" w:sz="0" w:space="0" w:color="auto"/>
        <w:right w:val="none" w:sz="0" w:space="0" w:color="auto"/>
      </w:divBdr>
    </w:div>
    <w:div w:id="1874463715">
      <w:bodyDiv w:val="1"/>
      <w:marLeft w:val="0"/>
      <w:marRight w:val="0"/>
      <w:marTop w:val="0"/>
      <w:marBottom w:val="0"/>
      <w:divBdr>
        <w:top w:val="none" w:sz="0" w:space="0" w:color="auto"/>
        <w:left w:val="none" w:sz="0" w:space="0" w:color="auto"/>
        <w:bottom w:val="none" w:sz="0" w:space="0" w:color="auto"/>
        <w:right w:val="none" w:sz="0" w:space="0" w:color="auto"/>
      </w:divBdr>
    </w:div>
    <w:div w:id="1938515457">
      <w:bodyDiv w:val="1"/>
      <w:marLeft w:val="0"/>
      <w:marRight w:val="0"/>
      <w:marTop w:val="0"/>
      <w:marBottom w:val="0"/>
      <w:divBdr>
        <w:top w:val="none" w:sz="0" w:space="0" w:color="auto"/>
        <w:left w:val="none" w:sz="0" w:space="0" w:color="auto"/>
        <w:bottom w:val="none" w:sz="0" w:space="0" w:color="auto"/>
        <w:right w:val="none" w:sz="0" w:space="0" w:color="auto"/>
      </w:divBdr>
    </w:div>
    <w:div w:id="1975064939">
      <w:bodyDiv w:val="1"/>
      <w:marLeft w:val="0"/>
      <w:marRight w:val="0"/>
      <w:marTop w:val="0"/>
      <w:marBottom w:val="0"/>
      <w:divBdr>
        <w:top w:val="none" w:sz="0" w:space="0" w:color="auto"/>
        <w:left w:val="none" w:sz="0" w:space="0" w:color="auto"/>
        <w:bottom w:val="none" w:sz="0" w:space="0" w:color="auto"/>
        <w:right w:val="none" w:sz="0" w:space="0" w:color="auto"/>
      </w:divBdr>
    </w:div>
    <w:div w:id="2036493993">
      <w:bodyDiv w:val="1"/>
      <w:marLeft w:val="0"/>
      <w:marRight w:val="0"/>
      <w:marTop w:val="0"/>
      <w:marBottom w:val="0"/>
      <w:divBdr>
        <w:top w:val="none" w:sz="0" w:space="0" w:color="auto"/>
        <w:left w:val="none" w:sz="0" w:space="0" w:color="auto"/>
        <w:bottom w:val="none" w:sz="0" w:space="0" w:color="auto"/>
        <w:right w:val="none" w:sz="0" w:space="0" w:color="auto"/>
      </w:divBdr>
    </w:div>
    <w:div w:id="2047292501">
      <w:bodyDiv w:val="1"/>
      <w:marLeft w:val="0"/>
      <w:marRight w:val="0"/>
      <w:marTop w:val="0"/>
      <w:marBottom w:val="0"/>
      <w:divBdr>
        <w:top w:val="none" w:sz="0" w:space="0" w:color="auto"/>
        <w:left w:val="none" w:sz="0" w:space="0" w:color="auto"/>
        <w:bottom w:val="none" w:sz="0" w:space="0" w:color="auto"/>
        <w:right w:val="none" w:sz="0" w:space="0" w:color="auto"/>
      </w:divBdr>
    </w:div>
    <w:div w:id="2087726406">
      <w:bodyDiv w:val="1"/>
      <w:marLeft w:val="0"/>
      <w:marRight w:val="0"/>
      <w:marTop w:val="0"/>
      <w:marBottom w:val="0"/>
      <w:divBdr>
        <w:top w:val="none" w:sz="0" w:space="0" w:color="auto"/>
        <w:left w:val="none" w:sz="0" w:space="0" w:color="auto"/>
        <w:bottom w:val="none" w:sz="0" w:space="0" w:color="auto"/>
        <w:right w:val="none" w:sz="0" w:space="0" w:color="auto"/>
      </w:divBdr>
    </w:div>
    <w:div w:id="214723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png"/><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footer" Target="footer8.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7.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7.xml"/><Relationship Id="rId37" Type="http://schemas.openxmlformats.org/officeDocument/2006/relationships/header" Target="header12.xml"/><Relationship Id="rId40"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png"/><Relationship Id="rId36"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9.xm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header" Target="header8.xml"/><Relationship Id="rId35" Type="http://schemas.openxmlformats.org/officeDocument/2006/relationships/footer" Target="footer9.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AMPR 2024">
      <a:dk1>
        <a:srgbClr val="000000"/>
      </a:dk1>
      <a:lt1>
        <a:sysClr val="window" lastClr="FFFFFF"/>
      </a:lt1>
      <a:dk2>
        <a:srgbClr val="245F95"/>
      </a:dk2>
      <a:lt2>
        <a:srgbClr val="D4D5D6"/>
      </a:lt2>
      <a:accent1>
        <a:srgbClr val="02847D"/>
      </a:accent1>
      <a:accent2>
        <a:srgbClr val="F36E44"/>
      </a:accent2>
      <a:accent3>
        <a:srgbClr val="59BDB8"/>
      </a:accent3>
      <a:accent4>
        <a:srgbClr val="FDB933"/>
      </a:accent4>
      <a:accent5>
        <a:srgbClr val="6CAD6C"/>
      </a:accent5>
      <a:accent6>
        <a:srgbClr val="BD2644"/>
      </a:accent6>
      <a:hlink>
        <a:srgbClr val="245F95"/>
      </a:hlink>
      <a:folHlink>
        <a:srgbClr val="245F95"/>
      </a:folHlink>
    </a:clrScheme>
    <a:fontScheme name="FONT EC Square">
      <a:majorFont>
        <a:latin typeface="EC Square Sans Pro"/>
        <a:ea typeface=""/>
        <a:cs typeface=""/>
      </a:majorFont>
      <a:minorFont>
        <a:latin typeface="EC Squar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E6791410E4C45B6BB8EC9F646F735" ma:contentTypeVersion="6" ma:contentTypeDescription="Create a new document." ma:contentTypeScope="" ma:versionID="ccfafc27a6744e94b729b01ec365436f">
  <xsd:schema xmlns:xsd="http://www.w3.org/2001/XMLSchema" xmlns:xs="http://www.w3.org/2001/XMLSchema" xmlns:p="http://schemas.microsoft.com/office/2006/metadata/properties" xmlns:ns2="8f649706-d9fb-47e0-bf62-f0d19dfddb49" xmlns:ns3="96b41d09-a8a5-4e58-9db2-e126ef9188b9" targetNamespace="http://schemas.microsoft.com/office/2006/metadata/properties" ma:root="true" ma:fieldsID="470b9fb23ff6f540a96dfe4b1baf0802" ns2:_="" ns3:_="">
    <xsd:import namespace="8f649706-d9fb-47e0-bf62-f0d19dfddb49"/>
    <xsd:import namespace="96b41d09-a8a5-4e58-9db2-e126ef9188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eadunit" minOccurs="0"/>
                <xsd:element ref="ns2:Associatedun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49706-d9fb-47e0-bf62-f0d19dfdd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eadunit" ma:index="12" nillable="true" ma:displayName="Lead unit" ma:format="Dropdown" ma:internalName="Leadunit">
      <xsd:simpleType>
        <xsd:restriction base="dms:Text">
          <xsd:maxLength value="255"/>
        </xsd:restriction>
      </xsd:simpleType>
    </xsd:element>
    <xsd:element name="Associatedunit" ma:index="13" nillable="true" ma:displayName="Associated unit" ma:format="Dropdown" ma:internalName="Associateduni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b41d09-a8a5-4e58-9db2-e126ef9188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641df17-ff07-4a01-b99c-e2ec37129fd4">
      <UserInfo>
        <DisplayName>MORARU Andrei (BUDG)</DisplayName>
        <AccountId>20</AccountId>
        <AccountType/>
      </UserInfo>
    </SharedWithUsers>
    <lcf76f155ced4ddcb4097134ff3c332f xmlns="f34d8b02-ef1e-468a-baea-6b8502d3046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Unit xmlns="f34d8b02-ef1e-468a-baea-6b8502d30466" xsi:nil="true"/>
    <ARESnumber xmlns="f34d8b02-ef1e-468a-baea-6b8502d304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15" ma:contentTypeDescription="Create a new document." ma:contentTypeScope="" ma:versionID="e4a351a6323ae8663d91e66c725c69a2">
  <xsd:schema xmlns:xsd="http://www.w3.org/2001/XMLSchema" xmlns:xs="http://www.w3.org/2001/XMLSchema" xmlns:p="http://schemas.microsoft.com/office/2006/metadata/properties" xmlns:ns2="f34d8b02-ef1e-468a-baea-6b8502d30466" xmlns:ns3="5641df17-ff07-4a01-b99c-e2ec37129fd4" targetNamespace="http://schemas.microsoft.com/office/2006/metadata/properties" ma:root="true" ma:fieldsID="e5987aeaa3e9dc81d2ecf26bc1b369e2" ns2:_="" ns3:_="">
    <xsd:import namespace="f34d8b02-ef1e-468a-baea-6b8502d30466"/>
    <xsd:import namespace="5641df17-ff07-4a01-b99c-e2ec37129f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RESnumber"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Uni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RESnumber" ma:index="12" nillable="true" ma:displayName="ARES number" ma:format="Dropdown" ma:internalName="ARESnumber">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Unit" ma:index="20" nillable="true" ma:displayName="Unit" ma:format="Dropdown" ma:internalName="Unit">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41df17-ff07-4a01-b99c-e2ec37129f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E6D8132-B434-420B-A157-D9B9C8509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49706-d9fb-47e0-bf62-f0d19dfddb49"/>
    <ds:schemaRef ds:uri="96b41d09-a8a5-4e58-9db2-e126ef918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2D953-E476-477A-9BB5-CC6C9245F445}">
  <ds:schemaRefs>
    <ds:schemaRef ds:uri="http://schemas.microsoft.com/office/2006/metadata/properties"/>
    <ds:schemaRef ds:uri="http://schemas.microsoft.com/office/infopath/2007/PartnerControls"/>
    <ds:schemaRef ds:uri="5641df17-ff07-4a01-b99c-e2ec37129fd4"/>
    <ds:schemaRef ds:uri="f34d8b02-ef1e-468a-baea-6b8502d30466"/>
  </ds:schemaRefs>
</ds:datastoreItem>
</file>

<file path=customXml/itemProps3.xml><?xml version="1.0" encoding="utf-8"?>
<ds:datastoreItem xmlns:ds="http://schemas.openxmlformats.org/officeDocument/2006/customXml" ds:itemID="{7984562B-08B4-4A96-9E3C-6D39CC67C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5641df17-ff07-4a01-b99c-e2ec37129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44A12-B6EA-431B-98C8-8D35772715DB}">
  <ds:schemaRefs>
    <ds:schemaRef ds:uri="http://schemas.microsoft.com/sharepoint/v3/contenttype/forms"/>
  </ds:schemaRefs>
</ds:datastoreItem>
</file>

<file path=customXml/itemProps5.xml><?xml version="1.0" encoding="utf-8"?>
<ds:datastoreItem xmlns:ds="http://schemas.openxmlformats.org/officeDocument/2006/customXml" ds:itemID="{85945192-6389-4F51-8F22-09BD7392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Pages>
  <Words>6467</Words>
  <Characters>36864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43245</CharactersWithSpaces>
  <SharedDoc>false</SharedDoc>
  <HLinks>
    <vt:vector size="114" baseType="variant">
      <vt:variant>
        <vt:i4>1441850</vt:i4>
      </vt:variant>
      <vt:variant>
        <vt:i4>98</vt:i4>
      </vt:variant>
      <vt:variant>
        <vt:i4>0</vt:i4>
      </vt:variant>
      <vt:variant>
        <vt:i4>5</vt:i4>
      </vt:variant>
      <vt:variant>
        <vt:lpwstr/>
      </vt:variant>
      <vt:variant>
        <vt:lpwstr>_Toc167194524</vt:lpwstr>
      </vt:variant>
      <vt:variant>
        <vt:i4>1441850</vt:i4>
      </vt:variant>
      <vt:variant>
        <vt:i4>92</vt:i4>
      </vt:variant>
      <vt:variant>
        <vt:i4>0</vt:i4>
      </vt:variant>
      <vt:variant>
        <vt:i4>5</vt:i4>
      </vt:variant>
      <vt:variant>
        <vt:lpwstr/>
      </vt:variant>
      <vt:variant>
        <vt:lpwstr>_Toc167194523</vt:lpwstr>
      </vt:variant>
      <vt:variant>
        <vt:i4>1441850</vt:i4>
      </vt:variant>
      <vt:variant>
        <vt:i4>86</vt:i4>
      </vt:variant>
      <vt:variant>
        <vt:i4>0</vt:i4>
      </vt:variant>
      <vt:variant>
        <vt:i4>5</vt:i4>
      </vt:variant>
      <vt:variant>
        <vt:lpwstr/>
      </vt:variant>
      <vt:variant>
        <vt:lpwstr>_Toc167194522</vt:lpwstr>
      </vt:variant>
      <vt:variant>
        <vt:i4>1441850</vt:i4>
      </vt:variant>
      <vt:variant>
        <vt:i4>80</vt:i4>
      </vt:variant>
      <vt:variant>
        <vt:i4>0</vt:i4>
      </vt:variant>
      <vt:variant>
        <vt:i4>5</vt:i4>
      </vt:variant>
      <vt:variant>
        <vt:lpwstr/>
      </vt:variant>
      <vt:variant>
        <vt:lpwstr>_Toc167194521</vt:lpwstr>
      </vt:variant>
      <vt:variant>
        <vt:i4>1441850</vt:i4>
      </vt:variant>
      <vt:variant>
        <vt:i4>74</vt:i4>
      </vt:variant>
      <vt:variant>
        <vt:i4>0</vt:i4>
      </vt:variant>
      <vt:variant>
        <vt:i4>5</vt:i4>
      </vt:variant>
      <vt:variant>
        <vt:lpwstr/>
      </vt:variant>
      <vt:variant>
        <vt:lpwstr>_Toc167194520</vt:lpwstr>
      </vt:variant>
      <vt:variant>
        <vt:i4>1376314</vt:i4>
      </vt:variant>
      <vt:variant>
        <vt:i4>68</vt:i4>
      </vt:variant>
      <vt:variant>
        <vt:i4>0</vt:i4>
      </vt:variant>
      <vt:variant>
        <vt:i4>5</vt:i4>
      </vt:variant>
      <vt:variant>
        <vt:lpwstr/>
      </vt:variant>
      <vt:variant>
        <vt:lpwstr>_Toc167194519</vt:lpwstr>
      </vt:variant>
      <vt:variant>
        <vt:i4>1376314</vt:i4>
      </vt:variant>
      <vt:variant>
        <vt:i4>62</vt:i4>
      </vt:variant>
      <vt:variant>
        <vt:i4>0</vt:i4>
      </vt:variant>
      <vt:variant>
        <vt:i4>5</vt:i4>
      </vt:variant>
      <vt:variant>
        <vt:lpwstr/>
      </vt:variant>
      <vt:variant>
        <vt:lpwstr>_Toc167194518</vt:lpwstr>
      </vt:variant>
      <vt:variant>
        <vt:i4>1376314</vt:i4>
      </vt:variant>
      <vt:variant>
        <vt:i4>56</vt:i4>
      </vt:variant>
      <vt:variant>
        <vt:i4>0</vt:i4>
      </vt:variant>
      <vt:variant>
        <vt:i4>5</vt:i4>
      </vt:variant>
      <vt:variant>
        <vt:lpwstr/>
      </vt:variant>
      <vt:variant>
        <vt:lpwstr>_Toc167194517</vt:lpwstr>
      </vt:variant>
      <vt:variant>
        <vt:i4>1376314</vt:i4>
      </vt:variant>
      <vt:variant>
        <vt:i4>50</vt:i4>
      </vt:variant>
      <vt:variant>
        <vt:i4>0</vt:i4>
      </vt:variant>
      <vt:variant>
        <vt:i4>5</vt:i4>
      </vt:variant>
      <vt:variant>
        <vt:lpwstr/>
      </vt:variant>
      <vt:variant>
        <vt:lpwstr>_Toc167194516</vt:lpwstr>
      </vt:variant>
      <vt:variant>
        <vt:i4>1376314</vt:i4>
      </vt:variant>
      <vt:variant>
        <vt:i4>44</vt:i4>
      </vt:variant>
      <vt:variant>
        <vt:i4>0</vt:i4>
      </vt:variant>
      <vt:variant>
        <vt:i4>5</vt:i4>
      </vt:variant>
      <vt:variant>
        <vt:lpwstr/>
      </vt:variant>
      <vt:variant>
        <vt:lpwstr>_Toc167194515</vt:lpwstr>
      </vt:variant>
      <vt:variant>
        <vt:i4>1376314</vt:i4>
      </vt:variant>
      <vt:variant>
        <vt:i4>38</vt:i4>
      </vt:variant>
      <vt:variant>
        <vt:i4>0</vt:i4>
      </vt:variant>
      <vt:variant>
        <vt:i4>5</vt:i4>
      </vt:variant>
      <vt:variant>
        <vt:lpwstr/>
      </vt:variant>
      <vt:variant>
        <vt:lpwstr>_Toc167194514</vt:lpwstr>
      </vt:variant>
      <vt:variant>
        <vt:i4>1376314</vt:i4>
      </vt:variant>
      <vt:variant>
        <vt:i4>32</vt:i4>
      </vt:variant>
      <vt:variant>
        <vt:i4>0</vt:i4>
      </vt:variant>
      <vt:variant>
        <vt:i4>5</vt:i4>
      </vt:variant>
      <vt:variant>
        <vt:lpwstr/>
      </vt:variant>
      <vt:variant>
        <vt:lpwstr>_Toc167194513</vt:lpwstr>
      </vt:variant>
      <vt:variant>
        <vt:i4>1376314</vt:i4>
      </vt:variant>
      <vt:variant>
        <vt:i4>26</vt:i4>
      </vt:variant>
      <vt:variant>
        <vt:i4>0</vt:i4>
      </vt:variant>
      <vt:variant>
        <vt:i4>5</vt:i4>
      </vt:variant>
      <vt:variant>
        <vt:lpwstr/>
      </vt:variant>
      <vt:variant>
        <vt:lpwstr>_Toc167194512</vt:lpwstr>
      </vt:variant>
      <vt:variant>
        <vt:i4>1376314</vt:i4>
      </vt:variant>
      <vt:variant>
        <vt:i4>20</vt:i4>
      </vt:variant>
      <vt:variant>
        <vt:i4>0</vt:i4>
      </vt:variant>
      <vt:variant>
        <vt:i4>5</vt:i4>
      </vt:variant>
      <vt:variant>
        <vt:lpwstr/>
      </vt:variant>
      <vt:variant>
        <vt:lpwstr>_Toc167194511</vt:lpwstr>
      </vt:variant>
      <vt:variant>
        <vt:i4>1376314</vt:i4>
      </vt:variant>
      <vt:variant>
        <vt:i4>14</vt:i4>
      </vt:variant>
      <vt:variant>
        <vt:i4>0</vt:i4>
      </vt:variant>
      <vt:variant>
        <vt:i4>5</vt:i4>
      </vt:variant>
      <vt:variant>
        <vt:lpwstr/>
      </vt:variant>
      <vt:variant>
        <vt:lpwstr>_Toc167194510</vt:lpwstr>
      </vt:variant>
      <vt:variant>
        <vt:i4>1310778</vt:i4>
      </vt:variant>
      <vt:variant>
        <vt:i4>8</vt:i4>
      </vt:variant>
      <vt:variant>
        <vt:i4>0</vt:i4>
      </vt:variant>
      <vt:variant>
        <vt:i4>5</vt:i4>
      </vt:variant>
      <vt:variant>
        <vt:lpwstr/>
      </vt:variant>
      <vt:variant>
        <vt:lpwstr>_Toc167194509</vt:lpwstr>
      </vt:variant>
      <vt:variant>
        <vt:i4>1310778</vt:i4>
      </vt:variant>
      <vt:variant>
        <vt:i4>2</vt:i4>
      </vt:variant>
      <vt:variant>
        <vt:i4>0</vt:i4>
      </vt:variant>
      <vt:variant>
        <vt:i4>5</vt:i4>
      </vt:variant>
      <vt:variant>
        <vt:lpwstr/>
      </vt:variant>
      <vt:variant>
        <vt:lpwstr>_Toc167194508</vt:lpwstr>
      </vt:variant>
      <vt:variant>
        <vt:i4>131128</vt:i4>
      </vt:variant>
      <vt:variant>
        <vt:i4>3</vt:i4>
      </vt:variant>
      <vt:variant>
        <vt:i4>0</vt:i4>
      </vt:variant>
      <vt:variant>
        <vt:i4>5</vt:i4>
      </vt:variant>
      <vt:variant>
        <vt:lpwstr>mailto:Andrei.MORARU@ec.europa.eu</vt:lpwstr>
      </vt:variant>
      <vt:variant>
        <vt:lpwstr/>
      </vt:variant>
      <vt:variant>
        <vt:i4>131128</vt:i4>
      </vt:variant>
      <vt:variant>
        <vt:i4>0</vt:i4>
      </vt:variant>
      <vt:variant>
        <vt:i4>0</vt:i4>
      </vt:variant>
      <vt:variant>
        <vt:i4>5</vt:i4>
      </vt:variant>
      <vt:variant>
        <vt:lpwstr>mailto:Andrei.MORARU@ec.europa.eu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98</cp:revision>
  <cp:lastPrinted>2023-05-19T03:21:00Z</cp:lastPrinted>
  <dcterms:created xsi:type="dcterms:W3CDTF">2024-06-05T11:40:00Z</dcterms:created>
  <dcterms:modified xsi:type="dcterms:W3CDTF">2024-06-26T16:48:00Z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Last edited using">
    <vt:lpwstr>LW 9.0, Build 20230317</vt:lpwstr>
  </property>
  <property fmtid="{D5CDD505-2E9C-101B-9397-08002B2CF9AE}" pid="6" name="Created using">
    <vt:lpwstr>LW 6.0.1, Build 20180503</vt:lpwstr>
  </property>
  <property fmtid="{D5CDD505-2E9C-101B-9397-08002B2CF9AE}" pid="7" name="synchronize">
    <vt:lpwstr>on</vt:lpwstr>
  </property>
  <property fmtid="{D5CDD505-2E9C-101B-9397-08002B2CF9AE}" pid="8" name="CPTemplateID">
    <vt:lpwstr>CP-006</vt:lpwstr>
  </property>
  <property fmtid="{D5CDD505-2E9C-101B-9397-08002B2CF9AE}" pid="9" name="_LW_INVALIDATED__LW_INVALIDATED_ContentTypeId">
    <vt:lpwstr>0x010100258AA79CEB83498886A3A0868112325000189CB87B1E53E74D8E56C76F27A51955</vt:lpwstr>
  </property>
  <property fmtid="{D5CDD505-2E9C-101B-9397-08002B2CF9AE}" pid="10" name="ContentTypeId">
    <vt:lpwstr>0x010100A36E6791410E4C45B6BB8EC9F646F735</vt:lpwstr>
  </property>
  <property fmtid="{D5CDD505-2E9C-101B-9397-08002B2CF9AE}" pid="11" name="_dlc_DocIdItemGuid">
    <vt:lpwstr>612815d5-7b94-4e92-b123-ce86cafd4f18</vt:lpwstr>
  </property>
  <property fmtid="{D5CDD505-2E9C-101B-9397-08002B2CF9AE}" pid="12" name="MSIP_Label_6bd9ddd1-4d20-43f6-abfa-fc3c07406f94_Enabled">
    <vt:lpwstr>true</vt:lpwstr>
  </property>
  <property fmtid="{D5CDD505-2E9C-101B-9397-08002B2CF9AE}" pid="13" name="MSIP_Label_6bd9ddd1-4d20-43f6-abfa-fc3c07406f94_SetDate">
    <vt:lpwstr>2022-05-17T07:30:17Z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5bd134ee-e9e5-4153-9fea-730183349a8b</vt:lpwstr>
  </property>
  <property fmtid="{D5CDD505-2E9C-101B-9397-08002B2CF9AE}" pid="18" name="MSIP_Label_6bd9ddd1-4d20-43f6-abfa-fc3c07406f94_ContentBits">
    <vt:lpwstr>0</vt:lpwstr>
  </property>
  <property fmtid="{D5CDD505-2E9C-101B-9397-08002B2CF9AE}" pid="19" name="DocStatus">
    <vt:lpwstr>Green</vt:lpwstr>
  </property>
  <property fmtid="{D5CDD505-2E9C-101B-9397-08002B2CF9AE}" pid="20" name="MediaServiceImageTags">
    <vt:lpwstr/>
  </property>
</Properties>
</file>