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C4A33" w14:textId="138DA7D3" w:rsidR="00861C1C" w:rsidRPr="00390EB1" w:rsidRDefault="007D1FD8" w:rsidP="007D1FD8">
      <w:pPr>
        <w:pStyle w:val="Pagedecouverture"/>
        <w:rPr>
          <w:noProof/>
        </w:rPr>
      </w:pPr>
      <w:bookmarkStart w:id="0" w:name="_Toc456026166"/>
      <w:bookmarkStart w:id="1" w:name="LW_BM_COVERPAGE"/>
      <w:r>
        <w:rPr>
          <w:noProof/>
        </w:rPr>
        <w:pict w14:anchorId="76D44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1848F091-82B3-4135-A51E-C8A86AE2A7CA" style="width:455.25pt;height:324pt">
            <v:imagedata r:id="rId12" o:title=""/>
          </v:shape>
        </w:pict>
      </w:r>
    </w:p>
    <w:bookmarkEnd w:id="1"/>
    <w:p w14:paraId="56277C63" w14:textId="77777777" w:rsidR="00861C1C" w:rsidRPr="00390EB1" w:rsidRDefault="00861C1C">
      <w:pPr>
        <w:pStyle w:val="Pagedecouverture"/>
        <w:rPr>
          <w:noProof/>
        </w:rPr>
        <w:sectPr w:rsidR="00861C1C" w:rsidRPr="00390EB1" w:rsidSect="007D1FD8">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fmt="numberInDash" w:start="1"/>
          <w:cols w:space="720"/>
          <w:docGrid w:linePitch="326"/>
        </w:sectPr>
      </w:pPr>
    </w:p>
    <w:p w14:paraId="6D110D9C" w14:textId="79CC698B" w:rsidR="00560EFA" w:rsidRPr="0074057C" w:rsidRDefault="003B6DC2" w:rsidP="0074057C">
      <w:pPr>
        <w:pStyle w:val="TOCHeading"/>
        <w:rPr>
          <w:noProof/>
        </w:rPr>
      </w:pPr>
      <w:bookmarkStart w:id="2" w:name="_Toc167194507"/>
      <w:bookmarkStart w:id="3" w:name="_Toc170319515"/>
      <w:bookmarkStart w:id="4" w:name="_Toc494974436"/>
      <w:bookmarkStart w:id="5" w:name="_Toc524523057"/>
      <w:bookmarkStart w:id="6" w:name="_GoBack"/>
      <w:bookmarkEnd w:id="0"/>
      <w:bookmarkEnd w:id="6"/>
      <w:r>
        <w:rPr>
          <w:noProof/>
        </w:rPr>
        <w:lastRenderedPageBreak/>
        <w:t>Spis treści</w:t>
      </w:r>
      <w:bookmarkEnd w:id="2"/>
      <w:bookmarkEnd w:id="3"/>
      <w:r w:rsidRPr="00390EB1">
        <w:rPr>
          <w:b/>
          <w:caps/>
          <w:noProof/>
        </w:rPr>
        <w:fldChar w:fldCharType="begin"/>
      </w:r>
      <w:r w:rsidRPr="00390EB1">
        <w:rPr>
          <w:noProof/>
        </w:rPr>
        <w:instrText>TOC \o "1-3" \h \z \u</w:instrText>
      </w:r>
      <w:r w:rsidRPr="00390EB1">
        <w:rPr>
          <w:b/>
          <w:caps/>
          <w:noProof/>
        </w:rPr>
        <w:fldChar w:fldCharType="separate"/>
      </w:r>
      <w:hyperlink w:anchor="_Toc170319515" w:history="1"/>
    </w:p>
    <w:p w14:paraId="4243F815" w14:textId="7D776F9F" w:rsidR="00560EFA" w:rsidRPr="00511E54" w:rsidRDefault="007D1FD8" w:rsidP="00355CD1">
      <w:pPr>
        <w:pStyle w:val="TOC2"/>
        <w:rPr>
          <w:rFonts w:asciiTheme="minorHAnsi" w:eastAsiaTheme="minorEastAsia" w:hAnsiTheme="minorHAnsi"/>
          <w:kern w:val="2"/>
          <w:sz w:val="22"/>
          <w:szCs w:val="22"/>
          <w:lang w:eastAsia="pl-PL"/>
          <w14:ligatures w14:val="standardContextual"/>
        </w:rPr>
      </w:pPr>
      <w:hyperlink w:anchor="_Toc170319516" w:history="1">
        <w:r w:rsidR="00560EFA" w:rsidRPr="00511E54">
          <w:rPr>
            <w:rStyle w:val="Hyperlink"/>
            <w:b/>
            <w:bCs/>
          </w:rPr>
          <w:t>1.</w:t>
        </w:r>
        <w:r w:rsidR="00560EFA" w:rsidRPr="00511E54">
          <w:rPr>
            <w:rFonts w:asciiTheme="minorHAnsi" w:eastAsiaTheme="minorEastAsia" w:hAnsiTheme="minorHAnsi"/>
            <w:kern w:val="2"/>
            <w:sz w:val="22"/>
            <w:szCs w:val="22"/>
            <w:lang w:eastAsia="pl-PL"/>
            <w14:ligatures w14:val="standardContextual"/>
          </w:rPr>
          <w:tab/>
        </w:r>
        <w:r w:rsidR="000F3138" w:rsidRPr="00511E54">
          <w:rPr>
            <w:rStyle w:val="Hyperlink"/>
            <w:b/>
            <w:bCs/>
          </w:rPr>
          <w:t>WPROWADZENIE</w:t>
        </w:r>
        <w:r w:rsidR="00560EFA" w:rsidRPr="00511E54">
          <w:rPr>
            <w:webHidden/>
          </w:rPr>
          <w:tab/>
        </w:r>
        <w:r w:rsidR="00560EFA" w:rsidRPr="00511E54">
          <w:rPr>
            <w:webHidden/>
          </w:rPr>
          <w:fldChar w:fldCharType="begin"/>
        </w:r>
        <w:r w:rsidR="00560EFA" w:rsidRPr="00511E54">
          <w:rPr>
            <w:webHidden/>
          </w:rPr>
          <w:instrText xml:space="preserve"> PAGEREF _Toc170319516 \h </w:instrText>
        </w:r>
        <w:r w:rsidR="00560EFA" w:rsidRPr="00511E54">
          <w:rPr>
            <w:webHidden/>
          </w:rPr>
        </w:r>
        <w:r w:rsidR="00560EFA" w:rsidRPr="00511E54">
          <w:rPr>
            <w:webHidden/>
          </w:rPr>
          <w:fldChar w:fldCharType="separate"/>
        </w:r>
        <w:r w:rsidR="0074057C">
          <w:rPr>
            <w:webHidden/>
          </w:rPr>
          <w:t>1</w:t>
        </w:r>
        <w:r w:rsidR="00560EFA" w:rsidRPr="00511E54">
          <w:rPr>
            <w:webHidden/>
          </w:rPr>
          <w:fldChar w:fldCharType="end"/>
        </w:r>
      </w:hyperlink>
    </w:p>
    <w:p w14:paraId="4491125F" w14:textId="3E88A933" w:rsidR="00560EFA" w:rsidRPr="00C56AFD" w:rsidRDefault="007D1FD8" w:rsidP="00355CD1">
      <w:pPr>
        <w:pStyle w:val="TOC2"/>
        <w:rPr>
          <w:rFonts w:asciiTheme="minorHAnsi" w:eastAsiaTheme="minorEastAsia" w:hAnsiTheme="minorHAnsi"/>
          <w:kern w:val="2"/>
          <w:sz w:val="22"/>
          <w:szCs w:val="22"/>
          <w:lang w:eastAsia="pl-PL"/>
          <w14:ligatures w14:val="standardContextual"/>
        </w:rPr>
      </w:pPr>
      <w:hyperlink w:anchor="_Toc170319517" w:history="1">
        <w:r w:rsidR="00560EFA" w:rsidRPr="00C56AFD">
          <w:rPr>
            <w:rStyle w:val="Hyperlink"/>
            <w:b/>
            <w:bCs/>
          </w:rPr>
          <w:t>2.</w:t>
        </w:r>
        <w:r w:rsidR="00560EFA" w:rsidRPr="00C56AFD">
          <w:rPr>
            <w:rFonts w:asciiTheme="minorHAnsi" w:eastAsiaTheme="minorEastAsia" w:hAnsiTheme="minorHAnsi"/>
            <w:kern w:val="2"/>
            <w:sz w:val="22"/>
            <w:szCs w:val="22"/>
            <w:lang w:eastAsia="pl-PL"/>
            <w14:ligatures w14:val="standardContextual"/>
          </w:rPr>
          <w:tab/>
        </w:r>
        <w:r w:rsidR="000F3138" w:rsidRPr="00C56AFD">
          <w:rPr>
            <w:rStyle w:val="Hyperlink"/>
            <w:b/>
            <w:bCs/>
          </w:rPr>
          <w:t>PROGNOZA WYPŁYWÓW Z BUDŻETU UE NA LATA 2025–2029</w:t>
        </w:r>
        <w:r w:rsidR="00560EFA" w:rsidRPr="00C56AFD">
          <w:rPr>
            <w:webHidden/>
          </w:rPr>
          <w:tab/>
        </w:r>
        <w:r w:rsidR="00560EFA" w:rsidRPr="00C56AFD">
          <w:rPr>
            <w:webHidden/>
          </w:rPr>
          <w:fldChar w:fldCharType="begin"/>
        </w:r>
        <w:r w:rsidR="00560EFA" w:rsidRPr="00C56AFD">
          <w:rPr>
            <w:webHidden/>
          </w:rPr>
          <w:instrText xml:space="preserve"> PAGEREF _Toc170319517 \h </w:instrText>
        </w:r>
        <w:r w:rsidR="00560EFA" w:rsidRPr="00C56AFD">
          <w:rPr>
            <w:webHidden/>
          </w:rPr>
        </w:r>
        <w:r w:rsidR="00560EFA" w:rsidRPr="00C56AFD">
          <w:rPr>
            <w:webHidden/>
          </w:rPr>
          <w:fldChar w:fldCharType="separate"/>
        </w:r>
        <w:r w:rsidR="0074057C">
          <w:rPr>
            <w:webHidden/>
          </w:rPr>
          <w:t>2</w:t>
        </w:r>
        <w:r w:rsidR="00560EFA" w:rsidRPr="00C56AFD">
          <w:rPr>
            <w:webHidden/>
          </w:rPr>
          <w:fldChar w:fldCharType="end"/>
        </w:r>
      </w:hyperlink>
    </w:p>
    <w:p w14:paraId="0C7AB110" w14:textId="5209A7CA" w:rsidR="00560EFA" w:rsidRDefault="007D1FD8">
      <w:pPr>
        <w:pStyle w:val="TOC3"/>
        <w:rPr>
          <w:rFonts w:asciiTheme="minorHAnsi" w:eastAsiaTheme="minorEastAsia" w:hAnsiTheme="minorHAnsi"/>
          <w:noProof/>
          <w:kern w:val="2"/>
          <w:sz w:val="22"/>
          <w:szCs w:val="22"/>
          <w:lang w:eastAsia="pl-PL"/>
          <w14:ligatures w14:val="standardContextual"/>
        </w:rPr>
      </w:pPr>
      <w:hyperlink w:anchor="_Toc170319518" w:history="1">
        <w:r w:rsidR="00560EFA" w:rsidRPr="00B56812">
          <w:rPr>
            <w:rStyle w:val="Hyperlink"/>
            <w:noProof/>
          </w:rPr>
          <w:t>2.1.</w:t>
        </w:r>
        <w:r w:rsidR="00560EFA">
          <w:rPr>
            <w:rFonts w:asciiTheme="minorHAnsi" w:eastAsiaTheme="minorEastAsia" w:hAnsiTheme="minorHAnsi"/>
            <w:noProof/>
            <w:kern w:val="2"/>
            <w:sz w:val="22"/>
            <w:szCs w:val="22"/>
            <w:lang w:eastAsia="pl-PL"/>
            <w14:ligatures w14:val="standardContextual"/>
          </w:rPr>
          <w:tab/>
        </w:r>
        <w:r w:rsidR="00560EFA" w:rsidRPr="00B56812">
          <w:rPr>
            <w:rStyle w:val="Hyperlink"/>
            <w:noProof/>
          </w:rPr>
          <w:t>Płatności związane</w:t>
        </w:r>
        <w:r w:rsidR="00C56AFD" w:rsidRPr="00B56812">
          <w:rPr>
            <w:rStyle w:val="Hyperlink"/>
            <w:noProof/>
          </w:rPr>
          <w:t xml:space="preserve"> z</w:t>
        </w:r>
        <w:r w:rsidR="00C56AFD">
          <w:rPr>
            <w:rStyle w:val="Hyperlink"/>
            <w:rFonts w:ascii="Calibri" w:hAnsi="Calibri" w:cs="Calibri"/>
            <w:noProof/>
          </w:rPr>
          <w:t> </w:t>
        </w:r>
        <w:r w:rsidR="00C56AFD" w:rsidRPr="00B56812">
          <w:rPr>
            <w:rStyle w:val="Hyperlink"/>
            <w:noProof/>
          </w:rPr>
          <w:t>zob</w:t>
        </w:r>
        <w:r w:rsidR="00560EFA" w:rsidRPr="00B56812">
          <w:rPr>
            <w:rStyle w:val="Hyperlink"/>
            <w:noProof/>
          </w:rPr>
          <w:t>owiązaniami</w:t>
        </w:r>
        <w:r w:rsidR="00C56AFD" w:rsidRPr="00B56812">
          <w:rPr>
            <w:rStyle w:val="Hyperlink"/>
            <w:noProof/>
          </w:rPr>
          <w:t xml:space="preserve"> w</w:t>
        </w:r>
        <w:r w:rsidR="00C56AFD">
          <w:rPr>
            <w:rStyle w:val="Hyperlink"/>
            <w:rFonts w:ascii="Calibri" w:hAnsi="Calibri" w:cs="Calibri"/>
            <w:noProof/>
          </w:rPr>
          <w:t> </w:t>
        </w:r>
        <w:r w:rsidR="00C56AFD" w:rsidRPr="00B56812">
          <w:rPr>
            <w:rStyle w:val="Hyperlink"/>
            <w:noProof/>
          </w:rPr>
          <w:t>ram</w:t>
        </w:r>
        <w:r w:rsidR="00560EFA" w:rsidRPr="00B56812">
          <w:rPr>
            <w:rStyle w:val="Hyperlink"/>
            <w:noProof/>
          </w:rPr>
          <w:t>ach WRF na lata 2021–2027</w:t>
        </w:r>
        <w:r w:rsidR="00560EFA">
          <w:rPr>
            <w:noProof/>
            <w:webHidden/>
          </w:rPr>
          <w:tab/>
        </w:r>
        <w:r w:rsidR="00560EFA">
          <w:rPr>
            <w:noProof/>
            <w:webHidden/>
          </w:rPr>
          <w:fldChar w:fldCharType="begin"/>
        </w:r>
        <w:r w:rsidR="00560EFA">
          <w:rPr>
            <w:noProof/>
            <w:webHidden/>
          </w:rPr>
          <w:instrText xml:space="preserve"> PAGEREF _Toc170319518 \h </w:instrText>
        </w:r>
        <w:r w:rsidR="00560EFA">
          <w:rPr>
            <w:noProof/>
            <w:webHidden/>
          </w:rPr>
        </w:r>
        <w:r w:rsidR="00560EFA">
          <w:rPr>
            <w:noProof/>
            <w:webHidden/>
          </w:rPr>
          <w:fldChar w:fldCharType="separate"/>
        </w:r>
        <w:r w:rsidR="0074057C">
          <w:rPr>
            <w:noProof/>
            <w:webHidden/>
          </w:rPr>
          <w:t>4</w:t>
        </w:r>
        <w:r w:rsidR="00560EFA">
          <w:rPr>
            <w:noProof/>
            <w:webHidden/>
          </w:rPr>
          <w:fldChar w:fldCharType="end"/>
        </w:r>
      </w:hyperlink>
    </w:p>
    <w:p w14:paraId="59E77187" w14:textId="7195A9CF" w:rsidR="00560EFA" w:rsidRDefault="007D1FD8">
      <w:pPr>
        <w:pStyle w:val="TOC3"/>
        <w:rPr>
          <w:rFonts w:asciiTheme="minorHAnsi" w:eastAsiaTheme="minorEastAsia" w:hAnsiTheme="minorHAnsi"/>
          <w:noProof/>
          <w:kern w:val="2"/>
          <w:sz w:val="22"/>
          <w:szCs w:val="22"/>
          <w:lang w:eastAsia="pl-PL"/>
          <w14:ligatures w14:val="standardContextual"/>
        </w:rPr>
      </w:pPr>
      <w:hyperlink w:anchor="_Toc170319519" w:history="1">
        <w:r w:rsidR="00560EFA" w:rsidRPr="00B56812">
          <w:rPr>
            <w:rStyle w:val="Hyperlink"/>
            <w:noProof/>
          </w:rPr>
          <w:t>2.2.</w:t>
        </w:r>
        <w:r w:rsidR="00560EFA">
          <w:rPr>
            <w:rFonts w:asciiTheme="minorHAnsi" w:eastAsiaTheme="minorEastAsia" w:hAnsiTheme="minorHAnsi"/>
            <w:noProof/>
            <w:kern w:val="2"/>
            <w:sz w:val="22"/>
            <w:szCs w:val="22"/>
            <w:lang w:eastAsia="pl-PL"/>
            <w14:ligatures w14:val="standardContextual"/>
          </w:rPr>
          <w:tab/>
        </w:r>
        <w:r w:rsidR="00560EFA" w:rsidRPr="00B56812">
          <w:rPr>
            <w:rStyle w:val="Hyperlink"/>
            <w:noProof/>
          </w:rPr>
          <w:t>Płatności</w:t>
        </w:r>
        <w:r w:rsidR="00C56AFD" w:rsidRPr="00B56812">
          <w:rPr>
            <w:rStyle w:val="Hyperlink"/>
            <w:noProof/>
          </w:rPr>
          <w:t xml:space="preserve"> z</w:t>
        </w:r>
        <w:r w:rsidR="00C56AFD">
          <w:rPr>
            <w:rStyle w:val="Hyperlink"/>
            <w:rFonts w:ascii="Calibri" w:hAnsi="Calibri" w:cs="Calibri"/>
            <w:noProof/>
          </w:rPr>
          <w:t> </w:t>
        </w:r>
        <w:r w:rsidR="00C56AFD" w:rsidRPr="00B56812">
          <w:rPr>
            <w:rStyle w:val="Hyperlink"/>
            <w:noProof/>
          </w:rPr>
          <w:t>tyt</w:t>
        </w:r>
        <w:r w:rsidR="00560EFA" w:rsidRPr="00B56812">
          <w:rPr>
            <w:rStyle w:val="Hyperlink"/>
            <w:noProof/>
          </w:rPr>
          <w:t>ułu wykonania zobowiązań pozostających do spłaty</w:t>
        </w:r>
        <w:r w:rsidR="00560EFA">
          <w:rPr>
            <w:noProof/>
            <w:webHidden/>
          </w:rPr>
          <w:tab/>
        </w:r>
        <w:r w:rsidR="00560EFA">
          <w:rPr>
            <w:noProof/>
            <w:webHidden/>
          </w:rPr>
          <w:fldChar w:fldCharType="begin"/>
        </w:r>
        <w:r w:rsidR="00560EFA">
          <w:rPr>
            <w:noProof/>
            <w:webHidden/>
          </w:rPr>
          <w:instrText xml:space="preserve"> PAGEREF _Toc170319519 \h </w:instrText>
        </w:r>
        <w:r w:rsidR="00560EFA">
          <w:rPr>
            <w:noProof/>
            <w:webHidden/>
          </w:rPr>
        </w:r>
        <w:r w:rsidR="00560EFA">
          <w:rPr>
            <w:noProof/>
            <w:webHidden/>
          </w:rPr>
          <w:fldChar w:fldCharType="separate"/>
        </w:r>
        <w:r w:rsidR="0074057C">
          <w:rPr>
            <w:noProof/>
            <w:webHidden/>
          </w:rPr>
          <w:t>6</w:t>
        </w:r>
        <w:r w:rsidR="00560EFA">
          <w:rPr>
            <w:noProof/>
            <w:webHidden/>
          </w:rPr>
          <w:fldChar w:fldCharType="end"/>
        </w:r>
      </w:hyperlink>
    </w:p>
    <w:p w14:paraId="1EFB2328" w14:textId="3E4AFD98" w:rsidR="00560EFA" w:rsidRDefault="007D1FD8">
      <w:pPr>
        <w:pStyle w:val="TOC3"/>
        <w:rPr>
          <w:rFonts w:asciiTheme="minorHAnsi" w:eastAsiaTheme="minorEastAsia" w:hAnsiTheme="minorHAnsi"/>
          <w:noProof/>
          <w:kern w:val="2"/>
          <w:sz w:val="22"/>
          <w:szCs w:val="22"/>
          <w:lang w:eastAsia="pl-PL"/>
          <w14:ligatures w14:val="standardContextual"/>
        </w:rPr>
      </w:pPr>
      <w:hyperlink w:anchor="_Toc170319520" w:history="1">
        <w:r w:rsidR="00560EFA" w:rsidRPr="00B56812">
          <w:rPr>
            <w:rStyle w:val="Hyperlink"/>
            <w:noProof/>
          </w:rPr>
          <w:t>2.3.</w:t>
        </w:r>
        <w:r w:rsidR="00560EFA">
          <w:rPr>
            <w:rFonts w:asciiTheme="minorHAnsi" w:eastAsiaTheme="minorEastAsia" w:hAnsiTheme="minorHAnsi"/>
            <w:noProof/>
            <w:kern w:val="2"/>
            <w:sz w:val="22"/>
            <w:szCs w:val="22"/>
            <w:lang w:eastAsia="pl-PL"/>
            <w14:ligatures w14:val="standardContextual"/>
          </w:rPr>
          <w:tab/>
        </w:r>
        <w:r w:rsidR="00560EFA" w:rsidRPr="00B56812">
          <w:rPr>
            <w:rStyle w:val="Hyperlink"/>
            <w:noProof/>
          </w:rPr>
          <w:t>Umorzenia</w:t>
        </w:r>
        <w:r w:rsidR="00560EFA">
          <w:rPr>
            <w:noProof/>
            <w:webHidden/>
          </w:rPr>
          <w:tab/>
        </w:r>
        <w:r w:rsidR="00560EFA">
          <w:rPr>
            <w:noProof/>
            <w:webHidden/>
          </w:rPr>
          <w:fldChar w:fldCharType="begin"/>
        </w:r>
        <w:r w:rsidR="00560EFA">
          <w:rPr>
            <w:noProof/>
            <w:webHidden/>
          </w:rPr>
          <w:instrText xml:space="preserve"> PAGEREF _Toc170319520 \h </w:instrText>
        </w:r>
        <w:r w:rsidR="00560EFA">
          <w:rPr>
            <w:noProof/>
            <w:webHidden/>
          </w:rPr>
        </w:r>
        <w:r w:rsidR="00560EFA">
          <w:rPr>
            <w:noProof/>
            <w:webHidden/>
          </w:rPr>
          <w:fldChar w:fldCharType="separate"/>
        </w:r>
        <w:r w:rsidR="0074057C">
          <w:rPr>
            <w:noProof/>
            <w:webHidden/>
          </w:rPr>
          <w:t>7</w:t>
        </w:r>
        <w:r w:rsidR="00560EFA">
          <w:rPr>
            <w:noProof/>
            <w:webHidden/>
          </w:rPr>
          <w:fldChar w:fldCharType="end"/>
        </w:r>
      </w:hyperlink>
    </w:p>
    <w:p w14:paraId="23808A94" w14:textId="3ED684B2" w:rsidR="00560EFA" w:rsidRDefault="007D1FD8">
      <w:pPr>
        <w:pStyle w:val="TOC3"/>
        <w:rPr>
          <w:rFonts w:asciiTheme="minorHAnsi" w:eastAsiaTheme="minorEastAsia" w:hAnsiTheme="minorHAnsi"/>
          <w:noProof/>
          <w:kern w:val="2"/>
          <w:sz w:val="22"/>
          <w:szCs w:val="22"/>
          <w:lang w:eastAsia="pl-PL"/>
          <w14:ligatures w14:val="standardContextual"/>
        </w:rPr>
      </w:pPr>
      <w:hyperlink w:anchor="_Toc170319521" w:history="1">
        <w:r w:rsidR="00560EFA" w:rsidRPr="00B56812">
          <w:rPr>
            <w:rStyle w:val="Hyperlink"/>
            <w:noProof/>
          </w:rPr>
          <w:t>2.4.</w:t>
        </w:r>
        <w:r w:rsidR="00560EFA">
          <w:rPr>
            <w:rFonts w:asciiTheme="minorHAnsi" w:eastAsiaTheme="minorEastAsia" w:hAnsiTheme="minorHAnsi"/>
            <w:noProof/>
            <w:kern w:val="2"/>
            <w:sz w:val="22"/>
            <w:szCs w:val="22"/>
            <w:lang w:eastAsia="pl-PL"/>
            <w14:ligatures w14:val="standardContextual"/>
          </w:rPr>
          <w:tab/>
        </w:r>
        <w:r w:rsidR="00560EFA" w:rsidRPr="00B56812">
          <w:rPr>
            <w:rStyle w:val="Hyperlink"/>
            <w:noProof/>
          </w:rPr>
          <w:t>NextGenerationEU</w:t>
        </w:r>
        <w:r w:rsidR="00560EFA">
          <w:rPr>
            <w:noProof/>
            <w:webHidden/>
          </w:rPr>
          <w:tab/>
        </w:r>
        <w:r w:rsidR="00560EFA">
          <w:rPr>
            <w:noProof/>
            <w:webHidden/>
          </w:rPr>
          <w:fldChar w:fldCharType="begin"/>
        </w:r>
        <w:r w:rsidR="00560EFA">
          <w:rPr>
            <w:noProof/>
            <w:webHidden/>
          </w:rPr>
          <w:instrText xml:space="preserve"> PAGEREF _Toc170319521 \h </w:instrText>
        </w:r>
        <w:r w:rsidR="00560EFA">
          <w:rPr>
            <w:noProof/>
            <w:webHidden/>
          </w:rPr>
        </w:r>
        <w:r w:rsidR="00560EFA">
          <w:rPr>
            <w:noProof/>
            <w:webHidden/>
          </w:rPr>
          <w:fldChar w:fldCharType="separate"/>
        </w:r>
        <w:r w:rsidR="0074057C">
          <w:rPr>
            <w:noProof/>
            <w:webHidden/>
          </w:rPr>
          <w:t>8</w:t>
        </w:r>
        <w:r w:rsidR="00560EFA">
          <w:rPr>
            <w:noProof/>
            <w:webHidden/>
          </w:rPr>
          <w:fldChar w:fldCharType="end"/>
        </w:r>
      </w:hyperlink>
    </w:p>
    <w:p w14:paraId="15510977" w14:textId="50297106" w:rsidR="00560EFA" w:rsidRDefault="007D1FD8">
      <w:pPr>
        <w:pStyle w:val="TOC3"/>
        <w:rPr>
          <w:rFonts w:asciiTheme="minorHAnsi" w:eastAsiaTheme="minorEastAsia" w:hAnsiTheme="minorHAnsi"/>
          <w:noProof/>
          <w:kern w:val="2"/>
          <w:sz w:val="22"/>
          <w:szCs w:val="22"/>
          <w:lang w:eastAsia="pl-PL"/>
          <w14:ligatures w14:val="standardContextual"/>
        </w:rPr>
      </w:pPr>
      <w:hyperlink w:anchor="_Toc170319522" w:history="1">
        <w:r w:rsidR="00560EFA" w:rsidRPr="00B56812">
          <w:rPr>
            <w:rStyle w:val="Hyperlink"/>
            <w:noProof/>
          </w:rPr>
          <w:t>2.5.</w:t>
        </w:r>
        <w:r w:rsidR="00560EFA">
          <w:rPr>
            <w:rFonts w:asciiTheme="minorHAnsi" w:eastAsiaTheme="minorEastAsia" w:hAnsiTheme="minorHAnsi"/>
            <w:noProof/>
            <w:kern w:val="2"/>
            <w:sz w:val="22"/>
            <w:szCs w:val="22"/>
            <w:lang w:eastAsia="pl-PL"/>
            <w14:ligatures w14:val="standardContextual"/>
          </w:rPr>
          <w:tab/>
        </w:r>
        <w:r w:rsidR="00560EFA" w:rsidRPr="00B56812">
          <w:rPr>
            <w:rStyle w:val="Hyperlink"/>
            <w:noProof/>
          </w:rPr>
          <w:t>Ewolucja poziomu zobowiązań pozostających do spłaty</w:t>
        </w:r>
        <w:r w:rsidR="00560EFA">
          <w:rPr>
            <w:noProof/>
            <w:webHidden/>
          </w:rPr>
          <w:tab/>
        </w:r>
        <w:r w:rsidR="00560EFA">
          <w:rPr>
            <w:noProof/>
            <w:webHidden/>
          </w:rPr>
          <w:fldChar w:fldCharType="begin"/>
        </w:r>
        <w:r w:rsidR="00560EFA">
          <w:rPr>
            <w:noProof/>
            <w:webHidden/>
          </w:rPr>
          <w:instrText xml:space="preserve"> PAGEREF _Toc170319522 \h </w:instrText>
        </w:r>
        <w:r w:rsidR="00560EFA">
          <w:rPr>
            <w:noProof/>
            <w:webHidden/>
          </w:rPr>
        </w:r>
        <w:r w:rsidR="00560EFA">
          <w:rPr>
            <w:noProof/>
            <w:webHidden/>
          </w:rPr>
          <w:fldChar w:fldCharType="separate"/>
        </w:r>
        <w:r w:rsidR="0074057C">
          <w:rPr>
            <w:noProof/>
            <w:webHidden/>
          </w:rPr>
          <w:t>9</w:t>
        </w:r>
        <w:r w:rsidR="00560EFA">
          <w:rPr>
            <w:noProof/>
            <w:webHidden/>
          </w:rPr>
          <w:fldChar w:fldCharType="end"/>
        </w:r>
      </w:hyperlink>
    </w:p>
    <w:p w14:paraId="60E4C876" w14:textId="555464AE" w:rsidR="00560EFA" w:rsidRPr="00355CD1" w:rsidRDefault="007D1FD8" w:rsidP="00355CD1">
      <w:pPr>
        <w:pStyle w:val="TOC2"/>
        <w:rPr>
          <w:rFonts w:asciiTheme="minorHAnsi" w:eastAsiaTheme="minorEastAsia" w:hAnsiTheme="minorHAnsi"/>
          <w:kern w:val="2"/>
          <w:sz w:val="22"/>
          <w:szCs w:val="22"/>
          <w:lang w:eastAsia="pl-PL"/>
          <w14:ligatures w14:val="standardContextual"/>
        </w:rPr>
      </w:pPr>
      <w:hyperlink w:anchor="_Toc170319523" w:history="1">
        <w:r w:rsidR="00560EFA" w:rsidRPr="00355CD1">
          <w:rPr>
            <w:rStyle w:val="Hyperlink"/>
            <w:b/>
            <w:bCs/>
          </w:rPr>
          <w:t>3.</w:t>
        </w:r>
        <w:r w:rsidR="00560EFA" w:rsidRPr="00355CD1">
          <w:rPr>
            <w:rFonts w:asciiTheme="minorHAnsi" w:eastAsiaTheme="minorEastAsia" w:hAnsiTheme="minorHAnsi"/>
            <w:kern w:val="2"/>
            <w:sz w:val="22"/>
            <w:szCs w:val="22"/>
            <w:lang w:eastAsia="pl-PL"/>
            <w14:ligatures w14:val="standardContextual"/>
          </w:rPr>
          <w:tab/>
        </w:r>
        <w:r w:rsidR="00F710CD" w:rsidRPr="00355CD1">
          <w:rPr>
            <w:rStyle w:val="Hyperlink"/>
            <w:b/>
            <w:bCs/>
          </w:rPr>
          <w:t>PROGNOZA WPŁYWÓW DO BUDŻETU UE NA LATA</w:t>
        </w:r>
        <w:r w:rsidR="00C56AFD" w:rsidRPr="00355CD1">
          <w:rPr>
            <w:rStyle w:val="Hyperlink"/>
            <w:b/>
            <w:bCs/>
          </w:rPr>
          <w:t xml:space="preserve"> </w:t>
        </w:r>
        <w:r w:rsidR="00F710CD" w:rsidRPr="00355CD1">
          <w:rPr>
            <w:rStyle w:val="Hyperlink"/>
            <w:b/>
            <w:bCs/>
          </w:rPr>
          <w:t>2025–2029</w:t>
        </w:r>
        <w:r w:rsidR="00560EFA" w:rsidRPr="00355CD1">
          <w:rPr>
            <w:webHidden/>
          </w:rPr>
          <w:tab/>
        </w:r>
        <w:r w:rsidR="00560EFA" w:rsidRPr="00355CD1">
          <w:rPr>
            <w:webHidden/>
          </w:rPr>
          <w:fldChar w:fldCharType="begin"/>
        </w:r>
        <w:r w:rsidR="00560EFA" w:rsidRPr="00355CD1">
          <w:rPr>
            <w:webHidden/>
          </w:rPr>
          <w:instrText xml:space="preserve"> PAGEREF _Toc170319523 \h </w:instrText>
        </w:r>
        <w:r w:rsidR="00560EFA" w:rsidRPr="00355CD1">
          <w:rPr>
            <w:webHidden/>
          </w:rPr>
        </w:r>
        <w:r w:rsidR="00560EFA" w:rsidRPr="00355CD1">
          <w:rPr>
            <w:webHidden/>
          </w:rPr>
          <w:fldChar w:fldCharType="separate"/>
        </w:r>
        <w:r w:rsidR="0074057C">
          <w:rPr>
            <w:webHidden/>
          </w:rPr>
          <w:t>10</w:t>
        </w:r>
        <w:r w:rsidR="00560EFA" w:rsidRPr="00355CD1">
          <w:rPr>
            <w:webHidden/>
          </w:rPr>
          <w:fldChar w:fldCharType="end"/>
        </w:r>
      </w:hyperlink>
    </w:p>
    <w:p w14:paraId="43EB337B" w14:textId="20642CE5" w:rsidR="00560EFA" w:rsidRPr="00355CD1" w:rsidRDefault="007D1FD8" w:rsidP="00355CD1">
      <w:pPr>
        <w:pStyle w:val="TOC2"/>
        <w:rPr>
          <w:rFonts w:asciiTheme="minorHAnsi" w:eastAsiaTheme="minorEastAsia" w:hAnsiTheme="minorHAnsi"/>
          <w:kern w:val="2"/>
          <w:sz w:val="22"/>
          <w:szCs w:val="22"/>
          <w:lang w:eastAsia="pl-PL"/>
          <w14:ligatures w14:val="standardContextual"/>
        </w:rPr>
      </w:pPr>
      <w:hyperlink w:anchor="_Toc170319524" w:history="1">
        <w:r w:rsidR="00560EFA" w:rsidRPr="00355CD1">
          <w:rPr>
            <w:rStyle w:val="Hyperlink"/>
            <w:b/>
            <w:bCs/>
          </w:rPr>
          <w:t>4.</w:t>
        </w:r>
        <w:r w:rsidR="00560EFA" w:rsidRPr="00355CD1">
          <w:rPr>
            <w:rFonts w:asciiTheme="minorHAnsi" w:eastAsiaTheme="minorEastAsia" w:hAnsiTheme="minorHAnsi"/>
            <w:kern w:val="2"/>
            <w:sz w:val="22"/>
            <w:szCs w:val="22"/>
            <w:lang w:eastAsia="pl-PL"/>
            <w14:ligatures w14:val="standardContextual"/>
          </w:rPr>
          <w:tab/>
        </w:r>
        <w:r w:rsidR="00F710CD" w:rsidRPr="00355CD1">
          <w:rPr>
            <w:rStyle w:val="Hyperlink"/>
            <w:b/>
            <w:bCs/>
          </w:rPr>
          <w:t>WNIOSKI</w:t>
        </w:r>
        <w:r w:rsidR="00560EFA" w:rsidRPr="00355CD1">
          <w:rPr>
            <w:webHidden/>
          </w:rPr>
          <w:tab/>
        </w:r>
        <w:r w:rsidR="00560EFA" w:rsidRPr="00355CD1">
          <w:rPr>
            <w:webHidden/>
          </w:rPr>
          <w:fldChar w:fldCharType="begin"/>
        </w:r>
        <w:r w:rsidR="00560EFA" w:rsidRPr="00355CD1">
          <w:rPr>
            <w:webHidden/>
          </w:rPr>
          <w:instrText xml:space="preserve"> PAGEREF _Toc170319524 \h </w:instrText>
        </w:r>
        <w:r w:rsidR="00560EFA" w:rsidRPr="00355CD1">
          <w:rPr>
            <w:webHidden/>
          </w:rPr>
        </w:r>
        <w:r w:rsidR="00560EFA" w:rsidRPr="00355CD1">
          <w:rPr>
            <w:webHidden/>
          </w:rPr>
          <w:fldChar w:fldCharType="separate"/>
        </w:r>
        <w:r w:rsidR="0074057C">
          <w:rPr>
            <w:webHidden/>
          </w:rPr>
          <w:t>12</w:t>
        </w:r>
        <w:r w:rsidR="00560EFA" w:rsidRPr="00355CD1">
          <w:rPr>
            <w:webHidden/>
          </w:rPr>
          <w:fldChar w:fldCharType="end"/>
        </w:r>
      </w:hyperlink>
    </w:p>
    <w:p w14:paraId="3122BCA4" w14:textId="089EAC03" w:rsidR="00560EFA" w:rsidRPr="00F710CD" w:rsidRDefault="007D1FD8" w:rsidP="008D05A0">
      <w:pPr>
        <w:pStyle w:val="TOC2"/>
        <w:spacing w:before="120" w:line="360" w:lineRule="auto"/>
        <w:rPr>
          <w:rFonts w:asciiTheme="minorHAnsi" w:eastAsiaTheme="minorEastAsia" w:hAnsiTheme="minorHAnsi"/>
          <w:kern w:val="2"/>
          <w:sz w:val="22"/>
          <w:szCs w:val="22"/>
          <w:lang w:eastAsia="pl-PL"/>
          <w14:ligatures w14:val="standardContextual"/>
        </w:rPr>
      </w:pPr>
      <w:hyperlink w:anchor="_Toc170319525" w:history="1">
        <w:r w:rsidR="00560EFA" w:rsidRPr="00F710CD">
          <w:rPr>
            <w:rStyle w:val="Hyperlink"/>
            <w:b/>
            <w:bCs/>
          </w:rPr>
          <w:t>Z</w:t>
        </w:r>
        <w:r w:rsidR="00F710CD" w:rsidRPr="00F710CD">
          <w:rPr>
            <w:rStyle w:val="Hyperlink"/>
            <w:b/>
            <w:bCs/>
          </w:rPr>
          <w:t>AŁĄCZNIK II – WYNIKI PROGNOZY</w:t>
        </w:r>
        <w:r w:rsidR="00560EFA" w:rsidRPr="00F710CD">
          <w:rPr>
            <w:webHidden/>
          </w:rPr>
          <w:tab/>
        </w:r>
        <w:r w:rsidR="00560EFA" w:rsidRPr="00F710CD">
          <w:rPr>
            <w:webHidden/>
          </w:rPr>
          <w:fldChar w:fldCharType="begin"/>
        </w:r>
        <w:r w:rsidR="00560EFA" w:rsidRPr="00F710CD">
          <w:rPr>
            <w:webHidden/>
          </w:rPr>
          <w:instrText xml:space="preserve"> PAGEREF _Toc170319525 \h </w:instrText>
        </w:r>
        <w:r w:rsidR="00560EFA" w:rsidRPr="00F710CD">
          <w:rPr>
            <w:webHidden/>
          </w:rPr>
        </w:r>
        <w:r w:rsidR="00560EFA" w:rsidRPr="00F710CD">
          <w:rPr>
            <w:webHidden/>
          </w:rPr>
          <w:fldChar w:fldCharType="separate"/>
        </w:r>
        <w:r w:rsidR="0074057C">
          <w:rPr>
            <w:webHidden/>
          </w:rPr>
          <w:t>14</w:t>
        </w:r>
        <w:r w:rsidR="00560EFA" w:rsidRPr="00F710CD">
          <w:rPr>
            <w:webHidden/>
          </w:rPr>
          <w:fldChar w:fldCharType="end"/>
        </w:r>
      </w:hyperlink>
    </w:p>
    <w:p w14:paraId="1CABB9F2" w14:textId="5463E383" w:rsidR="00560EFA" w:rsidRDefault="007D1FD8" w:rsidP="008D05A0">
      <w:pPr>
        <w:pStyle w:val="TOC2"/>
        <w:spacing w:before="120" w:line="360" w:lineRule="auto"/>
        <w:rPr>
          <w:rFonts w:asciiTheme="minorHAnsi" w:eastAsiaTheme="minorEastAsia" w:hAnsiTheme="minorHAnsi"/>
          <w:kern w:val="2"/>
          <w:sz w:val="22"/>
          <w:szCs w:val="22"/>
          <w:lang w:eastAsia="pl-PL"/>
          <w14:ligatures w14:val="standardContextual"/>
        </w:rPr>
      </w:pPr>
      <w:hyperlink w:anchor="_Toc170319526" w:history="1">
        <w:r w:rsidR="00560EFA" w:rsidRPr="00B56812">
          <w:rPr>
            <w:rStyle w:val="Hyperlink"/>
          </w:rPr>
          <w:t>Tabela 1.1 – Prognoza długoterminowa przyszłych wypływów</w:t>
        </w:r>
        <w:r w:rsidR="00C56AFD" w:rsidRPr="00B56812">
          <w:rPr>
            <w:rStyle w:val="Hyperlink"/>
          </w:rPr>
          <w:t xml:space="preserve"> z</w:t>
        </w:r>
        <w:r w:rsidR="00C56AFD">
          <w:rPr>
            <w:rStyle w:val="Hyperlink"/>
            <w:rFonts w:ascii="Calibri" w:hAnsi="Calibri" w:cs="Calibri"/>
          </w:rPr>
          <w:t> </w:t>
        </w:r>
        <w:r w:rsidR="00C56AFD" w:rsidRPr="00B56812">
          <w:rPr>
            <w:rStyle w:val="Hyperlink"/>
          </w:rPr>
          <w:t>bud</w:t>
        </w:r>
        <w:r w:rsidR="00560EFA" w:rsidRPr="00B56812">
          <w:rPr>
            <w:rStyle w:val="Hyperlink"/>
          </w:rPr>
          <w:t>żetu na lata 2025–2029</w:t>
        </w:r>
        <w:r w:rsidR="00C56AFD" w:rsidRPr="00B56812">
          <w:rPr>
            <w:rStyle w:val="Hyperlink"/>
          </w:rPr>
          <w:t xml:space="preserve"> w</w:t>
        </w:r>
        <w:r w:rsidR="00C56AFD">
          <w:rPr>
            <w:rStyle w:val="Hyperlink"/>
            <w:rFonts w:ascii="Calibri" w:hAnsi="Calibri" w:cs="Calibri"/>
          </w:rPr>
          <w:t> </w:t>
        </w:r>
        <w:r w:rsidR="00C56AFD" w:rsidRPr="00B56812">
          <w:rPr>
            <w:rStyle w:val="Hyperlink"/>
          </w:rPr>
          <w:t>odn</w:t>
        </w:r>
        <w:r w:rsidR="00560EFA" w:rsidRPr="00B56812">
          <w:rPr>
            <w:rStyle w:val="Hyperlink"/>
          </w:rPr>
          <w:t xml:space="preserve">iesieniu </w:t>
        </w:r>
        <w:r w:rsidR="00511E54">
          <w:rPr>
            <w:rStyle w:val="Hyperlink"/>
          </w:rPr>
          <w:t xml:space="preserve">                   </w:t>
        </w:r>
        <w:r w:rsidR="00560EFA" w:rsidRPr="00B56812">
          <w:rPr>
            <w:rStyle w:val="Hyperlink"/>
          </w:rPr>
          <w:t>do WRF</w:t>
        </w:r>
        <w:r w:rsidR="00560EFA">
          <w:rPr>
            <w:webHidden/>
          </w:rPr>
          <w:tab/>
        </w:r>
        <w:r w:rsidR="00511E54">
          <w:rPr>
            <w:webHidden/>
          </w:rPr>
          <w:t xml:space="preserve"> </w:t>
        </w:r>
        <w:r w:rsidR="00C56AFD">
          <w:rPr>
            <w:webHidden/>
          </w:rPr>
          <w:tab/>
        </w:r>
        <w:r w:rsidR="00560EFA">
          <w:rPr>
            <w:webHidden/>
          </w:rPr>
          <w:fldChar w:fldCharType="begin"/>
        </w:r>
        <w:r w:rsidR="00560EFA">
          <w:rPr>
            <w:webHidden/>
          </w:rPr>
          <w:instrText xml:space="preserve"> PAGEREF _Toc170319526 \h </w:instrText>
        </w:r>
        <w:r w:rsidR="00560EFA">
          <w:rPr>
            <w:webHidden/>
          </w:rPr>
        </w:r>
        <w:r w:rsidR="00560EFA">
          <w:rPr>
            <w:webHidden/>
          </w:rPr>
          <w:fldChar w:fldCharType="separate"/>
        </w:r>
        <w:r w:rsidR="0074057C">
          <w:rPr>
            <w:webHidden/>
          </w:rPr>
          <w:t>14</w:t>
        </w:r>
        <w:r w:rsidR="00560EFA">
          <w:rPr>
            <w:webHidden/>
          </w:rPr>
          <w:fldChar w:fldCharType="end"/>
        </w:r>
      </w:hyperlink>
    </w:p>
    <w:p w14:paraId="03092EA4" w14:textId="74ED1DFF" w:rsidR="00560EFA" w:rsidRDefault="007D1FD8" w:rsidP="008D05A0">
      <w:pPr>
        <w:pStyle w:val="TOC2"/>
        <w:spacing w:before="120" w:line="360" w:lineRule="auto"/>
        <w:rPr>
          <w:rFonts w:asciiTheme="minorHAnsi" w:eastAsiaTheme="minorEastAsia" w:hAnsiTheme="minorHAnsi"/>
          <w:kern w:val="2"/>
          <w:sz w:val="22"/>
          <w:szCs w:val="22"/>
          <w:lang w:eastAsia="pl-PL"/>
          <w14:ligatures w14:val="standardContextual"/>
        </w:rPr>
      </w:pPr>
      <w:hyperlink w:anchor="_Toc170319527" w:history="1">
        <w:r w:rsidR="00560EFA" w:rsidRPr="00B56812">
          <w:rPr>
            <w:rStyle w:val="Hyperlink"/>
          </w:rPr>
          <w:t>Tabela 1.2 – Płatności związane</w:t>
        </w:r>
        <w:r w:rsidR="00C56AFD" w:rsidRPr="00B56812">
          <w:rPr>
            <w:rStyle w:val="Hyperlink"/>
          </w:rPr>
          <w:t xml:space="preserve"> z</w:t>
        </w:r>
        <w:r w:rsidR="00C56AFD">
          <w:rPr>
            <w:rStyle w:val="Hyperlink"/>
            <w:rFonts w:ascii="Calibri" w:hAnsi="Calibri" w:cs="Calibri"/>
          </w:rPr>
          <w:t> </w:t>
        </w:r>
        <w:r w:rsidR="00C56AFD" w:rsidRPr="00B56812">
          <w:rPr>
            <w:rStyle w:val="Hyperlink"/>
          </w:rPr>
          <w:t>zob</w:t>
        </w:r>
        <w:r w:rsidR="00560EFA" w:rsidRPr="00B56812">
          <w:rPr>
            <w:rStyle w:val="Hyperlink"/>
          </w:rPr>
          <w:t>owiązaniami</w:t>
        </w:r>
        <w:r w:rsidR="00C56AFD" w:rsidRPr="00B56812">
          <w:rPr>
            <w:rStyle w:val="Hyperlink"/>
          </w:rPr>
          <w:t xml:space="preserve"> w</w:t>
        </w:r>
        <w:r w:rsidR="00C56AFD">
          <w:rPr>
            <w:rStyle w:val="Hyperlink"/>
            <w:rFonts w:ascii="Calibri" w:hAnsi="Calibri" w:cs="Calibri"/>
          </w:rPr>
          <w:t> </w:t>
        </w:r>
        <w:r w:rsidR="00C56AFD" w:rsidRPr="00B56812">
          <w:rPr>
            <w:rStyle w:val="Hyperlink"/>
          </w:rPr>
          <w:t>ram</w:t>
        </w:r>
        <w:r w:rsidR="00560EFA" w:rsidRPr="00B56812">
          <w:rPr>
            <w:rStyle w:val="Hyperlink"/>
          </w:rPr>
          <w:t>ach WRF na lata 2021–2027</w:t>
        </w:r>
        <w:r w:rsidR="00560EFA">
          <w:rPr>
            <w:webHidden/>
          </w:rPr>
          <w:tab/>
        </w:r>
        <w:r w:rsidR="00560EFA">
          <w:rPr>
            <w:webHidden/>
          </w:rPr>
          <w:fldChar w:fldCharType="begin"/>
        </w:r>
        <w:r w:rsidR="00560EFA">
          <w:rPr>
            <w:webHidden/>
          </w:rPr>
          <w:instrText xml:space="preserve"> PAGEREF _Toc170319527 \h </w:instrText>
        </w:r>
        <w:r w:rsidR="00560EFA">
          <w:rPr>
            <w:webHidden/>
          </w:rPr>
        </w:r>
        <w:r w:rsidR="00560EFA">
          <w:rPr>
            <w:webHidden/>
          </w:rPr>
          <w:fldChar w:fldCharType="separate"/>
        </w:r>
        <w:r w:rsidR="0074057C">
          <w:rPr>
            <w:webHidden/>
          </w:rPr>
          <w:t>15</w:t>
        </w:r>
        <w:r w:rsidR="00560EFA">
          <w:rPr>
            <w:webHidden/>
          </w:rPr>
          <w:fldChar w:fldCharType="end"/>
        </w:r>
      </w:hyperlink>
    </w:p>
    <w:p w14:paraId="124F0620" w14:textId="68D6F349" w:rsidR="00560EFA" w:rsidRDefault="007D1FD8" w:rsidP="008D05A0">
      <w:pPr>
        <w:pStyle w:val="TOC2"/>
        <w:spacing w:before="120" w:line="360" w:lineRule="auto"/>
        <w:rPr>
          <w:rFonts w:asciiTheme="minorHAnsi" w:eastAsiaTheme="minorEastAsia" w:hAnsiTheme="minorHAnsi"/>
          <w:kern w:val="2"/>
          <w:sz w:val="22"/>
          <w:szCs w:val="22"/>
          <w:lang w:eastAsia="pl-PL"/>
          <w14:ligatures w14:val="standardContextual"/>
        </w:rPr>
      </w:pPr>
      <w:hyperlink w:anchor="_Toc170319528" w:history="1">
        <w:r w:rsidR="00560EFA" w:rsidRPr="00B56812">
          <w:rPr>
            <w:rStyle w:val="Hyperlink"/>
          </w:rPr>
          <w:t>Tabela 1.3 – Płatności</w:t>
        </w:r>
        <w:r w:rsidR="00C56AFD" w:rsidRPr="00B56812">
          <w:rPr>
            <w:rStyle w:val="Hyperlink"/>
          </w:rPr>
          <w:t xml:space="preserve"> z</w:t>
        </w:r>
        <w:r w:rsidR="00C56AFD">
          <w:rPr>
            <w:rStyle w:val="Hyperlink"/>
            <w:rFonts w:ascii="Calibri" w:hAnsi="Calibri" w:cs="Calibri"/>
          </w:rPr>
          <w:t> </w:t>
        </w:r>
        <w:r w:rsidR="00C56AFD" w:rsidRPr="00B56812">
          <w:rPr>
            <w:rStyle w:val="Hyperlink"/>
          </w:rPr>
          <w:t>tyt</w:t>
        </w:r>
        <w:r w:rsidR="00560EFA" w:rsidRPr="00B56812">
          <w:rPr>
            <w:rStyle w:val="Hyperlink"/>
          </w:rPr>
          <w:t>ułu wypełnienia zobowiązań sprzed 20</w:t>
        </w:r>
        <w:r w:rsidR="00560EFA" w:rsidRPr="00C56AFD">
          <w:rPr>
            <w:rStyle w:val="Hyperlink"/>
          </w:rPr>
          <w:t>21</w:t>
        </w:r>
        <w:r w:rsidR="00C56AFD" w:rsidRPr="00C56AFD">
          <w:rPr>
            <w:rStyle w:val="Hyperlink"/>
            <w:rFonts w:ascii="Calibri" w:hAnsi="Calibri" w:cs="Calibri"/>
          </w:rPr>
          <w:t> </w:t>
        </w:r>
        <w:r w:rsidR="00560EFA" w:rsidRPr="00C56AFD">
          <w:rPr>
            <w:rStyle w:val="Hyperlink"/>
          </w:rPr>
          <w:t>r.</w:t>
        </w:r>
        <w:r w:rsidR="00560EFA">
          <w:rPr>
            <w:webHidden/>
          </w:rPr>
          <w:tab/>
        </w:r>
        <w:r w:rsidR="00560EFA">
          <w:rPr>
            <w:webHidden/>
          </w:rPr>
          <w:fldChar w:fldCharType="begin"/>
        </w:r>
        <w:r w:rsidR="00560EFA">
          <w:rPr>
            <w:webHidden/>
          </w:rPr>
          <w:instrText xml:space="preserve"> PAGEREF _Toc170319528 \h </w:instrText>
        </w:r>
        <w:r w:rsidR="00560EFA">
          <w:rPr>
            <w:webHidden/>
          </w:rPr>
        </w:r>
        <w:r w:rsidR="00560EFA">
          <w:rPr>
            <w:webHidden/>
          </w:rPr>
          <w:fldChar w:fldCharType="separate"/>
        </w:r>
        <w:r w:rsidR="0074057C">
          <w:rPr>
            <w:webHidden/>
          </w:rPr>
          <w:t>16</w:t>
        </w:r>
        <w:r w:rsidR="00560EFA">
          <w:rPr>
            <w:webHidden/>
          </w:rPr>
          <w:fldChar w:fldCharType="end"/>
        </w:r>
      </w:hyperlink>
    </w:p>
    <w:p w14:paraId="7CAAA41C" w14:textId="43117D09" w:rsidR="00560EFA" w:rsidRDefault="007D1FD8" w:rsidP="008D05A0">
      <w:pPr>
        <w:pStyle w:val="TOC2"/>
        <w:spacing w:before="120" w:line="360" w:lineRule="auto"/>
        <w:rPr>
          <w:rFonts w:asciiTheme="minorHAnsi" w:eastAsiaTheme="minorEastAsia" w:hAnsiTheme="minorHAnsi"/>
          <w:kern w:val="2"/>
          <w:sz w:val="22"/>
          <w:szCs w:val="22"/>
          <w:lang w:eastAsia="pl-PL"/>
          <w14:ligatures w14:val="standardContextual"/>
        </w:rPr>
      </w:pPr>
      <w:hyperlink w:anchor="_Toc170319529" w:history="1">
        <w:r w:rsidR="00560EFA" w:rsidRPr="00B56812">
          <w:rPr>
            <w:rStyle w:val="Hyperlink"/>
          </w:rPr>
          <w:t>Tabela 2 – Prognozowane umorzenia</w:t>
        </w:r>
        <w:r w:rsidR="00C56AFD" w:rsidRPr="00B56812">
          <w:rPr>
            <w:rStyle w:val="Hyperlink"/>
          </w:rPr>
          <w:t xml:space="preserve"> w</w:t>
        </w:r>
        <w:r w:rsidR="00C56AFD">
          <w:rPr>
            <w:rStyle w:val="Hyperlink"/>
            <w:rFonts w:ascii="Calibri" w:hAnsi="Calibri" w:cs="Calibri"/>
          </w:rPr>
          <w:t> </w:t>
        </w:r>
        <w:r w:rsidR="00C56AFD" w:rsidRPr="00B56812">
          <w:rPr>
            <w:rStyle w:val="Hyperlink"/>
          </w:rPr>
          <w:t>lat</w:t>
        </w:r>
        <w:r w:rsidR="00560EFA" w:rsidRPr="00B56812">
          <w:rPr>
            <w:rStyle w:val="Hyperlink"/>
          </w:rPr>
          <w:t>ach 2025–2027</w:t>
        </w:r>
        <w:r w:rsidR="00560EFA">
          <w:rPr>
            <w:webHidden/>
          </w:rPr>
          <w:tab/>
        </w:r>
        <w:r w:rsidR="00560EFA">
          <w:rPr>
            <w:webHidden/>
          </w:rPr>
          <w:fldChar w:fldCharType="begin"/>
        </w:r>
        <w:r w:rsidR="00560EFA">
          <w:rPr>
            <w:webHidden/>
          </w:rPr>
          <w:instrText xml:space="preserve"> PAGEREF _Toc170319529 \h </w:instrText>
        </w:r>
        <w:r w:rsidR="00560EFA">
          <w:rPr>
            <w:webHidden/>
          </w:rPr>
        </w:r>
        <w:r w:rsidR="00560EFA">
          <w:rPr>
            <w:webHidden/>
          </w:rPr>
          <w:fldChar w:fldCharType="separate"/>
        </w:r>
        <w:r w:rsidR="0074057C">
          <w:rPr>
            <w:webHidden/>
          </w:rPr>
          <w:t>17</w:t>
        </w:r>
        <w:r w:rsidR="00560EFA">
          <w:rPr>
            <w:webHidden/>
          </w:rPr>
          <w:fldChar w:fldCharType="end"/>
        </w:r>
      </w:hyperlink>
    </w:p>
    <w:p w14:paraId="3966B6A4" w14:textId="2BEBEE95" w:rsidR="00560EFA" w:rsidRDefault="007D1FD8" w:rsidP="008D05A0">
      <w:pPr>
        <w:pStyle w:val="TOC2"/>
        <w:spacing w:before="120" w:line="360" w:lineRule="auto"/>
        <w:rPr>
          <w:rFonts w:asciiTheme="minorHAnsi" w:eastAsiaTheme="minorEastAsia" w:hAnsiTheme="minorHAnsi"/>
          <w:kern w:val="2"/>
          <w:sz w:val="22"/>
          <w:szCs w:val="22"/>
          <w:lang w:eastAsia="pl-PL"/>
          <w14:ligatures w14:val="standardContextual"/>
        </w:rPr>
      </w:pPr>
      <w:hyperlink w:anchor="_Toc170319530" w:history="1">
        <w:r w:rsidR="00560EFA" w:rsidRPr="00B56812">
          <w:rPr>
            <w:rStyle w:val="Hyperlink"/>
          </w:rPr>
          <w:t>Tabela 3 – Długoterminowa prognoza wypływów</w:t>
        </w:r>
        <w:r w:rsidR="00C56AFD" w:rsidRPr="00B56812">
          <w:rPr>
            <w:rStyle w:val="Hyperlink"/>
          </w:rPr>
          <w:t xml:space="preserve"> w</w:t>
        </w:r>
        <w:r w:rsidR="00C56AFD">
          <w:rPr>
            <w:rStyle w:val="Hyperlink"/>
            <w:rFonts w:ascii="Calibri" w:hAnsi="Calibri" w:cs="Calibri"/>
          </w:rPr>
          <w:t> </w:t>
        </w:r>
        <w:r w:rsidR="00C56AFD" w:rsidRPr="00B56812">
          <w:rPr>
            <w:rStyle w:val="Hyperlink"/>
          </w:rPr>
          <w:t>odn</w:t>
        </w:r>
        <w:r w:rsidR="00560EFA" w:rsidRPr="00B56812">
          <w:rPr>
            <w:rStyle w:val="Hyperlink"/>
          </w:rPr>
          <w:t>iesieniu do NextGenerationEU</w:t>
        </w:r>
        <w:r w:rsidR="00560EFA">
          <w:rPr>
            <w:webHidden/>
          </w:rPr>
          <w:tab/>
        </w:r>
        <w:r w:rsidR="00560EFA">
          <w:rPr>
            <w:webHidden/>
          </w:rPr>
          <w:fldChar w:fldCharType="begin"/>
        </w:r>
        <w:r w:rsidR="00560EFA">
          <w:rPr>
            <w:webHidden/>
          </w:rPr>
          <w:instrText xml:space="preserve"> PAGEREF _Toc170319530 \h </w:instrText>
        </w:r>
        <w:r w:rsidR="00560EFA">
          <w:rPr>
            <w:webHidden/>
          </w:rPr>
        </w:r>
        <w:r w:rsidR="00560EFA">
          <w:rPr>
            <w:webHidden/>
          </w:rPr>
          <w:fldChar w:fldCharType="separate"/>
        </w:r>
        <w:r w:rsidR="0074057C">
          <w:rPr>
            <w:webHidden/>
          </w:rPr>
          <w:t>17</w:t>
        </w:r>
        <w:r w:rsidR="00560EFA">
          <w:rPr>
            <w:webHidden/>
          </w:rPr>
          <w:fldChar w:fldCharType="end"/>
        </w:r>
      </w:hyperlink>
    </w:p>
    <w:p w14:paraId="34797DC8" w14:textId="4A1676AB" w:rsidR="00560EFA" w:rsidRDefault="007D1FD8" w:rsidP="008D05A0">
      <w:pPr>
        <w:pStyle w:val="TOC2"/>
        <w:spacing w:before="120" w:line="360" w:lineRule="auto"/>
        <w:rPr>
          <w:rFonts w:asciiTheme="minorHAnsi" w:eastAsiaTheme="minorEastAsia" w:hAnsiTheme="minorHAnsi"/>
          <w:kern w:val="2"/>
          <w:sz w:val="22"/>
          <w:szCs w:val="22"/>
          <w:lang w:eastAsia="pl-PL"/>
          <w14:ligatures w14:val="standardContextual"/>
        </w:rPr>
      </w:pPr>
      <w:hyperlink w:anchor="_Toc170319531" w:history="1">
        <w:r w:rsidR="00560EFA" w:rsidRPr="00B56812">
          <w:rPr>
            <w:rStyle w:val="Hyperlink"/>
          </w:rPr>
          <w:t>Tabela 4 – Zmiana łącznej kwoty zobowiązań pozostających do spłaty</w:t>
        </w:r>
        <w:r w:rsidR="00C56AFD" w:rsidRPr="00B56812">
          <w:rPr>
            <w:rStyle w:val="Hyperlink"/>
          </w:rPr>
          <w:t xml:space="preserve"> w</w:t>
        </w:r>
        <w:r w:rsidR="00C56AFD">
          <w:rPr>
            <w:rStyle w:val="Hyperlink"/>
            <w:rFonts w:ascii="Calibri" w:hAnsi="Calibri" w:cs="Calibri"/>
          </w:rPr>
          <w:t> </w:t>
        </w:r>
        <w:r w:rsidR="00C56AFD" w:rsidRPr="00B56812">
          <w:rPr>
            <w:rStyle w:val="Hyperlink"/>
          </w:rPr>
          <w:t>lat</w:t>
        </w:r>
        <w:r w:rsidR="00560EFA" w:rsidRPr="00B56812">
          <w:rPr>
            <w:rStyle w:val="Hyperlink"/>
          </w:rPr>
          <w:t>ach 2025–2027</w:t>
        </w:r>
        <w:r w:rsidR="00560EFA">
          <w:rPr>
            <w:webHidden/>
          </w:rPr>
          <w:tab/>
        </w:r>
        <w:r w:rsidR="00560EFA">
          <w:rPr>
            <w:webHidden/>
          </w:rPr>
          <w:fldChar w:fldCharType="begin"/>
        </w:r>
        <w:r w:rsidR="00560EFA">
          <w:rPr>
            <w:webHidden/>
          </w:rPr>
          <w:instrText xml:space="preserve"> PAGEREF _Toc170319531 \h </w:instrText>
        </w:r>
        <w:r w:rsidR="00560EFA">
          <w:rPr>
            <w:webHidden/>
          </w:rPr>
        </w:r>
        <w:r w:rsidR="00560EFA">
          <w:rPr>
            <w:webHidden/>
          </w:rPr>
          <w:fldChar w:fldCharType="separate"/>
        </w:r>
        <w:r w:rsidR="0074057C">
          <w:rPr>
            <w:webHidden/>
          </w:rPr>
          <w:t>19</w:t>
        </w:r>
        <w:r w:rsidR="00560EFA">
          <w:rPr>
            <w:webHidden/>
          </w:rPr>
          <w:fldChar w:fldCharType="end"/>
        </w:r>
      </w:hyperlink>
    </w:p>
    <w:p w14:paraId="33DB3115" w14:textId="780E065A" w:rsidR="00560EFA" w:rsidRDefault="007D1FD8" w:rsidP="008D05A0">
      <w:pPr>
        <w:pStyle w:val="TOC2"/>
        <w:spacing w:before="120" w:line="360" w:lineRule="auto"/>
        <w:rPr>
          <w:rFonts w:asciiTheme="minorHAnsi" w:eastAsiaTheme="minorEastAsia" w:hAnsiTheme="minorHAnsi"/>
          <w:kern w:val="2"/>
          <w:sz w:val="22"/>
          <w:szCs w:val="22"/>
          <w:lang w:eastAsia="pl-PL"/>
          <w14:ligatures w14:val="standardContextual"/>
        </w:rPr>
      </w:pPr>
      <w:hyperlink w:anchor="_Toc170319532" w:history="1">
        <w:r w:rsidR="00560EFA" w:rsidRPr="00B56812">
          <w:rPr>
            <w:rStyle w:val="Hyperlink"/>
          </w:rPr>
          <w:t>Tabela 5 – Prognoza długoterminowa przyszłych wpływów do budżetu UE na lata 2025–2029</w:t>
        </w:r>
        <w:r w:rsidR="00560EFA">
          <w:rPr>
            <w:webHidden/>
          </w:rPr>
          <w:tab/>
        </w:r>
        <w:r w:rsidR="00560EFA">
          <w:rPr>
            <w:webHidden/>
          </w:rPr>
          <w:fldChar w:fldCharType="begin"/>
        </w:r>
        <w:r w:rsidR="00560EFA">
          <w:rPr>
            <w:webHidden/>
          </w:rPr>
          <w:instrText xml:space="preserve"> PAGEREF _Toc170319532 \h </w:instrText>
        </w:r>
        <w:r w:rsidR="00560EFA">
          <w:rPr>
            <w:webHidden/>
          </w:rPr>
        </w:r>
        <w:r w:rsidR="00560EFA">
          <w:rPr>
            <w:webHidden/>
          </w:rPr>
          <w:fldChar w:fldCharType="separate"/>
        </w:r>
        <w:r w:rsidR="0074057C">
          <w:rPr>
            <w:webHidden/>
          </w:rPr>
          <w:t>20</w:t>
        </w:r>
        <w:r w:rsidR="00560EFA">
          <w:rPr>
            <w:webHidden/>
          </w:rPr>
          <w:fldChar w:fldCharType="end"/>
        </w:r>
      </w:hyperlink>
    </w:p>
    <w:p w14:paraId="3620F4B9" w14:textId="7AF6BAC8" w:rsidR="00861C1C" w:rsidRPr="00390EB1" w:rsidRDefault="003B6DC2" w:rsidP="00355CD1">
      <w:pPr>
        <w:pStyle w:val="TOC2"/>
      </w:pPr>
      <w:r w:rsidRPr="00390EB1">
        <w:fldChar w:fldCharType="end"/>
      </w:r>
    </w:p>
    <w:p w14:paraId="3FE3C258" w14:textId="77777777" w:rsidR="00413BE5" w:rsidRDefault="00413BE5">
      <w:pPr>
        <w:rPr>
          <w:noProof/>
        </w:rPr>
        <w:sectPr w:rsidR="00413BE5">
          <w:headerReference w:type="even" r:id="rId19"/>
          <w:headerReference w:type="default" r:id="rId20"/>
          <w:footerReference w:type="even" r:id="rId21"/>
          <w:footerReference w:type="default" r:id="rId22"/>
          <w:headerReference w:type="first" r:id="rId23"/>
          <w:footerReference w:type="first" r:id="rId24"/>
          <w:pgSz w:w="11906" w:h="16838"/>
          <w:pgMar w:top="1321" w:right="1151" w:bottom="1440" w:left="1151" w:header="720" w:footer="720" w:gutter="0"/>
          <w:pgNumType w:start="1"/>
          <w:cols w:space="720"/>
          <w:docGrid w:linePitch="326"/>
        </w:sectPr>
      </w:pPr>
    </w:p>
    <w:p w14:paraId="65357E71" w14:textId="3D309FFD" w:rsidR="00861C1C" w:rsidRPr="00390EB1" w:rsidRDefault="003B6DC2">
      <w:pPr>
        <w:pStyle w:val="amprH2TITLE1-Numbered-1"/>
        <w:rPr>
          <w:noProof/>
        </w:rPr>
      </w:pPr>
      <w:bookmarkStart w:id="7" w:name="_Toc170319516"/>
      <w:r>
        <w:rPr>
          <w:noProof/>
        </w:rPr>
        <w:t>Wprowadzenie</w:t>
      </w:r>
      <w:bookmarkEnd w:id="4"/>
      <w:bookmarkEnd w:id="5"/>
      <w:bookmarkEnd w:id="7"/>
    </w:p>
    <w:p w14:paraId="5040A033" w14:textId="48304A89" w:rsidR="00861C1C" w:rsidRPr="00390EB1" w:rsidRDefault="55E43B5C" w:rsidP="0050317D">
      <w:pPr>
        <w:spacing w:before="180" w:after="120" w:line="276" w:lineRule="auto"/>
        <w:jc w:val="both"/>
        <w:rPr>
          <w:noProof/>
        </w:rPr>
      </w:pPr>
      <w:r>
        <w:rPr>
          <w:noProof/>
        </w:rPr>
        <w:t>W niniejszym sprawozdaniu przedstawiono prognozy dotyczące wpływów do budżetu UE</w:t>
      </w:r>
      <w:r w:rsidR="00C56AFD">
        <w:rPr>
          <w:noProof/>
        </w:rPr>
        <w:t xml:space="preserve"> i</w:t>
      </w:r>
      <w:r w:rsidR="00C56AFD">
        <w:rPr>
          <w:rFonts w:ascii="Calibri" w:hAnsi="Calibri" w:cs="Calibri"/>
          <w:noProof/>
        </w:rPr>
        <w:t> </w:t>
      </w:r>
      <w:r w:rsidR="00C56AFD">
        <w:rPr>
          <w:noProof/>
        </w:rPr>
        <w:t>wyp</w:t>
      </w:r>
      <w:r>
        <w:rPr>
          <w:noProof/>
        </w:rPr>
        <w:t>ływów</w:t>
      </w:r>
      <w:r w:rsidR="00C56AFD">
        <w:rPr>
          <w:noProof/>
        </w:rPr>
        <w:t xml:space="preserve"> z</w:t>
      </w:r>
      <w:r w:rsidR="00C56AFD">
        <w:rPr>
          <w:rFonts w:ascii="Calibri" w:hAnsi="Calibri" w:cs="Calibri"/>
          <w:noProof/>
        </w:rPr>
        <w:t> </w:t>
      </w:r>
      <w:r w:rsidR="00C56AFD">
        <w:rPr>
          <w:noProof/>
        </w:rPr>
        <w:t>teg</w:t>
      </w:r>
      <w:r>
        <w:rPr>
          <w:noProof/>
        </w:rPr>
        <w:t>o budżetu na kolejne pięć lat zgodnie</w:t>
      </w:r>
      <w:r w:rsidR="00C56AFD">
        <w:rPr>
          <w:noProof/>
        </w:rPr>
        <w:t xml:space="preserve"> z</w:t>
      </w:r>
      <w:r w:rsidR="00C56AFD">
        <w:rPr>
          <w:rFonts w:ascii="Calibri" w:hAnsi="Calibri" w:cs="Calibri"/>
          <w:noProof/>
        </w:rPr>
        <w:t> </w:t>
      </w:r>
      <w:r w:rsidR="00C56AFD" w:rsidRPr="00C56AFD">
        <w:rPr>
          <w:noProof/>
        </w:rPr>
        <w:t>art</w:t>
      </w:r>
      <w:r w:rsidRPr="00C56AFD">
        <w:rPr>
          <w:noProof/>
        </w:rPr>
        <w:t>.</w:t>
      </w:r>
      <w:r w:rsidR="00C56AFD" w:rsidRPr="00C56AFD">
        <w:rPr>
          <w:rFonts w:ascii="Calibri" w:hAnsi="Calibri" w:cs="Calibri"/>
          <w:noProof/>
        </w:rPr>
        <w:t> </w:t>
      </w:r>
      <w:r w:rsidRPr="00C56AFD">
        <w:rPr>
          <w:noProof/>
        </w:rPr>
        <w:t>2</w:t>
      </w:r>
      <w:r>
        <w:rPr>
          <w:noProof/>
        </w:rPr>
        <w:t xml:space="preserve">47 </w:t>
      </w:r>
      <w:r w:rsidRPr="00C56AFD">
        <w:rPr>
          <w:noProof/>
        </w:rPr>
        <w:t>ust.</w:t>
      </w:r>
      <w:r w:rsidR="00C56AFD" w:rsidRPr="00C56AFD">
        <w:rPr>
          <w:rFonts w:ascii="Calibri" w:hAnsi="Calibri" w:cs="Calibri"/>
          <w:noProof/>
        </w:rPr>
        <w:t> </w:t>
      </w:r>
      <w:r w:rsidRPr="00C56AFD">
        <w:rPr>
          <w:noProof/>
        </w:rPr>
        <w:t>1</w:t>
      </w:r>
      <w:r>
        <w:rPr>
          <w:noProof/>
        </w:rPr>
        <w:t xml:space="preserve"> </w:t>
      </w:r>
      <w:r w:rsidRPr="00C56AFD">
        <w:rPr>
          <w:noProof/>
        </w:rPr>
        <w:t>lit.</w:t>
      </w:r>
      <w:r w:rsidR="00C56AFD" w:rsidRPr="00C56AFD">
        <w:rPr>
          <w:rFonts w:ascii="Calibri" w:hAnsi="Calibri" w:cs="Calibri"/>
          <w:noProof/>
        </w:rPr>
        <w:t> </w:t>
      </w:r>
      <w:r w:rsidRPr="00C56AFD">
        <w:rPr>
          <w:noProof/>
        </w:rPr>
        <w:t>c)</w:t>
      </w:r>
      <w:r>
        <w:rPr>
          <w:noProof/>
        </w:rPr>
        <w:t xml:space="preserve"> rozporządzenia finansowego</w:t>
      </w:r>
      <w:r w:rsidR="003B6DC2" w:rsidRPr="00390EB1">
        <w:rPr>
          <w:noProof/>
          <w:vertAlign w:val="superscript"/>
        </w:rPr>
        <w:endnoteReference w:id="2"/>
      </w:r>
      <w:r>
        <w:rPr>
          <w:noProof/>
        </w:rPr>
        <w:t>. Niniejsza czwarta</w:t>
      </w:r>
      <w:r w:rsidR="00C3162D" w:rsidRPr="00390EB1">
        <w:rPr>
          <w:rStyle w:val="EndnoteReference"/>
          <w:noProof/>
        </w:rPr>
        <w:endnoteReference w:id="3"/>
      </w:r>
      <w:r>
        <w:rPr>
          <w:noProof/>
        </w:rPr>
        <w:t xml:space="preserve"> edycja zawiera prognozę przychodów</w:t>
      </w:r>
      <w:r w:rsidR="00C56AFD">
        <w:rPr>
          <w:noProof/>
        </w:rPr>
        <w:t xml:space="preserve"> i</w:t>
      </w:r>
      <w:r w:rsidR="00C56AFD">
        <w:rPr>
          <w:rFonts w:ascii="Calibri" w:hAnsi="Calibri" w:cs="Calibri"/>
          <w:noProof/>
        </w:rPr>
        <w:t> </w:t>
      </w:r>
      <w:r w:rsidR="00C56AFD">
        <w:rPr>
          <w:noProof/>
        </w:rPr>
        <w:t>wyd</w:t>
      </w:r>
      <w:r>
        <w:rPr>
          <w:noProof/>
        </w:rPr>
        <w:t>atków wynikających</w:t>
      </w:r>
      <w:r w:rsidR="00C56AFD">
        <w:rPr>
          <w:noProof/>
        </w:rPr>
        <w:t xml:space="preserve"> z</w:t>
      </w:r>
      <w:r w:rsidR="00C56AFD">
        <w:rPr>
          <w:rFonts w:ascii="Calibri" w:hAnsi="Calibri" w:cs="Calibri"/>
          <w:noProof/>
        </w:rPr>
        <w:t> </w:t>
      </w:r>
      <w:r w:rsidR="00C56AFD">
        <w:rPr>
          <w:noProof/>
        </w:rPr>
        <w:t>wie</w:t>
      </w:r>
      <w:r>
        <w:rPr>
          <w:noProof/>
        </w:rPr>
        <w:t>loletnich ram finansowych (WRF) na lata 2021–2027</w:t>
      </w:r>
      <w:r w:rsidR="00894044" w:rsidRPr="00390EB1">
        <w:rPr>
          <w:noProof/>
          <w:vertAlign w:val="superscript"/>
        </w:rPr>
        <w:endnoteReference w:id="4"/>
      </w:r>
      <w:r>
        <w:rPr>
          <w:noProof/>
        </w:rPr>
        <w:t xml:space="preserve"> oraz NextGenerationEU</w:t>
      </w:r>
      <w:r w:rsidR="003B6DC2" w:rsidRPr="00390EB1">
        <w:rPr>
          <w:noProof/>
          <w:vertAlign w:val="superscript"/>
        </w:rPr>
        <w:endnoteReference w:id="5"/>
      </w:r>
      <w:r w:rsidR="00C56AFD">
        <w:rPr>
          <w:noProof/>
        </w:rPr>
        <w:t xml:space="preserve"> w</w:t>
      </w:r>
      <w:r w:rsidR="00C56AFD">
        <w:rPr>
          <w:rFonts w:ascii="Calibri" w:hAnsi="Calibri" w:cs="Calibri"/>
          <w:noProof/>
        </w:rPr>
        <w:t> </w:t>
      </w:r>
      <w:r w:rsidR="00C56AFD">
        <w:rPr>
          <w:noProof/>
        </w:rPr>
        <w:t>okr</w:t>
      </w:r>
      <w:r>
        <w:rPr>
          <w:noProof/>
        </w:rPr>
        <w:t>esie 2025–2029</w:t>
      </w:r>
      <w:r w:rsidR="003B6DC2" w:rsidRPr="00390EB1">
        <w:rPr>
          <w:noProof/>
          <w:vertAlign w:val="superscript"/>
        </w:rPr>
        <w:endnoteReference w:id="6"/>
      </w:r>
      <w:r>
        <w:rPr>
          <w:noProof/>
        </w:rPr>
        <w:t>. Prognoza na lata 2028–2029 obejmuje jedynie wydatki związane z WRF na lata 2021–2027, ponieważ kolejnych WRF jeszcze nie ustanowiono.</w:t>
      </w:r>
    </w:p>
    <w:p w14:paraId="43B1767A" w14:textId="228A0DCA" w:rsidR="00E46775" w:rsidRDefault="003B6DC2" w:rsidP="0050317D">
      <w:pPr>
        <w:spacing w:before="180" w:after="120" w:line="276" w:lineRule="auto"/>
        <w:jc w:val="both"/>
        <w:rPr>
          <w:noProof/>
        </w:rPr>
      </w:pPr>
      <w:bookmarkStart w:id="8" w:name="_Hlk133853331"/>
      <w:r>
        <w:rPr>
          <w:noProof/>
        </w:rPr>
        <w:t>Płatności</w:t>
      </w:r>
      <w:r w:rsidR="00C56AFD">
        <w:rPr>
          <w:noProof/>
        </w:rPr>
        <w:t xml:space="preserve"> z</w:t>
      </w:r>
      <w:r w:rsidR="00C56AFD">
        <w:rPr>
          <w:rFonts w:ascii="Calibri" w:hAnsi="Calibri" w:cs="Calibri"/>
          <w:noProof/>
        </w:rPr>
        <w:t> </w:t>
      </w:r>
      <w:r w:rsidR="00C56AFD">
        <w:rPr>
          <w:noProof/>
        </w:rPr>
        <w:t>bud</w:t>
      </w:r>
      <w:r>
        <w:rPr>
          <w:noProof/>
        </w:rPr>
        <w:t>żetu UE wynikają</w:t>
      </w:r>
      <w:r w:rsidR="00C56AFD">
        <w:rPr>
          <w:noProof/>
        </w:rPr>
        <w:t xml:space="preserve"> z</w:t>
      </w:r>
      <w:r w:rsidR="00C56AFD">
        <w:rPr>
          <w:rFonts w:ascii="Calibri" w:hAnsi="Calibri" w:cs="Calibri"/>
          <w:noProof/>
        </w:rPr>
        <w:t> </w:t>
      </w:r>
      <w:r w:rsidR="00C56AFD">
        <w:rPr>
          <w:noProof/>
        </w:rPr>
        <w:t>zob</w:t>
      </w:r>
      <w:r>
        <w:rPr>
          <w:noProof/>
        </w:rPr>
        <w:t>owiązań. Szacunków dotyczących płatności przedstawionych</w:t>
      </w:r>
      <w:r w:rsidR="00C56AFD">
        <w:rPr>
          <w:noProof/>
        </w:rPr>
        <w:t xml:space="preserve"> w</w:t>
      </w:r>
      <w:r w:rsidR="00C56AFD">
        <w:rPr>
          <w:rFonts w:ascii="Calibri" w:hAnsi="Calibri" w:cs="Calibri"/>
          <w:noProof/>
        </w:rPr>
        <w:t> </w:t>
      </w:r>
      <w:r w:rsidR="00C56AFD">
        <w:rPr>
          <w:noProof/>
        </w:rPr>
        <w:t>nin</w:t>
      </w:r>
      <w:r>
        <w:rPr>
          <w:noProof/>
        </w:rPr>
        <w:t xml:space="preserve">iejszym sprawozdaniu dokonano na podstawie zmienionych pułapów wydatków (dostosowanie techniczne WRF na </w:t>
      </w:r>
      <w:r w:rsidRPr="00C56AFD">
        <w:rPr>
          <w:noProof/>
        </w:rPr>
        <w:t>rok</w:t>
      </w:r>
      <w:r w:rsidR="00C56AFD" w:rsidRPr="00C56AFD">
        <w:rPr>
          <w:rFonts w:ascii="Calibri" w:hAnsi="Calibri" w:cs="Calibri"/>
          <w:noProof/>
        </w:rPr>
        <w:t> </w:t>
      </w:r>
      <w:r w:rsidRPr="00C56AFD">
        <w:rPr>
          <w:noProof/>
        </w:rPr>
        <w:t>2</w:t>
      </w:r>
      <w:r>
        <w:rPr>
          <w:noProof/>
        </w:rPr>
        <w:t>025)</w:t>
      </w:r>
      <w:r w:rsidR="00C62FD6">
        <w:rPr>
          <w:rStyle w:val="EndnoteReference"/>
          <w:noProof/>
        </w:rPr>
        <w:endnoteReference w:id="7"/>
      </w:r>
      <w:r>
        <w:rPr>
          <w:noProof/>
        </w:rPr>
        <w:t xml:space="preserve"> oraz środków na zobowiązania ujętych</w:t>
      </w:r>
      <w:r w:rsidR="00C56AFD">
        <w:rPr>
          <w:noProof/>
        </w:rPr>
        <w:t xml:space="preserve"> w</w:t>
      </w:r>
      <w:r w:rsidR="00C56AFD">
        <w:rPr>
          <w:rFonts w:ascii="Calibri" w:hAnsi="Calibri" w:cs="Calibri"/>
          <w:noProof/>
        </w:rPr>
        <w:t> </w:t>
      </w:r>
      <w:r w:rsidR="00C56AFD">
        <w:rPr>
          <w:noProof/>
        </w:rPr>
        <w:t>pro</w:t>
      </w:r>
      <w:r>
        <w:rPr>
          <w:noProof/>
        </w:rPr>
        <w:t xml:space="preserve">gramowaniu finansowym towarzyszącym projektowi budżetu </w:t>
      </w:r>
      <w:r w:rsidRPr="00C56AFD">
        <w:rPr>
          <w:noProof/>
        </w:rPr>
        <w:t>na</w:t>
      </w:r>
      <w:r w:rsidR="00C56AFD" w:rsidRPr="00C56AFD">
        <w:rPr>
          <w:rFonts w:ascii="Calibri" w:hAnsi="Calibri" w:cs="Calibri"/>
          <w:noProof/>
        </w:rPr>
        <w:t> </w:t>
      </w:r>
      <w:r w:rsidRPr="00C56AFD">
        <w:rPr>
          <w:noProof/>
        </w:rPr>
        <w:t>2</w:t>
      </w:r>
      <w:r>
        <w:rPr>
          <w:noProof/>
        </w:rPr>
        <w:t>0</w:t>
      </w:r>
      <w:r w:rsidRPr="00C56AFD">
        <w:rPr>
          <w:noProof/>
        </w:rPr>
        <w:t>25</w:t>
      </w:r>
      <w:r w:rsidR="00C56AFD" w:rsidRPr="00C56AFD">
        <w:rPr>
          <w:rFonts w:ascii="Calibri" w:hAnsi="Calibri" w:cs="Calibri"/>
          <w:noProof/>
        </w:rPr>
        <w:t> </w:t>
      </w:r>
      <w:r w:rsidRPr="00C56AFD">
        <w:rPr>
          <w:noProof/>
        </w:rPr>
        <w:t>r.</w:t>
      </w:r>
      <w:r w:rsidRPr="00390EB1">
        <w:rPr>
          <w:rStyle w:val="EndnoteReference"/>
          <w:noProof/>
        </w:rPr>
        <w:endnoteReference w:id="8"/>
      </w:r>
      <w:r>
        <w:rPr>
          <w:noProof/>
        </w:rPr>
        <w:t>, uwzględniającym dostosowania dotyczące poszczególnych programów przewidziane</w:t>
      </w:r>
      <w:r w:rsidR="00C56AFD">
        <w:rPr>
          <w:noProof/>
        </w:rPr>
        <w:t xml:space="preserve"> w</w:t>
      </w:r>
      <w:r w:rsidR="00C56AFD">
        <w:rPr>
          <w:rFonts w:ascii="Calibri" w:hAnsi="Calibri" w:cs="Calibri"/>
          <w:noProof/>
        </w:rPr>
        <w:t> </w:t>
      </w:r>
      <w:r w:rsidR="00C56AFD" w:rsidRPr="00C56AFD">
        <w:rPr>
          <w:noProof/>
        </w:rPr>
        <w:t>art</w:t>
      </w:r>
      <w:r w:rsidRPr="00C56AFD">
        <w:rPr>
          <w:noProof/>
        </w:rPr>
        <w:t>.</w:t>
      </w:r>
      <w:r w:rsidR="00C56AFD" w:rsidRPr="00C56AFD">
        <w:rPr>
          <w:rFonts w:ascii="Calibri" w:hAnsi="Calibri" w:cs="Calibri"/>
          <w:noProof/>
        </w:rPr>
        <w:t> </w:t>
      </w:r>
      <w:r w:rsidRPr="00C56AFD">
        <w:rPr>
          <w:noProof/>
        </w:rPr>
        <w:t>5</w:t>
      </w:r>
      <w:r w:rsidR="00894044">
        <w:rPr>
          <w:rStyle w:val="EndnoteReference"/>
          <w:noProof/>
        </w:rPr>
        <w:endnoteReference w:id="9"/>
      </w:r>
      <w:r>
        <w:rPr>
          <w:noProof/>
        </w:rPr>
        <w:t xml:space="preserve"> rozporządzenia</w:t>
      </w:r>
      <w:r w:rsidR="00C56AFD">
        <w:rPr>
          <w:noProof/>
        </w:rPr>
        <w:t xml:space="preserve"> w</w:t>
      </w:r>
      <w:r w:rsidR="00C56AFD">
        <w:rPr>
          <w:rFonts w:ascii="Calibri" w:hAnsi="Calibri" w:cs="Calibri"/>
          <w:noProof/>
        </w:rPr>
        <w:t> </w:t>
      </w:r>
      <w:r w:rsidR="00C56AFD">
        <w:rPr>
          <w:noProof/>
        </w:rPr>
        <w:t>spr</w:t>
      </w:r>
      <w:r>
        <w:rPr>
          <w:noProof/>
        </w:rPr>
        <w:t>awie WRF</w:t>
      </w:r>
      <w:r w:rsidRPr="00390EB1">
        <w:rPr>
          <w:noProof/>
          <w:vertAlign w:val="superscript"/>
        </w:rPr>
        <w:endnoteReference w:id="10"/>
      </w:r>
      <w:r>
        <w:rPr>
          <w:noProof/>
        </w:rPr>
        <w:t>, jak również ponowne wykorzystanie umorzeń zgodnie</w:t>
      </w:r>
      <w:r w:rsidR="00C56AFD">
        <w:rPr>
          <w:noProof/>
        </w:rPr>
        <w:t xml:space="preserve"> z</w:t>
      </w:r>
      <w:r w:rsidR="00C56AFD">
        <w:rPr>
          <w:rFonts w:ascii="Calibri" w:hAnsi="Calibri" w:cs="Calibri"/>
          <w:noProof/>
        </w:rPr>
        <w:t> </w:t>
      </w:r>
      <w:r w:rsidR="00C56AFD" w:rsidRPr="00C56AFD">
        <w:rPr>
          <w:noProof/>
        </w:rPr>
        <w:t>art</w:t>
      </w:r>
      <w:r w:rsidRPr="00C56AFD">
        <w:rPr>
          <w:noProof/>
        </w:rPr>
        <w:t>.</w:t>
      </w:r>
      <w:r w:rsidR="00C56AFD" w:rsidRPr="00C56AFD">
        <w:rPr>
          <w:rFonts w:ascii="Calibri" w:hAnsi="Calibri" w:cs="Calibri"/>
          <w:noProof/>
        </w:rPr>
        <w:t> </w:t>
      </w:r>
      <w:r w:rsidRPr="00C56AFD">
        <w:rPr>
          <w:noProof/>
        </w:rPr>
        <w:t>1</w:t>
      </w:r>
      <w:r>
        <w:rPr>
          <w:noProof/>
        </w:rPr>
        <w:t xml:space="preserve">5 </w:t>
      </w:r>
      <w:r w:rsidRPr="00C56AFD">
        <w:rPr>
          <w:noProof/>
        </w:rPr>
        <w:t>ust.</w:t>
      </w:r>
      <w:r w:rsidR="00C56AFD" w:rsidRPr="00C56AFD">
        <w:rPr>
          <w:rFonts w:ascii="Calibri" w:hAnsi="Calibri" w:cs="Calibri"/>
          <w:noProof/>
        </w:rPr>
        <w:t> </w:t>
      </w:r>
      <w:r w:rsidRPr="00C56AFD">
        <w:rPr>
          <w:noProof/>
        </w:rPr>
        <w:t>3</w:t>
      </w:r>
      <w:r w:rsidRPr="00390EB1">
        <w:rPr>
          <w:noProof/>
          <w:vertAlign w:val="superscript"/>
        </w:rPr>
        <w:endnoteReference w:id="11"/>
      </w:r>
      <w:r>
        <w:rPr>
          <w:noProof/>
        </w:rPr>
        <w:t xml:space="preserve"> rozporządzenia finansowego.</w:t>
      </w:r>
    </w:p>
    <w:p w14:paraId="239358E5" w14:textId="6F69A863" w:rsidR="00A35243" w:rsidRDefault="00A9154A" w:rsidP="0050317D">
      <w:pPr>
        <w:spacing w:before="180" w:after="120" w:line="276" w:lineRule="auto"/>
        <w:jc w:val="both"/>
        <w:rPr>
          <w:noProof/>
        </w:rPr>
      </w:pPr>
      <w:r>
        <w:rPr>
          <w:noProof/>
        </w:rPr>
        <w:t>Uwzględniono wpływ śródokresowego przeglądu WRF</w:t>
      </w:r>
      <w:r w:rsidR="00C56AFD">
        <w:rPr>
          <w:noProof/>
        </w:rPr>
        <w:t>. W</w:t>
      </w:r>
      <w:r w:rsidR="00C56AFD">
        <w:rPr>
          <w:rFonts w:ascii="Calibri" w:hAnsi="Calibri" w:cs="Calibri"/>
          <w:noProof/>
        </w:rPr>
        <w:t> </w:t>
      </w:r>
      <w:r w:rsidR="00C56AFD">
        <w:rPr>
          <w:noProof/>
        </w:rPr>
        <w:t>por</w:t>
      </w:r>
      <w:r>
        <w:rPr>
          <w:noProof/>
        </w:rPr>
        <w:t>ozumieniu uznano znaczenie priorytetów określonych przez Komisję</w:t>
      </w:r>
      <w:r w:rsidR="00C56AFD">
        <w:rPr>
          <w:noProof/>
        </w:rPr>
        <w:t xml:space="preserve"> w</w:t>
      </w:r>
      <w:r w:rsidR="00C56AFD">
        <w:rPr>
          <w:rFonts w:ascii="Calibri" w:hAnsi="Calibri" w:cs="Calibri"/>
          <w:noProof/>
        </w:rPr>
        <w:t> </w:t>
      </w:r>
      <w:r w:rsidR="00C56AFD">
        <w:rPr>
          <w:noProof/>
        </w:rPr>
        <w:t>jej</w:t>
      </w:r>
      <w:r>
        <w:rPr>
          <w:noProof/>
        </w:rPr>
        <w:t xml:space="preserve"> wniosku, co doprowadziło do zwiększenia netto pułapu wydatków na zobowiązania</w:t>
      </w:r>
      <w:r w:rsidR="00C56AFD">
        <w:rPr>
          <w:noProof/>
        </w:rPr>
        <w:t xml:space="preserve"> o</w:t>
      </w:r>
      <w:r w:rsidR="00C56AFD">
        <w:rPr>
          <w:rFonts w:ascii="Calibri" w:hAnsi="Calibri" w:cs="Calibri"/>
          <w:noProof/>
        </w:rPr>
        <w:t> </w:t>
      </w:r>
      <w:r w:rsidR="00C56AFD">
        <w:rPr>
          <w:noProof/>
        </w:rPr>
        <w:t>3</w:t>
      </w:r>
      <w:r>
        <w:rPr>
          <w:noProof/>
        </w:rPr>
        <w:t>,4 mld EUR (w cenach bieżących)</w:t>
      </w:r>
      <w:r w:rsidR="00A725FF">
        <w:rPr>
          <w:rStyle w:val="EndnoteReference"/>
          <w:noProof/>
        </w:rPr>
        <w:endnoteReference w:id="12"/>
      </w:r>
      <w:r>
        <w:rPr>
          <w:noProof/>
        </w:rPr>
        <w:t xml:space="preserve"> wraz ze zmianami</w:t>
      </w:r>
      <w:r w:rsidR="00C56AFD">
        <w:rPr>
          <w:noProof/>
        </w:rPr>
        <w:t xml:space="preserve"> w</w:t>
      </w:r>
      <w:r w:rsidR="00C56AFD">
        <w:rPr>
          <w:rFonts w:ascii="Calibri" w:hAnsi="Calibri" w:cs="Calibri"/>
          <w:noProof/>
        </w:rPr>
        <w:t> </w:t>
      </w:r>
      <w:r w:rsidR="00C56AFD">
        <w:rPr>
          <w:noProof/>
        </w:rPr>
        <w:t>ogó</w:t>
      </w:r>
      <w:r>
        <w:rPr>
          <w:noProof/>
        </w:rPr>
        <w:t xml:space="preserve">lnych przydziałach środków na podstawie </w:t>
      </w:r>
      <w:r w:rsidRPr="00C56AFD">
        <w:rPr>
          <w:noProof/>
        </w:rPr>
        <w:t>art.</w:t>
      </w:r>
      <w:r w:rsidR="00C56AFD" w:rsidRPr="00C56AFD">
        <w:rPr>
          <w:rFonts w:ascii="Calibri" w:hAnsi="Calibri" w:cs="Calibri"/>
          <w:noProof/>
        </w:rPr>
        <w:t> </w:t>
      </w:r>
      <w:r w:rsidRPr="00C56AFD">
        <w:rPr>
          <w:noProof/>
        </w:rPr>
        <w:t>5</w:t>
      </w:r>
      <w:r>
        <w:rPr>
          <w:noProof/>
        </w:rPr>
        <w:t xml:space="preserve"> rozporządzenia</w:t>
      </w:r>
      <w:r w:rsidR="00C56AFD">
        <w:rPr>
          <w:noProof/>
        </w:rPr>
        <w:t xml:space="preserve"> w</w:t>
      </w:r>
      <w:r w:rsidR="00C56AFD">
        <w:rPr>
          <w:rFonts w:ascii="Calibri" w:hAnsi="Calibri" w:cs="Calibri"/>
          <w:noProof/>
        </w:rPr>
        <w:t> </w:t>
      </w:r>
      <w:r w:rsidR="00C56AFD">
        <w:rPr>
          <w:noProof/>
        </w:rPr>
        <w:t>spr</w:t>
      </w:r>
      <w:r>
        <w:rPr>
          <w:noProof/>
        </w:rPr>
        <w:t>awie WRF</w:t>
      </w:r>
      <w:r w:rsidR="00C56AFD">
        <w:rPr>
          <w:noProof/>
        </w:rPr>
        <w:t xml:space="preserve"> i</w:t>
      </w:r>
      <w:r w:rsidR="00C56AFD">
        <w:rPr>
          <w:rFonts w:ascii="Calibri" w:hAnsi="Calibri" w:cs="Calibri"/>
          <w:noProof/>
        </w:rPr>
        <w:t> </w:t>
      </w:r>
      <w:r w:rsidR="00C56AFD" w:rsidRPr="00C56AFD">
        <w:rPr>
          <w:noProof/>
        </w:rPr>
        <w:t>art</w:t>
      </w:r>
      <w:r w:rsidRPr="00C56AFD">
        <w:rPr>
          <w:noProof/>
        </w:rPr>
        <w:t>.</w:t>
      </w:r>
      <w:r w:rsidR="00C56AFD" w:rsidRPr="00C56AFD">
        <w:rPr>
          <w:rFonts w:ascii="Calibri" w:hAnsi="Calibri" w:cs="Calibri"/>
          <w:noProof/>
        </w:rPr>
        <w:t> </w:t>
      </w:r>
      <w:r w:rsidRPr="00C56AFD">
        <w:rPr>
          <w:noProof/>
        </w:rPr>
        <w:t>1</w:t>
      </w:r>
      <w:r>
        <w:rPr>
          <w:noProof/>
        </w:rPr>
        <w:t xml:space="preserve">5 </w:t>
      </w:r>
      <w:r w:rsidRPr="00C56AFD">
        <w:rPr>
          <w:noProof/>
        </w:rPr>
        <w:t>ust.</w:t>
      </w:r>
      <w:r w:rsidR="00C56AFD" w:rsidRPr="00C56AFD">
        <w:rPr>
          <w:rFonts w:ascii="Calibri" w:hAnsi="Calibri" w:cs="Calibri"/>
          <w:noProof/>
        </w:rPr>
        <w:t> </w:t>
      </w:r>
      <w:r w:rsidRPr="00C56AFD">
        <w:rPr>
          <w:noProof/>
        </w:rPr>
        <w:t>3</w:t>
      </w:r>
      <w:r>
        <w:rPr>
          <w:noProof/>
        </w:rPr>
        <w:t xml:space="preserve"> rozporządzenia finansowego</w:t>
      </w:r>
      <w:r w:rsidR="00496632">
        <w:rPr>
          <w:rStyle w:val="EndnoteReference"/>
          <w:noProof/>
        </w:rPr>
        <w:endnoteReference w:id="13"/>
      </w:r>
      <w:r>
        <w:rPr>
          <w:noProof/>
        </w:rPr>
        <w:t>,</w:t>
      </w:r>
      <w:r w:rsidR="00C56AFD">
        <w:rPr>
          <w:noProof/>
        </w:rPr>
        <w:t xml:space="preserve"> a</w:t>
      </w:r>
      <w:r w:rsidR="00C56AFD">
        <w:rPr>
          <w:rFonts w:ascii="Calibri" w:hAnsi="Calibri" w:cs="Calibri"/>
          <w:noProof/>
        </w:rPr>
        <w:t> </w:t>
      </w:r>
      <w:r w:rsidR="00C56AFD">
        <w:rPr>
          <w:noProof/>
        </w:rPr>
        <w:t>tak</w:t>
      </w:r>
      <w:r>
        <w:rPr>
          <w:noProof/>
        </w:rPr>
        <w:t>że zwiększenia środków na instrumenty szczególne poza pułapami wydatków.</w:t>
      </w:r>
    </w:p>
    <w:p w14:paraId="48A201EE" w14:textId="27A2A928" w:rsidR="002C16C3" w:rsidRDefault="00EA386E" w:rsidP="0050317D">
      <w:pPr>
        <w:spacing w:before="180" w:after="120" w:line="276" w:lineRule="auto"/>
        <w:jc w:val="both"/>
        <w:rPr>
          <w:noProof/>
        </w:rPr>
      </w:pPr>
      <w:r>
        <w:rPr>
          <w:noProof/>
        </w:rPr>
        <w:t>Ponadto ustanowiono dwa dodatkowe instrumenty</w:t>
      </w:r>
      <w:r w:rsidR="00403FE4">
        <w:rPr>
          <w:rStyle w:val="EndnoteReference"/>
          <w:noProof/>
        </w:rPr>
        <w:endnoteReference w:id="14"/>
      </w:r>
      <w:r>
        <w:rPr>
          <w:noProof/>
        </w:rPr>
        <w:t xml:space="preserve"> szczególne: Rezerwę na rzecz Ukrainy, poza pułapami wydatków,</w:t>
      </w:r>
      <w:r w:rsidR="00C56AFD">
        <w:rPr>
          <w:noProof/>
        </w:rPr>
        <w:t xml:space="preserve"> z</w:t>
      </w:r>
      <w:r w:rsidR="00C56AFD">
        <w:rPr>
          <w:rFonts w:ascii="Calibri" w:hAnsi="Calibri" w:cs="Calibri"/>
          <w:noProof/>
        </w:rPr>
        <w:t> </w:t>
      </w:r>
      <w:r w:rsidR="00C56AFD">
        <w:rPr>
          <w:noProof/>
        </w:rPr>
        <w:t>bez</w:t>
      </w:r>
      <w:r>
        <w:rPr>
          <w:noProof/>
        </w:rPr>
        <w:t>zwrotnym wsparciem</w:t>
      </w:r>
      <w:r w:rsidR="00C56AFD">
        <w:rPr>
          <w:noProof/>
        </w:rPr>
        <w:t xml:space="preserve"> w</w:t>
      </w:r>
      <w:r w:rsidR="00C56AFD">
        <w:rPr>
          <w:rFonts w:ascii="Calibri" w:hAnsi="Calibri" w:cs="Calibri"/>
          <w:noProof/>
        </w:rPr>
        <w:t> </w:t>
      </w:r>
      <w:r w:rsidR="00C56AFD">
        <w:rPr>
          <w:noProof/>
        </w:rPr>
        <w:t>wys</w:t>
      </w:r>
      <w:r>
        <w:rPr>
          <w:noProof/>
        </w:rPr>
        <w:t>okości maksymalnie 17 mld EUR, uzupełnioną</w:t>
      </w:r>
      <w:r w:rsidR="00C56AFD">
        <w:rPr>
          <w:noProof/>
        </w:rPr>
        <w:t xml:space="preserve"> o</w:t>
      </w:r>
      <w:r w:rsidR="00C56AFD">
        <w:rPr>
          <w:rFonts w:ascii="Calibri" w:hAnsi="Calibri" w:cs="Calibri"/>
          <w:noProof/>
        </w:rPr>
        <w:t> </w:t>
      </w:r>
      <w:r w:rsidR="00C56AFD">
        <w:rPr>
          <w:noProof/>
        </w:rPr>
        <w:t>pok</w:t>
      </w:r>
      <w:r>
        <w:rPr>
          <w:noProof/>
        </w:rPr>
        <w:t>rycie</w:t>
      </w:r>
      <w:r w:rsidR="00C56AFD">
        <w:rPr>
          <w:noProof/>
        </w:rPr>
        <w:t xml:space="preserve"> z</w:t>
      </w:r>
      <w:r w:rsidR="00C56AFD">
        <w:rPr>
          <w:rFonts w:ascii="Calibri" w:hAnsi="Calibri" w:cs="Calibri"/>
          <w:noProof/>
        </w:rPr>
        <w:t> </w:t>
      </w:r>
      <w:r w:rsidR="00C56AFD">
        <w:rPr>
          <w:noProof/>
        </w:rPr>
        <w:t>bud</w:t>
      </w:r>
      <w:r>
        <w:rPr>
          <w:noProof/>
        </w:rPr>
        <w:t>żetu pożyczek</w:t>
      </w:r>
      <w:r w:rsidR="00C56AFD">
        <w:rPr>
          <w:noProof/>
        </w:rPr>
        <w:t xml:space="preserve"> w</w:t>
      </w:r>
      <w:r w:rsidR="00C56AFD">
        <w:rPr>
          <w:rFonts w:ascii="Calibri" w:hAnsi="Calibri" w:cs="Calibri"/>
          <w:noProof/>
        </w:rPr>
        <w:t> </w:t>
      </w:r>
      <w:r w:rsidR="00C56AFD">
        <w:rPr>
          <w:noProof/>
        </w:rPr>
        <w:t>wys</w:t>
      </w:r>
      <w:r>
        <w:rPr>
          <w:noProof/>
        </w:rPr>
        <w:t>okości maksymalnie 33 mld EUR oraz instrument EURI, poza pułapami WRF, który zapewni trwałe rozwiązanie</w:t>
      </w:r>
      <w:r w:rsidR="00C56AFD">
        <w:rPr>
          <w:noProof/>
        </w:rPr>
        <w:t xml:space="preserve"> w</w:t>
      </w:r>
      <w:r w:rsidR="00C56AFD">
        <w:rPr>
          <w:rFonts w:ascii="Calibri" w:hAnsi="Calibri" w:cs="Calibri"/>
          <w:noProof/>
        </w:rPr>
        <w:t> </w:t>
      </w:r>
      <w:r w:rsidR="00C56AFD">
        <w:rPr>
          <w:noProof/>
        </w:rPr>
        <w:t>cel</w:t>
      </w:r>
      <w:r>
        <w:rPr>
          <w:noProof/>
        </w:rPr>
        <w:t>u pokrycia kosztów finansowania NextGenerationEU</w:t>
      </w:r>
      <w:r w:rsidR="00C56AFD">
        <w:rPr>
          <w:noProof/>
        </w:rPr>
        <w:t>. W</w:t>
      </w:r>
      <w:r w:rsidR="00C56AFD">
        <w:rPr>
          <w:rFonts w:ascii="Calibri" w:hAnsi="Calibri" w:cs="Calibri"/>
          <w:noProof/>
        </w:rPr>
        <w:t> </w:t>
      </w:r>
      <w:r w:rsidR="00C56AFD">
        <w:rPr>
          <w:noProof/>
        </w:rPr>
        <w:t>ram</w:t>
      </w:r>
      <w:r>
        <w:rPr>
          <w:noProof/>
        </w:rPr>
        <w:t>ach trzeciego kroku Instrumentu EURI</w:t>
      </w:r>
      <w:r w:rsidR="00C56AFD">
        <w:rPr>
          <w:noProof/>
        </w:rPr>
        <w:t xml:space="preserve"> w</w:t>
      </w:r>
      <w:r w:rsidR="00C56AFD">
        <w:rPr>
          <w:rFonts w:ascii="Calibri" w:hAnsi="Calibri" w:cs="Calibri"/>
          <w:noProof/>
        </w:rPr>
        <w:t> </w:t>
      </w:r>
      <w:r w:rsidR="00C56AFD">
        <w:rPr>
          <w:noProof/>
        </w:rPr>
        <w:t>pie</w:t>
      </w:r>
      <w:r>
        <w:rPr>
          <w:noProof/>
        </w:rPr>
        <w:t>rwszej kolejności należy wykorzystać kwotę odpowiadającą umorzeniu środków, innych niż zewnętrzne dochody przeznaczone na określony cel, dokonanych od początku bieżących WRF. Nie należy uwzględniać kwot umorzeń ponownie udostępnionych zgodnie</w:t>
      </w:r>
      <w:r w:rsidR="00C56AFD">
        <w:rPr>
          <w:noProof/>
        </w:rPr>
        <w:t xml:space="preserve"> z</w:t>
      </w:r>
      <w:r w:rsidR="00C56AFD">
        <w:rPr>
          <w:rFonts w:ascii="Calibri" w:hAnsi="Calibri" w:cs="Calibri"/>
          <w:noProof/>
        </w:rPr>
        <w:t> </w:t>
      </w:r>
      <w:r w:rsidR="00C56AFD">
        <w:rPr>
          <w:noProof/>
        </w:rPr>
        <w:t>obo</w:t>
      </w:r>
      <w:r>
        <w:rPr>
          <w:noProof/>
        </w:rPr>
        <w:t>wiązującymi odpowiednimi przepisami.</w:t>
      </w:r>
    </w:p>
    <w:p w14:paraId="674B0A48" w14:textId="2CEE30CE" w:rsidR="000745D3" w:rsidRDefault="000745D3" w:rsidP="0050317D">
      <w:pPr>
        <w:spacing w:before="180" w:after="120" w:line="276" w:lineRule="auto"/>
        <w:jc w:val="both"/>
        <w:rPr>
          <w:noProof/>
        </w:rPr>
      </w:pPr>
      <w:r>
        <w:rPr>
          <w:noProof/>
        </w:rPr>
        <w:t>Ponadto</w:t>
      </w:r>
      <w:r w:rsidR="00C56AFD">
        <w:rPr>
          <w:noProof/>
        </w:rPr>
        <w:t xml:space="preserve"> w</w:t>
      </w:r>
      <w:r w:rsidR="00C56AFD">
        <w:rPr>
          <w:rFonts w:ascii="Calibri" w:hAnsi="Calibri" w:cs="Calibri"/>
          <w:noProof/>
        </w:rPr>
        <w:t> </w:t>
      </w:r>
      <w:r w:rsidR="00C56AFD">
        <w:rPr>
          <w:noProof/>
        </w:rPr>
        <w:t>roz</w:t>
      </w:r>
      <w:r>
        <w:rPr>
          <w:noProof/>
        </w:rPr>
        <w:t>porządzeniu</w:t>
      </w:r>
      <w:r w:rsidR="00C56AFD">
        <w:rPr>
          <w:noProof/>
        </w:rPr>
        <w:t xml:space="preserve"> w</w:t>
      </w:r>
      <w:r w:rsidR="00C56AFD">
        <w:rPr>
          <w:rFonts w:ascii="Calibri" w:hAnsi="Calibri" w:cs="Calibri"/>
          <w:noProof/>
        </w:rPr>
        <w:t> </w:t>
      </w:r>
      <w:r w:rsidR="00C56AFD">
        <w:rPr>
          <w:noProof/>
        </w:rPr>
        <w:t>spr</w:t>
      </w:r>
      <w:r>
        <w:rPr>
          <w:noProof/>
        </w:rPr>
        <w:t>awie Platformy na rzecz technologii strategicznych dla Europy (STEP)</w:t>
      </w:r>
      <w:r>
        <w:rPr>
          <w:rStyle w:val="EndnoteReference"/>
          <w:noProof/>
        </w:rPr>
        <w:endnoteReference w:id="15"/>
      </w:r>
      <w:r>
        <w:rPr>
          <w:noProof/>
        </w:rPr>
        <w:t xml:space="preserve"> przewidziano kilka mechanizmów elastyczności</w:t>
      </w:r>
      <w:r w:rsidR="00C56AFD">
        <w:rPr>
          <w:noProof/>
        </w:rPr>
        <w:t xml:space="preserve"> w</w:t>
      </w:r>
      <w:r w:rsidR="00C56AFD">
        <w:rPr>
          <w:rFonts w:ascii="Calibri" w:hAnsi="Calibri" w:cs="Calibri"/>
          <w:noProof/>
        </w:rPr>
        <w:t> </w:t>
      </w:r>
      <w:r w:rsidR="00C56AFD">
        <w:rPr>
          <w:noProof/>
        </w:rPr>
        <w:t>odn</w:t>
      </w:r>
      <w:r>
        <w:rPr>
          <w:noProof/>
        </w:rPr>
        <w:t>iesieniu do odrębnych priorytetów dotyczących STEP</w:t>
      </w:r>
      <w:r w:rsidR="00C56AFD">
        <w:rPr>
          <w:noProof/>
        </w:rPr>
        <w:t xml:space="preserve"> w</w:t>
      </w:r>
      <w:r w:rsidR="00C56AFD">
        <w:rPr>
          <w:rFonts w:ascii="Calibri" w:hAnsi="Calibri" w:cs="Calibri"/>
          <w:noProof/>
        </w:rPr>
        <w:t> </w:t>
      </w:r>
      <w:r w:rsidR="00C56AFD">
        <w:rPr>
          <w:noProof/>
        </w:rPr>
        <w:t>pro</w:t>
      </w:r>
      <w:r>
        <w:rPr>
          <w:noProof/>
        </w:rPr>
        <w:t>gramach spójności. Na priorytety STEP można wykorzystać współfinansowanie UE</w:t>
      </w:r>
      <w:r w:rsidR="00C56AFD">
        <w:rPr>
          <w:noProof/>
        </w:rPr>
        <w:t xml:space="preserve"> w</w:t>
      </w:r>
      <w:r w:rsidR="00C56AFD">
        <w:rPr>
          <w:rFonts w:ascii="Calibri" w:hAnsi="Calibri" w:cs="Calibri"/>
          <w:noProof/>
        </w:rPr>
        <w:t> </w:t>
      </w:r>
      <w:r w:rsidR="00C56AFD">
        <w:rPr>
          <w:noProof/>
        </w:rPr>
        <w:t>wys</w:t>
      </w:r>
      <w:r>
        <w:rPr>
          <w:noProof/>
        </w:rPr>
        <w:t>okości 100 %</w:t>
      </w:r>
      <w:r w:rsidR="00C56AFD">
        <w:rPr>
          <w:noProof/>
        </w:rPr>
        <w:t xml:space="preserve"> i</w:t>
      </w:r>
      <w:r w:rsidR="00C56AFD">
        <w:rPr>
          <w:rFonts w:ascii="Calibri" w:hAnsi="Calibri" w:cs="Calibri"/>
          <w:noProof/>
        </w:rPr>
        <w:t> </w:t>
      </w:r>
      <w:r w:rsidR="00C56AFD">
        <w:rPr>
          <w:noProof/>
        </w:rPr>
        <w:t>dod</w:t>
      </w:r>
      <w:r>
        <w:rPr>
          <w:noProof/>
        </w:rPr>
        <w:t>atkowych płatności zaliczkowych, co pomoże przyspieszyć realizację projektów</w:t>
      </w:r>
      <w:r w:rsidR="00C56AFD">
        <w:rPr>
          <w:noProof/>
        </w:rPr>
        <w:t xml:space="preserve"> w</w:t>
      </w:r>
      <w:r w:rsidR="00C56AFD">
        <w:rPr>
          <w:rFonts w:ascii="Calibri" w:hAnsi="Calibri" w:cs="Calibri"/>
          <w:noProof/>
        </w:rPr>
        <w:t> </w:t>
      </w:r>
      <w:r w:rsidR="00C56AFD">
        <w:rPr>
          <w:noProof/>
        </w:rPr>
        <w:t>obe</w:t>
      </w:r>
      <w:r>
        <w:rPr>
          <w:noProof/>
        </w:rPr>
        <w:t>cnym okresie programowania. Po przyjęciu rozporządzenia</w:t>
      </w:r>
      <w:r w:rsidR="00C56AFD">
        <w:rPr>
          <w:noProof/>
        </w:rPr>
        <w:t xml:space="preserve"> w</w:t>
      </w:r>
      <w:r w:rsidR="00C56AFD">
        <w:rPr>
          <w:rFonts w:ascii="Calibri" w:hAnsi="Calibri" w:cs="Calibri"/>
          <w:noProof/>
        </w:rPr>
        <w:t> </w:t>
      </w:r>
      <w:r w:rsidR="00C56AFD">
        <w:rPr>
          <w:noProof/>
        </w:rPr>
        <w:t>spr</w:t>
      </w:r>
      <w:r>
        <w:rPr>
          <w:noProof/>
        </w:rPr>
        <w:t>awie STEP</w:t>
      </w:r>
      <w:r w:rsidR="00C56AFD">
        <w:rPr>
          <w:noProof/>
        </w:rPr>
        <w:t xml:space="preserve"> w</w:t>
      </w:r>
      <w:r w:rsidR="00C56AFD">
        <w:rPr>
          <w:rFonts w:ascii="Calibri" w:hAnsi="Calibri" w:cs="Calibri"/>
          <w:noProof/>
        </w:rPr>
        <w:t> </w:t>
      </w:r>
      <w:r w:rsidR="00C56AFD">
        <w:rPr>
          <w:noProof/>
        </w:rPr>
        <w:t>mar</w:t>
      </w:r>
      <w:r>
        <w:rPr>
          <w:noProof/>
        </w:rPr>
        <w:t>cu 20</w:t>
      </w:r>
      <w:r w:rsidRPr="00C56AFD">
        <w:rPr>
          <w:noProof/>
        </w:rPr>
        <w:t>24</w:t>
      </w:r>
      <w:r w:rsidR="00C56AFD" w:rsidRPr="00C56AFD">
        <w:rPr>
          <w:rFonts w:ascii="Calibri" w:hAnsi="Calibri" w:cs="Calibri"/>
          <w:noProof/>
        </w:rPr>
        <w:t> </w:t>
      </w:r>
      <w:r w:rsidRPr="00C56AFD">
        <w:rPr>
          <w:noProof/>
        </w:rPr>
        <w:t>r.</w:t>
      </w:r>
      <w:r>
        <w:rPr>
          <w:noProof/>
        </w:rPr>
        <w:t xml:space="preserve"> państwom członkowskim wypłacono nadzwyczajną jednorazową płatność zaliczkową</w:t>
      </w:r>
      <w:r w:rsidR="00C56AFD">
        <w:rPr>
          <w:noProof/>
        </w:rPr>
        <w:t xml:space="preserve"> w</w:t>
      </w:r>
      <w:r w:rsidR="00C56AFD">
        <w:rPr>
          <w:rFonts w:ascii="Calibri" w:hAnsi="Calibri" w:cs="Calibri"/>
          <w:noProof/>
        </w:rPr>
        <w:t> </w:t>
      </w:r>
      <w:r w:rsidR="00C56AFD">
        <w:rPr>
          <w:noProof/>
        </w:rPr>
        <w:t>wys</w:t>
      </w:r>
      <w:r>
        <w:rPr>
          <w:noProof/>
        </w:rPr>
        <w:t>okości 30 % całkowitej alokacji z FST (5,9 mld EUR). Ponadto termin złożenia ostatecznego wniosku</w:t>
      </w:r>
      <w:r w:rsidR="00C56AFD">
        <w:rPr>
          <w:noProof/>
        </w:rPr>
        <w:t xml:space="preserve"> o</w:t>
      </w:r>
      <w:r w:rsidR="00C56AFD">
        <w:rPr>
          <w:rFonts w:ascii="Calibri" w:hAnsi="Calibri" w:cs="Calibri"/>
          <w:noProof/>
        </w:rPr>
        <w:t> </w:t>
      </w:r>
      <w:r w:rsidR="00C56AFD">
        <w:rPr>
          <w:noProof/>
        </w:rPr>
        <w:t>pła</w:t>
      </w:r>
      <w:r>
        <w:rPr>
          <w:noProof/>
        </w:rPr>
        <w:t>tność okresową za ostatni rok obrachunkowy okresu 2014–2020 przedłużono do dnia 31 lipca 20</w:t>
      </w:r>
      <w:r w:rsidRPr="00C56AFD">
        <w:rPr>
          <w:noProof/>
        </w:rPr>
        <w:t>25</w:t>
      </w:r>
      <w:r w:rsidR="00C56AFD" w:rsidRPr="00C56AFD">
        <w:rPr>
          <w:rFonts w:ascii="Calibri" w:hAnsi="Calibri" w:cs="Calibri"/>
          <w:noProof/>
        </w:rPr>
        <w:t> </w:t>
      </w:r>
      <w:r w:rsidRPr="00C56AFD">
        <w:rPr>
          <w:noProof/>
        </w:rPr>
        <w:t>r.</w:t>
      </w:r>
      <w:r>
        <w:rPr>
          <w:noProof/>
        </w:rPr>
        <w:t xml:space="preserve"> Kwoty</w:t>
      </w:r>
      <w:r w:rsidR="00C56AFD">
        <w:rPr>
          <w:noProof/>
        </w:rPr>
        <w:t xml:space="preserve"> z</w:t>
      </w:r>
      <w:r w:rsidR="00C56AFD">
        <w:rPr>
          <w:rFonts w:ascii="Calibri" w:hAnsi="Calibri" w:cs="Calibri"/>
          <w:noProof/>
        </w:rPr>
        <w:t> </w:t>
      </w:r>
      <w:r w:rsidR="00C56AFD">
        <w:rPr>
          <w:noProof/>
        </w:rPr>
        <w:t>zas</w:t>
      </w:r>
      <w:r>
        <w:rPr>
          <w:noProof/>
        </w:rPr>
        <w:t>obów innych niż REACT-EU zwrócone przez Komisję jako płatności okresowe</w:t>
      </w:r>
      <w:r w:rsidR="00C56AFD">
        <w:rPr>
          <w:noProof/>
        </w:rPr>
        <w:t xml:space="preserve"> w</w:t>
      </w:r>
      <w:r w:rsidR="00C56AFD">
        <w:rPr>
          <w:rFonts w:ascii="Calibri" w:hAnsi="Calibri" w:cs="Calibri"/>
          <w:noProof/>
        </w:rPr>
        <w:t> </w:t>
      </w:r>
      <w:r w:rsidR="00C56AFD">
        <w:rPr>
          <w:noProof/>
        </w:rPr>
        <w:t>2</w:t>
      </w:r>
      <w:r>
        <w:rPr>
          <w:noProof/>
        </w:rPr>
        <w:t>025 r. na rzecz programów na lata 2014–2020 nie mogą przekraczać 1 % łącznych środków finansowych na dany program według funduszu,</w:t>
      </w:r>
      <w:r w:rsidR="00C56AFD">
        <w:rPr>
          <w:noProof/>
        </w:rPr>
        <w:t xml:space="preserve"> z</w:t>
      </w:r>
      <w:r w:rsidR="00C56AFD">
        <w:rPr>
          <w:rFonts w:ascii="Calibri" w:hAnsi="Calibri" w:cs="Calibri"/>
          <w:noProof/>
        </w:rPr>
        <w:t> </w:t>
      </w:r>
      <w:r w:rsidR="00C56AFD">
        <w:rPr>
          <w:noProof/>
        </w:rPr>
        <w:t>wył</w:t>
      </w:r>
      <w:r>
        <w:rPr>
          <w:noProof/>
        </w:rPr>
        <w:t>ączeniem zasobów REACT-EU.</w:t>
      </w:r>
    </w:p>
    <w:p w14:paraId="2C9FBEC7" w14:textId="6F434B5D" w:rsidR="001444AB" w:rsidRDefault="00007BC5" w:rsidP="0050317D">
      <w:pPr>
        <w:spacing w:before="180" w:after="120" w:line="276" w:lineRule="auto"/>
        <w:jc w:val="both"/>
        <w:rPr>
          <w:noProof/>
        </w:rPr>
      </w:pPr>
      <w:r>
        <w:rPr>
          <w:noProof/>
        </w:rPr>
        <w:t>Ponadto śródokresowy przegląd obejmował zwiększenie maksymalnej kwoty rocznego dostosowania dokonywanego</w:t>
      </w:r>
      <w:r w:rsidR="00C56AFD">
        <w:rPr>
          <w:noProof/>
        </w:rPr>
        <w:t xml:space="preserve"> w</w:t>
      </w:r>
      <w:r w:rsidR="00C56AFD">
        <w:rPr>
          <w:rFonts w:ascii="Calibri" w:hAnsi="Calibri" w:cs="Calibri"/>
          <w:noProof/>
        </w:rPr>
        <w:t> </w:t>
      </w:r>
      <w:r w:rsidR="00C56AFD">
        <w:rPr>
          <w:noProof/>
        </w:rPr>
        <w:t>ram</w:t>
      </w:r>
      <w:r>
        <w:rPr>
          <w:noProof/>
        </w:rPr>
        <w:t>ach jednolitego marginesu,</w:t>
      </w:r>
      <w:r w:rsidR="00C56AFD">
        <w:rPr>
          <w:noProof/>
        </w:rPr>
        <w:t xml:space="preserve"> o</w:t>
      </w:r>
      <w:r w:rsidR="00C56AFD">
        <w:rPr>
          <w:rFonts w:ascii="Calibri" w:hAnsi="Calibri" w:cs="Calibri"/>
          <w:noProof/>
        </w:rPr>
        <w:t> </w:t>
      </w:r>
      <w:r w:rsidR="00C56AFD">
        <w:rPr>
          <w:noProof/>
        </w:rPr>
        <w:t>któ</w:t>
      </w:r>
      <w:r>
        <w:rPr>
          <w:noProof/>
        </w:rPr>
        <w:t>rej mowa</w:t>
      </w:r>
      <w:r w:rsidR="00C56AFD">
        <w:rPr>
          <w:noProof/>
        </w:rPr>
        <w:t xml:space="preserve"> w</w:t>
      </w:r>
      <w:r w:rsidR="00C56AFD">
        <w:rPr>
          <w:rFonts w:ascii="Calibri" w:hAnsi="Calibri" w:cs="Calibri"/>
          <w:noProof/>
        </w:rPr>
        <w:t> </w:t>
      </w:r>
      <w:r w:rsidR="00C56AFD" w:rsidRPr="00C56AFD">
        <w:rPr>
          <w:noProof/>
        </w:rPr>
        <w:t>art</w:t>
      </w:r>
      <w:r w:rsidRPr="00C56AFD">
        <w:rPr>
          <w:noProof/>
        </w:rPr>
        <w:t>.</w:t>
      </w:r>
      <w:r w:rsidR="00C56AFD" w:rsidRPr="00C56AFD">
        <w:rPr>
          <w:rFonts w:ascii="Calibri" w:hAnsi="Calibri" w:cs="Calibri"/>
          <w:noProof/>
        </w:rPr>
        <w:t> </w:t>
      </w:r>
      <w:r w:rsidRPr="00C56AFD">
        <w:rPr>
          <w:noProof/>
        </w:rPr>
        <w:t>1</w:t>
      </w:r>
      <w:r>
        <w:rPr>
          <w:noProof/>
        </w:rPr>
        <w:t xml:space="preserve">1 </w:t>
      </w:r>
      <w:r w:rsidRPr="00C56AFD">
        <w:rPr>
          <w:noProof/>
        </w:rPr>
        <w:t>ust.</w:t>
      </w:r>
      <w:r w:rsidR="00C56AFD" w:rsidRPr="00C56AFD">
        <w:rPr>
          <w:rFonts w:ascii="Calibri" w:hAnsi="Calibri" w:cs="Calibri"/>
          <w:noProof/>
        </w:rPr>
        <w:t> </w:t>
      </w:r>
      <w:r w:rsidRPr="00C56AFD">
        <w:rPr>
          <w:noProof/>
        </w:rPr>
        <w:t>3</w:t>
      </w:r>
      <w:r>
        <w:rPr>
          <w:noProof/>
        </w:rPr>
        <w:t xml:space="preserve"> rozporządzenia</w:t>
      </w:r>
      <w:r w:rsidR="00C56AFD">
        <w:rPr>
          <w:noProof/>
        </w:rPr>
        <w:t xml:space="preserve"> w</w:t>
      </w:r>
      <w:r w:rsidR="00C56AFD">
        <w:rPr>
          <w:rFonts w:ascii="Calibri" w:hAnsi="Calibri" w:cs="Calibri"/>
          <w:noProof/>
        </w:rPr>
        <w:t> </w:t>
      </w:r>
      <w:r w:rsidR="00C56AFD">
        <w:rPr>
          <w:noProof/>
        </w:rPr>
        <w:t>spr</w:t>
      </w:r>
      <w:r>
        <w:rPr>
          <w:noProof/>
        </w:rPr>
        <w:t xml:space="preserve">awie WRF </w:t>
      </w:r>
      <w:r w:rsidRPr="00C56AFD">
        <w:rPr>
          <w:noProof/>
        </w:rPr>
        <w:t>na</w:t>
      </w:r>
      <w:r w:rsidR="00C56AFD" w:rsidRPr="00C56AFD">
        <w:rPr>
          <w:rFonts w:ascii="Calibri" w:hAnsi="Calibri" w:cs="Calibri"/>
          <w:noProof/>
        </w:rPr>
        <w:t> </w:t>
      </w:r>
      <w:r w:rsidRPr="00C56AFD">
        <w:rPr>
          <w:noProof/>
        </w:rPr>
        <w:t>2</w:t>
      </w:r>
      <w:r>
        <w:rPr>
          <w:noProof/>
        </w:rPr>
        <w:t>0</w:t>
      </w:r>
      <w:r w:rsidRPr="00C56AFD">
        <w:rPr>
          <w:noProof/>
        </w:rPr>
        <w:t>26</w:t>
      </w:r>
      <w:r w:rsidR="00C56AFD" w:rsidRPr="00C56AFD">
        <w:rPr>
          <w:rFonts w:ascii="Calibri" w:hAnsi="Calibri" w:cs="Calibri"/>
          <w:noProof/>
        </w:rPr>
        <w:t> </w:t>
      </w:r>
      <w:r w:rsidRPr="00C56AFD">
        <w:rPr>
          <w:noProof/>
        </w:rPr>
        <w:t>r.</w:t>
      </w:r>
      <w:r>
        <w:rPr>
          <w:noProof/>
        </w:rPr>
        <w:t>,</w:t>
      </w:r>
      <w:r w:rsidR="00C56AFD">
        <w:rPr>
          <w:noProof/>
        </w:rPr>
        <w:t xml:space="preserve"> o</w:t>
      </w:r>
      <w:r w:rsidR="00C56AFD">
        <w:rPr>
          <w:rFonts w:ascii="Calibri" w:hAnsi="Calibri" w:cs="Calibri"/>
          <w:noProof/>
        </w:rPr>
        <w:t> </w:t>
      </w:r>
      <w:r w:rsidR="00C56AFD">
        <w:rPr>
          <w:noProof/>
        </w:rPr>
        <w:t>kwo</w:t>
      </w:r>
      <w:r>
        <w:rPr>
          <w:noProof/>
        </w:rPr>
        <w:t xml:space="preserve">tę równoważną niewykorzystanej części maksymalnej kwoty </w:t>
      </w:r>
      <w:r w:rsidRPr="00C56AFD">
        <w:rPr>
          <w:noProof/>
        </w:rPr>
        <w:t>na</w:t>
      </w:r>
      <w:r w:rsidR="00C56AFD" w:rsidRPr="00C56AFD">
        <w:rPr>
          <w:rFonts w:ascii="Calibri" w:hAnsi="Calibri" w:cs="Calibri"/>
          <w:noProof/>
        </w:rPr>
        <w:t> </w:t>
      </w:r>
      <w:r w:rsidRPr="00C56AFD">
        <w:rPr>
          <w:noProof/>
        </w:rPr>
        <w:t>2</w:t>
      </w:r>
      <w:r>
        <w:rPr>
          <w:noProof/>
        </w:rPr>
        <w:t>0</w:t>
      </w:r>
      <w:r w:rsidRPr="00C56AFD">
        <w:rPr>
          <w:noProof/>
        </w:rPr>
        <w:t>25</w:t>
      </w:r>
      <w:r w:rsidR="00C56AFD" w:rsidRPr="00C56AFD">
        <w:rPr>
          <w:rFonts w:ascii="Calibri" w:hAnsi="Calibri" w:cs="Calibri"/>
          <w:noProof/>
        </w:rPr>
        <w:t> </w:t>
      </w:r>
      <w:r w:rsidRPr="00C56AFD">
        <w:rPr>
          <w:noProof/>
        </w:rPr>
        <w:t>r.</w:t>
      </w:r>
    </w:p>
    <w:p w14:paraId="13A89EA3" w14:textId="368A693B" w:rsidR="00861C1C" w:rsidRPr="00390EB1" w:rsidRDefault="003B6DC2" w:rsidP="0050317D">
      <w:pPr>
        <w:spacing w:before="180" w:after="120" w:line="276" w:lineRule="auto"/>
        <w:jc w:val="both"/>
        <w:rPr>
          <w:noProof/>
        </w:rPr>
      </w:pPr>
      <w:r>
        <w:rPr>
          <w:noProof/>
        </w:rPr>
        <w:t>Jeżeli chodzi</w:t>
      </w:r>
      <w:r w:rsidR="00C56AFD">
        <w:rPr>
          <w:noProof/>
        </w:rPr>
        <w:t xml:space="preserve"> o</w:t>
      </w:r>
      <w:r w:rsidR="00C56AFD">
        <w:rPr>
          <w:rFonts w:ascii="Calibri" w:hAnsi="Calibri" w:cs="Calibri"/>
          <w:noProof/>
        </w:rPr>
        <w:t> </w:t>
      </w:r>
      <w:r w:rsidR="00C56AFD">
        <w:rPr>
          <w:noProof/>
        </w:rPr>
        <w:t>doc</w:t>
      </w:r>
      <w:r>
        <w:rPr>
          <w:noProof/>
        </w:rPr>
        <w:t>hody, prognoza opiera się na systemie dochodów określonym</w:t>
      </w:r>
      <w:r w:rsidR="00C56AFD">
        <w:rPr>
          <w:noProof/>
        </w:rPr>
        <w:t xml:space="preserve"> w</w:t>
      </w:r>
      <w:r w:rsidR="00C56AFD">
        <w:rPr>
          <w:rFonts w:ascii="Calibri" w:hAnsi="Calibri" w:cs="Calibri"/>
          <w:noProof/>
        </w:rPr>
        <w:t> </w:t>
      </w:r>
      <w:r w:rsidR="00C56AFD">
        <w:rPr>
          <w:noProof/>
        </w:rPr>
        <w:t>dec</w:t>
      </w:r>
      <w:r>
        <w:rPr>
          <w:noProof/>
        </w:rPr>
        <w:t>yzji</w:t>
      </w:r>
      <w:r w:rsidR="00C56AFD">
        <w:rPr>
          <w:noProof/>
        </w:rPr>
        <w:t xml:space="preserve"> w</w:t>
      </w:r>
      <w:r w:rsidR="00C56AFD">
        <w:rPr>
          <w:rFonts w:ascii="Calibri" w:hAnsi="Calibri" w:cs="Calibri"/>
          <w:noProof/>
        </w:rPr>
        <w:t> </w:t>
      </w:r>
      <w:r w:rsidR="00C56AFD">
        <w:rPr>
          <w:noProof/>
        </w:rPr>
        <w:t>spr</w:t>
      </w:r>
      <w:r>
        <w:rPr>
          <w:noProof/>
        </w:rPr>
        <w:t>awie zasobów własnych</w:t>
      </w:r>
      <w:r w:rsidRPr="00390EB1">
        <w:rPr>
          <w:noProof/>
          <w:vertAlign w:val="superscript"/>
        </w:rPr>
        <w:endnoteReference w:id="16"/>
      </w:r>
      <w:r>
        <w:rPr>
          <w:noProof/>
        </w:rPr>
        <w:t>. Prognozy dochodów uwzględniają również Umowę</w:t>
      </w:r>
      <w:r w:rsidR="00C56AFD">
        <w:rPr>
          <w:noProof/>
        </w:rPr>
        <w:t xml:space="preserve"> o</w:t>
      </w:r>
      <w:r w:rsidR="00C56AFD">
        <w:rPr>
          <w:rFonts w:ascii="Calibri" w:hAnsi="Calibri" w:cs="Calibri"/>
          <w:noProof/>
        </w:rPr>
        <w:t> </w:t>
      </w:r>
      <w:r w:rsidR="00C56AFD">
        <w:rPr>
          <w:noProof/>
        </w:rPr>
        <w:t>wys</w:t>
      </w:r>
      <w:r>
        <w:rPr>
          <w:noProof/>
        </w:rPr>
        <w:t>tąpieniu Zjednoczonego Królestwa Wielkiej Brytanii</w:t>
      </w:r>
      <w:r w:rsidR="00C56AFD">
        <w:rPr>
          <w:noProof/>
        </w:rPr>
        <w:t xml:space="preserve"> i</w:t>
      </w:r>
      <w:r w:rsidR="00C56AFD">
        <w:rPr>
          <w:rFonts w:ascii="Calibri" w:hAnsi="Calibri" w:cs="Calibri"/>
          <w:noProof/>
        </w:rPr>
        <w:t> </w:t>
      </w:r>
      <w:r w:rsidR="00C56AFD">
        <w:rPr>
          <w:noProof/>
        </w:rPr>
        <w:t>Irl</w:t>
      </w:r>
      <w:r>
        <w:rPr>
          <w:noProof/>
        </w:rPr>
        <w:t>andii Północnej</w:t>
      </w:r>
      <w:r w:rsidR="00C56AFD">
        <w:rPr>
          <w:noProof/>
        </w:rPr>
        <w:t xml:space="preserve"> z</w:t>
      </w:r>
      <w:r w:rsidR="00C56AFD">
        <w:rPr>
          <w:rFonts w:ascii="Calibri" w:hAnsi="Calibri" w:cs="Calibri"/>
          <w:noProof/>
        </w:rPr>
        <w:t> </w:t>
      </w:r>
      <w:r w:rsidR="00C56AFD">
        <w:rPr>
          <w:noProof/>
        </w:rPr>
        <w:t>Uni</w:t>
      </w:r>
      <w:r>
        <w:rPr>
          <w:noProof/>
        </w:rPr>
        <w:t>i Europejskiej</w:t>
      </w:r>
      <w:r w:rsidR="00C56AFD">
        <w:rPr>
          <w:noProof/>
        </w:rPr>
        <w:t xml:space="preserve"> i</w:t>
      </w:r>
      <w:r w:rsidR="00C56AFD">
        <w:rPr>
          <w:rFonts w:ascii="Calibri" w:hAnsi="Calibri" w:cs="Calibri"/>
          <w:noProof/>
        </w:rPr>
        <w:t> </w:t>
      </w:r>
      <w:r w:rsidR="00C56AFD">
        <w:rPr>
          <w:noProof/>
        </w:rPr>
        <w:t>Eur</w:t>
      </w:r>
      <w:r>
        <w:rPr>
          <w:noProof/>
        </w:rPr>
        <w:t>opejskiej Wspólnoty Energii Atomowej</w:t>
      </w:r>
      <w:r w:rsidRPr="00390EB1">
        <w:rPr>
          <w:noProof/>
          <w:vertAlign w:val="superscript"/>
        </w:rPr>
        <w:endnoteReference w:id="17"/>
      </w:r>
      <w:r>
        <w:rPr>
          <w:noProof/>
        </w:rPr>
        <w:t xml:space="preserve"> („umowa</w:t>
      </w:r>
      <w:r w:rsidR="00C56AFD">
        <w:rPr>
          <w:noProof/>
        </w:rPr>
        <w:t xml:space="preserve"> o</w:t>
      </w:r>
      <w:r w:rsidR="00C56AFD">
        <w:rPr>
          <w:rFonts w:ascii="Calibri" w:hAnsi="Calibri" w:cs="Calibri"/>
          <w:noProof/>
        </w:rPr>
        <w:t> </w:t>
      </w:r>
      <w:r w:rsidR="00C56AFD">
        <w:rPr>
          <w:noProof/>
        </w:rPr>
        <w:t>wys</w:t>
      </w:r>
      <w:r>
        <w:rPr>
          <w:noProof/>
        </w:rPr>
        <w:t>tąpieniu”).</w:t>
      </w:r>
    </w:p>
    <w:bookmarkEnd w:id="8"/>
    <w:p w14:paraId="46DA84E4" w14:textId="668EA147" w:rsidR="00861C1C" w:rsidRDefault="55E43B5C" w:rsidP="0050317D">
      <w:pPr>
        <w:spacing w:before="180" w:after="120" w:line="276" w:lineRule="auto"/>
        <w:jc w:val="both"/>
        <w:rPr>
          <w:noProof/>
        </w:rPr>
      </w:pPr>
      <w:r>
        <w:rPr>
          <w:noProof/>
        </w:rPr>
        <w:t>Wraz</w:t>
      </w:r>
      <w:r w:rsidR="00C56AFD">
        <w:rPr>
          <w:noProof/>
        </w:rPr>
        <w:t xml:space="preserve"> z</w:t>
      </w:r>
      <w:r w:rsidR="00C56AFD">
        <w:rPr>
          <w:rFonts w:ascii="Calibri" w:hAnsi="Calibri" w:cs="Calibri"/>
          <w:noProof/>
        </w:rPr>
        <w:t> </w:t>
      </w:r>
      <w:r w:rsidR="00C56AFD">
        <w:rPr>
          <w:noProof/>
        </w:rPr>
        <w:t>sza</w:t>
      </w:r>
      <w:r>
        <w:rPr>
          <w:noProof/>
        </w:rPr>
        <w:t>cunkami dotyczącymi WRF</w:t>
      </w:r>
      <w:r w:rsidR="00C56AFD">
        <w:rPr>
          <w:noProof/>
        </w:rPr>
        <w:t xml:space="preserve"> w</w:t>
      </w:r>
      <w:r w:rsidR="00C56AFD">
        <w:rPr>
          <w:rFonts w:ascii="Calibri" w:hAnsi="Calibri" w:cs="Calibri"/>
          <w:noProof/>
        </w:rPr>
        <w:t> </w:t>
      </w:r>
      <w:r w:rsidR="00C56AFD">
        <w:rPr>
          <w:noProof/>
        </w:rPr>
        <w:t>nin</w:t>
      </w:r>
      <w:r>
        <w:rPr>
          <w:noProof/>
        </w:rPr>
        <w:t>iejszej prognozie uwzględniono płatności</w:t>
      </w:r>
      <w:r w:rsidR="00C56AFD">
        <w:rPr>
          <w:noProof/>
        </w:rPr>
        <w:t xml:space="preserve"> w</w:t>
      </w:r>
      <w:r w:rsidR="00C56AFD">
        <w:rPr>
          <w:rFonts w:ascii="Calibri" w:hAnsi="Calibri" w:cs="Calibri"/>
          <w:noProof/>
        </w:rPr>
        <w:t> </w:t>
      </w:r>
      <w:r w:rsidR="00C56AFD">
        <w:rPr>
          <w:noProof/>
        </w:rPr>
        <w:t>obr</w:t>
      </w:r>
      <w:r>
        <w:rPr>
          <w:noProof/>
        </w:rPr>
        <w:t>ębie wszystkich programów</w:t>
      </w:r>
      <w:r w:rsidR="00C56AFD">
        <w:rPr>
          <w:noProof/>
        </w:rPr>
        <w:t xml:space="preserve"> w</w:t>
      </w:r>
      <w:r w:rsidR="00C56AFD">
        <w:rPr>
          <w:rFonts w:ascii="Calibri" w:hAnsi="Calibri" w:cs="Calibri"/>
          <w:noProof/>
        </w:rPr>
        <w:t> </w:t>
      </w:r>
      <w:r w:rsidR="00C56AFD">
        <w:rPr>
          <w:noProof/>
        </w:rPr>
        <w:t>ram</w:t>
      </w:r>
      <w:r>
        <w:rPr>
          <w:noProof/>
        </w:rPr>
        <w:t>ach NextGenerationEU. Wydatki te, stanowiące uzupełnienie wydatków</w:t>
      </w:r>
      <w:r w:rsidR="00C56AFD">
        <w:rPr>
          <w:noProof/>
        </w:rPr>
        <w:t xml:space="preserve"> w</w:t>
      </w:r>
      <w:r w:rsidR="00C56AFD">
        <w:rPr>
          <w:rFonts w:ascii="Calibri" w:hAnsi="Calibri" w:cs="Calibri"/>
          <w:noProof/>
        </w:rPr>
        <w:t> </w:t>
      </w:r>
      <w:r w:rsidR="00C56AFD">
        <w:rPr>
          <w:noProof/>
        </w:rPr>
        <w:t>ram</w:t>
      </w:r>
      <w:r>
        <w:rPr>
          <w:noProof/>
        </w:rPr>
        <w:t>ach WRF, są finansowane</w:t>
      </w:r>
      <w:r w:rsidR="00C56AFD">
        <w:rPr>
          <w:noProof/>
        </w:rPr>
        <w:t xml:space="preserve"> z</w:t>
      </w:r>
      <w:r w:rsidR="00C56AFD">
        <w:rPr>
          <w:rFonts w:ascii="Calibri" w:hAnsi="Calibri" w:cs="Calibri"/>
          <w:noProof/>
        </w:rPr>
        <w:t> </w:t>
      </w:r>
      <w:r w:rsidR="00C56AFD">
        <w:rPr>
          <w:noProof/>
        </w:rPr>
        <w:t>doc</w:t>
      </w:r>
      <w:r>
        <w:rPr>
          <w:noProof/>
        </w:rPr>
        <w:t>hodów pochodzących</w:t>
      </w:r>
      <w:r w:rsidR="00C56AFD">
        <w:rPr>
          <w:noProof/>
        </w:rPr>
        <w:t xml:space="preserve"> z</w:t>
      </w:r>
      <w:r w:rsidR="00C56AFD">
        <w:rPr>
          <w:rFonts w:ascii="Calibri" w:hAnsi="Calibri" w:cs="Calibri"/>
          <w:noProof/>
        </w:rPr>
        <w:t> </w:t>
      </w:r>
      <w:r w:rsidR="00C56AFD">
        <w:rPr>
          <w:noProof/>
        </w:rPr>
        <w:t>ope</w:t>
      </w:r>
      <w:r>
        <w:rPr>
          <w:noProof/>
        </w:rPr>
        <w:t>racji zaciągania pożyczek na rynkach kapitałowych.</w:t>
      </w:r>
    </w:p>
    <w:p w14:paraId="1E56E25C" w14:textId="0DB36B99" w:rsidR="00A74031" w:rsidRPr="00390EB1" w:rsidRDefault="45EE126F" w:rsidP="0050317D">
      <w:pPr>
        <w:spacing w:before="180" w:after="120" w:line="276" w:lineRule="auto"/>
        <w:jc w:val="both"/>
        <w:rPr>
          <w:noProof/>
        </w:rPr>
      </w:pPr>
      <w:r>
        <w:rPr>
          <w:noProof/>
        </w:rPr>
        <w:t>W niniejszej prognozie oszacowano zaległe płatności wynikające</w:t>
      </w:r>
      <w:r w:rsidR="00C56AFD">
        <w:rPr>
          <w:noProof/>
        </w:rPr>
        <w:t xml:space="preserve"> z</w:t>
      </w:r>
      <w:r w:rsidR="00C56AFD">
        <w:rPr>
          <w:rFonts w:ascii="Calibri" w:hAnsi="Calibri" w:cs="Calibri"/>
          <w:noProof/>
        </w:rPr>
        <w:t> </w:t>
      </w:r>
      <w:r w:rsidR="00C56AFD">
        <w:rPr>
          <w:noProof/>
        </w:rPr>
        <w:t>zob</w:t>
      </w:r>
      <w:r>
        <w:rPr>
          <w:noProof/>
        </w:rPr>
        <w:t>owiązań zaciągniętych</w:t>
      </w:r>
      <w:r w:rsidR="00C56AFD">
        <w:rPr>
          <w:noProof/>
        </w:rPr>
        <w:t xml:space="preserve"> w</w:t>
      </w:r>
      <w:r w:rsidR="00C56AFD">
        <w:rPr>
          <w:rFonts w:ascii="Calibri" w:hAnsi="Calibri" w:cs="Calibri"/>
          <w:noProof/>
        </w:rPr>
        <w:t> </w:t>
      </w:r>
      <w:r w:rsidR="00C56AFD">
        <w:rPr>
          <w:noProof/>
        </w:rPr>
        <w:t>pro</w:t>
      </w:r>
      <w:r>
        <w:rPr>
          <w:noProof/>
        </w:rPr>
        <w:t>gramach objętych WRF na lata 2021–2027</w:t>
      </w:r>
      <w:r w:rsidR="00C56AFD">
        <w:rPr>
          <w:noProof/>
        </w:rPr>
        <w:t xml:space="preserve"> i</w:t>
      </w:r>
      <w:r w:rsidR="00C56AFD">
        <w:rPr>
          <w:rFonts w:ascii="Calibri" w:hAnsi="Calibri" w:cs="Calibri"/>
          <w:noProof/>
        </w:rPr>
        <w:t> </w:t>
      </w:r>
      <w:r w:rsidR="00C56AFD">
        <w:rPr>
          <w:noProof/>
        </w:rPr>
        <w:t>wcz</w:t>
      </w:r>
      <w:r>
        <w:rPr>
          <w:noProof/>
        </w:rPr>
        <w:t>eśniej, natomiast płatności związane</w:t>
      </w:r>
      <w:r w:rsidR="00C56AFD">
        <w:rPr>
          <w:noProof/>
        </w:rPr>
        <w:t xml:space="preserve"> z</w:t>
      </w:r>
      <w:r w:rsidR="00C56AFD">
        <w:rPr>
          <w:rFonts w:ascii="Calibri" w:hAnsi="Calibri" w:cs="Calibri"/>
          <w:noProof/>
        </w:rPr>
        <w:t> </w:t>
      </w:r>
      <w:r w:rsidR="00C56AFD">
        <w:rPr>
          <w:noProof/>
        </w:rPr>
        <w:t>pro</w:t>
      </w:r>
      <w:r>
        <w:rPr>
          <w:noProof/>
        </w:rPr>
        <w:t xml:space="preserve">gramami dotyczącymi WRF na okres </w:t>
      </w:r>
      <w:r w:rsidRPr="00C56AFD">
        <w:rPr>
          <w:noProof/>
        </w:rPr>
        <w:t>po</w:t>
      </w:r>
      <w:r w:rsidR="00C56AFD" w:rsidRPr="00C56AFD">
        <w:rPr>
          <w:rFonts w:ascii="Calibri" w:hAnsi="Calibri" w:cs="Calibri"/>
          <w:noProof/>
        </w:rPr>
        <w:t> </w:t>
      </w:r>
      <w:r w:rsidRPr="00C56AFD">
        <w:rPr>
          <w:noProof/>
        </w:rPr>
        <w:t>2</w:t>
      </w:r>
      <w:r>
        <w:rPr>
          <w:noProof/>
        </w:rPr>
        <w:t>0</w:t>
      </w:r>
      <w:r w:rsidRPr="00C56AFD">
        <w:rPr>
          <w:noProof/>
        </w:rPr>
        <w:t>27</w:t>
      </w:r>
      <w:r w:rsidR="00C56AFD" w:rsidRPr="00C56AFD">
        <w:rPr>
          <w:rFonts w:ascii="Calibri" w:hAnsi="Calibri" w:cs="Calibri"/>
          <w:noProof/>
        </w:rPr>
        <w:t> </w:t>
      </w:r>
      <w:r w:rsidRPr="00C56AFD">
        <w:rPr>
          <w:noProof/>
        </w:rPr>
        <w:t>r.</w:t>
      </w:r>
      <w:r>
        <w:rPr>
          <w:noProof/>
        </w:rPr>
        <w:t xml:space="preserve"> nie są objęte zakresem niniejszej prognozy.</w:t>
      </w:r>
    </w:p>
    <w:p w14:paraId="0C794B59" w14:textId="1019FB63" w:rsidR="00861C1C" w:rsidRPr="00390EB1" w:rsidRDefault="003B6DC2">
      <w:pPr>
        <w:pStyle w:val="amprH2TITLE1-Numbered-1"/>
        <w:rPr>
          <w:noProof/>
        </w:rPr>
      </w:pPr>
      <w:bookmarkStart w:id="9" w:name="_Toc494974438"/>
      <w:bookmarkStart w:id="10" w:name="_Toc524523058"/>
      <w:bookmarkStart w:id="11" w:name="_Toc170319517"/>
      <w:r>
        <w:rPr>
          <w:noProof/>
        </w:rPr>
        <w:t>P</w:t>
      </w:r>
      <w:bookmarkEnd w:id="9"/>
      <w:bookmarkEnd w:id="10"/>
      <w:r>
        <w:rPr>
          <w:noProof/>
        </w:rPr>
        <w:t>rognoza wypływów</w:t>
      </w:r>
      <w:r w:rsidR="00C56AFD">
        <w:rPr>
          <w:noProof/>
        </w:rPr>
        <w:t xml:space="preserve"> z</w:t>
      </w:r>
      <w:r w:rsidR="00C56AFD">
        <w:rPr>
          <w:rFonts w:ascii="Calibri" w:hAnsi="Calibri" w:cs="Calibri"/>
          <w:noProof/>
        </w:rPr>
        <w:t> </w:t>
      </w:r>
      <w:r w:rsidR="00C56AFD">
        <w:rPr>
          <w:noProof/>
        </w:rPr>
        <w:t>bud</w:t>
      </w:r>
      <w:r>
        <w:rPr>
          <w:noProof/>
        </w:rPr>
        <w:t>żetu UE na lata 2025–2029</w:t>
      </w:r>
      <w:bookmarkEnd w:id="11"/>
    </w:p>
    <w:p w14:paraId="244C5D31" w14:textId="16DE4785" w:rsidR="00861C1C" w:rsidRPr="00390EB1" w:rsidRDefault="31B9AE73">
      <w:pPr>
        <w:spacing w:after="120" w:line="276" w:lineRule="auto"/>
        <w:jc w:val="both"/>
        <w:rPr>
          <w:noProof/>
        </w:rPr>
      </w:pPr>
      <w:r>
        <w:rPr>
          <w:noProof/>
        </w:rPr>
        <w:t>Szacuje się, że</w:t>
      </w:r>
      <w:r w:rsidR="00C56AFD">
        <w:rPr>
          <w:noProof/>
        </w:rPr>
        <w:t xml:space="preserve"> w</w:t>
      </w:r>
      <w:r w:rsidR="00C56AFD">
        <w:rPr>
          <w:rFonts w:ascii="Calibri" w:hAnsi="Calibri" w:cs="Calibri"/>
          <w:noProof/>
        </w:rPr>
        <w:t> </w:t>
      </w:r>
      <w:r w:rsidR="00C56AFD">
        <w:rPr>
          <w:noProof/>
        </w:rPr>
        <w:t>lat</w:t>
      </w:r>
      <w:r>
        <w:rPr>
          <w:noProof/>
        </w:rPr>
        <w:t>ach 2025–2029 płatności wyniosą 947 mld EUR,</w:t>
      </w:r>
      <w:r w:rsidR="00C56AFD">
        <w:rPr>
          <w:noProof/>
        </w:rPr>
        <w:t xml:space="preserve"> z</w:t>
      </w:r>
      <w:r w:rsidR="00C56AFD">
        <w:rPr>
          <w:rFonts w:ascii="Calibri" w:hAnsi="Calibri" w:cs="Calibri"/>
          <w:noProof/>
        </w:rPr>
        <w:t> </w:t>
      </w:r>
      <w:r w:rsidR="00C56AFD">
        <w:rPr>
          <w:noProof/>
        </w:rPr>
        <w:t>cze</w:t>
      </w:r>
      <w:r>
        <w:rPr>
          <w:noProof/>
        </w:rPr>
        <w:t>go 799 mld EUR</w:t>
      </w:r>
      <w:r w:rsidR="00C56AFD">
        <w:rPr>
          <w:noProof/>
        </w:rPr>
        <w:t xml:space="preserve"> w</w:t>
      </w:r>
      <w:r w:rsidR="00C56AFD">
        <w:rPr>
          <w:rFonts w:ascii="Calibri" w:hAnsi="Calibri" w:cs="Calibri"/>
          <w:noProof/>
        </w:rPr>
        <w:t> </w:t>
      </w:r>
      <w:r w:rsidR="00C56AFD">
        <w:rPr>
          <w:noProof/>
        </w:rPr>
        <w:t>ram</w:t>
      </w:r>
      <w:r>
        <w:rPr>
          <w:noProof/>
        </w:rPr>
        <w:t>ach pułapu płatności WRF oraz 148 mld EUR na bezzwrotne wsparcie</w:t>
      </w:r>
      <w:r w:rsidR="00C56AFD">
        <w:rPr>
          <w:noProof/>
        </w:rPr>
        <w:t xml:space="preserve"> w</w:t>
      </w:r>
      <w:r w:rsidR="00C56AFD">
        <w:rPr>
          <w:rFonts w:ascii="Calibri" w:hAnsi="Calibri" w:cs="Calibri"/>
          <w:noProof/>
        </w:rPr>
        <w:t> </w:t>
      </w:r>
      <w:r w:rsidR="00C56AFD">
        <w:rPr>
          <w:noProof/>
        </w:rPr>
        <w:t>ram</w:t>
      </w:r>
      <w:r>
        <w:rPr>
          <w:noProof/>
        </w:rPr>
        <w:t>ach NextGenerationEU</w:t>
      </w:r>
      <w:r w:rsidR="00C647B5">
        <w:rPr>
          <w:rStyle w:val="EndnoteReference"/>
          <w:noProof/>
        </w:rPr>
        <w:endnoteReference w:id="18"/>
      </w:r>
      <w:r>
        <w:rPr>
          <w:noProof/>
        </w:rPr>
        <w:t>.</w:t>
      </w:r>
    </w:p>
    <w:p w14:paraId="2FBC0CAA" w14:textId="61EDE3FF" w:rsidR="00861C1C" w:rsidRPr="006F4008" w:rsidRDefault="2A67BF04" w:rsidP="006F4008">
      <w:pPr>
        <w:spacing w:after="120" w:line="276" w:lineRule="auto"/>
        <w:jc w:val="both"/>
        <w:rPr>
          <w:noProof/>
        </w:rPr>
      </w:pPr>
      <w:bookmarkStart w:id="12" w:name="_Hlk133853042"/>
      <w:r>
        <w:rPr>
          <w:noProof/>
        </w:rPr>
        <w:t>W prognozie uwzględniono przyszłe dostosowania dotyczące poszczególnych programów przewidziane</w:t>
      </w:r>
      <w:r w:rsidR="00C56AFD">
        <w:rPr>
          <w:noProof/>
        </w:rPr>
        <w:t xml:space="preserve"> w</w:t>
      </w:r>
      <w:r w:rsidR="00C56AFD">
        <w:rPr>
          <w:rFonts w:ascii="Calibri" w:hAnsi="Calibri" w:cs="Calibri"/>
          <w:noProof/>
        </w:rPr>
        <w:t> </w:t>
      </w:r>
      <w:r w:rsidR="00C56AFD" w:rsidRPr="00C56AFD">
        <w:rPr>
          <w:noProof/>
        </w:rPr>
        <w:t>art</w:t>
      </w:r>
      <w:r w:rsidRPr="00C56AFD">
        <w:rPr>
          <w:noProof/>
        </w:rPr>
        <w:t>.</w:t>
      </w:r>
      <w:r w:rsidR="00C56AFD" w:rsidRPr="00C56AFD">
        <w:rPr>
          <w:rFonts w:ascii="Calibri" w:hAnsi="Calibri" w:cs="Calibri"/>
          <w:noProof/>
        </w:rPr>
        <w:t> </w:t>
      </w:r>
      <w:r w:rsidRPr="00C56AFD">
        <w:rPr>
          <w:noProof/>
        </w:rPr>
        <w:t>5</w:t>
      </w:r>
      <w:r>
        <w:rPr>
          <w:noProof/>
        </w:rPr>
        <w:t xml:space="preserve"> rozporządzenia</w:t>
      </w:r>
      <w:r w:rsidR="00C56AFD">
        <w:rPr>
          <w:noProof/>
        </w:rPr>
        <w:t xml:space="preserve"> w</w:t>
      </w:r>
      <w:r w:rsidR="00C56AFD">
        <w:rPr>
          <w:rFonts w:ascii="Calibri" w:hAnsi="Calibri" w:cs="Calibri"/>
          <w:noProof/>
        </w:rPr>
        <w:t> </w:t>
      </w:r>
      <w:r w:rsidR="00C56AFD">
        <w:rPr>
          <w:noProof/>
        </w:rPr>
        <w:t>spr</w:t>
      </w:r>
      <w:r>
        <w:rPr>
          <w:noProof/>
        </w:rPr>
        <w:t xml:space="preserve">awie WRF oraz ponowne wykorzystanie umorzeń na podstawie </w:t>
      </w:r>
      <w:r w:rsidRPr="00C56AFD">
        <w:rPr>
          <w:noProof/>
        </w:rPr>
        <w:t>art.</w:t>
      </w:r>
      <w:r w:rsidR="00C56AFD" w:rsidRPr="00C56AFD">
        <w:rPr>
          <w:rFonts w:ascii="Calibri" w:hAnsi="Calibri" w:cs="Calibri"/>
          <w:noProof/>
        </w:rPr>
        <w:t> </w:t>
      </w:r>
      <w:r w:rsidRPr="00C56AFD">
        <w:rPr>
          <w:noProof/>
        </w:rPr>
        <w:t>1</w:t>
      </w:r>
      <w:r>
        <w:rPr>
          <w:noProof/>
        </w:rPr>
        <w:t xml:space="preserve">5 </w:t>
      </w:r>
      <w:r w:rsidRPr="00C56AFD">
        <w:rPr>
          <w:noProof/>
        </w:rPr>
        <w:t>ust.</w:t>
      </w:r>
      <w:r w:rsidR="00C56AFD" w:rsidRPr="00C56AFD">
        <w:rPr>
          <w:rFonts w:ascii="Calibri" w:hAnsi="Calibri" w:cs="Calibri"/>
          <w:noProof/>
        </w:rPr>
        <w:t> </w:t>
      </w:r>
      <w:r w:rsidRPr="00C56AFD">
        <w:rPr>
          <w:noProof/>
        </w:rPr>
        <w:t>3</w:t>
      </w:r>
      <w:r>
        <w:rPr>
          <w:noProof/>
        </w:rPr>
        <w:t xml:space="preserve"> rozporządzenia finansowego</w:t>
      </w:r>
      <w:r w:rsidR="00C56AFD">
        <w:rPr>
          <w:noProof/>
        </w:rPr>
        <w:t xml:space="preserve"> w</w:t>
      </w:r>
      <w:r w:rsidR="00C56AFD">
        <w:rPr>
          <w:rFonts w:ascii="Calibri" w:hAnsi="Calibri" w:cs="Calibri"/>
          <w:noProof/>
        </w:rPr>
        <w:t> </w:t>
      </w:r>
      <w:r w:rsidR="00C56AFD">
        <w:rPr>
          <w:noProof/>
        </w:rPr>
        <w:t>lat</w:t>
      </w:r>
      <w:r>
        <w:rPr>
          <w:noProof/>
        </w:rPr>
        <w:t>ach 2026–2027. Oczekuje się, że dostosowania dotyczące poszczególnych programów spowodują automatyczne dostosowanie</w:t>
      </w:r>
      <w:r w:rsidR="00C56AFD">
        <w:rPr>
          <w:noProof/>
        </w:rPr>
        <w:t xml:space="preserve"> w</w:t>
      </w:r>
      <w:r w:rsidR="00C56AFD">
        <w:rPr>
          <w:rFonts w:ascii="Calibri" w:hAnsi="Calibri" w:cs="Calibri"/>
          <w:noProof/>
        </w:rPr>
        <w:t> </w:t>
      </w:r>
      <w:r w:rsidR="00C56AFD">
        <w:rPr>
          <w:noProof/>
        </w:rPr>
        <w:t>gór</w:t>
      </w:r>
      <w:r>
        <w:rPr>
          <w:noProof/>
        </w:rPr>
        <w:t>ę pułapów WRF dla zobowiązań</w:t>
      </w:r>
      <w:r w:rsidR="00C56AFD">
        <w:rPr>
          <w:noProof/>
        </w:rPr>
        <w:t xml:space="preserve"> i</w:t>
      </w:r>
      <w:r w:rsidR="00C56AFD">
        <w:rPr>
          <w:rFonts w:ascii="Calibri" w:hAnsi="Calibri" w:cs="Calibri"/>
          <w:noProof/>
        </w:rPr>
        <w:t> </w:t>
      </w:r>
      <w:r w:rsidR="00C56AFD">
        <w:rPr>
          <w:noProof/>
        </w:rPr>
        <w:t>pła</w:t>
      </w:r>
      <w:r>
        <w:rPr>
          <w:noProof/>
        </w:rPr>
        <w:t>tności</w:t>
      </w:r>
      <w:r w:rsidR="00C56AFD">
        <w:rPr>
          <w:noProof/>
        </w:rPr>
        <w:t xml:space="preserve"> w</w:t>
      </w:r>
      <w:r w:rsidR="00C56AFD">
        <w:rPr>
          <w:rFonts w:ascii="Calibri" w:hAnsi="Calibri" w:cs="Calibri"/>
          <w:noProof/>
        </w:rPr>
        <w:t> </w:t>
      </w:r>
      <w:r w:rsidR="00C56AFD">
        <w:rPr>
          <w:noProof/>
        </w:rPr>
        <w:t>wys</w:t>
      </w:r>
      <w:r>
        <w:rPr>
          <w:noProof/>
        </w:rPr>
        <w:t>okości 11,6 mld EUR</w:t>
      </w:r>
      <w:r w:rsidR="00D62803">
        <w:rPr>
          <w:rStyle w:val="EndnoteReference"/>
          <w:noProof/>
        </w:rPr>
        <w:endnoteReference w:id="19"/>
      </w:r>
      <w:r w:rsidR="00C56AFD">
        <w:rPr>
          <w:noProof/>
        </w:rPr>
        <w:t xml:space="preserve"> w</w:t>
      </w:r>
      <w:r w:rsidR="00C56AFD">
        <w:rPr>
          <w:rFonts w:ascii="Calibri" w:hAnsi="Calibri" w:cs="Calibri"/>
          <w:noProof/>
        </w:rPr>
        <w:t> </w:t>
      </w:r>
      <w:r w:rsidR="00C56AFD">
        <w:rPr>
          <w:noProof/>
        </w:rPr>
        <w:t>lat</w:t>
      </w:r>
      <w:r>
        <w:rPr>
          <w:noProof/>
        </w:rPr>
        <w:t>ach 2022–2027. Dokładne roczne dostosowanie będzie zależało od dochodów</w:t>
      </w:r>
      <w:r w:rsidR="00C56AFD">
        <w:rPr>
          <w:noProof/>
        </w:rPr>
        <w:t xml:space="preserve"> z</w:t>
      </w:r>
      <w:r w:rsidR="00C56AFD">
        <w:rPr>
          <w:rFonts w:ascii="Calibri" w:hAnsi="Calibri" w:cs="Calibri"/>
          <w:noProof/>
        </w:rPr>
        <w:t> </w:t>
      </w:r>
      <w:r w:rsidR="00C56AFD">
        <w:rPr>
          <w:noProof/>
        </w:rPr>
        <w:t>grz</w:t>
      </w:r>
      <w:r>
        <w:rPr>
          <w:noProof/>
        </w:rPr>
        <w:t>ywien za naruszenie zasad konkurencji</w:t>
      </w:r>
      <w:r w:rsidR="00C56AFD">
        <w:rPr>
          <w:noProof/>
        </w:rPr>
        <w:t xml:space="preserve"> w</w:t>
      </w:r>
      <w:r w:rsidR="00C56AFD">
        <w:rPr>
          <w:rFonts w:ascii="Calibri" w:hAnsi="Calibri" w:cs="Calibri"/>
          <w:noProof/>
        </w:rPr>
        <w:t> </w:t>
      </w:r>
      <w:r w:rsidR="00C56AFD">
        <w:rPr>
          <w:noProof/>
        </w:rPr>
        <w:t>pop</w:t>
      </w:r>
      <w:r>
        <w:rPr>
          <w:noProof/>
        </w:rPr>
        <w:t>rzednim roku,</w:t>
      </w:r>
      <w:r w:rsidR="00C56AFD">
        <w:rPr>
          <w:noProof/>
        </w:rPr>
        <w:t xml:space="preserve"> a</w:t>
      </w:r>
      <w:r w:rsidR="00C56AFD">
        <w:rPr>
          <w:rFonts w:ascii="Calibri" w:hAnsi="Calibri" w:cs="Calibri"/>
          <w:noProof/>
        </w:rPr>
        <w:t> </w:t>
      </w:r>
      <w:r w:rsidR="00C56AFD">
        <w:rPr>
          <w:noProof/>
        </w:rPr>
        <w:t>jeg</w:t>
      </w:r>
      <w:r>
        <w:rPr>
          <w:noProof/>
        </w:rPr>
        <w:t>o całkowita kwota wyniesie 10</w:t>
      </w:r>
      <w:r>
        <w:rPr>
          <w:rFonts w:ascii="Calibri" w:hAnsi="Calibri"/>
          <w:noProof/>
        </w:rPr>
        <w:t> </w:t>
      </w:r>
      <w:r>
        <w:rPr>
          <w:noProof/>
        </w:rPr>
        <w:t>155 mln EUR (w cenach</w:t>
      </w:r>
      <w:r w:rsidR="00C56AFD">
        <w:rPr>
          <w:noProof/>
        </w:rPr>
        <w:t xml:space="preserve"> z</w:t>
      </w:r>
      <w:r w:rsidR="00C56AFD">
        <w:rPr>
          <w:rFonts w:ascii="Calibri" w:hAnsi="Calibri" w:cs="Calibri"/>
          <w:noProof/>
        </w:rPr>
        <w:t> </w:t>
      </w:r>
      <w:r w:rsidR="00C56AFD">
        <w:rPr>
          <w:noProof/>
        </w:rPr>
        <w:t>2</w:t>
      </w:r>
      <w:r>
        <w:rPr>
          <w:noProof/>
        </w:rPr>
        <w:t>0</w:t>
      </w:r>
      <w:r w:rsidRPr="00C56AFD">
        <w:rPr>
          <w:noProof/>
        </w:rPr>
        <w:t>18</w:t>
      </w:r>
      <w:r w:rsidR="00C56AFD" w:rsidRPr="00C56AFD">
        <w:rPr>
          <w:rFonts w:ascii="Calibri" w:hAnsi="Calibri" w:cs="Calibri"/>
          <w:noProof/>
        </w:rPr>
        <w:t> </w:t>
      </w:r>
      <w:r w:rsidRPr="00C56AFD">
        <w:rPr>
          <w:noProof/>
        </w:rPr>
        <w:t>r.</w:t>
      </w:r>
      <w:r>
        <w:rPr>
          <w:noProof/>
        </w:rPr>
        <w:t xml:space="preserve">) </w:t>
      </w:r>
      <w:r w:rsidRPr="00C56AFD">
        <w:rPr>
          <w:noProof/>
        </w:rPr>
        <w:t>do</w:t>
      </w:r>
      <w:r w:rsidR="00C56AFD" w:rsidRPr="00C56AFD">
        <w:rPr>
          <w:rFonts w:ascii="Calibri" w:hAnsi="Calibri" w:cs="Calibri"/>
          <w:noProof/>
        </w:rPr>
        <w:t> </w:t>
      </w:r>
      <w:r w:rsidRPr="00C56AFD">
        <w:rPr>
          <w:noProof/>
        </w:rPr>
        <w:t>2</w:t>
      </w:r>
      <w:r>
        <w:rPr>
          <w:noProof/>
        </w:rPr>
        <w:t>0</w:t>
      </w:r>
      <w:r w:rsidRPr="00C56AFD">
        <w:rPr>
          <w:noProof/>
        </w:rPr>
        <w:t>27</w:t>
      </w:r>
      <w:r w:rsidR="00C56AFD" w:rsidRPr="00C56AFD">
        <w:rPr>
          <w:rFonts w:ascii="Calibri" w:hAnsi="Calibri" w:cs="Calibri"/>
          <w:noProof/>
        </w:rPr>
        <w:t> </w:t>
      </w:r>
      <w:r w:rsidRPr="00C56AFD">
        <w:rPr>
          <w:noProof/>
        </w:rPr>
        <w:t>r.</w:t>
      </w:r>
      <w:r>
        <w:rPr>
          <w:noProof/>
        </w:rPr>
        <w:t xml:space="preserve"> Obejmuje ono również szacunkowe płatności</w:t>
      </w:r>
      <w:r w:rsidR="00C56AFD">
        <w:rPr>
          <w:noProof/>
        </w:rPr>
        <w:t xml:space="preserve"> w</w:t>
      </w:r>
      <w:r w:rsidR="00C56AFD">
        <w:rPr>
          <w:rFonts w:ascii="Calibri" w:hAnsi="Calibri" w:cs="Calibri"/>
          <w:noProof/>
        </w:rPr>
        <w:t> </w:t>
      </w:r>
      <w:r w:rsidR="00C56AFD">
        <w:rPr>
          <w:noProof/>
        </w:rPr>
        <w:t>ram</w:t>
      </w:r>
      <w:r>
        <w:rPr>
          <w:noProof/>
        </w:rPr>
        <w:t>ach Rezerwy na rzecz Ukrainy</w:t>
      </w:r>
      <w:r w:rsidR="00C56AFD">
        <w:rPr>
          <w:noProof/>
        </w:rPr>
        <w:t xml:space="preserve"> w</w:t>
      </w:r>
      <w:r w:rsidR="00C56AFD">
        <w:rPr>
          <w:rFonts w:ascii="Calibri" w:hAnsi="Calibri" w:cs="Calibri"/>
          <w:noProof/>
        </w:rPr>
        <w:t> </w:t>
      </w:r>
      <w:r w:rsidR="00C56AFD">
        <w:rPr>
          <w:noProof/>
        </w:rPr>
        <w:t>2</w:t>
      </w:r>
      <w:r>
        <w:rPr>
          <w:noProof/>
        </w:rPr>
        <w:t>0</w:t>
      </w:r>
      <w:r w:rsidRPr="00C56AFD">
        <w:rPr>
          <w:noProof/>
        </w:rPr>
        <w:t>25</w:t>
      </w:r>
      <w:r w:rsidR="00C56AFD" w:rsidRPr="00C56AFD">
        <w:rPr>
          <w:rFonts w:ascii="Calibri" w:hAnsi="Calibri" w:cs="Calibri"/>
          <w:noProof/>
        </w:rPr>
        <w:t> </w:t>
      </w:r>
      <w:r w:rsidRPr="00C56AFD">
        <w:rPr>
          <w:noProof/>
        </w:rPr>
        <w:t>r.</w:t>
      </w:r>
      <w:bookmarkEnd w:id="12"/>
    </w:p>
    <w:p w14:paraId="5C3E96CB" w14:textId="3B8105D6" w:rsidR="00861C1C" w:rsidRPr="006F4008" w:rsidRDefault="003B6DC2" w:rsidP="006F4008">
      <w:pPr>
        <w:spacing w:after="120" w:line="276" w:lineRule="auto"/>
        <w:jc w:val="both"/>
        <w:rPr>
          <w:rStyle w:val="amprcharCharttitle"/>
          <w:noProof/>
        </w:rPr>
      </w:pPr>
      <w:r>
        <w:rPr>
          <w:rStyle w:val="amprcharCharttitle"/>
          <w:noProof/>
        </w:rPr>
        <w:t xml:space="preserve">Wykres </w:t>
      </w:r>
      <w:r w:rsidRPr="006F4008">
        <w:rPr>
          <w:rStyle w:val="amprcharCharttitle"/>
          <w:noProof/>
        </w:rPr>
        <w:fldChar w:fldCharType="begin"/>
      </w:r>
      <w:r w:rsidRPr="006F4008">
        <w:rPr>
          <w:rStyle w:val="amprcharCharttitle"/>
          <w:noProof/>
        </w:rPr>
        <w:instrText xml:space="preserve"> SEQ Chart \* ARABIC </w:instrText>
      </w:r>
      <w:r w:rsidRPr="006F4008">
        <w:rPr>
          <w:rStyle w:val="amprcharCharttitle"/>
          <w:noProof/>
        </w:rPr>
        <w:fldChar w:fldCharType="separate"/>
      </w:r>
      <w:r w:rsidR="00927C3F" w:rsidRPr="006F4008">
        <w:rPr>
          <w:rStyle w:val="amprcharCharttitle"/>
          <w:noProof/>
        </w:rPr>
        <w:t>1</w:t>
      </w:r>
      <w:r w:rsidRPr="006F4008">
        <w:rPr>
          <w:rStyle w:val="amprcharCharttitle"/>
          <w:noProof/>
        </w:rPr>
        <w:fldChar w:fldCharType="end"/>
      </w:r>
      <w:r>
        <w:rPr>
          <w:rStyle w:val="amprcharCharttitle"/>
          <w:noProof/>
        </w:rPr>
        <w:t xml:space="preserve"> – Prognoza płatności</w:t>
      </w:r>
      <w:r w:rsidR="00C56AFD">
        <w:rPr>
          <w:rStyle w:val="amprcharCharttitle"/>
          <w:noProof/>
        </w:rPr>
        <w:t xml:space="preserve"> z</w:t>
      </w:r>
      <w:r w:rsidR="00C56AFD">
        <w:rPr>
          <w:rStyle w:val="amprcharCharttitle"/>
          <w:rFonts w:ascii="Calibri" w:hAnsi="Calibri" w:cs="Calibri"/>
          <w:noProof/>
        </w:rPr>
        <w:t> </w:t>
      </w:r>
      <w:r w:rsidR="00C56AFD">
        <w:rPr>
          <w:rStyle w:val="amprcharCharttitle"/>
          <w:noProof/>
        </w:rPr>
        <w:t>pod</w:t>
      </w:r>
      <w:r>
        <w:rPr>
          <w:rStyle w:val="amprcharCharttitle"/>
          <w:noProof/>
        </w:rPr>
        <w:t>ziałem na kategorie</w:t>
      </w:r>
    </w:p>
    <w:p w14:paraId="6CAD3611" w14:textId="3E050887" w:rsidR="00A848EF" w:rsidRPr="00390EB1" w:rsidRDefault="000F3138" w:rsidP="008E678B">
      <w:pPr>
        <w:pStyle w:val="amprBodyText"/>
        <w:jc w:val="center"/>
        <w:rPr>
          <w:noProof/>
        </w:rPr>
      </w:pPr>
      <w:r w:rsidRPr="000F3138">
        <w:rPr>
          <w:noProof/>
          <w:lang w:val="en-GB" w:eastAsia="en-GB"/>
        </w:rPr>
        <w:drawing>
          <wp:inline distT="0" distB="0" distL="0" distR="0" wp14:anchorId="136E816E" wp14:editId="7D5F3BDD">
            <wp:extent cx="4887403" cy="312864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905757" cy="3140394"/>
                    </a:xfrm>
                    <a:prstGeom prst="rect">
                      <a:avLst/>
                    </a:prstGeom>
                  </pic:spPr>
                </pic:pic>
              </a:graphicData>
            </a:graphic>
          </wp:inline>
        </w:drawing>
      </w:r>
    </w:p>
    <w:p w14:paraId="6F5503EF" w14:textId="658DA992" w:rsidR="00861C1C" w:rsidRPr="00390EB1" w:rsidRDefault="55E43B5C" w:rsidP="7A10ECDB">
      <w:pPr>
        <w:jc w:val="both"/>
        <w:rPr>
          <w:noProof/>
        </w:rPr>
      </w:pPr>
      <w:r>
        <w:rPr>
          <w:noProof/>
        </w:rPr>
        <w:t>Płatności</w:t>
      </w:r>
      <w:r w:rsidR="00C56AFD">
        <w:rPr>
          <w:noProof/>
        </w:rPr>
        <w:t xml:space="preserve"> z</w:t>
      </w:r>
      <w:r w:rsidR="00C56AFD">
        <w:rPr>
          <w:rFonts w:ascii="Calibri" w:hAnsi="Calibri" w:cs="Calibri"/>
          <w:noProof/>
        </w:rPr>
        <w:t> </w:t>
      </w:r>
      <w:r w:rsidR="00C56AFD">
        <w:rPr>
          <w:noProof/>
        </w:rPr>
        <w:t>bud</w:t>
      </w:r>
      <w:r>
        <w:rPr>
          <w:noProof/>
        </w:rPr>
        <w:t>żetu UE nie są równomiernie rozłożone</w:t>
      </w:r>
      <w:r w:rsidR="00C56AFD">
        <w:rPr>
          <w:noProof/>
        </w:rPr>
        <w:t xml:space="preserve"> w</w:t>
      </w:r>
      <w:r w:rsidR="00C56AFD">
        <w:rPr>
          <w:rFonts w:ascii="Calibri" w:hAnsi="Calibri" w:cs="Calibri"/>
          <w:noProof/>
        </w:rPr>
        <w:t> </w:t>
      </w:r>
      <w:r w:rsidR="00C56AFD">
        <w:rPr>
          <w:noProof/>
        </w:rPr>
        <w:t>okr</w:t>
      </w:r>
      <w:r>
        <w:rPr>
          <w:noProof/>
        </w:rPr>
        <w:t>esie 2025–2029. Prognoza zależy od rozwoju sytuacji</w:t>
      </w:r>
      <w:r w:rsidR="00C56AFD">
        <w:rPr>
          <w:noProof/>
        </w:rPr>
        <w:t xml:space="preserve"> w</w:t>
      </w:r>
      <w:r w:rsidR="00C56AFD">
        <w:rPr>
          <w:rFonts w:ascii="Calibri" w:hAnsi="Calibri" w:cs="Calibri"/>
          <w:noProof/>
        </w:rPr>
        <w:t> </w:t>
      </w:r>
      <w:r w:rsidR="00C56AFD">
        <w:rPr>
          <w:noProof/>
        </w:rPr>
        <w:t>zak</w:t>
      </w:r>
      <w:r>
        <w:rPr>
          <w:noProof/>
        </w:rPr>
        <w:t>resie: 1) płatności</w:t>
      </w:r>
      <w:r w:rsidR="00C56AFD">
        <w:rPr>
          <w:noProof/>
        </w:rPr>
        <w:t xml:space="preserve"> z</w:t>
      </w:r>
      <w:r w:rsidR="00C56AFD">
        <w:rPr>
          <w:rFonts w:ascii="Calibri" w:hAnsi="Calibri" w:cs="Calibri"/>
          <w:noProof/>
        </w:rPr>
        <w:t> </w:t>
      </w:r>
      <w:r w:rsidR="00C56AFD">
        <w:rPr>
          <w:noProof/>
        </w:rPr>
        <w:t>tyt</w:t>
      </w:r>
      <w:r>
        <w:rPr>
          <w:noProof/>
        </w:rPr>
        <w:t>ułu programów wydatków finansowanych z WRF na lata 2021–2027 (8</w:t>
      </w:r>
      <w:r w:rsidRPr="00C56AFD">
        <w:rPr>
          <w:noProof/>
        </w:rPr>
        <w:t>2</w:t>
      </w:r>
      <w:r w:rsidR="00C56AFD" w:rsidRPr="00C56AFD">
        <w:rPr>
          <w:rFonts w:ascii="Calibri" w:hAnsi="Calibri" w:cs="Calibri"/>
          <w:noProof/>
        </w:rPr>
        <w:t> </w:t>
      </w:r>
      <w:r w:rsidRPr="00C56AFD">
        <w:rPr>
          <w:noProof/>
        </w:rPr>
        <w:t>%</w:t>
      </w:r>
      <w:r>
        <w:rPr>
          <w:noProof/>
        </w:rPr>
        <w:t xml:space="preserve"> płatności ogółem), 2) wypłat</w:t>
      </w:r>
      <w:r w:rsidR="00C56AFD">
        <w:rPr>
          <w:noProof/>
        </w:rPr>
        <w:t xml:space="preserve"> w</w:t>
      </w:r>
      <w:r w:rsidR="00C56AFD">
        <w:rPr>
          <w:rFonts w:ascii="Calibri" w:hAnsi="Calibri" w:cs="Calibri"/>
          <w:noProof/>
        </w:rPr>
        <w:t> </w:t>
      </w:r>
      <w:r w:rsidR="00C56AFD">
        <w:rPr>
          <w:noProof/>
        </w:rPr>
        <w:t>ram</w:t>
      </w:r>
      <w:r>
        <w:rPr>
          <w:noProof/>
        </w:rPr>
        <w:t>ach NextGenerationEU (1</w:t>
      </w:r>
      <w:r w:rsidRPr="00C56AFD">
        <w:rPr>
          <w:noProof/>
        </w:rPr>
        <w:t>6</w:t>
      </w:r>
      <w:r w:rsidR="00C56AFD" w:rsidRPr="00C56AFD">
        <w:rPr>
          <w:rFonts w:ascii="Calibri" w:hAnsi="Calibri" w:cs="Calibri"/>
          <w:noProof/>
        </w:rPr>
        <w:t> </w:t>
      </w:r>
      <w:r w:rsidRPr="00C56AFD">
        <w:rPr>
          <w:noProof/>
        </w:rPr>
        <w:t>%</w:t>
      </w:r>
      <w:r>
        <w:rPr>
          <w:noProof/>
        </w:rPr>
        <w:t xml:space="preserve"> płatności) oraz 3) płatności wynikających</w:t>
      </w:r>
      <w:r w:rsidR="00C56AFD">
        <w:rPr>
          <w:noProof/>
        </w:rPr>
        <w:t xml:space="preserve"> z</w:t>
      </w:r>
      <w:r w:rsidR="00C56AFD">
        <w:rPr>
          <w:rFonts w:ascii="Calibri" w:hAnsi="Calibri" w:cs="Calibri"/>
          <w:noProof/>
        </w:rPr>
        <w:t> </w:t>
      </w:r>
      <w:r w:rsidR="00C56AFD">
        <w:rPr>
          <w:noProof/>
        </w:rPr>
        <w:t>zob</w:t>
      </w:r>
      <w:r>
        <w:rPr>
          <w:noProof/>
        </w:rPr>
        <w:t>owiązań pozostających do spłaty</w:t>
      </w:r>
      <w:r w:rsidR="00C56AFD">
        <w:rPr>
          <w:noProof/>
        </w:rPr>
        <w:t xml:space="preserve"> w</w:t>
      </w:r>
      <w:r w:rsidR="00C56AFD">
        <w:rPr>
          <w:rFonts w:ascii="Calibri" w:hAnsi="Calibri" w:cs="Calibri"/>
          <w:noProof/>
        </w:rPr>
        <w:t> </w:t>
      </w:r>
      <w:r w:rsidR="00C56AFD">
        <w:rPr>
          <w:noProof/>
        </w:rPr>
        <w:t>ram</w:t>
      </w:r>
      <w:r>
        <w:rPr>
          <w:noProof/>
        </w:rPr>
        <w:t>ach WRF 2014–2020</w:t>
      </w:r>
      <w:r w:rsidR="00C56AFD">
        <w:rPr>
          <w:noProof/>
        </w:rPr>
        <w:t xml:space="preserve"> i</w:t>
      </w:r>
      <w:r w:rsidR="00C56AFD">
        <w:rPr>
          <w:rFonts w:ascii="Calibri" w:hAnsi="Calibri" w:cs="Calibri"/>
          <w:noProof/>
        </w:rPr>
        <w:t> </w:t>
      </w:r>
      <w:r w:rsidR="00C56AFD">
        <w:rPr>
          <w:noProof/>
        </w:rPr>
        <w:t>wcz</w:t>
      </w:r>
      <w:r>
        <w:rPr>
          <w:noProof/>
        </w:rPr>
        <w:t>eśniejszych (</w:t>
      </w:r>
      <w:r w:rsidRPr="00C56AFD">
        <w:rPr>
          <w:noProof/>
        </w:rPr>
        <w:t>2</w:t>
      </w:r>
      <w:r w:rsidR="00C56AFD" w:rsidRPr="00C56AFD">
        <w:rPr>
          <w:rFonts w:ascii="Calibri" w:hAnsi="Calibri" w:cs="Calibri"/>
          <w:noProof/>
        </w:rPr>
        <w:t> </w:t>
      </w:r>
      <w:r w:rsidRPr="00C56AFD">
        <w:rPr>
          <w:noProof/>
        </w:rPr>
        <w:t>%</w:t>
      </w:r>
      <w:r>
        <w:rPr>
          <w:noProof/>
        </w:rPr>
        <w:t xml:space="preserve"> płatności). Szacowana średnia roczna wartość wypływów</w:t>
      </w:r>
      <w:r w:rsidR="00C56AFD">
        <w:rPr>
          <w:noProof/>
        </w:rPr>
        <w:t xml:space="preserve"> z</w:t>
      </w:r>
      <w:r w:rsidR="00C56AFD">
        <w:rPr>
          <w:rFonts w:ascii="Calibri" w:hAnsi="Calibri" w:cs="Calibri"/>
          <w:noProof/>
        </w:rPr>
        <w:t> </w:t>
      </w:r>
      <w:r w:rsidR="00C56AFD">
        <w:rPr>
          <w:noProof/>
        </w:rPr>
        <w:t>bud</w:t>
      </w:r>
      <w:r>
        <w:rPr>
          <w:noProof/>
        </w:rPr>
        <w:t>żetu UE wynosi 189 mld EUR,</w:t>
      </w:r>
      <w:r w:rsidR="00C56AFD">
        <w:rPr>
          <w:noProof/>
        </w:rPr>
        <w:t xml:space="preserve"> z</w:t>
      </w:r>
      <w:r w:rsidR="00C56AFD">
        <w:rPr>
          <w:rFonts w:ascii="Calibri" w:hAnsi="Calibri" w:cs="Calibri"/>
          <w:noProof/>
        </w:rPr>
        <w:t> </w:t>
      </w:r>
      <w:r w:rsidR="00C56AFD">
        <w:rPr>
          <w:noProof/>
        </w:rPr>
        <w:t>cze</w:t>
      </w:r>
      <w:r>
        <w:rPr>
          <w:noProof/>
        </w:rPr>
        <w:t>go średnio 74 mld EUR na lata 2025–2026 ma zostać sfinansowane</w:t>
      </w:r>
      <w:r w:rsidR="00C56AFD">
        <w:rPr>
          <w:noProof/>
        </w:rPr>
        <w:t xml:space="preserve"> z</w:t>
      </w:r>
      <w:r w:rsidR="00C56AFD">
        <w:rPr>
          <w:rFonts w:ascii="Calibri" w:hAnsi="Calibri" w:cs="Calibri"/>
          <w:noProof/>
        </w:rPr>
        <w:t> </w:t>
      </w:r>
      <w:r w:rsidR="00C56AFD">
        <w:rPr>
          <w:noProof/>
        </w:rPr>
        <w:t>poż</w:t>
      </w:r>
      <w:r>
        <w:rPr>
          <w:noProof/>
        </w:rPr>
        <w:t xml:space="preserve">yczek zaciągniętych na rynkach kapitałowych na programy NextGenerationEU. Prognoza </w:t>
      </w:r>
      <w:r w:rsidRPr="00C56AFD">
        <w:rPr>
          <w:noProof/>
        </w:rPr>
        <w:t>na</w:t>
      </w:r>
      <w:r w:rsidR="00C56AFD" w:rsidRPr="00C56AFD">
        <w:rPr>
          <w:rFonts w:ascii="Calibri" w:hAnsi="Calibri" w:cs="Calibri"/>
          <w:noProof/>
        </w:rPr>
        <w:t> </w:t>
      </w:r>
      <w:r w:rsidRPr="00C56AFD">
        <w:rPr>
          <w:noProof/>
        </w:rPr>
        <w:t>2</w:t>
      </w:r>
      <w:r>
        <w:rPr>
          <w:noProof/>
        </w:rPr>
        <w:t>028-</w:t>
      </w:r>
      <w:r w:rsidRPr="00C56AFD">
        <w:rPr>
          <w:noProof/>
        </w:rPr>
        <w:t>29</w:t>
      </w:r>
      <w:r w:rsidR="00C56AFD" w:rsidRPr="00C56AFD">
        <w:rPr>
          <w:rFonts w:ascii="Calibri" w:hAnsi="Calibri" w:cs="Calibri"/>
          <w:noProof/>
        </w:rPr>
        <w:t> </w:t>
      </w:r>
      <w:r w:rsidRPr="00C56AFD">
        <w:rPr>
          <w:noProof/>
        </w:rPr>
        <w:t>r.</w:t>
      </w:r>
      <w:r>
        <w:rPr>
          <w:noProof/>
        </w:rPr>
        <w:t xml:space="preserve"> odpowiada zaległym płatnościom wynikającym</w:t>
      </w:r>
      <w:r w:rsidR="00C56AFD">
        <w:rPr>
          <w:noProof/>
        </w:rPr>
        <w:t xml:space="preserve"> z</w:t>
      </w:r>
      <w:r w:rsidR="00C56AFD">
        <w:rPr>
          <w:rFonts w:ascii="Calibri" w:hAnsi="Calibri" w:cs="Calibri"/>
          <w:noProof/>
        </w:rPr>
        <w:t> </w:t>
      </w:r>
      <w:r w:rsidR="00C56AFD">
        <w:rPr>
          <w:noProof/>
        </w:rPr>
        <w:t>zob</w:t>
      </w:r>
      <w:r>
        <w:rPr>
          <w:noProof/>
        </w:rPr>
        <w:t>owiązań zaciągniętych</w:t>
      </w:r>
      <w:r w:rsidR="00C56AFD">
        <w:rPr>
          <w:noProof/>
        </w:rPr>
        <w:t xml:space="preserve"> w</w:t>
      </w:r>
      <w:r w:rsidR="00C56AFD">
        <w:rPr>
          <w:rFonts w:ascii="Calibri" w:hAnsi="Calibri" w:cs="Calibri"/>
          <w:noProof/>
        </w:rPr>
        <w:t> </w:t>
      </w:r>
      <w:r w:rsidR="00C56AFD">
        <w:rPr>
          <w:noProof/>
        </w:rPr>
        <w:t>pro</w:t>
      </w:r>
      <w:r>
        <w:rPr>
          <w:noProof/>
        </w:rPr>
        <w:t>gramach objętych WRF na lata 2021–2027</w:t>
      </w:r>
      <w:r w:rsidR="00C56AFD">
        <w:rPr>
          <w:noProof/>
        </w:rPr>
        <w:t xml:space="preserve"> i</w:t>
      </w:r>
      <w:r w:rsidR="00C56AFD">
        <w:rPr>
          <w:rFonts w:ascii="Calibri" w:hAnsi="Calibri" w:cs="Calibri"/>
          <w:noProof/>
        </w:rPr>
        <w:t> </w:t>
      </w:r>
      <w:r w:rsidR="00C56AFD">
        <w:rPr>
          <w:noProof/>
        </w:rPr>
        <w:t>wcz</w:t>
      </w:r>
      <w:r>
        <w:rPr>
          <w:noProof/>
        </w:rPr>
        <w:t>eśniej, natomiast płatności związane</w:t>
      </w:r>
      <w:r w:rsidR="00C56AFD">
        <w:rPr>
          <w:noProof/>
        </w:rPr>
        <w:t xml:space="preserve"> z</w:t>
      </w:r>
      <w:r w:rsidR="00C56AFD">
        <w:rPr>
          <w:rFonts w:ascii="Calibri" w:hAnsi="Calibri" w:cs="Calibri"/>
          <w:noProof/>
        </w:rPr>
        <w:t> </w:t>
      </w:r>
      <w:r w:rsidR="00C56AFD">
        <w:rPr>
          <w:noProof/>
        </w:rPr>
        <w:t>pro</w:t>
      </w:r>
      <w:r>
        <w:rPr>
          <w:noProof/>
        </w:rPr>
        <w:t xml:space="preserve">gramami dotyczącymi WRF na okres </w:t>
      </w:r>
      <w:r w:rsidRPr="00C56AFD">
        <w:rPr>
          <w:noProof/>
        </w:rPr>
        <w:t>po</w:t>
      </w:r>
      <w:r w:rsidR="00C56AFD" w:rsidRPr="00C56AFD">
        <w:rPr>
          <w:rFonts w:ascii="Calibri" w:hAnsi="Calibri" w:cs="Calibri"/>
          <w:noProof/>
        </w:rPr>
        <w:t> </w:t>
      </w:r>
      <w:r w:rsidRPr="00C56AFD">
        <w:rPr>
          <w:noProof/>
        </w:rPr>
        <w:t>2</w:t>
      </w:r>
      <w:r>
        <w:rPr>
          <w:noProof/>
        </w:rPr>
        <w:t>0</w:t>
      </w:r>
      <w:r w:rsidRPr="00C56AFD">
        <w:rPr>
          <w:noProof/>
        </w:rPr>
        <w:t>27</w:t>
      </w:r>
      <w:r w:rsidR="00C56AFD" w:rsidRPr="00C56AFD">
        <w:rPr>
          <w:rFonts w:ascii="Calibri" w:hAnsi="Calibri" w:cs="Calibri"/>
          <w:noProof/>
        </w:rPr>
        <w:t> </w:t>
      </w:r>
      <w:r w:rsidRPr="00C56AFD">
        <w:rPr>
          <w:noProof/>
        </w:rPr>
        <w:t>r.</w:t>
      </w:r>
      <w:r>
        <w:rPr>
          <w:noProof/>
        </w:rPr>
        <w:t xml:space="preserve"> nie są objęte zakresem niniejszej prognozy.</w:t>
      </w:r>
    </w:p>
    <w:p w14:paraId="2B84CBEE" w14:textId="5371BE70" w:rsidR="00861C1C" w:rsidRPr="00390EB1" w:rsidRDefault="53561654">
      <w:pPr>
        <w:spacing w:after="120" w:line="276" w:lineRule="auto"/>
        <w:jc w:val="both"/>
        <w:rPr>
          <w:noProof/>
        </w:rPr>
      </w:pPr>
      <w:r>
        <w:rPr>
          <w:noProof/>
        </w:rPr>
        <w:t>Oczekuje się, że</w:t>
      </w:r>
      <w:r w:rsidR="00C56AFD">
        <w:rPr>
          <w:noProof/>
        </w:rPr>
        <w:t xml:space="preserve"> w</w:t>
      </w:r>
      <w:r w:rsidR="00C56AFD">
        <w:rPr>
          <w:rFonts w:ascii="Calibri" w:hAnsi="Calibri" w:cs="Calibri"/>
          <w:noProof/>
        </w:rPr>
        <w:t> </w:t>
      </w:r>
      <w:r w:rsidR="00C56AFD">
        <w:rPr>
          <w:noProof/>
        </w:rPr>
        <w:t>2</w:t>
      </w:r>
      <w:r>
        <w:rPr>
          <w:noProof/>
        </w:rPr>
        <w:t>0</w:t>
      </w:r>
      <w:r w:rsidRPr="00C56AFD">
        <w:rPr>
          <w:noProof/>
        </w:rPr>
        <w:t>25</w:t>
      </w:r>
      <w:r w:rsidR="00C56AFD" w:rsidRPr="00C56AFD">
        <w:rPr>
          <w:rFonts w:ascii="Calibri" w:hAnsi="Calibri" w:cs="Calibri"/>
          <w:noProof/>
        </w:rPr>
        <w:t> </w:t>
      </w:r>
      <w:r w:rsidRPr="00C56AFD">
        <w:rPr>
          <w:noProof/>
        </w:rPr>
        <w:t>r.</w:t>
      </w:r>
      <w:r w:rsidR="00C56AFD">
        <w:rPr>
          <w:noProof/>
        </w:rPr>
        <w:t xml:space="preserve"> i</w:t>
      </w:r>
      <w:r w:rsidR="00C56AFD">
        <w:rPr>
          <w:rFonts w:ascii="Calibri" w:hAnsi="Calibri" w:cs="Calibri"/>
          <w:noProof/>
        </w:rPr>
        <w:t> </w:t>
      </w:r>
      <w:r w:rsidR="00C56AFD">
        <w:rPr>
          <w:noProof/>
        </w:rPr>
        <w:t>2</w:t>
      </w:r>
      <w:r>
        <w:rPr>
          <w:noProof/>
        </w:rPr>
        <w:t>0</w:t>
      </w:r>
      <w:r w:rsidRPr="00C56AFD">
        <w:rPr>
          <w:noProof/>
        </w:rPr>
        <w:t>26</w:t>
      </w:r>
      <w:r w:rsidR="00C56AFD" w:rsidRPr="00C56AFD">
        <w:rPr>
          <w:rFonts w:ascii="Calibri" w:hAnsi="Calibri" w:cs="Calibri"/>
          <w:noProof/>
        </w:rPr>
        <w:t> </w:t>
      </w:r>
      <w:r w:rsidRPr="00C56AFD">
        <w:rPr>
          <w:noProof/>
        </w:rPr>
        <w:t>r.</w:t>
      </w:r>
      <w:r>
        <w:rPr>
          <w:noProof/>
        </w:rPr>
        <w:t xml:space="preserve"> płatności ogółem wzrosną</w:t>
      </w:r>
      <w:r w:rsidR="00C56AFD">
        <w:rPr>
          <w:noProof/>
        </w:rPr>
        <w:t xml:space="preserve"> w</w:t>
      </w:r>
      <w:r w:rsidR="00C56AFD">
        <w:rPr>
          <w:rFonts w:ascii="Calibri" w:hAnsi="Calibri" w:cs="Calibri"/>
          <w:noProof/>
        </w:rPr>
        <w:t> </w:t>
      </w:r>
      <w:r w:rsidR="00C56AFD">
        <w:rPr>
          <w:noProof/>
        </w:rPr>
        <w:t>por</w:t>
      </w:r>
      <w:r>
        <w:rPr>
          <w:noProof/>
        </w:rPr>
        <w:t>ównaniu</w:t>
      </w:r>
      <w:r w:rsidR="00C56AFD">
        <w:rPr>
          <w:noProof/>
        </w:rPr>
        <w:t xml:space="preserve"> z</w:t>
      </w:r>
      <w:r w:rsidR="00C56AFD">
        <w:rPr>
          <w:rFonts w:ascii="Calibri" w:hAnsi="Calibri" w:cs="Calibri"/>
          <w:noProof/>
        </w:rPr>
        <w:t> </w:t>
      </w:r>
      <w:r w:rsidR="00C56AFD">
        <w:rPr>
          <w:noProof/>
        </w:rPr>
        <w:t>2</w:t>
      </w:r>
      <w:r>
        <w:rPr>
          <w:noProof/>
        </w:rPr>
        <w:t>0</w:t>
      </w:r>
      <w:r w:rsidRPr="00C56AFD">
        <w:rPr>
          <w:noProof/>
        </w:rPr>
        <w:t>24</w:t>
      </w:r>
      <w:r w:rsidR="00C56AFD" w:rsidRPr="00C56AFD">
        <w:rPr>
          <w:rFonts w:ascii="Calibri" w:hAnsi="Calibri" w:cs="Calibri"/>
          <w:noProof/>
        </w:rPr>
        <w:t> </w:t>
      </w:r>
      <w:r w:rsidRPr="00C56AFD">
        <w:rPr>
          <w:noProof/>
        </w:rPr>
        <w:t>r.</w:t>
      </w:r>
      <w:r>
        <w:rPr>
          <w:noProof/>
        </w:rPr>
        <w:t xml:space="preserve"> Prognozy dotyczące płatności z WRF na lata 2021–2027 wskazują na stopniowy wzrost</w:t>
      </w:r>
      <w:r w:rsidR="00C56AFD">
        <w:rPr>
          <w:noProof/>
        </w:rPr>
        <w:t xml:space="preserve"> w</w:t>
      </w:r>
      <w:r w:rsidR="00C56AFD">
        <w:rPr>
          <w:rFonts w:ascii="Calibri" w:hAnsi="Calibri" w:cs="Calibri"/>
          <w:noProof/>
        </w:rPr>
        <w:t> </w:t>
      </w:r>
      <w:r w:rsidR="00C56AFD">
        <w:rPr>
          <w:noProof/>
        </w:rPr>
        <w:t>lat</w:t>
      </w:r>
      <w:r>
        <w:rPr>
          <w:noProof/>
        </w:rPr>
        <w:t>ach 2025–2026,</w:t>
      </w:r>
      <w:r w:rsidR="00C56AFD">
        <w:rPr>
          <w:noProof/>
        </w:rPr>
        <w:t xml:space="preserve"> w</w:t>
      </w:r>
      <w:r w:rsidR="00C56AFD">
        <w:rPr>
          <w:rFonts w:ascii="Calibri" w:hAnsi="Calibri" w:cs="Calibri"/>
          <w:noProof/>
        </w:rPr>
        <w:t> </w:t>
      </w:r>
      <w:r w:rsidR="00C56AFD">
        <w:rPr>
          <w:noProof/>
        </w:rPr>
        <w:t>mia</w:t>
      </w:r>
      <w:r>
        <w:rPr>
          <w:noProof/>
        </w:rPr>
        <w:t>rę osiągania przez programy pełnej operacyjności. Oczekuje się, że tempo płatności</w:t>
      </w:r>
      <w:r w:rsidR="00C56AFD">
        <w:rPr>
          <w:noProof/>
        </w:rPr>
        <w:t xml:space="preserve"> w</w:t>
      </w:r>
      <w:r w:rsidR="00C56AFD">
        <w:rPr>
          <w:rFonts w:ascii="Calibri" w:hAnsi="Calibri" w:cs="Calibri"/>
          <w:noProof/>
        </w:rPr>
        <w:t> </w:t>
      </w:r>
      <w:r w:rsidR="00C56AFD">
        <w:rPr>
          <w:noProof/>
        </w:rPr>
        <w:t>ram</w:t>
      </w:r>
      <w:r>
        <w:rPr>
          <w:noProof/>
        </w:rPr>
        <w:t>ach NextGenerationEU również przyśpieszy</w:t>
      </w:r>
      <w:r w:rsidR="00C56AFD">
        <w:rPr>
          <w:noProof/>
        </w:rPr>
        <w:t xml:space="preserve"> w</w:t>
      </w:r>
      <w:r w:rsidR="00C56AFD">
        <w:rPr>
          <w:rFonts w:ascii="Calibri" w:hAnsi="Calibri" w:cs="Calibri"/>
          <w:noProof/>
        </w:rPr>
        <w:t> </w:t>
      </w:r>
      <w:r w:rsidR="00C56AFD">
        <w:rPr>
          <w:noProof/>
        </w:rPr>
        <w:t>2</w:t>
      </w:r>
      <w:r>
        <w:rPr>
          <w:noProof/>
        </w:rPr>
        <w:t>025</w:t>
      </w:r>
      <w:r w:rsidR="00C56AFD">
        <w:rPr>
          <w:noProof/>
        </w:rPr>
        <w:t xml:space="preserve"> i</w:t>
      </w:r>
      <w:r w:rsidR="00C56AFD">
        <w:rPr>
          <w:rFonts w:ascii="Calibri" w:hAnsi="Calibri" w:cs="Calibri"/>
          <w:noProof/>
        </w:rPr>
        <w:t> </w:t>
      </w:r>
      <w:r w:rsidR="00C56AFD">
        <w:rPr>
          <w:noProof/>
        </w:rPr>
        <w:t>2</w:t>
      </w:r>
      <w:r>
        <w:rPr>
          <w:noProof/>
        </w:rPr>
        <w:t>0</w:t>
      </w:r>
      <w:r w:rsidRPr="00C56AFD">
        <w:rPr>
          <w:noProof/>
        </w:rPr>
        <w:t>26</w:t>
      </w:r>
      <w:r w:rsidR="00C56AFD" w:rsidRPr="00C56AFD">
        <w:rPr>
          <w:rFonts w:ascii="Calibri" w:hAnsi="Calibri" w:cs="Calibri"/>
          <w:noProof/>
        </w:rPr>
        <w:t> </w:t>
      </w:r>
      <w:r w:rsidRPr="00C56AFD">
        <w:rPr>
          <w:noProof/>
        </w:rPr>
        <w:t>r.</w:t>
      </w:r>
      <w:r w:rsidR="00C56AFD">
        <w:rPr>
          <w:noProof/>
        </w:rPr>
        <w:t xml:space="preserve"> w</w:t>
      </w:r>
      <w:r w:rsidR="00C56AFD">
        <w:rPr>
          <w:rFonts w:ascii="Calibri" w:hAnsi="Calibri" w:cs="Calibri"/>
          <w:noProof/>
        </w:rPr>
        <w:t> </w:t>
      </w:r>
      <w:r w:rsidR="00C56AFD">
        <w:rPr>
          <w:noProof/>
        </w:rPr>
        <w:t>por</w:t>
      </w:r>
      <w:r>
        <w:rPr>
          <w:noProof/>
        </w:rPr>
        <w:t>ównaniu</w:t>
      </w:r>
      <w:r w:rsidR="00C56AFD">
        <w:rPr>
          <w:noProof/>
        </w:rPr>
        <w:t xml:space="preserve"> z</w:t>
      </w:r>
      <w:r w:rsidR="00C56AFD">
        <w:rPr>
          <w:rFonts w:ascii="Calibri" w:hAnsi="Calibri" w:cs="Calibri"/>
          <w:noProof/>
        </w:rPr>
        <w:t> </w:t>
      </w:r>
      <w:r w:rsidR="00C56AFD">
        <w:rPr>
          <w:noProof/>
        </w:rPr>
        <w:t>2</w:t>
      </w:r>
      <w:r>
        <w:rPr>
          <w:noProof/>
        </w:rPr>
        <w:t>0</w:t>
      </w:r>
      <w:r w:rsidRPr="00C56AFD">
        <w:rPr>
          <w:noProof/>
        </w:rPr>
        <w:t>24</w:t>
      </w:r>
      <w:r w:rsidR="00C56AFD" w:rsidRPr="00C56AFD">
        <w:rPr>
          <w:rFonts w:ascii="Calibri" w:hAnsi="Calibri" w:cs="Calibri"/>
          <w:noProof/>
        </w:rPr>
        <w:t> </w:t>
      </w:r>
      <w:r w:rsidRPr="00C56AFD">
        <w:rPr>
          <w:noProof/>
        </w:rPr>
        <w:t>r.</w:t>
      </w:r>
      <w:r>
        <w:rPr>
          <w:noProof/>
        </w:rPr>
        <w:t xml:space="preserve"> Wraz</w:t>
      </w:r>
      <w:r w:rsidR="00C56AFD">
        <w:rPr>
          <w:noProof/>
        </w:rPr>
        <w:t xml:space="preserve"> z</w:t>
      </w:r>
      <w:r w:rsidR="00C56AFD">
        <w:rPr>
          <w:rFonts w:ascii="Calibri" w:hAnsi="Calibri" w:cs="Calibri"/>
          <w:noProof/>
        </w:rPr>
        <w:t> </w:t>
      </w:r>
      <w:r w:rsidR="00C56AFD">
        <w:rPr>
          <w:noProof/>
        </w:rPr>
        <w:t>zak</w:t>
      </w:r>
      <w:r>
        <w:rPr>
          <w:noProof/>
        </w:rPr>
        <w:t>ończeniem wdrażania NextGenerationEU</w:t>
      </w:r>
      <w:r w:rsidR="00C56AFD">
        <w:rPr>
          <w:noProof/>
        </w:rPr>
        <w:t xml:space="preserve"> w</w:t>
      </w:r>
      <w:r w:rsidR="00C56AFD">
        <w:rPr>
          <w:rFonts w:ascii="Calibri" w:hAnsi="Calibri" w:cs="Calibri"/>
          <w:noProof/>
        </w:rPr>
        <w:t> </w:t>
      </w:r>
      <w:r w:rsidR="00C56AFD">
        <w:rPr>
          <w:noProof/>
        </w:rPr>
        <w:t>2</w:t>
      </w:r>
      <w:r>
        <w:rPr>
          <w:noProof/>
        </w:rPr>
        <w:t>0</w:t>
      </w:r>
      <w:r w:rsidRPr="00C56AFD">
        <w:rPr>
          <w:noProof/>
        </w:rPr>
        <w:t>26</w:t>
      </w:r>
      <w:r w:rsidR="00C56AFD" w:rsidRPr="00C56AFD">
        <w:rPr>
          <w:rFonts w:ascii="Calibri" w:hAnsi="Calibri" w:cs="Calibri"/>
          <w:noProof/>
        </w:rPr>
        <w:t> </w:t>
      </w:r>
      <w:r w:rsidRPr="00C56AFD">
        <w:rPr>
          <w:noProof/>
        </w:rPr>
        <w:t>r.</w:t>
      </w:r>
      <w:r>
        <w:rPr>
          <w:noProof/>
        </w:rPr>
        <w:t xml:space="preserve"> większość płatności</w:t>
      </w:r>
      <w:r w:rsidR="00C56AFD">
        <w:rPr>
          <w:noProof/>
        </w:rPr>
        <w:t xml:space="preserve"> w</w:t>
      </w:r>
      <w:r w:rsidR="00C56AFD">
        <w:rPr>
          <w:rFonts w:ascii="Calibri" w:hAnsi="Calibri" w:cs="Calibri"/>
          <w:noProof/>
        </w:rPr>
        <w:t> </w:t>
      </w:r>
      <w:r w:rsidR="00C56AFD">
        <w:rPr>
          <w:noProof/>
        </w:rPr>
        <w:t>lat</w:t>
      </w:r>
      <w:r>
        <w:rPr>
          <w:noProof/>
        </w:rPr>
        <w:t>ach 2026–2027 odpowiada programom realizowanym</w:t>
      </w:r>
      <w:r w:rsidR="00C56AFD">
        <w:rPr>
          <w:noProof/>
        </w:rPr>
        <w:t xml:space="preserve"> w</w:t>
      </w:r>
      <w:r w:rsidR="00C56AFD">
        <w:rPr>
          <w:rFonts w:ascii="Calibri" w:hAnsi="Calibri" w:cs="Calibri"/>
          <w:noProof/>
        </w:rPr>
        <w:t> </w:t>
      </w:r>
      <w:r w:rsidR="00C56AFD">
        <w:rPr>
          <w:noProof/>
        </w:rPr>
        <w:t>ram</w:t>
      </w:r>
      <w:r>
        <w:rPr>
          <w:noProof/>
        </w:rPr>
        <w:t>ach WRF na lata 2021–2027.</w:t>
      </w:r>
    </w:p>
    <w:p w14:paraId="209036B7" w14:textId="48B431EC" w:rsidR="00861C1C" w:rsidRDefault="0903F9CF">
      <w:pPr>
        <w:spacing w:after="120" w:line="276" w:lineRule="auto"/>
        <w:jc w:val="both"/>
        <w:rPr>
          <w:noProof/>
        </w:rPr>
      </w:pPr>
      <w:r>
        <w:rPr>
          <w:noProof/>
        </w:rPr>
        <w:t>W odniesieniu do wydatków</w:t>
      </w:r>
      <w:r w:rsidR="00C56AFD">
        <w:rPr>
          <w:noProof/>
        </w:rPr>
        <w:t xml:space="preserve"> w</w:t>
      </w:r>
      <w:r w:rsidR="00C56AFD">
        <w:rPr>
          <w:rFonts w:ascii="Calibri" w:hAnsi="Calibri" w:cs="Calibri"/>
          <w:noProof/>
        </w:rPr>
        <w:t> </w:t>
      </w:r>
      <w:r w:rsidR="00C56AFD">
        <w:rPr>
          <w:noProof/>
        </w:rPr>
        <w:t>ram</w:t>
      </w:r>
      <w:r>
        <w:rPr>
          <w:noProof/>
        </w:rPr>
        <w:t>ach WRF na lata 2021–2027</w:t>
      </w:r>
      <w:r w:rsidR="00C56AFD">
        <w:rPr>
          <w:noProof/>
        </w:rPr>
        <w:t xml:space="preserve"> i</w:t>
      </w:r>
      <w:r w:rsidR="00C56AFD">
        <w:rPr>
          <w:rFonts w:ascii="Calibri" w:hAnsi="Calibri" w:cs="Calibri"/>
          <w:noProof/>
        </w:rPr>
        <w:t> </w:t>
      </w:r>
      <w:r w:rsidR="00C56AFD">
        <w:rPr>
          <w:noProof/>
        </w:rPr>
        <w:t>pop</w:t>
      </w:r>
      <w:r>
        <w:rPr>
          <w:noProof/>
        </w:rPr>
        <w:t>rzednich WRF średnie roczne prognozowane płatności wynoszą 160 mld EUR. W 20</w:t>
      </w:r>
      <w:r w:rsidRPr="00C56AFD">
        <w:rPr>
          <w:noProof/>
        </w:rPr>
        <w:t>25</w:t>
      </w:r>
      <w:r w:rsidR="00C56AFD" w:rsidRPr="00C56AFD">
        <w:rPr>
          <w:rFonts w:ascii="Calibri" w:hAnsi="Calibri" w:cs="Calibri"/>
          <w:noProof/>
        </w:rPr>
        <w:t> </w:t>
      </w:r>
      <w:r w:rsidRPr="00C56AFD">
        <w:rPr>
          <w:noProof/>
        </w:rPr>
        <w:t>r.</w:t>
      </w:r>
      <w:r>
        <w:rPr>
          <w:noProof/>
        </w:rPr>
        <w:t xml:space="preserve"> ich poziom szacowany jest </w:t>
      </w:r>
      <w:r w:rsidRPr="00C56AFD">
        <w:rPr>
          <w:noProof/>
        </w:rPr>
        <w:t>na</w:t>
      </w:r>
      <w:r w:rsidR="00C56AFD" w:rsidRPr="00C56AFD">
        <w:rPr>
          <w:rFonts w:ascii="Calibri" w:hAnsi="Calibri" w:cs="Calibri"/>
          <w:noProof/>
        </w:rPr>
        <w:t> </w:t>
      </w:r>
      <w:r w:rsidRPr="00C56AFD">
        <w:rPr>
          <w:noProof/>
        </w:rPr>
        <w:t>1</w:t>
      </w:r>
      <w:r>
        <w:rPr>
          <w:noProof/>
        </w:rPr>
        <w:t>53 mld EUR,</w:t>
      </w:r>
      <w:r w:rsidR="00C56AFD">
        <w:rPr>
          <w:noProof/>
        </w:rPr>
        <w:t xml:space="preserve"> a</w:t>
      </w:r>
      <w:r w:rsidR="00C56AFD">
        <w:rPr>
          <w:rFonts w:ascii="Calibri" w:hAnsi="Calibri" w:cs="Calibri"/>
          <w:noProof/>
        </w:rPr>
        <w:t> </w:t>
      </w:r>
      <w:r w:rsidR="00C56AFD">
        <w:rPr>
          <w:noProof/>
        </w:rPr>
        <w:t>nas</w:t>
      </w:r>
      <w:r>
        <w:rPr>
          <w:noProof/>
        </w:rPr>
        <w:t>tępnie przewidywany jest wzrost</w:t>
      </w:r>
      <w:r w:rsidR="00C56AFD">
        <w:rPr>
          <w:noProof/>
        </w:rPr>
        <w:t xml:space="preserve"> w</w:t>
      </w:r>
      <w:r w:rsidR="00C56AFD">
        <w:rPr>
          <w:rFonts w:ascii="Calibri" w:hAnsi="Calibri" w:cs="Calibri"/>
          <w:noProof/>
        </w:rPr>
        <w:t> </w:t>
      </w:r>
      <w:r w:rsidR="00C56AFD">
        <w:rPr>
          <w:noProof/>
        </w:rPr>
        <w:t>kol</w:t>
      </w:r>
      <w:r>
        <w:rPr>
          <w:noProof/>
        </w:rPr>
        <w:t>ejnych latach,</w:t>
      </w:r>
      <w:r w:rsidR="00C56AFD">
        <w:rPr>
          <w:noProof/>
        </w:rPr>
        <w:t xml:space="preserve"> z</w:t>
      </w:r>
      <w:r w:rsidR="00C56AFD">
        <w:rPr>
          <w:rFonts w:ascii="Calibri" w:hAnsi="Calibri" w:cs="Calibri"/>
          <w:noProof/>
        </w:rPr>
        <w:t> </w:t>
      </w:r>
      <w:r w:rsidR="00C56AFD">
        <w:rPr>
          <w:noProof/>
        </w:rPr>
        <w:t>nie</w:t>
      </w:r>
      <w:r>
        <w:rPr>
          <w:noProof/>
        </w:rPr>
        <w:t>wielkim szczytem</w:t>
      </w:r>
      <w:r w:rsidR="00C56AFD">
        <w:rPr>
          <w:noProof/>
        </w:rPr>
        <w:t xml:space="preserve"> w</w:t>
      </w:r>
      <w:r w:rsidR="00C56AFD">
        <w:rPr>
          <w:rFonts w:ascii="Calibri" w:hAnsi="Calibri" w:cs="Calibri"/>
          <w:noProof/>
        </w:rPr>
        <w:t> </w:t>
      </w:r>
      <w:r w:rsidR="00C56AFD">
        <w:rPr>
          <w:noProof/>
        </w:rPr>
        <w:t>2</w:t>
      </w:r>
      <w:r>
        <w:rPr>
          <w:noProof/>
        </w:rPr>
        <w:t>0</w:t>
      </w:r>
      <w:r w:rsidRPr="00C56AFD">
        <w:rPr>
          <w:noProof/>
        </w:rPr>
        <w:t>27</w:t>
      </w:r>
      <w:r w:rsidR="00C56AFD" w:rsidRPr="00C56AFD">
        <w:rPr>
          <w:rFonts w:ascii="Calibri" w:hAnsi="Calibri" w:cs="Calibri"/>
          <w:noProof/>
        </w:rPr>
        <w:t> </w:t>
      </w:r>
      <w:r w:rsidRPr="00C56AFD">
        <w:rPr>
          <w:noProof/>
        </w:rPr>
        <w:t>r.</w:t>
      </w:r>
      <w:r>
        <w:rPr>
          <w:noProof/>
        </w:rPr>
        <w:t xml:space="preserve"> Wzorzec ten, choć obecnie bardziej zaakcentowany</w:t>
      </w:r>
      <w:r w:rsidR="00C56AFD">
        <w:rPr>
          <w:noProof/>
        </w:rPr>
        <w:t xml:space="preserve"> z</w:t>
      </w:r>
      <w:r w:rsidR="00C56AFD">
        <w:rPr>
          <w:rFonts w:ascii="Calibri" w:hAnsi="Calibri" w:cs="Calibri"/>
          <w:noProof/>
        </w:rPr>
        <w:t> </w:t>
      </w:r>
      <w:r w:rsidR="00C56AFD">
        <w:rPr>
          <w:noProof/>
        </w:rPr>
        <w:t>uwa</w:t>
      </w:r>
      <w:r>
        <w:rPr>
          <w:noProof/>
        </w:rPr>
        <w:t>gi na znaczące opóźnienia</w:t>
      </w:r>
      <w:r w:rsidR="00C56AFD">
        <w:rPr>
          <w:noProof/>
        </w:rPr>
        <w:t xml:space="preserve"> w</w:t>
      </w:r>
      <w:r w:rsidR="00C56AFD">
        <w:rPr>
          <w:rFonts w:ascii="Calibri" w:hAnsi="Calibri" w:cs="Calibri"/>
          <w:noProof/>
        </w:rPr>
        <w:t> </w:t>
      </w:r>
      <w:r w:rsidR="00C56AFD">
        <w:rPr>
          <w:noProof/>
        </w:rPr>
        <w:t>rea</w:t>
      </w:r>
      <w:r>
        <w:rPr>
          <w:noProof/>
        </w:rPr>
        <w:t>lizacji, zaobserwowano również</w:t>
      </w:r>
      <w:r w:rsidR="00C56AFD">
        <w:rPr>
          <w:noProof/>
        </w:rPr>
        <w:t xml:space="preserve"> w</w:t>
      </w:r>
      <w:r w:rsidR="00C56AFD">
        <w:rPr>
          <w:rFonts w:ascii="Calibri" w:hAnsi="Calibri" w:cs="Calibri"/>
          <w:noProof/>
        </w:rPr>
        <w:t> </w:t>
      </w:r>
      <w:r w:rsidR="00C56AFD">
        <w:rPr>
          <w:noProof/>
        </w:rPr>
        <w:t>pop</w:t>
      </w:r>
      <w:r>
        <w:rPr>
          <w:noProof/>
        </w:rPr>
        <w:t>rzednich WRF ze względu na stopniowe zmniejszanie płatności</w:t>
      </w:r>
      <w:r w:rsidR="00C56AFD">
        <w:rPr>
          <w:noProof/>
        </w:rPr>
        <w:t xml:space="preserve"> i</w:t>
      </w:r>
      <w:r w:rsidR="00C56AFD">
        <w:rPr>
          <w:rFonts w:ascii="Calibri" w:hAnsi="Calibri" w:cs="Calibri"/>
          <w:noProof/>
        </w:rPr>
        <w:t> </w:t>
      </w:r>
      <w:r w:rsidR="00C56AFD">
        <w:rPr>
          <w:noProof/>
        </w:rPr>
        <w:t>zam</w:t>
      </w:r>
      <w:r>
        <w:rPr>
          <w:noProof/>
        </w:rPr>
        <w:t>ykanie poprzedniego okresu programowania oraz sukcesywne wprowadzanie nowych programów osiągających pełną operacyjność dopiero od drugiej połowy obowiązywania WRF lub</w:t>
      </w:r>
      <w:r w:rsidR="00C56AFD">
        <w:rPr>
          <w:noProof/>
        </w:rPr>
        <w:t xml:space="preserve"> w</w:t>
      </w:r>
      <w:r w:rsidR="00C56AFD">
        <w:rPr>
          <w:rFonts w:ascii="Calibri" w:hAnsi="Calibri" w:cs="Calibri"/>
          <w:noProof/>
        </w:rPr>
        <w:t> </w:t>
      </w:r>
      <w:r w:rsidR="00C56AFD">
        <w:rPr>
          <w:noProof/>
        </w:rPr>
        <w:t>póź</w:t>
      </w:r>
      <w:r>
        <w:rPr>
          <w:noProof/>
        </w:rPr>
        <w:t>niejszym czasie.</w:t>
      </w:r>
    </w:p>
    <w:p w14:paraId="15C615BF" w14:textId="643002E4" w:rsidR="000F3138" w:rsidRPr="00390EB1" w:rsidRDefault="55E43B5C" w:rsidP="000F3138">
      <w:pPr>
        <w:spacing w:after="120" w:line="276" w:lineRule="auto"/>
        <w:jc w:val="both"/>
        <w:rPr>
          <w:noProof/>
        </w:rPr>
      </w:pPr>
      <w:r>
        <w:rPr>
          <w:noProof/>
        </w:rPr>
        <w:t>Prognozę nieprzydzielonego marginesu</w:t>
      </w:r>
      <w:r w:rsidR="00C56AFD">
        <w:rPr>
          <w:noProof/>
        </w:rPr>
        <w:t xml:space="preserve"> w</w:t>
      </w:r>
      <w:r w:rsidR="00C56AFD">
        <w:rPr>
          <w:rFonts w:ascii="Calibri" w:hAnsi="Calibri" w:cs="Calibri"/>
          <w:noProof/>
        </w:rPr>
        <w:t> </w:t>
      </w:r>
      <w:r w:rsidR="00C56AFD">
        <w:rPr>
          <w:noProof/>
        </w:rPr>
        <w:t>ram</w:t>
      </w:r>
      <w:r>
        <w:rPr>
          <w:noProof/>
        </w:rPr>
        <w:t>ach pułapów płatności na lata 2025–2027, określonego jako różnica między prognozowanymi płatnościami</w:t>
      </w:r>
      <w:r w:rsidR="00C56AFD">
        <w:rPr>
          <w:noProof/>
        </w:rPr>
        <w:t xml:space="preserve"> w</w:t>
      </w:r>
      <w:r w:rsidR="00C56AFD">
        <w:rPr>
          <w:rFonts w:ascii="Calibri" w:hAnsi="Calibri" w:cs="Calibri"/>
          <w:noProof/>
        </w:rPr>
        <w:t> </w:t>
      </w:r>
      <w:r w:rsidR="00C56AFD">
        <w:rPr>
          <w:noProof/>
        </w:rPr>
        <w:t>ram</w:t>
      </w:r>
      <w:r>
        <w:rPr>
          <w:noProof/>
        </w:rPr>
        <w:t>ach pułapu WRF</w:t>
      </w:r>
      <w:r w:rsidR="00C56AFD">
        <w:rPr>
          <w:noProof/>
        </w:rPr>
        <w:t xml:space="preserve"> a</w:t>
      </w:r>
      <w:r w:rsidR="00C56AFD">
        <w:rPr>
          <w:rFonts w:ascii="Calibri" w:hAnsi="Calibri" w:cs="Calibri"/>
          <w:noProof/>
        </w:rPr>
        <w:t> </w:t>
      </w:r>
      <w:r w:rsidR="00C56AFD">
        <w:rPr>
          <w:noProof/>
        </w:rPr>
        <w:t>puł</w:t>
      </w:r>
      <w:r>
        <w:rPr>
          <w:noProof/>
        </w:rPr>
        <w:t>apem płatności określonym</w:t>
      </w:r>
      <w:r w:rsidR="00C56AFD">
        <w:rPr>
          <w:noProof/>
        </w:rPr>
        <w:t xml:space="preserve"> w</w:t>
      </w:r>
      <w:r w:rsidR="00C56AFD">
        <w:rPr>
          <w:rFonts w:ascii="Calibri" w:hAnsi="Calibri" w:cs="Calibri"/>
          <w:noProof/>
        </w:rPr>
        <w:t> </w:t>
      </w:r>
      <w:r w:rsidR="00C56AFD">
        <w:rPr>
          <w:noProof/>
        </w:rPr>
        <w:t>roc</w:t>
      </w:r>
      <w:r>
        <w:rPr>
          <w:noProof/>
        </w:rPr>
        <w:t xml:space="preserve">znym dostosowaniu technicznym, szacuje się </w:t>
      </w:r>
      <w:r w:rsidRPr="00C56AFD">
        <w:rPr>
          <w:noProof/>
        </w:rPr>
        <w:t>na</w:t>
      </w:r>
      <w:r w:rsidR="00C56AFD" w:rsidRPr="00C56AFD">
        <w:rPr>
          <w:rFonts w:ascii="Calibri" w:hAnsi="Calibri" w:cs="Calibri"/>
          <w:noProof/>
        </w:rPr>
        <w:t> </w:t>
      </w:r>
      <w:r w:rsidRPr="00C56AFD">
        <w:rPr>
          <w:noProof/>
        </w:rPr>
        <w:t>1</w:t>
      </w:r>
      <w:r>
        <w:rPr>
          <w:noProof/>
        </w:rPr>
        <w:t>3 mld EUR. Dodatnie lub ujemne marginesy wynikają ze stabilnego pułapu płatności</w:t>
      </w:r>
      <w:r w:rsidR="00C56AFD">
        <w:rPr>
          <w:noProof/>
        </w:rPr>
        <w:t xml:space="preserve"> w</w:t>
      </w:r>
      <w:r w:rsidR="00C56AFD">
        <w:rPr>
          <w:rFonts w:ascii="Calibri" w:hAnsi="Calibri" w:cs="Calibri"/>
          <w:noProof/>
        </w:rPr>
        <w:t> </w:t>
      </w:r>
      <w:r w:rsidR="00C56AFD">
        <w:rPr>
          <w:noProof/>
        </w:rPr>
        <w:t>uję</w:t>
      </w:r>
      <w:r>
        <w:rPr>
          <w:noProof/>
        </w:rPr>
        <w:t>ciu realnym oraz zmiennej ścieżki programów</w:t>
      </w:r>
      <w:r w:rsidR="00C56AFD">
        <w:rPr>
          <w:noProof/>
        </w:rPr>
        <w:t xml:space="preserve"> w</w:t>
      </w:r>
      <w:r w:rsidR="00C56AFD">
        <w:rPr>
          <w:rFonts w:ascii="Calibri" w:hAnsi="Calibri" w:cs="Calibri"/>
          <w:noProof/>
        </w:rPr>
        <w:t> </w:t>
      </w:r>
      <w:r w:rsidR="00C56AFD">
        <w:rPr>
          <w:noProof/>
        </w:rPr>
        <w:t>ram</w:t>
      </w:r>
      <w:r>
        <w:rPr>
          <w:noProof/>
        </w:rPr>
        <w:t>ach budżetu UE, stymulowanych głównie dzięki realizacji polityki spójności. Zgodnie</w:t>
      </w:r>
      <w:r w:rsidR="00C56AFD">
        <w:rPr>
          <w:noProof/>
        </w:rPr>
        <w:t xml:space="preserve"> z</w:t>
      </w:r>
      <w:r w:rsidR="00C56AFD">
        <w:rPr>
          <w:rFonts w:ascii="Calibri" w:hAnsi="Calibri" w:cs="Calibri"/>
          <w:noProof/>
        </w:rPr>
        <w:t> </w:t>
      </w:r>
      <w:r w:rsidR="00C56AFD">
        <w:rPr>
          <w:noProof/>
        </w:rPr>
        <w:t>mec</w:t>
      </w:r>
      <w:r>
        <w:rPr>
          <w:noProof/>
        </w:rPr>
        <w:t>hanizmem automatycznego dostosowania przeprowadzanym</w:t>
      </w:r>
      <w:r w:rsidR="00C56AFD">
        <w:rPr>
          <w:noProof/>
        </w:rPr>
        <w:t xml:space="preserve"> w</w:t>
      </w:r>
      <w:r w:rsidR="00C56AFD">
        <w:rPr>
          <w:rFonts w:ascii="Calibri" w:hAnsi="Calibri" w:cs="Calibri"/>
          <w:noProof/>
        </w:rPr>
        <w:t> </w:t>
      </w:r>
      <w:r w:rsidR="00C56AFD">
        <w:rPr>
          <w:noProof/>
        </w:rPr>
        <w:t>ram</w:t>
      </w:r>
      <w:r>
        <w:rPr>
          <w:noProof/>
        </w:rPr>
        <w:t>ach jednolitego marginesu,</w:t>
      </w:r>
      <w:r w:rsidR="00C56AFD">
        <w:rPr>
          <w:noProof/>
        </w:rPr>
        <w:t xml:space="preserve"> o</w:t>
      </w:r>
      <w:r w:rsidR="00C56AFD">
        <w:rPr>
          <w:rFonts w:ascii="Calibri" w:hAnsi="Calibri" w:cs="Calibri"/>
          <w:noProof/>
        </w:rPr>
        <w:t> </w:t>
      </w:r>
      <w:r w:rsidR="00C56AFD">
        <w:rPr>
          <w:noProof/>
        </w:rPr>
        <w:t>któ</w:t>
      </w:r>
      <w:r>
        <w:rPr>
          <w:noProof/>
        </w:rPr>
        <w:t>rym mowa</w:t>
      </w:r>
      <w:r w:rsidR="00C56AFD">
        <w:rPr>
          <w:noProof/>
        </w:rPr>
        <w:t xml:space="preserve"> w</w:t>
      </w:r>
      <w:r w:rsidR="00C56AFD">
        <w:rPr>
          <w:rFonts w:ascii="Calibri" w:hAnsi="Calibri" w:cs="Calibri"/>
          <w:noProof/>
        </w:rPr>
        <w:t> </w:t>
      </w:r>
      <w:r w:rsidR="00C56AFD" w:rsidRPr="00C56AFD">
        <w:rPr>
          <w:noProof/>
        </w:rPr>
        <w:t>art</w:t>
      </w:r>
      <w:r w:rsidRPr="00C56AFD">
        <w:rPr>
          <w:noProof/>
        </w:rPr>
        <w:t>.</w:t>
      </w:r>
      <w:r w:rsidR="00C56AFD" w:rsidRPr="00C56AFD">
        <w:rPr>
          <w:rFonts w:ascii="Calibri" w:hAnsi="Calibri" w:cs="Calibri"/>
          <w:noProof/>
        </w:rPr>
        <w:t> </w:t>
      </w:r>
      <w:r w:rsidRPr="00C56AFD">
        <w:rPr>
          <w:noProof/>
        </w:rPr>
        <w:t>1</w:t>
      </w:r>
      <w:r>
        <w:rPr>
          <w:noProof/>
        </w:rPr>
        <w:t xml:space="preserve">1 </w:t>
      </w:r>
      <w:r w:rsidRPr="00C56AFD">
        <w:rPr>
          <w:noProof/>
        </w:rPr>
        <w:t>ust.</w:t>
      </w:r>
      <w:r w:rsidR="00C56AFD" w:rsidRPr="00C56AFD">
        <w:rPr>
          <w:rFonts w:ascii="Calibri" w:hAnsi="Calibri" w:cs="Calibri"/>
          <w:noProof/>
        </w:rPr>
        <w:t> </w:t>
      </w:r>
      <w:r w:rsidRPr="00C56AFD">
        <w:rPr>
          <w:noProof/>
        </w:rPr>
        <w:t>1</w:t>
      </w:r>
      <w:r>
        <w:rPr>
          <w:noProof/>
        </w:rPr>
        <w:t xml:space="preserve"> </w:t>
      </w:r>
      <w:r w:rsidRPr="00C56AFD">
        <w:rPr>
          <w:noProof/>
        </w:rPr>
        <w:t>lit.</w:t>
      </w:r>
      <w:r w:rsidR="00C56AFD" w:rsidRPr="00C56AFD">
        <w:rPr>
          <w:rFonts w:ascii="Calibri" w:hAnsi="Calibri" w:cs="Calibri"/>
          <w:noProof/>
        </w:rPr>
        <w:t> </w:t>
      </w:r>
      <w:r w:rsidRPr="00C56AFD">
        <w:rPr>
          <w:noProof/>
        </w:rPr>
        <w:t>b)</w:t>
      </w:r>
      <w:r>
        <w:rPr>
          <w:noProof/>
        </w:rPr>
        <w:t xml:space="preserve"> rozporządzenia</w:t>
      </w:r>
      <w:r w:rsidR="00C56AFD">
        <w:rPr>
          <w:noProof/>
        </w:rPr>
        <w:t xml:space="preserve"> w</w:t>
      </w:r>
      <w:r w:rsidR="00C56AFD">
        <w:rPr>
          <w:rFonts w:ascii="Calibri" w:hAnsi="Calibri" w:cs="Calibri"/>
          <w:noProof/>
        </w:rPr>
        <w:t> </w:t>
      </w:r>
      <w:r w:rsidR="00C56AFD">
        <w:rPr>
          <w:noProof/>
        </w:rPr>
        <w:t>spr</w:t>
      </w:r>
      <w:r>
        <w:rPr>
          <w:noProof/>
        </w:rPr>
        <w:t>awie WRF, niewykorzystane kwoty</w:t>
      </w:r>
      <w:r w:rsidR="00C56AFD">
        <w:rPr>
          <w:noProof/>
        </w:rPr>
        <w:t xml:space="preserve"> w</w:t>
      </w:r>
      <w:r w:rsidR="00C56AFD">
        <w:rPr>
          <w:rFonts w:ascii="Calibri" w:hAnsi="Calibri" w:cs="Calibri"/>
          <w:noProof/>
        </w:rPr>
        <w:t> </w:t>
      </w:r>
      <w:r w:rsidR="00C56AFD">
        <w:rPr>
          <w:noProof/>
        </w:rPr>
        <w:t>dan</w:t>
      </w:r>
      <w:r>
        <w:rPr>
          <w:noProof/>
        </w:rPr>
        <w:t>ym roku zwiększą przyszłe pułapy roczne</w:t>
      </w:r>
      <w:r w:rsidR="00C56AFD">
        <w:rPr>
          <w:noProof/>
        </w:rPr>
        <w:t>. W</w:t>
      </w:r>
      <w:r w:rsidR="00C56AFD">
        <w:rPr>
          <w:rFonts w:ascii="Calibri" w:hAnsi="Calibri" w:cs="Calibri"/>
          <w:noProof/>
        </w:rPr>
        <w:t> </w:t>
      </w:r>
      <w:r w:rsidR="00C56AFD">
        <w:rPr>
          <w:noProof/>
        </w:rPr>
        <w:t>zwi</w:t>
      </w:r>
      <w:r>
        <w:rPr>
          <w:noProof/>
        </w:rPr>
        <w:t>ązku</w:t>
      </w:r>
      <w:r w:rsidR="00C56AFD">
        <w:rPr>
          <w:noProof/>
        </w:rPr>
        <w:t xml:space="preserve"> z</w:t>
      </w:r>
      <w:r w:rsidR="00C56AFD">
        <w:rPr>
          <w:rFonts w:ascii="Calibri" w:hAnsi="Calibri" w:cs="Calibri"/>
          <w:noProof/>
        </w:rPr>
        <w:t> </w:t>
      </w:r>
      <w:r w:rsidR="00C56AFD">
        <w:rPr>
          <w:noProof/>
        </w:rPr>
        <w:t>tym</w:t>
      </w:r>
      <w:r>
        <w:rPr>
          <w:noProof/>
        </w:rPr>
        <w:t xml:space="preserve"> dodatnie marginesy przed 20</w:t>
      </w:r>
      <w:r w:rsidRPr="00C56AFD">
        <w:rPr>
          <w:noProof/>
        </w:rPr>
        <w:t>25</w:t>
      </w:r>
      <w:r w:rsidR="00C56AFD" w:rsidRPr="00C56AFD">
        <w:rPr>
          <w:rFonts w:ascii="Calibri" w:hAnsi="Calibri" w:cs="Calibri"/>
          <w:noProof/>
        </w:rPr>
        <w:t> </w:t>
      </w:r>
      <w:r w:rsidRPr="00C56AFD">
        <w:rPr>
          <w:noProof/>
        </w:rPr>
        <w:t>r.</w:t>
      </w:r>
      <w:r>
        <w:rPr>
          <w:noProof/>
        </w:rPr>
        <w:t xml:space="preserve"> spowodują podwyższenie pułapów</w:t>
      </w:r>
      <w:r w:rsidR="00C56AFD">
        <w:rPr>
          <w:noProof/>
        </w:rPr>
        <w:t xml:space="preserve"> w</w:t>
      </w:r>
      <w:r w:rsidR="00C56AFD">
        <w:rPr>
          <w:rFonts w:ascii="Calibri" w:hAnsi="Calibri" w:cs="Calibri"/>
          <w:noProof/>
        </w:rPr>
        <w:t> </w:t>
      </w:r>
      <w:r w:rsidR="00C56AFD">
        <w:rPr>
          <w:noProof/>
        </w:rPr>
        <w:t>lat</w:t>
      </w:r>
      <w:r>
        <w:rPr>
          <w:noProof/>
        </w:rPr>
        <w:t>ach 2025–2027</w:t>
      </w:r>
      <w:r w:rsidR="00C56AFD">
        <w:rPr>
          <w:noProof/>
        </w:rPr>
        <w:t xml:space="preserve"> w</w:t>
      </w:r>
      <w:r w:rsidR="00C56AFD">
        <w:rPr>
          <w:rFonts w:ascii="Calibri" w:hAnsi="Calibri" w:cs="Calibri"/>
          <w:noProof/>
        </w:rPr>
        <w:t> </w:t>
      </w:r>
      <w:r w:rsidR="00C56AFD">
        <w:rPr>
          <w:noProof/>
        </w:rPr>
        <w:t>gra</w:t>
      </w:r>
      <w:r>
        <w:rPr>
          <w:noProof/>
        </w:rPr>
        <w:t>nicach określonych</w:t>
      </w:r>
      <w:r w:rsidR="00C56AFD">
        <w:rPr>
          <w:noProof/>
        </w:rPr>
        <w:t xml:space="preserve"> w</w:t>
      </w:r>
      <w:r w:rsidR="00C56AFD">
        <w:rPr>
          <w:rFonts w:ascii="Calibri" w:hAnsi="Calibri" w:cs="Calibri"/>
          <w:noProof/>
        </w:rPr>
        <w:t> </w:t>
      </w:r>
      <w:r w:rsidR="00C56AFD" w:rsidRPr="00C56AFD">
        <w:rPr>
          <w:noProof/>
        </w:rPr>
        <w:t>art</w:t>
      </w:r>
      <w:r w:rsidRPr="00C56AFD">
        <w:rPr>
          <w:noProof/>
        </w:rPr>
        <w:t>.</w:t>
      </w:r>
      <w:r w:rsidR="00C56AFD" w:rsidRPr="00C56AFD">
        <w:rPr>
          <w:rFonts w:ascii="Calibri" w:hAnsi="Calibri" w:cs="Calibri"/>
          <w:noProof/>
        </w:rPr>
        <w:t> </w:t>
      </w:r>
      <w:r w:rsidRPr="00C56AFD">
        <w:rPr>
          <w:noProof/>
        </w:rPr>
        <w:t>1</w:t>
      </w:r>
      <w:r>
        <w:rPr>
          <w:noProof/>
        </w:rPr>
        <w:t xml:space="preserve">1 </w:t>
      </w:r>
      <w:r w:rsidRPr="00C56AFD">
        <w:rPr>
          <w:noProof/>
        </w:rPr>
        <w:t>ust.</w:t>
      </w:r>
      <w:r w:rsidR="00C56AFD" w:rsidRPr="00C56AFD">
        <w:rPr>
          <w:rFonts w:ascii="Calibri" w:hAnsi="Calibri" w:cs="Calibri"/>
          <w:noProof/>
        </w:rPr>
        <w:t> </w:t>
      </w:r>
      <w:r w:rsidRPr="00C56AFD">
        <w:rPr>
          <w:noProof/>
        </w:rPr>
        <w:t>3</w:t>
      </w:r>
      <w:r>
        <w:rPr>
          <w:noProof/>
        </w:rPr>
        <w:t xml:space="preserve"> rozporządzenia</w:t>
      </w:r>
      <w:r w:rsidR="00C56AFD">
        <w:rPr>
          <w:noProof/>
        </w:rPr>
        <w:t xml:space="preserve"> w</w:t>
      </w:r>
      <w:r w:rsidR="00C56AFD">
        <w:rPr>
          <w:rFonts w:ascii="Calibri" w:hAnsi="Calibri" w:cs="Calibri"/>
          <w:noProof/>
        </w:rPr>
        <w:t> </w:t>
      </w:r>
      <w:r w:rsidR="00C56AFD">
        <w:rPr>
          <w:noProof/>
        </w:rPr>
        <w:t>spr</w:t>
      </w:r>
      <w:r>
        <w:rPr>
          <w:noProof/>
        </w:rPr>
        <w:t>awie WRF. Ponadto zgodnie</w:t>
      </w:r>
      <w:r w:rsidR="00C56AFD">
        <w:rPr>
          <w:noProof/>
        </w:rPr>
        <w:t xml:space="preserve"> z</w:t>
      </w:r>
      <w:r w:rsidR="00C56AFD">
        <w:rPr>
          <w:rFonts w:ascii="Calibri" w:hAnsi="Calibri" w:cs="Calibri"/>
          <w:noProof/>
        </w:rPr>
        <w:t> </w:t>
      </w:r>
      <w:r w:rsidR="00C56AFD" w:rsidRPr="00C56AFD">
        <w:rPr>
          <w:noProof/>
        </w:rPr>
        <w:t>art</w:t>
      </w:r>
      <w:r w:rsidRPr="00C56AFD">
        <w:rPr>
          <w:noProof/>
        </w:rPr>
        <w:t>.</w:t>
      </w:r>
      <w:r w:rsidR="00C56AFD" w:rsidRPr="00C56AFD">
        <w:rPr>
          <w:rFonts w:ascii="Calibri" w:hAnsi="Calibri" w:cs="Calibri"/>
          <w:noProof/>
        </w:rPr>
        <w:t> </w:t>
      </w:r>
      <w:r w:rsidRPr="00C56AFD">
        <w:rPr>
          <w:noProof/>
        </w:rPr>
        <w:t>1</w:t>
      </w:r>
      <w:r>
        <w:rPr>
          <w:noProof/>
        </w:rPr>
        <w:t xml:space="preserve">1 </w:t>
      </w:r>
      <w:r w:rsidRPr="00C56AFD">
        <w:rPr>
          <w:noProof/>
        </w:rPr>
        <w:t>ust.</w:t>
      </w:r>
      <w:r w:rsidR="00C56AFD" w:rsidRPr="00C56AFD">
        <w:rPr>
          <w:rFonts w:ascii="Calibri" w:hAnsi="Calibri" w:cs="Calibri"/>
          <w:noProof/>
        </w:rPr>
        <w:t> </w:t>
      </w:r>
      <w:r w:rsidRPr="00C56AFD">
        <w:rPr>
          <w:noProof/>
        </w:rPr>
        <w:t>3</w:t>
      </w:r>
      <w:r>
        <w:rPr>
          <w:noProof/>
        </w:rPr>
        <w:t>a rozporządzenia</w:t>
      </w:r>
      <w:r w:rsidR="00C56AFD">
        <w:rPr>
          <w:noProof/>
        </w:rPr>
        <w:t xml:space="preserve"> w</w:t>
      </w:r>
      <w:r w:rsidR="00C56AFD">
        <w:rPr>
          <w:rFonts w:ascii="Calibri" w:hAnsi="Calibri" w:cs="Calibri"/>
          <w:noProof/>
        </w:rPr>
        <w:t> </w:t>
      </w:r>
      <w:r w:rsidR="00C56AFD">
        <w:rPr>
          <w:noProof/>
        </w:rPr>
        <w:t>spr</w:t>
      </w:r>
      <w:r>
        <w:rPr>
          <w:noProof/>
        </w:rPr>
        <w:t>awie wieloletnich ram finansowych niewykorzystany margines</w:t>
      </w:r>
      <w:r w:rsidR="00C56AFD">
        <w:rPr>
          <w:noProof/>
        </w:rPr>
        <w:t xml:space="preserve"> z</w:t>
      </w:r>
      <w:r w:rsidR="00C56AFD">
        <w:rPr>
          <w:rFonts w:ascii="Calibri" w:hAnsi="Calibri" w:cs="Calibri"/>
          <w:noProof/>
        </w:rPr>
        <w:t> </w:t>
      </w:r>
      <w:r w:rsidR="00C56AFD">
        <w:rPr>
          <w:noProof/>
        </w:rPr>
        <w:t>2</w:t>
      </w:r>
      <w:r>
        <w:rPr>
          <w:noProof/>
        </w:rPr>
        <w:t>0</w:t>
      </w:r>
      <w:r w:rsidRPr="00C56AFD">
        <w:rPr>
          <w:noProof/>
        </w:rPr>
        <w:t>25</w:t>
      </w:r>
      <w:r w:rsidR="00C56AFD" w:rsidRPr="00C56AFD">
        <w:rPr>
          <w:rFonts w:ascii="Calibri" w:hAnsi="Calibri" w:cs="Calibri"/>
          <w:noProof/>
        </w:rPr>
        <w:t> </w:t>
      </w:r>
      <w:r w:rsidRPr="00C56AFD">
        <w:rPr>
          <w:noProof/>
        </w:rPr>
        <w:t>r.</w:t>
      </w:r>
      <w:r>
        <w:rPr>
          <w:noProof/>
        </w:rPr>
        <w:t xml:space="preserve"> ma zostać przesunięty </w:t>
      </w:r>
      <w:r w:rsidRPr="00C56AFD">
        <w:rPr>
          <w:noProof/>
        </w:rPr>
        <w:t>na</w:t>
      </w:r>
      <w:r w:rsidR="00C56AFD" w:rsidRPr="00C56AFD">
        <w:rPr>
          <w:rFonts w:ascii="Calibri" w:hAnsi="Calibri" w:cs="Calibri"/>
          <w:noProof/>
        </w:rPr>
        <w:t> </w:t>
      </w:r>
      <w:r w:rsidRPr="00C56AFD">
        <w:rPr>
          <w:noProof/>
        </w:rPr>
        <w:t>2</w:t>
      </w:r>
      <w:r>
        <w:rPr>
          <w:noProof/>
        </w:rPr>
        <w:t>0</w:t>
      </w:r>
      <w:r w:rsidRPr="00C56AFD">
        <w:rPr>
          <w:noProof/>
        </w:rPr>
        <w:t>26</w:t>
      </w:r>
      <w:r w:rsidR="00C56AFD" w:rsidRPr="00C56AFD">
        <w:rPr>
          <w:rFonts w:ascii="Calibri" w:hAnsi="Calibri" w:cs="Calibri"/>
          <w:noProof/>
        </w:rPr>
        <w:t> </w:t>
      </w:r>
      <w:r w:rsidRPr="00C56AFD">
        <w:rPr>
          <w:noProof/>
        </w:rPr>
        <w:t>r.</w:t>
      </w:r>
      <w:r>
        <w:rPr>
          <w:noProof/>
        </w:rPr>
        <w:t xml:space="preserve"> Biorąc pod uwagę te dostosowania, jak również przyszłe dostosowania dotyczące poszczególnych programów,</w:t>
      </w:r>
      <w:r w:rsidR="00C56AFD">
        <w:rPr>
          <w:noProof/>
        </w:rPr>
        <w:t xml:space="preserve"> o</w:t>
      </w:r>
      <w:r w:rsidR="00C56AFD">
        <w:rPr>
          <w:rFonts w:ascii="Calibri" w:hAnsi="Calibri" w:cs="Calibri"/>
          <w:noProof/>
        </w:rPr>
        <w:t> </w:t>
      </w:r>
      <w:r w:rsidR="00C56AFD">
        <w:rPr>
          <w:noProof/>
        </w:rPr>
        <w:t>któ</w:t>
      </w:r>
      <w:r>
        <w:rPr>
          <w:noProof/>
        </w:rPr>
        <w:t>rych mowa</w:t>
      </w:r>
      <w:r w:rsidR="00C56AFD">
        <w:rPr>
          <w:noProof/>
        </w:rPr>
        <w:t xml:space="preserve"> w</w:t>
      </w:r>
      <w:r w:rsidR="00C56AFD">
        <w:rPr>
          <w:rFonts w:ascii="Calibri" w:hAnsi="Calibri" w:cs="Calibri"/>
          <w:noProof/>
        </w:rPr>
        <w:t> </w:t>
      </w:r>
      <w:r w:rsidR="00C56AFD" w:rsidRPr="00C56AFD">
        <w:rPr>
          <w:noProof/>
        </w:rPr>
        <w:t>art</w:t>
      </w:r>
      <w:r w:rsidRPr="00C56AFD">
        <w:rPr>
          <w:noProof/>
        </w:rPr>
        <w:t>.</w:t>
      </w:r>
      <w:r w:rsidR="00C56AFD" w:rsidRPr="00C56AFD">
        <w:rPr>
          <w:rFonts w:ascii="Calibri" w:hAnsi="Calibri" w:cs="Calibri"/>
          <w:noProof/>
        </w:rPr>
        <w:t> </w:t>
      </w:r>
      <w:r w:rsidRPr="00C56AFD">
        <w:rPr>
          <w:noProof/>
        </w:rPr>
        <w:t>5</w:t>
      </w:r>
      <w:r>
        <w:rPr>
          <w:noProof/>
        </w:rPr>
        <w:t xml:space="preserve"> rozporządzenia</w:t>
      </w:r>
      <w:r w:rsidR="00C56AFD">
        <w:rPr>
          <w:noProof/>
        </w:rPr>
        <w:t xml:space="preserve"> w</w:t>
      </w:r>
      <w:r w:rsidR="00C56AFD">
        <w:rPr>
          <w:rFonts w:ascii="Calibri" w:hAnsi="Calibri" w:cs="Calibri"/>
          <w:noProof/>
        </w:rPr>
        <w:t> </w:t>
      </w:r>
      <w:r w:rsidR="00C56AFD">
        <w:rPr>
          <w:noProof/>
        </w:rPr>
        <w:t>spr</w:t>
      </w:r>
      <w:r>
        <w:rPr>
          <w:noProof/>
        </w:rPr>
        <w:t>awie WRF (które doprowadzi do zwiększenia pułapu płatności</w:t>
      </w:r>
      <w:r w:rsidR="00C56AFD">
        <w:rPr>
          <w:noProof/>
        </w:rPr>
        <w:t xml:space="preserve"> o</w:t>
      </w:r>
      <w:r w:rsidR="00C56AFD">
        <w:rPr>
          <w:rFonts w:ascii="Calibri" w:hAnsi="Calibri" w:cs="Calibri"/>
          <w:noProof/>
        </w:rPr>
        <w:t> </w:t>
      </w:r>
      <w:r w:rsidR="00C56AFD">
        <w:rPr>
          <w:noProof/>
        </w:rPr>
        <w:t>dod</w:t>
      </w:r>
      <w:r>
        <w:rPr>
          <w:noProof/>
        </w:rPr>
        <w:t>atkowe 5 mld EUR), oczekuje się, że pułap płatności w WRF na lata 2021–2027 pokryje łączne oczekiwane płatności. Wydaje się,</w:t>
      </w:r>
      <w:r w:rsidR="00C56AFD">
        <w:rPr>
          <w:noProof/>
        </w:rPr>
        <w:t xml:space="preserve"> w</w:t>
      </w:r>
      <w:r w:rsidR="00C56AFD">
        <w:rPr>
          <w:rFonts w:ascii="Calibri" w:hAnsi="Calibri" w:cs="Calibri"/>
          <w:noProof/>
        </w:rPr>
        <w:t> </w:t>
      </w:r>
      <w:r w:rsidR="00C56AFD">
        <w:rPr>
          <w:noProof/>
        </w:rPr>
        <w:t>szc</w:t>
      </w:r>
      <w:r>
        <w:rPr>
          <w:noProof/>
        </w:rPr>
        <w:t>zególności</w:t>
      </w:r>
      <w:r w:rsidR="00C56AFD">
        <w:rPr>
          <w:noProof/>
        </w:rPr>
        <w:t xml:space="preserve"> w</w:t>
      </w:r>
      <w:r w:rsidR="00C56AFD">
        <w:rPr>
          <w:rFonts w:ascii="Calibri" w:hAnsi="Calibri" w:cs="Calibri"/>
          <w:noProof/>
        </w:rPr>
        <w:t> </w:t>
      </w:r>
      <w:r w:rsidR="00C56AFD">
        <w:rPr>
          <w:noProof/>
        </w:rPr>
        <w:t>wyn</w:t>
      </w:r>
      <w:r>
        <w:rPr>
          <w:noProof/>
        </w:rPr>
        <w:t>iku przeglądu śródokresowego WRF, że nie ma ryzyka wystąpienia odbiegającej od normy zaległości</w:t>
      </w:r>
      <w:r w:rsidR="00C56AFD">
        <w:rPr>
          <w:noProof/>
        </w:rPr>
        <w:t xml:space="preserve"> w</w:t>
      </w:r>
      <w:r w:rsidR="00C56AFD">
        <w:rPr>
          <w:rFonts w:ascii="Calibri" w:hAnsi="Calibri" w:cs="Calibri"/>
          <w:noProof/>
        </w:rPr>
        <w:t> </w:t>
      </w:r>
      <w:r w:rsidR="00C56AFD">
        <w:rPr>
          <w:noProof/>
        </w:rPr>
        <w:t>poz</w:t>
      </w:r>
      <w:r>
        <w:rPr>
          <w:noProof/>
        </w:rPr>
        <w:t>ostałej części WRF</w:t>
      </w:r>
      <w:r w:rsidR="00C56AFD">
        <w:rPr>
          <w:noProof/>
        </w:rPr>
        <w:t xml:space="preserve"> w</w:t>
      </w:r>
      <w:r w:rsidR="00C56AFD">
        <w:rPr>
          <w:rFonts w:ascii="Calibri" w:hAnsi="Calibri" w:cs="Calibri"/>
          <w:noProof/>
        </w:rPr>
        <w:t> </w:t>
      </w:r>
      <w:r w:rsidR="00C56AFD">
        <w:rPr>
          <w:noProof/>
        </w:rPr>
        <w:t>obe</w:t>
      </w:r>
      <w:r>
        <w:rPr>
          <w:noProof/>
        </w:rPr>
        <w:t>cnej prognozie wykonania.</w:t>
      </w:r>
    </w:p>
    <w:p w14:paraId="25C7786E" w14:textId="73856F65" w:rsidR="009F2F6E" w:rsidRPr="006F4008" w:rsidRDefault="003B6DC2" w:rsidP="624BAA84">
      <w:pPr>
        <w:spacing w:after="120" w:line="276" w:lineRule="auto"/>
        <w:jc w:val="both"/>
        <w:rPr>
          <w:rStyle w:val="amprcharCharttitle"/>
          <w:noProof/>
        </w:rPr>
      </w:pPr>
      <w:r>
        <w:rPr>
          <w:rStyle w:val="amprcharCharttitle"/>
          <w:noProof/>
        </w:rPr>
        <w:t xml:space="preserve">Wykres </w:t>
      </w:r>
      <w:r w:rsidRPr="006F4008">
        <w:rPr>
          <w:rStyle w:val="amprcharCharttitle"/>
          <w:noProof/>
        </w:rPr>
        <w:fldChar w:fldCharType="begin"/>
      </w:r>
      <w:r w:rsidRPr="006F4008">
        <w:rPr>
          <w:rStyle w:val="amprcharCharttitle"/>
          <w:noProof/>
        </w:rPr>
        <w:instrText xml:space="preserve"> SEQ Chart \* ARABIC </w:instrText>
      </w:r>
      <w:r w:rsidRPr="006F4008">
        <w:rPr>
          <w:rStyle w:val="amprcharCharttitle"/>
          <w:noProof/>
        </w:rPr>
        <w:fldChar w:fldCharType="separate"/>
      </w:r>
      <w:r w:rsidR="4542B7EC" w:rsidRPr="006F4008">
        <w:rPr>
          <w:rStyle w:val="amprcharCharttitle"/>
          <w:noProof/>
        </w:rPr>
        <w:t>2</w:t>
      </w:r>
      <w:r w:rsidRPr="006F4008">
        <w:rPr>
          <w:rStyle w:val="amprcharCharttitle"/>
          <w:noProof/>
        </w:rPr>
        <w:fldChar w:fldCharType="end"/>
      </w:r>
      <w:r>
        <w:rPr>
          <w:rStyle w:val="amprcharCharttitle"/>
          <w:noProof/>
        </w:rPr>
        <w:t xml:space="preserve"> – Prognoza płatności</w:t>
      </w:r>
      <w:r w:rsidR="00C56AFD">
        <w:rPr>
          <w:rStyle w:val="amprcharCharttitle"/>
          <w:noProof/>
        </w:rPr>
        <w:t xml:space="preserve"> a</w:t>
      </w:r>
      <w:r w:rsidR="00C56AFD">
        <w:rPr>
          <w:rStyle w:val="amprcharCharttitle"/>
          <w:rFonts w:ascii="Calibri" w:hAnsi="Calibri" w:cs="Calibri"/>
          <w:noProof/>
        </w:rPr>
        <w:t> </w:t>
      </w:r>
      <w:r w:rsidR="00C56AFD">
        <w:rPr>
          <w:rStyle w:val="amprcharCharttitle"/>
          <w:noProof/>
        </w:rPr>
        <w:t>puł</w:t>
      </w:r>
      <w:r>
        <w:rPr>
          <w:rStyle w:val="amprcharCharttitle"/>
          <w:noProof/>
        </w:rPr>
        <w:t>ap płatności WRF na lata 2025–2027</w:t>
      </w:r>
    </w:p>
    <w:p w14:paraId="709C4C95" w14:textId="02185BD2" w:rsidR="00DB2B03" w:rsidRDefault="000F3138" w:rsidP="008E678B">
      <w:pPr>
        <w:spacing w:after="120" w:line="276" w:lineRule="auto"/>
        <w:jc w:val="center"/>
        <w:rPr>
          <w:b/>
          <w:bCs/>
          <w:noProof/>
          <w:color w:val="245F95" w:themeColor="text2"/>
          <w:spacing w:val="1"/>
        </w:rPr>
      </w:pPr>
      <w:r>
        <w:rPr>
          <w:b/>
          <w:bCs/>
          <w:noProof/>
          <w:color w:val="245F95" w:themeColor="text2"/>
          <w:spacing w:val="1"/>
          <w:lang w:val="en-GB" w:eastAsia="en-GB"/>
        </w:rPr>
        <w:drawing>
          <wp:inline distT="0" distB="0" distL="0" distR="0" wp14:anchorId="71F88B40" wp14:editId="4F9B7DDA">
            <wp:extent cx="4800161" cy="280924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22341" cy="2822221"/>
                    </a:xfrm>
                    <a:prstGeom prst="rect">
                      <a:avLst/>
                    </a:prstGeom>
                    <a:noFill/>
                  </pic:spPr>
                </pic:pic>
              </a:graphicData>
            </a:graphic>
          </wp:inline>
        </w:drawing>
      </w:r>
    </w:p>
    <w:p w14:paraId="5CD79C25" w14:textId="00E70E43" w:rsidR="00861C1C" w:rsidRPr="00390EB1" w:rsidRDefault="003B6DC2">
      <w:pPr>
        <w:pStyle w:val="amprH3Title2-Numbered-11"/>
        <w:rPr>
          <w:noProof/>
        </w:rPr>
      </w:pPr>
      <w:bookmarkStart w:id="13" w:name="_Toc524523059"/>
      <w:bookmarkStart w:id="14" w:name="_Toc170319518"/>
      <w:r>
        <w:rPr>
          <w:noProof/>
        </w:rPr>
        <w:t>Płatności</w:t>
      </w:r>
      <w:bookmarkEnd w:id="13"/>
      <w:r>
        <w:rPr>
          <w:noProof/>
        </w:rPr>
        <w:t xml:space="preserve"> związane</w:t>
      </w:r>
      <w:r w:rsidR="00C56AFD">
        <w:rPr>
          <w:noProof/>
        </w:rPr>
        <w:t xml:space="preserve"> z</w:t>
      </w:r>
      <w:r w:rsidR="00C56AFD">
        <w:rPr>
          <w:rFonts w:ascii="Calibri" w:hAnsi="Calibri" w:cs="Calibri"/>
          <w:noProof/>
        </w:rPr>
        <w:t> </w:t>
      </w:r>
      <w:r w:rsidR="00C56AFD">
        <w:rPr>
          <w:noProof/>
        </w:rPr>
        <w:t>zob</w:t>
      </w:r>
      <w:r>
        <w:rPr>
          <w:noProof/>
        </w:rPr>
        <w:t>owiązaniami</w:t>
      </w:r>
      <w:r w:rsidR="00C56AFD">
        <w:rPr>
          <w:noProof/>
        </w:rPr>
        <w:t xml:space="preserve"> w</w:t>
      </w:r>
      <w:r w:rsidR="00C56AFD">
        <w:rPr>
          <w:rFonts w:ascii="Calibri" w:hAnsi="Calibri" w:cs="Calibri"/>
          <w:noProof/>
        </w:rPr>
        <w:t> </w:t>
      </w:r>
      <w:r w:rsidR="00C56AFD">
        <w:rPr>
          <w:noProof/>
        </w:rPr>
        <w:t>ram</w:t>
      </w:r>
      <w:r>
        <w:rPr>
          <w:noProof/>
        </w:rPr>
        <w:t>ach WRF na lata 2021–2027</w:t>
      </w:r>
      <w:bookmarkEnd w:id="14"/>
    </w:p>
    <w:p w14:paraId="568E0E95" w14:textId="139394CC" w:rsidR="00861C1C" w:rsidRPr="00390EB1" w:rsidRDefault="003B6DC2">
      <w:pPr>
        <w:spacing w:after="120" w:line="276" w:lineRule="auto"/>
        <w:jc w:val="both"/>
        <w:rPr>
          <w:noProof/>
        </w:rPr>
      </w:pPr>
      <w:r>
        <w:rPr>
          <w:noProof/>
        </w:rPr>
        <w:t>Na politykę spójności</w:t>
      </w:r>
      <w:r w:rsidR="00C56AFD">
        <w:rPr>
          <w:noProof/>
        </w:rPr>
        <w:t xml:space="preserve"> i</w:t>
      </w:r>
      <w:r w:rsidR="00C56AFD">
        <w:rPr>
          <w:rFonts w:ascii="Calibri" w:hAnsi="Calibri" w:cs="Calibri"/>
          <w:noProof/>
        </w:rPr>
        <w:t> </w:t>
      </w:r>
      <w:r w:rsidR="00C56AFD">
        <w:rPr>
          <w:noProof/>
        </w:rPr>
        <w:t>wsp</w:t>
      </w:r>
      <w:r>
        <w:rPr>
          <w:noProof/>
        </w:rPr>
        <w:t>ólną politykę rolną (WPR) przypada ponad połowa prognozowanych płatności wynikających z WRF na lata 2021–2027. Wdrożenie tych dwóch polityk</w:t>
      </w:r>
      <w:r w:rsidR="00C56AFD">
        <w:rPr>
          <w:noProof/>
        </w:rPr>
        <w:t xml:space="preserve"> w</w:t>
      </w:r>
      <w:r w:rsidR="00C56AFD">
        <w:rPr>
          <w:rFonts w:ascii="Calibri" w:hAnsi="Calibri" w:cs="Calibri"/>
          <w:noProof/>
        </w:rPr>
        <w:t> </w:t>
      </w:r>
      <w:r w:rsidR="00C56AFD">
        <w:rPr>
          <w:noProof/>
        </w:rPr>
        <w:t>duż</w:t>
      </w:r>
      <w:r>
        <w:rPr>
          <w:noProof/>
        </w:rPr>
        <w:t>ej mierze wpływa na szacunki długoterminowej prognozy płatności.</w:t>
      </w:r>
    </w:p>
    <w:p w14:paraId="22D24D7C" w14:textId="77777777" w:rsidR="00861C1C" w:rsidRPr="00390EB1" w:rsidRDefault="003B6DC2">
      <w:pPr>
        <w:pStyle w:val="amprH4Subhead1"/>
        <w:rPr>
          <w:noProof/>
        </w:rPr>
      </w:pPr>
      <w:r>
        <w:rPr>
          <w:noProof/>
        </w:rPr>
        <w:t>Dział 2a – Polityka spójności</w:t>
      </w:r>
    </w:p>
    <w:p w14:paraId="1515D7FD" w14:textId="103624E9" w:rsidR="0038083E" w:rsidRDefault="007F76EE" w:rsidP="007F76EE">
      <w:pPr>
        <w:spacing w:after="120" w:line="276" w:lineRule="auto"/>
        <w:jc w:val="both"/>
        <w:rPr>
          <w:noProof/>
        </w:rPr>
      </w:pPr>
      <w:bookmarkStart w:id="15" w:name="_Hlk136512092"/>
      <w:r>
        <w:rPr>
          <w:noProof/>
        </w:rPr>
        <w:t>Po zatwierdzeniu do końca 20</w:t>
      </w:r>
      <w:r w:rsidRPr="00C56AFD">
        <w:rPr>
          <w:noProof/>
        </w:rPr>
        <w:t>22</w:t>
      </w:r>
      <w:r w:rsidR="00C56AFD" w:rsidRPr="00C56AFD">
        <w:rPr>
          <w:rFonts w:ascii="Calibri" w:hAnsi="Calibri" w:cs="Calibri"/>
          <w:noProof/>
        </w:rPr>
        <w:t> </w:t>
      </w:r>
      <w:r w:rsidRPr="00C56AFD">
        <w:rPr>
          <w:noProof/>
        </w:rPr>
        <w:t>r.</w:t>
      </w:r>
      <w:r>
        <w:rPr>
          <w:noProof/>
        </w:rPr>
        <w:t xml:space="preserve"> wszystkich programów</w:t>
      </w:r>
      <w:r w:rsidR="00C56AFD">
        <w:rPr>
          <w:noProof/>
        </w:rPr>
        <w:t xml:space="preserve"> w</w:t>
      </w:r>
      <w:r w:rsidR="00C56AFD">
        <w:rPr>
          <w:rFonts w:ascii="Calibri" w:hAnsi="Calibri" w:cs="Calibri"/>
          <w:noProof/>
        </w:rPr>
        <w:t> </w:t>
      </w:r>
      <w:r w:rsidR="00C56AFD">
        <w:rPr>
          <w:noProof/>
        </w:rPr>
        <w:t>obs</w:t>
      </w:r>
      <w:r>
        <w:rPr>
          <w:noProof/>
        </w:rPr>
        <w:t>zarze spójności, rozpoczęto wdrażanie programów na lata 2021–2027</w:t>
      </w:r>
      <w:r w:rsidR="00C56AFD">
        <w:rPr>
          <w:noProof/>
        </w:rPr>
        <w:t xml:space="preserve"> w</w:t>
      </w:r>
      <w:r w:rsidR="00C56AFD">
        <w:rPr>
          <w:rFonts w:ascii="Calibri" w:hAnsi="Calibri" w:cs="Calibri"/>
          <w:noProof/>
        </w:rPr>
        <w:t> </w:t>
      </w:r>
      <w:r w:rsidR="00C56AFD">
        <w:rPr>
          <w:noProof/>
        </w:rPr>
        <w:t>bie</w:t>
      </w:r>
      <w:r>
        <w:rPr>
          <w:noProof/>
        </w:rPr>
        <w:t>żącym roku wraz</w:t>
      </w:r>
      <w:r w:rsidR="00C56AFD">
        <w:rPr>
          <w:noProof/>
        </w:rPr>
        <w:t xml:space="preserve"> z</w:t>
      </w:r>
      <w:r w:rsidR="00C56AFD">
        <w:rPr>
          <w:rFonts w:ascii="Calibri" w:hAnsi="Calibri" w:cs="Calibri"/>
          <w:noProof/>
        </w:rPr>
        <w:t> </w:t>
      </w:r>
      <w:r w:rsidR="00C56AFD">
        <w:rPr>
          <w:noProof/>
        </w:rPr>
        <w:t>wyp</w:t>
      </w:r>
      <w:r>
        <w:rPr>
          <w:noProof/>
        </w:rPr>
        <w:t>łatą zaliczek na lata 2021</w:t>
      </w:r>
      <w:r w:rsidR="00C56AFD">
        <w:rPr>
          <w:noProof/>
        </w:rPr>
        <w:t xml:space="preserve"> i</w:t>
      </w:r>
      <w:r w:rsidR="00C56AFD">
        <w:rPr>
          <w:rFonts w:ascii="Calibri" w:hAnsi="Calibri" w:cs="Calibri"/>
          <w:noProof/>
        </w:rPr>
        <w:t> </w:t>
      </w:r>
      <w:r w:rsidR="00C56AFD">
        <w:rPr>
          <w:noProof/>
        </w:rPr>
        <w:t>2</w:t>
      </w:r>
      <w:r>
        <w:rPr>
          <w:noProof/>
        </w:rPr>
        <w:t>022,</w:t>
      </w:r>
      <w:r w:rsidR="00C56AFD">
        <w:rPr>
          <w:noProof/>
        </w:rPr>
        <w:t xml:space="preserve"> a</w:t>
      </w:r>
      <w:r w:rsidR="00C56AFD">
        <w:rPr>
          <w:rFonts w:ascii="Calibri" w:hAnsi="Calibri" w:cs="Calibri"/>
          <w:noProof/>
        </w:rPr>
        <w:t> </w:t>
      </w:r>
      <w:r w:rsidR="00C56AFD">
        <w:rPr>
          <w:noProof/>
        </w:rPr>
        <w:t>tak</w:t>
      </w:r>
      <w:r>
        <w:rPr>
          <w:noProof/>
        </w:rPr>
        <w:t>że dodatkowych płatności zaliczkowych na FAST-CARE</w:t>
      </w:r>
      <w:r w:rsidR="00C56AFD">
        <w:rPr>
          <w:noProof/>
        </w:rPr>
        <w:t>. W</w:t>
      </w:r>
      <w:r w:rsidR="00C56AFD">
        <w:rPr>
          <w:rFonts w:ascii="Calibri" w:hAnsi="Calibri" w:cs="Calibri"/>
          <w:noProof/>
        </w:rPr>
        <w:t> </w:t>
      </w:r>
      <w:r w:rsidR="00C56AFD">
        <w:rPr>
          <w:noProof/>
        </w:rPr>
        <w:t>lat</w:t>
      </w:r>
      <w:r>
        <w:rPr>
          <w:noProof/>
        </w:rPr>
        <w:t>ach 2023</w:t>
      </w:r>
      <w:r w:rsidR="00C56AFD">
        <w:rPr>
          <w:noProof/>
        </w:rPr>
        <w:t xml:space="preserve"> i</w:t>
      </w:r>
      <w:r w:rsidR="00C56AFD">
        <w:rPr>
          <w:rFonts w:ascii="Calibri" w:hAnsi="Calibri" w:cs="Calibri"/>
          <w:noProof/>
        </w:rPr>
        <w:t> </w:t>
      </w:r>
      <w:r w:rsidR="00C56AFD">
        <w:rPr>
          <w:noProof/>
        </w:rPr>
        <w:t>2</w:t>
      </w:r>
      <w:r>
        <w:rPr>
          <w:noProof/>
        </w:rPr>
        <w:t>024 dokonuje się dalszych płatności zaliczkowych</w:t>
      </w:r>
      <w:r w:rsidR="00C56AFD">
        <w:rPr>
          <w:noProof/>
        </w:rPr>
        <w:t xml:space="preserve"> i</w:t>
      </w:r>
      <w:r w:rsidR="00C56AFD">
        <w:rPr>
          <w:rFonts w:ascii="Calibri" w:hAnsi="Calibri" w:cs="Calibri"/>
          <w:noProof/>
        </w:rPr>
        <w:t> </w:t>
      </w:r>
      <w:r w:rsidR="00C56AFD">
        <w:rPr>
          <w:noProof/>
        </w:rPr>
        <w:t>pła</w:t>
      </w:r>
      <w:r>
        <w:rPr>
          <w:noProof/>
        </w:rPr>
        <w:t>tności okresowych, choć</w:t>
      </w:r>
      <w:r w:rsidR="00C56AFD">
        <w:rPr>
          <w:noProof/>
        </w:rPr>
        <w:t xml:space="preserve"> w</w:t>
      </w:r>
      <w:r w:rsidR="00C56AFD">
        <w:rPr>
          <w:rFonts w:ascii="Calibri" w:hAnsi="Calibri" w:cs="Calibri"/>
          <w:noProof/>
        </w:rPr>
        <w:t> </w:t>
      </w:r>
      <w:r w:rsidR="00C56AFD">
        <w:rPr>
          <w:noProof/>
        </w:rPr>
        <w:t>wol</w:t>
      </w:r>
      <w:r>
        <w:rPr>
          <w:noProof/>
        </w:rPr>
        <w:t>niejszym tempie niż</w:t>
      </w:r>
      <w:r w:rsidR="00C56AFD">
        <w:rPr>
          <w:noProof/>
        </w:rPr>
        <w:t xml:space="preserve"> w</w:t>
      </w:r>
      <w:r w:rsidR="00C56AFD">
        <w:rPr>
          <w:rFonts w:ascii="Calibri" w:hAnsi="Calibri" w:cs="Calibri"/>
          <w:noProof/>
        </w:rPr>
        <w:t> </w:t>
      </w:r>
      <w:r w:rsidR="00C56AFD">
        <w:rPr>
          <w:noProof/>
        </w:rPr>
        <w:t>pop</w:t>
      </w:r>
      <w:r>
        <w:rPr>
          <w:noProof/>
        </w:rPr>
        <w:t>rzednim okresie programowania. Zapotrzebowanie budżetowe</w:t>
      </w:r>
      <w:r w:rsidR="00C56AFD">
        <w:rPr>
          <w:noProof/>
        </w:rPr>
        <w:t xml:space="preserve"> w</w:t>
      </w:r>
      <w:r w:rsidR="00C56AFD">
        <w:rPr>
          <w:rFonts w:ascii="Calibri" w:hAnsi="Calibri" w:cs="Calibri"/>
          <w:noProof/>
        </w:rPr>
        <w:t> </w:t>
      </w:r>
      <w:r w:rsidR="00C56AFD">
        <w:rPr>
          <w:noProof/>
        </w:rPr>
        <w:t>pro</w:t>
      </w:r>
      <w:r>
        <w:rPr>
          <w:noProof/>
        </w:rPr>
        <w:t xml:space="preserve">jekcie budżetu </w:t>
      </w:r>
      <w:r w:rsidRPr="00C56AFD">
        <w:rPr>
          <w:noProof/>
        </w:rPr>
        <w:t>na</w:t>
      </w:r>
      <w:r w:rsidR="00C56AFD" w:rsidRPr="00C56AFD">
        <w:rPr>
          <w:rFonts w:ascii="Calibri" w:hAnsi="Calibri" w:cs="Calibri"/>
          <w:noProof/>
        </w:rPr>
        <w:t> </w:t>
      </w:r>
      <w:r w:rsidRPr="00C56AFD">
        <w:rPr>
          <w:noProof/>
        </w:rPr>
        <w:t>2</w:t>
      </w:r>
      <w:r>
        <w:rPr>
          <w:noProof/>
        </w:rPr>
        <w:t>0</w:t>
      </w:r>
      <w:r w:rsidRPr="00C56AFD">
        <w:rPr>
          <w:noProof/>
        </w:rPr>
        <w:t>25</w:t>
      </w:r>
      <w:r w:rsidR="00C56AFD" w:rsidRPr="00C56AFD">
        <w:rPr>
          <w:rFonts w:ascii="Calibri" w:hAnsi="Calibri" w:cs="Calibri"/>
          <w:noProof/>
        </w:rPr>
        <w:t> </w:t>
      </w:r>
      <w:r w:rsidRPr="00C56AFD">
        <w:rPr>
          <w:noProof/>
        </w:rPr>
        <w:t>r.</w:t>
      </w:r>
      <w:r>
        <w:rPr>
          <w:noProof/>
        </w:rPr>
        <w:t>, które jest nadal niższe od scenariusza podstawowego zaproponowanego</w:t>
      </w:r>
      <w:r w:rsidR="00C56AFD">
        <w:rPr>
          <w:noProof/>
        </w:rPr>
        <w:t xml:space="preserve"> w</w:t>
      </w:r>
      <w:r w:rsidR="00C56AFD">
        <w:rPr>
          <w:rFonts w:ascii="Calibri" w:hAnsi="Calibri" w:cs="Calibri"/>
          <w:noProof/>
        </w:rPr>
        <w:t> </w:t>
      </w:r>
      <w:r w:rsidR="00C56AFD">
        <w:rPr>
          <w:noProof/>
        </w:rPr>
        <w:t>pro</w:t>
      </w:r>
      <w:r>
        <w:rPr>
          <w:noProof/>
        </w:rPr>
        <w:t>gnozie</w:t>
      </w:r>
      <w:r w:rsidR="00C56AFD">
        <w:rPr>
          <w:noProof/>
        </w:rPr>
        <w:t xml:space="preserve"> z</w:t>
      </w:r>
      <w:r w:rsidR="00C56AFD">
        <w:rPr>
          <w:rFonts w:ascii="Calibri" w:hAnsi="Calibri" w:cs="Calibri"/>
          <w:noProof/>
        </w:rPr>
        <w:t> </w:t>
      </w:r>
      <w:r w:rsidR="00C56AFD">
        <w:rPr>
          <w:noProof/>
        </w:rPr>
        <w:t>ubi</w:t>
      </w:r>
      <w:r>
        <w:rPr>
          <w:noProof/>
        </w:rPr>
        <w:t>egłego roku, pokazuje, że realizacja polityki spójności jest opóźniona</w:t>
      </w:r>
      <w:r w:rsidR="00C56AFD">
        <w:rPr>
          <w:noProof/>
        </w:rPr>
        <w:t xml:space="preserve"> w</w:t>
      </w:r>
      <w:r w:rsidR="00C56AFD">
        <w:rPr>
          <w:rFonts w:ascii="Calibri" w:hAnsi="Calibri" w:cs="Calibri"/>
          <w:noProof/>
        </w:rPr>
        <w:t> </w:t>
      </w:r>
      <w:r w:rsidR="00C56AFD">
        <w:rPr>
          <w:noProof/>
        </w:rPr>
        <w:t>por</w:t>
      </w:r>
      <w:r>
        <w:rPr>
          <w:noProof/>
        </w:rPr>
        <w:t>ównaniu</w:t>
      </w:r>
      <w:r w:rsidR="00C56AFD">
        <w:rPr>
          <w:noProof/>
        </w:rPr>
        <w:t xml:space="preserve"> z</w:t>
      </w:r>
      <w:r w:rsidR="00C56AFD">
        <w:rPr>
          <w:rFonts w:ascii="Calibri" w:hAnsi="Calibri" w:cs="Calibri"/>
          <w:noProof/>
        </w:rPr>
        <w:t> </w:t>
      </w:r>
      <w:r w:rsidR="00C56AFD">
        <w:rPr>
          <w:noProof/>
        </w:rPr>
        <w:t>his</w:t>
      </w:r>
      <w:r>
        <w:rPr>
          <w:noProof/>
        </w:rPr>
        <w:t>toryczną wartością odniesienia na lata 2014–2020</w:t>
      </w:r>
      <w:r w:rsidR="00C56AFD">
        <w:rPr>
          <w:noProof/>
        </w:rPr>
        <w:t>. W</w:t>
      </w:r>
      <w:r w:rsidR="00C56AFD">
        <w:rPr>
          <w:rFonts w:ascii="Calibri" w:hAnsi="Calibri" w:cs="Calibri"/>
          <w:noProof/>
        </w:rPr>
        <w:t> </w:t>
      </w:r>
      <w:r w:rsidR="00C56AFD">
        <w:rPr>
          <w:noProof/>
        </w:rPr>
        <w:t>ram</w:t>
      </w:r>
      <w:r>
        <w:rPr>
          <w:noProof/>
        </w:rPr>
        <w:t>ach trzech funduszy spójności</w:t>
      </w:r>
      <w:r w:rsidR="00C56AFD">
        <w:rPr>
          <w:noProof/>
        </w:rPr>
        <w:t xml:space="preserve"> w</w:t>
      </w:r>
      <w:r w:rsidR="00C56AFD">
        <w:rPr>
          <w:rFonts w:ascii="Calibri" w:hAnsi="Calibri" w:cs="Calibri"/>
          <w:noProof/>
        </w:rPr>
        <w:t> </w:t>
      </w:r>
      <w:r w:rsidR="00C56AFD">
        <w:rPr>
          <w:noProof/>
        </w:rPr>
        <w:t>dzi</w:t>
      </w:r>
      <w:r>
        <w:rPr>
          <w:noProof/>
        </w:rPr>
        <w:t>ale 2a (Europejski Fundusz Rozwoju Regionalnego, Fundusz Spójności</w:t>
      </w:r>
      <w:r w:rsidR="00C56AFD">
        <w:rPr>
          <w:noProof/>
        </w:rPr>
        <w:t xml:space="preserve"> i</w:t>
      </w:r>
      <w:r w:rsidR="00C56AFD">
        <w:rPr>
          <w:rFonts w:ascii="Calibri" w:hAnsi="Calibri" w:cs="Calibri"/>
          <w:noProof/>
        </w:rPr>
        <w:t> </w:t>
      </w:r>
      <w:r w:rsidR="00C56AFD">
        <w:rPr>
          <w:noProof/>
        </w:rPr>
        <w:t>Eur</w:t>
      </w:r>
      <w:r>
        <w:rPr>
          <w:noProof/>
        </w:rPr>
        <w:t>opejski Fundusz Społeczny Plus) narastają opóźnienia</w:t>
      </w:r>
      <w:r w:rsidR="00C56AFD">
        <w:rPr>
          <w:noProof/>
        </w:rPr>
        <w:t xml:space="preserve"> w</w:t>
      </w:r>
      <w:r w:rsidR="00C56AFD">
        <w:rPr>
          <w:rFonts w:ascii="Calibri" w:hAnsi="Calibri" w:cs="Calibri"/>
          <w:noProof/>
        </w:rPr>
        <w:t> </w:t>
      </w:r>
      <w:r w:rsidR="00C56AFD">
        <w:rPr>
          <w:noProof/>
        </w:rPr>
        <w:t>por</w:t>
      </w:r>
      <w:r>
        <w:rPr>
          <w:noProof/>
        </w:rPr>
        <w:t>ównaniu</w:t>
      </w:r>
      <w:r w:rsidR="00C56AFD">
        <w:rPr>
          <w:noProof/>
        </w:rPr>
        <w:t xml:space="preserve"> z</w:t>
      </w:r>
      <w:r w:rsidR="00C56AFD">
        <w:rPr>
          <w:rFonts w:ascii="Calibri" w:hAnsi="Calibri" w:cs="Calibri"/>
          <w:noProof/>
        </w:rPr>
        <w:t> </w:t>
      </w:r>
      <w:r w:rsidR="00C56AFD">
        <w:rPr>
          <w:noProof/>
        </w:rPr>
        <w:t>pro</w:t>
      </w:r>
      <w:r>
        <w:rPr>
          <w:noProof/>
        </w:rPr>
        <w:t>filem historycznym</w:t>
      </w:r>
      <w:r w:rsidR="00C56AFD">
        <w:rPr>
          <w:noProof/>
        </w:rPr>
        <w:t xml:space="preserve"> i</w:t>
      </w:r>
      <w:r w:rsidR="00C56AFD">
        <w:rPr>
          <w:rFonts w:ascii="Calibri" w:hAnsi="Calibri" w:cs="Calibri"/>
          <w:noProof/>
        </w:rPr>
        <w:t> </w:t>
      </w:r>
      <w:r w:rsidR="00C56AFD">
        <w:rPr>
          <w:noProof/>
        </w:rPr>
        <w:t>pro</w:t>
      </w:r>
      <w:r>
        <w:rPr>
          <w:noProof/>
        </w:rPr>
        <w:t>gnozami zaproponowanymi</w:t>
      </w:r>
      <w:r w:rsidR="00C56AFD">
        <w:rPr>
          <w:noProof/>
        </w:rPr>
        <w:t xml:space="preserve"> w</w:t>
      </w:r>
      <w:r w:rsidR="00C56AFD">
        <w:rPr>
          <w:rFonts w:ascii="Calibri" w:hAnsi="Calibri" w:cs="Calibri"/>
          <w:noProof/>
        </w:rPr>
        <w:t> </w:t>
      </w:r>
      <w:r w:rsidR="00C56AFD">
        <w:rPr>
          <w:noProof/>
        </w:rPr>
        <w:t>ubi</w:t>
      </w:r>
      <w:r>
        <w:rPr>
          <w:noProof/>
        </w:rPr>
        <w:t>egłym roku</w:t>
      </w:r>
      <w:r w:rsidR="00A1058F">
        <w:rPr>
          <w:rStyle w:val="EndnoteReference"/>
          <w:noProof/>
        </w:rPr>
        <w:endnoteReference w:id="20"/>
      </w:r>
      <w:r>
        <w:rPr>
          <w:noProof/>
        </w:rPr>
        <w:t>. Oczekuje się, że do końca 20</w:t>
      </w:r>
      <w:r w:rsidRPr="00C56AFD">
        <w:rPr>
          <w:noProof/>
        </w:rPr>
        <w:t>25</w:t>
      </w:r>
      <w:r w:rsidR="00C56AFD" w:rsidRPr="00C56AFD">
        <w:rPr>
          <w:rFonts w:ascii="Calibri" w:hAnsi="Calibri" w:cs="Calibri"/>
          <w:noProof/>
        </w:rPr>
        <w:t> </w:t>
      </w:r>
      <w:r w:rsidRPr="00C56AFD">
        <w:rPr>
          <w:noProof/>
        </w:rPr>
        <w:t>r.</w:t>
      </w:r>
      <w:r>
        <w:rPr>
          <w:noProof/>
        </w:rPr>
        <w:t xml:space="preserve"> płatności wynikające</w:t>
      </w:r>
      <w:r w:rsidR="00C56AFD">
        <w:rPr>
          <w:noProof/>
        </w:rPr>
        <w:t xml:space="preserve"> z</w:t>
      </w:r>
      <w:r w:rsidR="00C56AFD">
        <w:rPr>
          <w:rFonts w:ascii="Calibri" w:hAnsi="Calibri" w:cs="Calibri"/>
          <w:noProof/>
        </w:rPr>
        <w:t> </w:t>
      </w:r>
      <w:r w:rsidR="00C56AFD">
        <w:rPr>
          <w:noProof/>
        </w:rPr>
        <w:t>pol</w:t>
      </w:r>
      <w:r>
        <w:rPr>
          <w:noProof/>
        </w:rPr>
        <w:t>ityki spójności będą niższe od poprzednich WRF (21 %</w:t>
      </w:r>
      <w:r w:rsidR="00C56AFD">
        <w:rPr>
          <w:noProof/>
        </w:rPr>
        <w:t xml:space="preserve"> w</w:t>
      </w:r>
      <w:r w:rsidR="00C56AFD">
        <w:rPr>
          <w:rFonts w:ascii="Calibri" w:hAnsi="Calibri" w:cs="Calibri"/>
          <w:noProof/>
        </w:rPr>
        <w:t> </w:t>
      </w:r>
      <w:r w:rsidR="00C56AFD">
        <w:rPr>
          <w:noProof/>
        </w:rPr>
        <w:t>pop</w:t>
      </w:r>
      <w:r>
        <w:rPr>
          <w:noProof/>
        </w:rPr>
        <w:t>rzednich WRF</w:t>
      </w:r>
      <w:r w:rsidR="00C56AFD">
        <w:rPr>
          <w:noProof/>
        </w:rPr>
        <w:t xml:space="preserve"> w</w:t>
      </w:r>
      <w:r w:rsidR="00C56AFD">
        <w:rPr>
          <w:rFonts w:ascii="Calibri" w:hAnsi="Calibri" w:cs="Calibri"/>
          <w:noProof/>
        </w:rPr>
        <w:t> </w:t>
      </w:r>
      <w:r w:rsidR="00C56AFD">
        <w:rPr>
          <w:noProof/>
        </w:rPr>
        <w:t>por</w:t>
      </w:r>
      <w:r>
        <w:rPr>
          <w:noProof/>
        </w:rPr>
        <w:t>ównaniu</w:t>
      </w:r>
      <w:r w:rsidR="00C56AFD">
        <w:rPr>
          <w:noProof/>
        </w:rPr>
        <w:t xml:space="preserve"> z</w:t>
      </w:r>
      <w:r w:rsidR="00C56AFD">
        <w:rPr>
          <w:rFonts w:ascii="Calibri" w:hAnsi="Calibri" w:cs="Calibri"/>
          <w:noProof/>
        </w:rPr>
        <w:t> </w:t>
      </w:r>
      <w:r w:rsidR="00C56AFD">
        <w:rPr>
          <w:noProof/>
        </w:rPr>
        <w:t>obe</w:t>
      </w:r>
      <w:r>
        <w:rPr>
          <w:noProof/>
        </w:rPr>
        <w:t>cnym wskaźnikiem wynoszącym 14 %), co odzwierciedla opóźnione zatwierdzenie planów, wysiłki organów krajowych na rzecz finalizacji programów na lata 2014–2020 oraz wdrożenie NextGenerationEU.</w:t>
      </w:r>
    </w:p>
    <w:p w14:paraId="1D0F8686" w14:textId="201DAD07" w:rsidR="007F76EE" w:rsidRDefault="009F132F" w:rsidP="007F76EE">
      <w:pPr>
        <w:spacing w:after="120" w:line="276" w:lineRule="auto"/>
        <w:jc w:val="both"/>
        <w:rPr>
          <w:noProof/>
        </w:rPr>
      </w:pPr>
      <w:r>
        <w:rPr>
          <w:noProof/>
        </w:rPr>
        <w:t>Biorąc pod uwagę najnowsze informacje na temat wdrażania, zakłada się, że państwa członkowskie przyspieszą wdrażanie</w:t>
      </w:r>
      <w:r w:rsidR="00C56AFD">
        <w:rPr>
          <w:noProof/>
        </w:rPr>
        <w:t xml:space="preserve"> w</w:t>
      </w:r>
      <w:r w:rsidR="00C56AFD">
        <w:rPr>
          <w:rFonts w:ascii="Calibri" w:hAnsi="Calibri" w:cs="Calibri"/>
          <w:noProof/>
        </w:rPr>
        <w:t> </w:t>
      </w:r>
      <w:r w:rsidR="00C56AFD">
        <w:rPr>
          <w:noProof/>
        </w:rPr>
        <w:t>2</w:t>
      </w:r>
      <w:r>
        <w:rPr>
          <w:noProof/>
        </w:rPr>
        <w:t>0</w:t>
      </w:r>
      <w:r w:rsidRPr="00C56AFD">
        <w:rPr>
          <w:noProof/>
        </w:rPr>
        <w:t>26</w:t>
      </w:r>
      <w:r w:rsidR="00C56AFD" w:rsidRPr="00C56AFD">
        <w:rPr>
          <w:rFonts w:ascii="Calibri" w:hAnsi="Calibri" w:cs="Calibri"/>
          <w:noProof/>
        </w:rPr>
        <w:t> </w:t>
      </w:r>
      <w:r w:rsidRPr="00C56AFD">
        <w:rPr>
          <w:noProof/>
        </w:rPr>
        <w:t>r.</w:t>
      </w:r>
      <w:r w:rsidR="00C56AFD">
        <w:rPr>
          <w:noProof/>
        </w:rPr>
        <w:t xml:space="preserve"> w</w:t>
      </w:r>
      <w:r w:rsidR="00C56AFD">
        <w:rPr>
          <w:rFonts w:ascii="Calibri" w:hAnsi="Calibri" w:cs="Calibri"/>
          <w:noProof/>
        </w:rPr>
        <w:t> </w:t>
      </w:r>
      <w:r w:rsidR="00C56AFD">
        <w:rPr>
          <w:noProof/>
        </w:rPr>
        <w:t>por</w:t>
      </w:r>
      <w:r>
        <w:rPr>
          <w:noProof/>
        </w:rPr>
        <w:t>ównaniu</w:t>
      </w:r>
      <w:r w:rsidR="00C56AFD">
        <w:rPr>
          <w:noProof/>
        </w:rPr>
        <w:t xml:space="preserve"> z</w:t>
      </w:r>
      <w:r w:rsidR="00C56AFD">
        <w:rPr>
          <w:rFonts w:ascii="Calibri" w:hAnsi="Calibri" w:cs="Calibri"/>
          <w:noProof/>
        </w:rPr>
        <w:t> </w:t>
      </w:r>
      <w:r w:rsidR="00C56AFD">
        <w:rPr>
          <w:noProof/>
        </w:rPr>
        <w:t>2</w:t>
      </w:r>
      <w:r>
        <w:rPr>
          <w:noProof/>
        </w:rPr>
        <w:t>0</w:t>
      </w:r>
      <w:r w:rsidRPr="00C56AFD">
        <w:rPr>
          <w:noProof/>
        </w:rPr>
        <w:t>25</w:t>
      </w:r>
      <w:r w:rsidR="00C56AFD" w:rsidRPr="00C56AFD">
        <w:rPr>
          <w:rFonts w:ascii="Calibri" w:hAnsi="Calibri" w:cs="Calibri"/>
          <w:noProof/>
        </w:rPr>
        <w:t> </w:t>
      </w:r>
      <w:r w:rsidRPr="00C56AFD">
        <w:rPr>
          <w:noProof/>
        </w:rPr>
        <w:t>r.</w:t>
      </w:r>
      <w:r>
        <w:rPr>
          <w:noProof/>
        </w:rPr>
        <w:t>, aby nadrobić zaległości,</w:t>
      </w:r>
      <w:r w:rsidR="00C56AFD">
        <w:rPr>
          <w:noProof/>
        </w:rPr>
        <w:t xml:space="preserve"> a</w:t>
      </w:r>
      <w:r w:rsidR="00C56AFD">
        <w:rPr>
          <w:rFonts w:ascii="Calibri" w:hAnsi="Calibri" w:cs="Calibri"/>
          <w:noProof/>
        </w:rPr>
        <w:t> </w:t>
      </w:r>
      <w:r w:rsidR="00C56AFD">
        <w:rPr>
          <w:noProof/>
        </w:rPr>
        <w:t>tym</w:t>
      </w:r>
      <w:r>
        <w:rPr>
          <w:noProof/>
        </w:rPr>
        <w:t xml:space="preserve"> samym zmniejszyć ryzyko umorzeń. Zakłada się, że składanie wniosków</w:t>
      </w:r>
      <w:r w:rsidR="00C56AFD">
        <w:rPr>
          <w:noProof/>
        </w:rPr>
        <w:t xml:space="preserve"> o</w:t>
      </w:r>
      <w:r w:rsidR="00C56AFD">
        <w:rPr>
          <w:rFonts w:ascii="Calibri" w:hAnsi="Calibri" w:cs="Calibri"/>
          <w:noProof/>
        </w:rPr>
        <w:t> </w:t>
      </w:r>
      <w:r w:rsidR="00C56AFD">
        <w:rPr>
          <w:noProof/>
        </w:rPr>
        <w:t>pła</w:t>
      </w:r>
      <w:r>
        <w:rPr>
          <w:noProof/>
        </w:rPr>
        <w:t>tność osiągnie profil historyczny</w:t>
      </w:r>
      <w:r w:rsidR="00C56AFD">
        <w:rPr>
          <w:noProof/>
        </w:rPr>
        <w:t xml:space="preserve"> w</w:t>
      </w:r>
      <w:r w:rsidR="00C56AFD">
        <w:rPr>
          <w:rFonts w:ascii="Calibri" w:hAnsi="Calibri" w:cs="Calibri"/>
          <w:noProof/>
        </w:rPr>
        <w:t> </w:t>
      </w:r>
      <w:r w:rsidR="00C56AFD">
        <w:rPr>
          <w:noProof/>
        </w:rPr>
        <w:t>2</w:t>
      </w:r>
      <w:r>
        <w:rPr>
          <w:noProof/>
        </w:rPr>
        <w:t>0</w:t>
      </w:r>
      <w:r w:rsidRPr="00C56AFD">
        <w:rPr>
          <w:noProof/>
        </w:rPr>
        <w:t>27</w:t>
      </w:r>
      <w:r w:rsidR="00C56AFD" w:rsidRPr="00C56AFD">
        <w:rPr>
          <w:rFonts w:ascii="Calibri" w:hAnsi="Calibri" w:cs="Calibri"/>
          <w:noProof/>
        </w:rPr>
        <w:t> </w:t>
      </w:r>
      <w:r w:rsidRPr="00C56AFD">
        <w:rPr>
          <w:noProof/>
        </w:rPr>
        <w:t>r.</w:t>
      </w:r>
      <w:r>
        <w:rPr>
          <w:noProof/>
        </w:rPr>
        <w:t xml:space="preserve"> oraz pełną operacyjność latach 2028</w:t>
      </w:r>
      <w:r w:rsidR="00C56AFD">
        <w:rPr>
          <w:noProof/>
        </w:rPr>
        <w:t xml:space="preserve"> i</w:t>
      </w:r>
      <w:r w:rsidR="00C56AFD">
        <w:rPr>
          <w:rFonts w:ascii="Calibri" w:hAnsi="Calibri" w:cs="Calibri"/>
          <w:noProof/>
        </w:rPr>
        <w:t> </w:t>
      </w:r>
      <w:r w:rsidR="00C56AFD">
        <w:rPr>
          <w:noProof/>
        </w:rPr>
        <w:t>2</w:t>
      </w:r>
      <w:r>
        <w:rPr>
          <w:noProof/>
        </w:rPr>
        <w:t>029</w:t>
      </w:r>
      <w:r w:rsidR="00C56AFD">
        <w:rPr>
          <w:noProof/>
        </w:rPr>
        <w:t>. W</w:t>
      </w:r>
      <w:r w:rsidR="00C56AFD">
        <w:rPr>
          <w:rFonts w:ascii="Calibri" w:hAnsi="Calibri" w:cs="Calibri"/>
          <w:noProof/>
        </w:rPr>
        <w:t> </w:t>
      </w:r>
      <w:r w:rsidR="00C56AFD">
        <w:rPr>
          <w:noProof/>
        </w:rPr>
        <w:t>pro</w:t>
      </w:r>
      <w:r>
        <w:rPr>
          <w:noProof/>
        </w:rPr>
        <w:t>gnozie tej uwzględniono również wpływ STEP odpowiadający wykorzystaniu 2,5 %. Szacuje się, że</w:t>
      </w:r>
      <w:r w:rsidR="00C56AFD">
        <w:rPr>
          <w:noProof/>
        </w:rPr>
        <w:t xml:space="preserve"> w</w:t>
      </w:r>
      <w:r w:rsidR="00C56AFD">
        <w:rPr>
          <w:rFonts w:ascii="Calibri" w:hAnsi="Calibri" w:cs="Calibri"/>
          <w:noProof/>
        </w:rPr>
        <w:t> </w:t>
      </w:r>
      <w:r w:rsidR="00C56AFD">
        <w:rPr>
          <w:noProof/>
        </w:rPr>
        <w:t>2</w:t>
      </w:r>
      <w:r>
        <w:rPr>
          <w:noProof/>
        </w:rPr>
        <w:t>0</w:t>
      </w:r>
      <w:r w:rsidRPr="00C56AFD">
        <w:rPr>
          <w:noProof/>
        </w:rPr>
        <w:t>25</w:t>
      </w:r>
      <w:r w:rsidR="00C56AFD" w:rsidRPr="00C56AFD">
        <w:rPr>
          <w:rFonts w:ascii="Calibri" w:hAnsi="Calibri" w:cs="Calibri"/>
          <w:noProof/>
        </w:rPr>
        <w:t> </w:t>
      </w:r>
      <w:r w:rsidRPr="00C56AFD">
        <w:rPr>
          <w:noProof/>
        </w:rPr>
        <w:t>r.</w:t>
      </w:r>
      <w:r>
        <w:rPr>
          <w:noProof/>
        </w:rPr>
        <w:t xml:space="preserve"> wypłacone płatności zaliczkowe osiągną wysokość 2,7 mld EUR (30 % łącznych zaprogramowanych kwot STEP)</w:t>
      </w:r>
      <w:r w:rsidR="00C56AFD">
        <w:rPr>
          <w:noProof/>
        </w:rPr>
        <w:t>. W</w:t>
      </w:r>
      <w:r w:rsidR="00C56AFD">
        <w:rPr>
          <w:rFonts w:ascii="Calibri" w:hAnsi="Calibri" w:cs="Calibri"/>
          <w:noProof/>
        </w:rPr>
        <w:t> </w:t>
      </w:r>
      <w:r w:rsidR="00C56AFD">
        <w:rPr>
          <w:noProof/>
        </w:rPr>
        <w:t>pro</w:t>
      </w:r>
      <w:r>
        <w:rPr>
          <w:noProof/>
        </w:rPr>
        <w:t>gnozie zakłada się, że STEP będzie miał wpływ na EFRR, EFS+</w:t>
      </w:r>
      <w:r w:rsidR="00C56AFD">
        <w:rPr>
          <w:noProof/>
        </w:rPr>
        <w:t xml:space="preserve"> i</w:t>
      </w:r>
      <w:r w:rsidR="00C56AFD">
        <w:rPr>
          <w:rFonts w:ascii="Calibri" w:hAnsi="Calibri" w:cs="Calibri"/>
          <w:noProof/>
        </w:rPr>
        <w:t> </w:t>
      </w:r>
      <w:r w:rsidR="00C56AFD">
        <w:rPr>
          <w:noProof/>
        </w:rPr>
        <w:t>Fun</w:t>
      </w:r>
      <w:r>
        <w:rPr>
          <w:noProof/>
        </w:rPr>
        <w:t>dusz Spójności oraz pełne wdrożenie całkowitego finansowania zaprogramowanego na rzecz STEP</w:t>
      </w:r>
      <w:r w:rsidR="00C56AFD">
        <w:rPr>
          <w:noProof/>
        </w:rPr>
        <w:t xml:space="preserve"> w</w:t>
      </w:r>
      <w:r w:rsidR="00C56AFD">
        <w:rPr>
          <w:rFonts w:ascii="Calibri" w:hAnsi="Calibri" w:cs="Calibri"/>
          <w:noProof/>
        </w:rPr>
        <w:t> </w:t>
      </w:r>
      <w:r w:rsidR="00C56AFD">
        <w:rPr>
          <w:noProof/>
        </w:rPr>
        <w:t>kró</w:t>
      </w:r>
      <w:r>
        <w:rPr>
          <w:noProof/>
        </w:rPr>
        <w:t>tszym okresie pięciu lat (</w:t>
      </w:r>
      <w:r w:rsidRPr="00C56AFD">
        <w:rPr>
          <w:noProof/>
        </w:rPr>
        <w:t>od</w:t>
      </w:r>
      <w:r w:rsidR="00C56AFD" w:rsidRPr="00C56AFD">
        <w:rPr>
          <w:rFonts w:ascii="Calibri" w:hAnsi="Calibri" w:cs="Calibri"/>
          <w:noProof/>
        </w:rPr>
        <w:t> </w:t>
      </w:r>
      <w:r w:rsidRPr="00C56AFD">
        <w:rPr>
          <w:noProof/>
        </w:rPr>
        <w:t>2</w:t>
      </w:r>
      <w:r>
        <w:rPr>
          <w:noProof/>
        </w:rPr>
        <w:t>0</w:t>
      </w:r>
      <w:r w:rsidRPr="00C56AFD">
        <w:rPr>
          <w:noProof/>
        </w:rPr>
        <w:t>26</w:t>
      </w:r>
      <w:r w:rsidR="00C56AFD" w:rsidRPr="00C56AFD">
        <w:rPr>
          <w:rFonts w:ascii="Calibri" w:hAnsi="Calibri" w:cs="Calibri"/>
          <w:noProof/>
        </w:rPr>
        <w:t> </w:t>
      </w:r>
      <w:r w:rsidRPr="00C56AFD">
        <w:rPr>
          <w:noProof/>
        </w:rPr>
        <w:t>r.</w:t>
      </w:r>
      <w:r>
        <w:rPr>
          <w:noProof/>
        </w:rPr>
        <w:t xml:space="preserve"> </w:t>
      </w:r>
      <w:r w:rsidRPr="00C56AFD">
        <w:rPr>
          <w:noProof/>
        </w:rPr>
        <w:t>do</w:t>
      </w:r>
      <w:r w:rsidR="00C56AFD" w:rsidRPr="00C56AFD">
        <w:rPr>
          <w:rFonts w:ascii="Calibri" w:hAnsi="Calibri" w:cs="Calibri"/>
          <w:noProof/>
        </w:rPr>
        <w:t> </w:t>
      </w:r>
      <w:r w:rsidRPr="00C56AFD">
        <w:rPr>
          <w:noProof/>
        </w:rPr>
        <w:t>2</w:t>
      </w:r>
      <w:r>
        <w:rPr>
          <w:noProof/>
        </w:rPr>
        <w:t>0</w:t>
      </w:r>
      <w:r w:rsidRPr="00C56AFD">
        <w:rPr>
          <w:noProof/>
        </w:rPr>
        <w:t>30</w:t>
      </w:r>
      <w:r w:rsidR="00C56AFD" w:rsidRPr="00C56AFD">
        <w:rPr>
          <w:rFonts w:ascii="Calibri" w:hAnsi="Calibri" w:cs="Calibri"/>
          <w:noProof/>
        </w:rPr>
        <w:t> </w:t>
      </w:r>
      <w:r w:rsidRPr="00C56AFD">
        <w:rPr>
          <w:noProof/>
        </w:rPr>
        <w:t>r.</w:t>
      </w:r>
      <w:r>
        <w:rPr>
          <w:noProof/>
        </w:rPr>
        <w:t>)</w:t>
      </w:r>
      <w:r w:rsidR="00C56AFD">
        <w:rPr>
          <w:noProof/>
        </w:rPr>
        <w:t xml:space="preserve"> w</w:t>
      </w:r>
      <w:r w:rsidR="00C56AFD">
        <w:rPr>
          <w:rFonts w:ascii="Calibri" w:hAnsi="Calibri" w:cs="Calibri"/>
          <w:noProof/>
        </w:rPr>
        <w:t> </w:t>
      </w:r>
      <w:r w:rsidR="00C56AFD">
        <w:rPr>
          <w:noProof/>
        </w:rPr>
        <w:t>por</w:t>
      </w:r>
      <w:r>
        <w:rPr>
          <w:noProof/>
        </w:rPr>
        <w:t>ównaniu</w:t>
      </w:r>
      <w:r w:rsidR="00C56AFD">
        <w:rPr>
          <w:noProof/>
        </w:rPr>
        <w:t xml:space="preserve"> z</w:t>
      </w:r>
      <w:r w:rsidR="00C56AFD">
        <w:rPr>
          <w:rFonts w:ascii="Calibri" w:hAnsi="Calibri" w:cs="Calibri"/>
          <w:noProof/>
        </w:rPr>
        <w:t> </w:t>
      </w:r>
      <w:r w:rsidR="00C56AFD">
        <w:rPr>
          <w:noProof/>
        </w:rPr>
        <w:t>his</w:t>
      </w:r>
      <w:r>
        <w:rPr>
          <w:noProof/>
        </w:rPr>
        <w:t>torycznym profilem tych funduszy.</w:t>
      </w:r>
      <w:bookmarkStart w:id="16" w:name="_Hlk164443149"/>
    </w:p>
    <w:bookmarkEnd w:id="16"/>
    <w:p w14:paraId="18C6204C" w14:textId="77C86E44" w:rsidR="007F76EE" w:rsidRDefault="006B5601" w:rsidP="007F76EE">
      <w:pPr>
        <w:spacing w:after="120" w:line="276" w:lineRule="auto"/>
        <w:jc w:val="both"/>
        <w:rPr>
          <w:noProof/>
        </w:rPr>
      </w:pPr>
      <w:r>
        <w:rPr>
          <w:noProof/>
        </w:rPr>
        <w:t>W niniejszej prognozie zakłada się, że państwa członkowskie wykorzystają wszystkie dostępne możliwości, aby uniknąć umorzeń, biorąc pod uwagę przedłużające się opóźnienia</w:t>
      </w:r>
      <w:r w:rsidR="00C56AFD">
        <w:rPr>
          <w:noProof/>
        </w:rPr>
        <w:t xml:space="preserve"> w</w:t>
      </w:r>
      <w:r w:rsidR="00C56AFD">
        <w:rPr>
          <w:rFonts w:ascii="Calibri" w:hAnsi="Calibri" w:cs="Calibri"/>
          <w:noProof/>
        </w:rPr>
        <w:t> </w:t>
      </w:r>
      <w:r w:rsidR="00C56AFD">
        <w:rPr>
          <w:noProof/>
        </w:rPr>
        <w:t>por</w:t>
      </w:r>
      <w:r>
        <w:rPr>
          <w:noProof/>
        </w:rPr>
        <w:t>ównaniu</w:t>
      </w:r>
      <w:r w:rsidR="00C56AFD">
        <w:rPr>
          <w:noProof/>
        </w:rPr>
        <w:t xml:space="preserve"> z</w:t>
      </w:r>
      <w:r w:rsidR="00C56AFD">
        <w:rPr>
          <w:rFonts w:ascii="Calibri" w:hAnsi="Calibri" w:cs="Calibri"/>
          <w:noProof/>
        </w:rPr>
        <w:t> </w:t>
      </w:r>
      <w:r w:rsidR="00C56AFD">
        <w:rPr>
          <w:noProof/>
        </w:rPr>
        <w:t>ubi</w:t>
      </w:r>
      <w:r>
        <w:rPr>
          <w:noProof/>
        </w:rPr>
        <w:t>egłorocznym sprawozdaniem. Zgodnie</w:t>
      </w:r>
      <w:r w:rsidR="00C56AFD">
        <w:rPr>
          <w:noProof/>
        </w:rPr>
        <w:t xml:space="preserve"> z</w:t>
      </w:r>
      <w:r w:rsidR="00C56AFD">
        <w:rPr>
          <w:rFonts w:ascii="Calibri" w:hAnsi="Calibri" w:cs="Calibri"/>
          <w:noProof/>
        </w:rPr>
        <w:t> </w:t>
      </w:r>
      <w:r w:rsidR="00C56AFD">
        <w:rPr>
          <w:noProof/>
        </w:rPr>
        <w:t>pro</w:t>
      </w:r>
      <w:r>
        <w:rPr>
          <w:noProof/>
        </w:rPr>
        <w:t>gnozą państwa członkowskie będą składać wnioski</w:t>
      </w:r>
      <w:r w:rsidR="00C56AFD">
        <w:rPr>
          <w:noProof/>
        </w:rPr>
        <w:t xml:space="preserve"> o</w:t>
      </w:r>
      <w:r w:rsidR="00C56AFD">
        <w:rPr>
          <w:rFonts w:ascii="Calibri" w:hAnsi="Calibri" w:cs="Calibri"/>
          <w:noProof/>
        </w:rPr>
        <w:t> </w:t>
      </w:r>
      <w:r w:rsidR="00C56AFD">
        <w:rPr>
          <w:noProof/>
        </w:rPr>
        <w:t>ist</w:t>
      </w:r>
      <w:r>
        <w:rPr>
          <w:noProof/>
        </w:rPr>
        <w:t>otne płatności do końca roku, które to wnioski zostaną rozpatrzone</w:t>
      </w:r>
      <w:r w:rsidR="00C56AFD">
        <w:rPr>
          <w:noProof/>
        </w:rPr>
        <w:t xml:space="preserve"> w</w:t>
      </w:r>
      <w:r w:rsidR="00C56AFD">
        <w:rPr>
          <w:rFonts w:ascii="Calibri" w:hAnsi="Calibri" w:cs="Calibri"/>
          <w:noProof/>
        </w:rPr>
        <w:t> </w:t>
      </w:r>
      <w:r w:rsidR="00C56AFD">
        <w:rPr>
          <w:noProof/>
        </w:rPr>
        <w:t>kol</w:t>
      </w:r>
      <w:r>
        <w:rPr>
          <w:noProof/>
        </w:rPr>
        <w:t>ejnym roku. Takie składanie wniosków</w:t>
      </w:r>
      <w:r w:rsidR="00C56AFD">
        <w:rPr>
          <w:noProof/>
        </w:rPr>
        <w:t xml:space="preserve"> o</w:t>
      </w:r>
      <w:r w:rsidR="00C56AFD">
        <w:rPr>
          <w:rFonts w:ascii="Calibri" w:hAnsi="Calibri" w:cs="Calibri"/>
          <w:noProof/>
        </w:rPr>
        <w:t> </w:t>
      </w:r>
      <w:r w:rsidR="00C56AFD">
        <w:rPr>
          <w:noProof/>
        </w:rPr>
        <w:t>pła</w:t>
      </w:r>
      <w:r>
        <w:rPr>
          <w:noProof/>
        </w:rPr>
        <w:t>tność zmniejszyłoby ryzyko umorzeń. Prognozowane płatności na rzecz programów polityki spójności na lata 2021–2027</w:t>
      </w:r>
      <w:r w:rsidR="00C56AFD">
        <w:rPr>
          <w:noProof/>
        </w:rPr>
        <w:t xml:space="preserve"> w</w:t>
      </w:r>
      <w:r w:rsidR="00C56AFD">
        <w:rPr>
          <w:rFonts w:ascii="Calibri" w:hAnsi="Calibri" w:cs="Calibri"/>
          <w:noProof/>
        </w:rPr>
        <w:t> </w:t>
      </w:r>
      <w:r w:rsidR="00C56AFD">
        <w:rPr>
          <w:noProof/>
        </w:rPr>
        <w:t>ram</w:t>
      </w:r>
      <w:r>
        <w:rPr>
          <w:noProof/>
        </w:rPr>
        <w:t xml:space="preserve">ach </w:t>
      </w:r>
      <w:r>
        <w:rPr>
          <w:noProof/>
          <w:sz w:val="22"/>
        </w:rPr>
        <w:t>scenariusza zaproponowanego</w:t>
      </w:r>
      <w:r w:rsidR="00C56AFD">
        <w:rPr>
          <w:noProof/>
          <w:sz w:val="22"/>
        </w:rPr>
        <w:t xml:space="preserve"> w</w:t>
      </w:r>
      <w:r w:rsidR="00C56AFD">
        <w:rPr>
          <w:rFonts w:ascii="Calibri" w:hAnsi="Calibri" w:cs="Calibri"/>
          <w:noProof/>
          <w:sz w:val="22"/>
        </w:rPr>
        <w:t> </w:t>
      </w:r>
      <w:r w:rsidR="00C56AFD">
        <w:rPr>
          <w:noProof/>
          <w:sz w:val="22"/>
        </w:rPr>
        <w:t>nin</w:t>
      </w:r>
      <w:r>
        <w:rPr>
          <w:noProof/>
          <w:sz w:val="22"/>
        </w:rPr>
        <w:t xml:space="preserve">iejszej prognozie </w:t>
      </w:r>
      <w:r>
        <w:rPr>
          <w:noProof/>
        </w:rPr>
        <w:t xml:space="preserve">wynoszą 278 mld EUR na lata 2025–2029, podczas gdy ubiegłoroczna prognoza na lata 2024–2028 była szacowana </w:t>
      </w:r>
      <w:r w:rsidRPr="00C56AFD">
        <w:rPr>
          <w:noProof/>
        </w:rPr>
        <w:t>na</w:t>
      </w:r>
      <w:r w:rsidR="00C56AFD" w:rsidRPr="00C56AFD">
        <w:rPr>
          <w:rFonts w:ascii="Calibri" w:hAnsi="Calibri" w:cs="Calibri"/>
          <w:noProof/>
        </w:rPr>
        <w:t> </w:t>
      </w:r>
      <w:r w:rsidRPr="00C56AFD">
        <w:rPr>
          <w:noProof/>
        </w:rPr>
        <w:t>2</w:t>
      </w:r>
      <w:r>
        <w:rPr>
          <w:noProof/>
        </w:rPr>
        <w:t>20 mld EUR. Porównując ten sam okres, tj. lata 2024–2028,</w:t>
      </w:r>
      <w:r w:rsidR="00C56AFD">
        <w:rPr>
          <w:noProof/>
        </w:rPr>
        <w:t xml:space="preserve"> w</w:t>
      </w:r>
      <w:r w:rsidR="00C56AFD">
        <w:rPr>
          <w:rFonts w:ascii="Calibri" w:hAnsi="Calibri" w:cs="Calibri"/>
          <w:noProof/>
        </w:rPr>
        <w:t> </w:t>
      </w:r>
      <w:r w:rsidR="00C56AFD">
        <w:rPr>
          <w:noProof/>
        </w:rPr>
        <w:t>teg</w:t>
      </w:r>
      <w:r>
        <w:rPr>
          <w:noProof/>
        </w:rPr>
        <w:t xml:space="preserve">orocznej prognozie przewiduje się płatności na kwotę 216 mld EUR, co potwierdza opóźnienie we wdrażaniu, pomimo łagodzącego wpływu STEP. </w:t>
      </w:r>
    </w:p>
    <w:p w14:paraId="08F011FD" w14:textId="0256B108" w:rsidR="00861C1C" w:rsidRPr="00390EB1" w:rsidRDefault="004706E7" w:rsidP="002E015A">
      <w:pPr>
        <w:spacing w:after="120" w:line="276" w:lineRule="auto"/>
        <w:jc w:val="both"/>
        <w:rPr>
          <w:noProof/>
        </w:rPr>
      </w:pPr>
      <w:r>
        <w:rPr>
          <w:noProof/>
        </w:rPr>
        <w:t xml:space="preserve">W obecnej prognozie zakłada się znaczne umorzenia </w:t>
      </w:r>
      <w:r w:rsidRPr="00C56AFD">
        <w:rPr>
          <w:noProof/>
        </w:rPr>
        <w:t>od</w:t>
      </w:r>
      <w:r w:rsidR="00C56AFD" w:rsidRPr="00C56AFD">
        <w:rPr>
          <w:rFonts w:ascii="Calibri" w:hAnsi="Calibri" w:cs="Calibri"/>
          <w:noProof/>
        </w:rPr>
        <w:t> </w:t>
      </w:r>
      <w:r w:rsidRPr="00C56AFD">
        <w:rPr>
          <w:noProof/>
        </w:rPr>
        <w:t>2</w:t>
      </w:r>
      <w:r>
        <w:rPr>
          <w:noProof/>
        </w:rPr>
        <w:t>0</w:t>
      </w:r>
      <w:r w:rsidRPr="00C56AFD">
        <w:rPr>
          <w:noProof/>
        </w:rPr>
        <w:t>27</w:t>
      </w:r>
      <w:r w:rsidR="00C56AFD" w:rsidRPr="00C56AFD">
        <w:rPr>
          <w:rFonts w:ascii="Calibri" w:hAnsi="Calibri" w:cs="Calibri"/>
          <w:noProof/>
        </w:rPr>
        <w:t> </w:t>
      </w:r>
      <w:r w:rsidRPr="00C56AFD">
        <w:rPr>
          <w:noProof/>
        </w:rPr>
        <w:t>r.</w:t>
      </w:r>
      <w:r>
        <w:rPr>
          <w:noProof/>
        </w:rPr>
        <w:t>, chyba że państwa członkowskie podejmą dodatkowe wysiłki</w:t>
      </w:r>
      <w:r w:rsidR="00C56AFD">
        <w:rPr>
          <w:noProof/>
        </w:rPr>
        <w:t xml:space="preserve"> w</w:t>
      </w:r>
      <w:r w:rsidR="00C56AFD">
        <w:rPr>
          <w:rFonts w:ascii="Calibri" w:hAnsi="Calibri" w:cs="Calibri"/>
          <w:noProof/>
        </w:rPr>
        <w:t> </w:t>
      </w:r>
      <w:r w:rsidR="00C56AFD">
        <w:rPr>
          <w:noProof/>
        </w:rPr>
        <w:t>cel</w:t>
      </w:r>
      <w:r>
        <w:rPr>
          <w:noProof/>
        </w:rPr>
        <w:t>u nadrobienia luki we wdrażaniu, zob. sekcja 2.3 dotycząca umorzeń, również</w:t>
      </w:r>
      <w:r w:rsidR="00C56AFD">
        <w:rPr>
          <w:noProof/>
        </w:rPr>
        <w:t xml:space="preserve"> z</w:t>
      </w:r>
      <w:r w:rsidR="00C56AFD">
        <w:rPr>
          <w:rFonts w:ascii="Calibri" w:hAnsi="Calibri" w:cs="Calibri"/>
          <w:noProof/>
        </w:rPr>
        <w:t> </w:t>
      </w:r>
      <w:r w:rsidR="00C56AFD">
        <w:rPr>
          <w:noProof/>
        </w:rPr>
        <w:t>uwz</w:t>
      </w:r>
      <w:r>
        <w:rPr>
          <w:noProof/>
        </w:rPr>
        <w:t>ględnieniem wpływu wdrożenia STEP. Aby uniknąć tego ryzyka,</w:t>
      </w:r>
      <w:r w:rsidR="00C56AFD">
        <w:rPr>
          <w:noProof/>
        </w:rPr>
        <w:t xml:space="preserve"> w</w:t>
      </w:r>
      <w:r w:rsidR="00C56AFD">
        <w:rPr>
          <w:rFonts w:ascii="Calibri" w:hAnsi="Calibri" w:cs="Calibri"/>
          <w:noProof/>
        </w:rPr>
        <w:t> </w:t>
      </w:r>
      <w:r w:rsidR="00C56AFD">
        <w:rPr>
          <w:noProof/>
        </w:rPr>
        <w:t>kol</w:t>
      </w:r>
      <w:r>
        <w:rPr>
          <w:noProof/>
        </w:rPr>
        <w:t>ejnych latach państwa członkowskie muszą znacznie zwiększyć tempo wdrożenia</w:t>
      </w:r>
      <w:r w:rsidR="00C56AFD">
        <w:rPr>
          <w:noProof/>
        </w:rPr>
        <w:t xml:space="preserve"> w</w:t>
      </w:r>
      <w:r w:rsidR="00C56AFD">
        <w:rPr>
          <w:rFonts w:ascii="Calibri" w:hAnsi="Calibri" w:cs="Calibri"/>
          <w:noProof/>
        </w:rPr>
        <w:t> </w:t>
      </w:r>
      <w:r w:rsidR="00C56AFD">
        <w:rPr>
          <w:noProof/>
        </w:rPr>
        <w:t>sto</w:t>
      </w:r>
      <w:r>
        <w:rPr>
          <w:noProof/>
        </w:rPr>
        <w:t xml:space="preserve">sunku do </w:t>
      </w:r>
      <w:r w:rsidRPr="00C56AFD">
        <w:rPr>
          <w:noProof/>
        </w:rPr>
        <w:t>lat</w:t>
      </w:r>
      <w:r w:rsidR="00C56AFD" w:rsidRPr="00C56AFD">
        <w:rPr>
          <w:rFonts w:ascii="Calibri" w:hAnsi="Calibri" w:cs="Calibri"/>
          <w:noProof/>
        </w:rPr>
        <w:t> </w:t>
      </w:r>
      <w:r w:rsidRPr="00C56AFD">
        <w:rPr>
          <w:noProof/>
        </w:rPr>
        <w:t>2</w:t>
      </w:r>
      <w:r>
        <w:rPr>
          <w:noProof/>
        </w:rPr>
        <w:t>014–2020.</w:t>
      </w:r>
    </w:p>
    <w:p w14:paraId="5B5D7E13" w14:textId="3B372CE7" w:rsidR="00861C1C" w:rsidRPr="00390EB1" w:rsidRDefault="2A67BF04">
      <w:pPr>
        <w:pStyle w:val="amprH4Subhead1"/>
        <w:rPr>
          <w:noProof/>
        </w:rPr>
      </w:pPr>
      <w:r>
        <w:rPr>
          <w:noProof/>
        </w:rPr>
        <w:t>Dział 3 – Wspólna polityka rolna (WPR)</w:t>
      </w:r>
      <w:r w:rsidR="00C56AFD">
        <w:rPr>
          <w:noProof/>
        </w:rPr>
        <w:t xml:space="preserve"> i</w:t>
      </w:r>
      <w:r w:rsidR="00C56AFD">
        <w:rPr>
          <w:rFonts w:ascii="Calibri" w:hAnsi="Calibri" w:cs="Calibri"/>
          <w:noProof/>
        </w:rPr>
        <w:t> </w:t>
      </w:r>
      <w:r w:rsidR="00C56AFD">
        <w:rPr>
          <w:noProof/>
        </w:rPr>
        <w:t>Fun</w:t>
      </w:r>
      <w:r>
        <w:rPr>
          <w:noProof/>
        </w:rPr>
        <w:t xml:space="preserve">dusz na rzecz Sprawiedliwej Transformacji </w:t>
      </w:r>
    </w:p>
    <w:p w14:paraId="2CBA95BD" w14:textId="5278CD11" w:rsidR="00861C1C" w:rsidRPr="00390EB1" w:rsidRDefault="2A67BF04">
      <w:pPr>
        <w:spacing w:after="120" w:line="276" w:lineRule="auto"/>
        <w:jc w:val="both"/>
        <w:rPr>
          <w:noProof/>
        </w:rPr>
      </w:pPr>
      <w:r>
        <w:rPr>
          <w:noProof/>
        </w:rPr>
        <w:t>Prognozowane płatności</w:t>
      </w:r>
      <w:r w:rsidR="00C56AFD">
        <w:rPr>
          <w:noProof/>
        </w:rPr>
        <w:t xml:space="preserve"> w</w:t>
      </w:r>
      <w:r w:rsidR="00C56AFD">
        <w:rPr>
          <w:rFonts w:ascii="Calibri" w:hAnsi="Calibri" w:cs="Calibri"/>
          <w:noProof/>
        </w:rPr>
        <w:t> </w:t>
      </w:r>
      <w:r w:rsidR="00C56AFD">
        <w:rPr>
          <w:noProof/>
        </w:rPr>
        <w:t>ram</w:t>
      </w:r>
      <w:r>
        <w:rPr>
          <w:noProof/>
        </w:rPr>
        <w:t>ach filaru I WPR, wydatki związane</w:t>
      </w:r>
      <w:r w:rsidR="00C56AFD">
        <w:rPr>
          <w:noProof/>
        </w:rPr>
        <w:t xml:space="preserve"> z</w:t>
      </w:r>
      <w:r w:rsidR="00C56AFD">
        <w:rPr>
          <w:rFonts w:ascii="Calibri" w:hAnsi="Calibri" w:cs="Calibri"/>
          <w:noProof/>
        </w:rPr>
        <w:t> </w:t>
      </w:r>
      <w:r w:rsidR="00C56AFD">
        <w:rPr>
          <w:noProof/>
        </w:rPr>
        <w:t>ryn</w:t>
      </w:r>
      <w:r>
        <w:rPr>
          <w:noProof/>
        </w:rPr>
        <w:t>kiem</w:t>
      </w:r>
      <w:r w:rsidR="00C56AFD">
        <w:rPr>
          <w:noProof/>
        </w:rPr>
        <w:t xml:space="preserve"> i</w:t>
      </w:r>
      <w:r w:rsidR="00C56AFD">
        <w:rPr>
          <w:rFonts w:ascii="Calibri" w:hAnsi="Calibri" w:cs="Calibri"/>
          <w:noProof/>
        </w:rPr>
        <w:t> </w:t>
      </w:r>
      <w:r w:rsidR="00C56AFD">
        <w:rPr>
          <w:noProof/>
        </w:rPr>
        <w:t>pła</w:t>
      </w:r>
      <w:r>
        <w:rPr>
          <w:noProof/>
        </w:rPr>
        <w:t>tności bezpośrednie wyniosą 122 mld</w:t>
      </w:r>
      <w:r>
        <w:rPr>
          <w:rFonts w:ascii="Calibri" w:hAnsi="Calibri"/>
          <w:noProof/>
        </w:rPr>
        <w:t xml:space="preserve"> </w:t>
      </w:r>
      <w:r>
        <w:rPr>
          <w:noProof/>
        </w:rPr>
        <w:t>EUR</w:t>
      </w:r>
      <w:r w:rsidR="00C56AFD">
        <w:rPr>
          <w:noProof/>
        </w:rPr>
        <w:t xml:space="preserve"> w</w:t>
      </w:r>
      <w:r w:rsidR="00C56AFD">
        <w:rPr>
          <w:rFonts w:ascii="Calibri" w:hAnsi="Calibri" w:cs="Calibri"/>
          <w:noProof/>
        </w:rPr>
        <w:t> </w:t>
      </w:r>
      <w:r w:rsidR="00C56AFD">
        <w:rPr>
          <w:noProof/>
        </w:rPr>
        <w:t>okr</w:t>
      </w:r>
      <w:r>
        <w:rPr>
          <w:noProof/>
        </w:rPr>
        <w:t>esie 2025–2027, co odzwierciedla najnowsze programowanie finansowe.</w:t>
      </w:r>
    </w:p>
    <w:p w14:paraId="0D0F50A6" w14:textId="71240CCB" w:rsidR="00861C1C" w:rsidRPr="00390EB1" w:rsidRDefault="2A67BF04">
      <w:pPr>
        <w:spacing w:after="120" w:line="276" w:lineRule="auto"/>
        <w:jc w:val="both"/>
        <w:rPr>
          <w:noProof/>
        </w:rPr>
      </w:pPr>
      <w:r>
        <w:rPr>
          <w:noProof/>
        </w:rPr>
        <w:t>Po przedłożeniu</w:t>
      </w:r>
      <w:r w:rsidR="00C56AFD">
        <w:rPr>
          <w:noProof/>
        </w:rPr>
        <w:t xml:space="preserve"> i</w:t>
      </w:r>
      <w:r w:rsidR="00C56AFD">
        <w:rPr>
          <w:rFonts w:ascii="Calibri" w:hAnsi="Calibri" w:cs="Calibri"/>
          <w:noProof/>
        </w:rPr>
        <w:t> </w:t>
      </w:r>
      <w:r w:rsidR="00C56AFD">
        <w:rPr>
          <w:noProof/>
        </w:rPr>
        <w:t>zat</w:t>
      </w:r>
      <w:r>
        <w:rPr>
          <w:noProof/>
        </w:rPr>
        <w:t>wierdzeniu wszystkich planów strategicznych WPR rozpoczęto terminowo wdrażanie drugiego filaru – Europejskiego Funduszu Rolnego na rzecz Rozwoju Obszarów Wiejskich (EFRROW) –</w:t>
      </w:r>
      <w:r w:rsidR="00C56AFD">
        <w:rPr>
          <w:noProof/>
        </w:rPr>
        <w:t xml:space="preserve"> w</w:t>
      </w:r>
      <w:r w:rsidR="00C56AFD">
        <w:rPr>
          <w:rFonts w:ascii="Calibri" w:hAnsi="Calibri" w:cs="Calibri"/>
          <w:noProof/>
        </w:rPr>
        <w:t> </w:t>
      </w:r>
      <w:r w:rsidR="00C56AFD">
        <w:rPr>
          <w:noProof/>
        </w:rPr>
        <w:t>ram</w:t>
      </w:r>
      <w:r>
        <w:rPr>
          <w:noProof/>
        </w:rPr>
        <w:t xml:space="preserve">ach WPR na lata 2023–2027. Dzięki przepisom przejściowym przedłużającym programy na lata 2014–2020 </w:t>
      </w:r>
      <w:r w:rsidRPr="00C56AFD">
        <w:rPr>
          <w:noProof/>
        </w:rPr>
        <w:t>do</w:t>
      </w:r>
      <w:r w:rsidR="00C56AFD" w:rsidRPr="00C56AFD">
        <w:rPr>
          <w:rFonts w:ascii="Calibri" w:hAnsi="Calibri" w:cs="Calibri"/>
          <w:noProof/>
        </w:rPr>
        <w:t> </w:t>
      </w:r>
      <w:r w:rsidRPr="00C56AFD">
        <w:rPr>
          <w:noProof/>
        </w:rPr>
        <w:t>2</w:t>
      </w:r>
      <w:r>
        <w:rPr>
          <w:noProof/>
        </w:rPr>
        <w:t>0</w:t>
      </w:r>
      <w:r w:rsidRPr="00C56AFD">
        <w:rPr>
          <w:noProof/>
        </w:rPr>
        <w:t>22</w:t>
      </w:r>
      <w:r w:rsidR="00C56AFD" w:rsidRPr="00C56AFD">
        <w:rPr>
          <w:rFonts w:ascii="Calibri" w:hAnsi="Calibri" w:cs="Calibri"/>
          <w:noProof/>
        </w:rPr>
        <w:t> </w:t>
      </w:r>
      <w:r w:rsidRPr="00C56AFD">
        <w:rPr>
          <w:noProof/>
        </w:rPr>
        <w:t>r.</w:t>
      </w:r>
      <w:r>
        <w:rPr>
          <w:noProof/>
        </w:rPr>
        <w:t xml:space="preserve"> możliwa była kontynuacja ich realizacji zgodnie</w:t>
      </w:r>
      <w:r w:rsidR="00C56AFD">
        <w:rPr>
          <w:noProof/>
        </w:rPr>
        <w:t xml:space="preserve"> z</w:t>
      </w:r>
      <w:r w:rsidR="00C56AFD">
        <w:rPr>
          <w:rFonts w:ascii="Calibri" w:hAnsi="Calibri" w:cs="Calibri"/>
          <w:noProof/>
        </w:rPr>
        <w:t> </w:t>
      </w:r>
      <w:r w:rsidR="00C56AFD">
        <w:rPr>
          <w:noProof/>
        </w:rPr>
        <w:t>zas</w:t>
      </w:r>
      <w:r>
        <w:rPr>
          <w:noProof/>
        </w:rPr>
        <w:t>adą „N+3”.</w:t>
      </w:r>
    </w:p>
    <w:p w14:paraId="1F95B3BE" w14:textId="6CB5D220" w:rsidR="00861C1C" w:rsidRPr="00390EB1" w:rsidRDefault="2A67BF04">
      <w:pPr>
        <w:spacing w:after="120" w:line="276" w:lineRule="auto"/>
        <w:jc w:val="both"/>
        <w:rPr>
          <w:noProof/>
        </w:rPr>
      </w:pPr>
      <w:r>
        <w:rPr>
          <w:noProof/>
        </w:rPr>
        <w:t>Prognoza płatności wynikających z WRF na lata 2021–2027 obejmuje płatności</w:t>
      </w:r>
      <w:r w:rsidR="00C56AFD">
        <w:rPr>
          <w:noProof/>
        </w:rPr>
        <w:t xml:space="preserve"> z</w:t>
      </w:r>
      <w:r w:rsidR="00C56AFD">
        <w:rPr>
          <w:rFonts w:ascii="Calibri" w:hAnsi="Calibri" w:cs="Calibri"/>
          <w:noProof/>
        </w:rPr>
        <w:t> </w:t>
      </w:r>
      <w:r w:rsidR="00C56AFD">
        <w:rPr>
          <w:noProof/>
        </w:rPr>
        <w:t>pla</w:t>
      </w:r>
      <w:r>
        <w:rPr>
          <w:noProof/>
        </w:rPr>
        <w:t>nów WPR na lata 2023–2027,</w:t>
      </w:r>
      <w:r w:rsidR="00C56AFD">
        <w:rPr>
          <w:noProof/>
        </w:rPr>
        <w:t xml:space="preserve"> a</w:t>
      </w:r>
      <w:r w:rsidR="00C56AFD">
        <w:rPr>
          <w:rFonts w:ascii="Calibri" w:hAnsi="Calibri" w:cs="Calibri"/>
          <w:noProof/>
        </w:rPr>
        <w:t> </w:t>
      </w:r>
      <w:r w:rsidR="00C56AFD">
        <w:rPr>
          <w:noProof/>
        </w:rPr>
        <w:t>tak</w:t>
      </w:r>
      <w:r>
        <w:rPr>
          <w:noProof/>
        </w:rPr>
        <w:t>że płatności związane</w:t>
      </w:r>
      <w:r w:rsidR="00C56AFD">
        <w:rPr>
          <w:noProof/>
        </w:rPr>
        <w:t xml:space="preserve"> z</w:t>
      </w:r>
      <w:r w:rsidR="00C56AFD">
        <w:rPr>
          <w:rFonts w:ascii="Calibri" w:hAnsi="Calibri" w:cs="Calibri"/>
          <w:noProof/>
        </w:rPr>
        <w:t> </w:t>
      </w:r>
      <w:r w:rsidR="00C56AFD">
        <w:rPr>
          <w:noProof/>
        </w:rPr>
        <w:t>prz</w:t>
      </w:r>
      <w:r>
        <w:rPr>
          <w:noProof/>
        </w:rPr>
        <w:t>edłużeniem programów rozwoju obszarów wiejskich na lata 2021</w:t>
      </w:r>
      <w:r w:rsidR="00C56AFD">
        <w:rPr>
          <w:noProof/>
        </w:rPr>
        <w:t xml:space="preserve"> i</w:t>
      </w:r>
      <w:r w:rsidR="00C56AFD">
        <w:rPr>
          <w:rFonts w:ascii="Calibri" w:hAnsi="Calibri" w:cs="Calibri"/>
          <w:noProof/>
        </w:rPr>
        <w:t> </w:t>
      </w:r>
      <w:r w:rsidR="00C56AFD">
        <w:rPr>
          <w:noProof/>
        </w:rPr>
        <w:t>2</w:t>
      </w:r>
      <w:r>
        <w:rPr>
          <w:noProof/>
        </w:rPr>
        <w:t xml:space="preserve">022 (zob. </w:t>
      </w:r>
      <w:r w:rsidRPr="00C56AFD">
        <w:rPr>
          <w:noProof/>
        </w:rPr>
        <w:t>pkt</w:t>
      </w:r>
      <w:r w:rsidR="00C56AFD" w:rsidRPr="00C56AFD">
        <w:rPr>
          <w:rFonts w:ascii="Calibri" w:hAnsi="Calibri" w:cs="Calibri"/>
          <w:noProof/>
        </w:rPr>
        <w:t> </w:t>
      </w:r>
      <w:r w:rsidRPr="00C56AFD">
        <w:rPr>
          <w:noProof/>
        </w:rPr>
        <w:t>2</w:t>
      </w:r>
      <w:r>
        <w:rPr>
          <w:noProof/>
        </w:rPr>
        <w:t>.2 Płatności</w:t>
      </w:r>
      <w:r w:rsidR="00C56AFD">
        <w:rPr>
          <w:noProof/>
        </w:rPr>
        <w:t xml:space="preserve"> z</w:t>
      </w:r>
      <w:r w:rsidR="00C56AFD">
        <w:rPr>
          <w:rFonts w:ascii="Calibri" w:hAnsi="Calibri" w:cs="Calibri"/>
          <w:noProof/>
        </w:rPr>
        <w:t> </w:t>
      </w:r>
      <w:r w:rsidR="00C56AFD">
        <w:rPr>
          <w:noProof/>
        </w:rPr>
        <w:t>tyt</w:t>
      </w:r>
      <w:r>
        <w:rPr>
          <w:noProof/>
        </w:rPr>
        <w:t>ułu zobowiązań sprzed 20</w:t>
      </w:r>
      <w:r w:rsidRPr="00C56AFD">
        <w:rPr>
          <w:noProof/>
        </w:rPr>
        <w:t>21</w:t>
      </w:r>
      <w:r w:rsidR="00C56AFD" w:rsidRPr="00C56AFD">
        <w:rPr>
          <w:rFonts w:ascii="Calibri" w:hAnsi="Calibri" w:cs="Calibri"/>
          <w:noProof/>
        </w:rPr>
        <w:t> </w:t>
      </w:r>
      <w:r w:rsidRPr="00C56AFD">
        <w:rPr>
          <w:noProof/>
        </w:rPr>
        <w:t>r.</w:t>
      </w:r>
      <w:r>
        <w:rPr>
          <w:noProof/>
        </w:rPr>
        <w:t xml:space="preserve">), które zostaną zakończone </w:t>
      </w:r>
      <w:r w:rsidRPr="00C56AFD">
        <w:rPr>
          <w:noProof/>
        </w:rPr>
        <w:t>do</w:t>
      </w:r>
      <w:r w:rsidR="00C56AFD" w:rsidRPr="00C56AFD">
        <w:rPr>
          <w:rFonts w:ascii="Calibri" w:hAnsi="Calibri" w:cs="Calibri"/>
          <w:noProof/>
        </w:rPr>
        <w:t> </w:t>
      </w:r>
      <w:r w:rsidRPr="00C56AFD">
        <w:rPr>
          <w:noProof/>
        </w:rPr>
        <w:t>2</w:t>
      </w:r>
      <w:r>
        <w:rPr>
          <w:noProof/>
        </w:rPr>
        <w:t>0</w:t>
      </w:r>
      <w:r w:rsidRPr="00C56AFD">
        <w:rPr>
          <w:noProof/>
        </w:rPr>
        <w:t>26</w:t>
      </w:r>
      <w:r w:rsidR="00C56AFD" w:rsidRPr="00C56AFD">
        <w:rPr>
          <w:rFonts w:ascii="Calibri" w:hAnsi="Calibri" w:cs="Calibri"/>
          <w:noProof/>
        </w:rPr>
        <w:t> </w:t>
      </w:r>
      <w:r w:rsidRPr="00C56AFD">
        <w:rPr>
          <w:noProof/>
        </w:rPr>
        <w:t>r.</w:t>
      </w:r>
      <w:r>
        <w:rPr>
          <w:noProof/>
        </w:rPr>
        <w:t xml:space="preserve">, przy czym </w:t>
      </w:r>
      <w:r w:rsidRPr="00C56AFD">
        <w:rPr>
          <w:noProof/>
        </w:rPr>
        <w:t>na</w:t>
      </w:r>
      <w:r w:rsidR="00C56AFD" w:rsidRPr="00C56AFD">
        <w:rPr>
          <w:rFonts w:ascii="Calibri" w:hAnsi="Calibri" w:cs="Calibri"/>
          <w:noProof/>
        </w:rPr>
        <w:t> </w:t>
      </w:r>
      <w:r w:rsidRPr="00C56AFD">
        <w:rPr>
          <w:noProof/>
        </w:rPr>
        <w:t>2</w:t>
      </w:r>
      <w:r>
        <w:rPr>
          <w:noProof/>
        </w:rPr>
        <w:t>0</w:t>
      </w:r>
      <w:r w:rsidRPr="00C56AFD">
        <w:rPr>
          <w:noProof/>
        </w:rPr>
        <w:t>27</w:t>
      </w:r>
      <w:r w:rsidR="00C56AFD" w:rsidRPr="00C56AFD">
        <w:rPr>
          <w:rFonts w:ascii="Calibri" w:hAnsi="Calibri" w:cs="Calibri"/>
          <w:noProof/>
        </w:rPr>
        <w:t> </w:t>
      </w:r>
      <w:r w:rsidRPr="00C56AFD">
        <w:rPr>
          <w:noProof/>
        </w:rPr>
        <w:t>r.</w:t>
      </w:r>
      <w:r>
        <w:rPr>
          <w:noProof/>
        </w:rPr>
        <w:t xml:space="preserve"> spodziewane są ograniczone płatności</w:t>
      </w:r>
      <w:r w:rsidR="00C56AFD">
        <w:rPr>
          <w:noProof/>
        </w:rPr>
        <w:t>. W</w:t>
      </w:r>
      <w:r w:rsidR="00C56AFD">
        <w:rPr>
          <w:rFonts w:ascii="Calibri" w:hAnsi="Calibri" w:cs="Calibri"/>
          <w:noProof/>
        </w:rPr>
        <w:t> </w:t>
      </w:r>
      <w:r w:rsidR="00C56AFD">
        <w:rPr>
          <w:noProof/>
        </w:rPr>
        <w:t>nin</w:t>
      </w:r>
      <w:r>
        <w:rPr>
          <w:noProof/>
        </w:rPr>
        <w:t>iejszej prognozie uwzględniono również przeniesienia środków między filarami wspólnej polityki rolnej zgłoszone przez państwa członkowskie</w:t>
      </w:r>
      <w:r w:rsidR="00E47939" w:rsidRPr="00390EB1">
        <w:rPr>
          <w:rStyle w:val="EndnoteReference"/>
          <w:noProof/>
          <w:lang w:eastAsia="ko-KR"/>
        </w:rPr>
        <w:endnoteReference w:id="21"/>
      </w:r>
      <w:r>
        <w:rPr>
          <w:noProof/>
        </w:rPr>
        <w:t xml:space="preserve"> skutkujące przeniesieniem środków netto</w:t>
      </w:r>
      <w:r w:rsidR="00C56AFD">
        <w:rPr>
          <w:noProof/>
        </w:rPr>
        <w:t xml:space="preserve"> w</w:t>
      </w:r>
      <w:r w:rsidR="00C56AFD">
        <w:rPr>
          <w:rFonts w:ascii="Calibri" w:hAnsi="Calibri" w:cs="Calibri"/>
          <w:noProof/>
        </w:rPr>
        <w:t> </w:t>
      </w:r>
      <w:r w:rsidR="00C56AFD">
        <w:rPr>
          <w:noProof/>
        </w:rPr>
        <w:t>wys</w:t>
      </w:r>
      <w:r>
        <w:rPr>
          <w:noProof/>
        </w:rPr>
        <w:t>okości 3,7</w:t>
      </w:r>
      <w:r>
        <w:rPr>
          <w:rFonts w:ascii="Calibri" w:hAnsi="Calibri"/>
          <w:noProof/>
        </w:rPr>
        <w:t xml:space="preserve"> </w:t>
      </w:r>
      <w:r>
        <w:rPr>
          <w:noProof/>
        </w:rPr>
        <w:t>mld EUR</w:t>
      </w:r>
      <w:r w:rsidR="00C56AFD">
        <w:rPr>
          <w:noProof/>
        </w:rPr>
        <w:t xml:space="preserve"> z</w:t>
      </w:r>
      <w:r w:rsidR="00C56AFD">
        <w:rPr>
          <w:rFonts w:ascii="Calibri" w:hAnsi="Calibri" w:cs="Calibri"/>
          <w:noProof/>
        </w:rPr>
        <w:t> </w:t>
      </w:r>
      <w:r w:rsidR="00C56AFD">
        <w:rPr>
          <w:noProof/>
        </w:rPr>
        <w:t>fil</w:t>
      </w:r>
      <w:r>
        <w:rPr>
          <w:noProof/>
        </w:rPr>
        <w:t>aru I (EFRG) do filaru II (EFRROW) na lata 2025–2027.</w:t>
      </w:r>
    </w:p>
    <w:p w14:paraId="4D1D45C8" w14:textId="48FA3B60" w:rsidR="00861C1C" w:rsidRPr="00390EB1" w:rsidRDefault="2A67BF04">
      <w:pPr>
        <w:spacing w:after="120" w:line="276" w:lineRule="auto"/>
        <w:jc w:val="both"/>
        <w:rPr>
          <w:noProof/>
        </w:rPr>
      </w:pPr>
      <w:r>
        <w:rPr>
          <w:noProof/>
        </w:rPr>
        <w:t>Ponieważ realizacja programów rozwoju obszarów wiejskich na lata 2014–2022 dobiega końca,</w:t>
      </w:r>
      <w:r w:rsidR="00C56AFD">
        <w:rPr>
          <w:noProof/>
        </w:rPr>
        <w:t xml:space="preserve"> a</w:t>
      </w:r>
      <w:r w:rsidR="00C56AFD">
        <w:rPr>
          <w:rFonts w:ascii="Calibri" w:hAnsi="Calibri" w:cs="Calibri"/>
          <w:noProof/>
        </w:rPr>
        <w:t> </w:t>
      </w:r>
      <w:r w:rsidR="00C56AFD">
        <w:rPr>
          <w:noProof/>
        </w:rPr>
        <w:t>wdr</w:t>
      </w:r>
      <w:r>
        <w:rPr>
          <w:noProof/>
        </w:rPr>
        <w:t>ażanie nowych planów WPR jest</w:t>
      </w:r>
      <w:r w:rsidR="00C56AFD">
        <w:rPr>
          <w:noProof/>
        </w:rPr>
        <w:t xml:space="preserve"> w</w:t>
      </w:r>
      <w:r w:rsidR="00C56AFD">
        <w:rPr>
          <w:rFonts w:ascii="Calibri" w:hAnsi="Calibri" w:cs="Calibri"/>
          <w:noProof/>
        </w:rPr>
        <w:t> </w:t>
      </w:r>
      <w:r w:rsidR="00C56AFD">
        <w:rPr>
          <w:noProof/>
        </w:rPr>
        <w:t>tok</w:t>
      </w:r>
      <w:r>
        <w:rPr>
          <w:noProof/>
        </w:rPr>
        <w:t>u, przewiduje się, że płatności będą konsekwentnie rosły</w:t>
      </w:r>
      <w:r w:rsidR="00C56AFD">
        <w:rPr>
          <w:noProof/>
        </w:rPr>
        <w:t xml:space="preserve"> w</w:t>
      </w:r>
      <w:r w:rsidR="00C56AFD">
        <w:rPr>
          <w:rFonts w:ascii="Calibri" w:hAnsi="Calibri" w:cs="Calibri"/>
          <w:noProof/>
        </w:rPr>
        <w:t> </w:t>
      </w:r>
      <w:r w:rsidR="00C56AFD">
        <w:rPr>
          <w:noProof/>
        </w:rPr>
        <w:t>nad</w:t>
      </w:r>
      <w:r>
        <w:rPr>
          <w:noProof/>
        </w:rPr>
        <w:t>chodzących latach, osiągając szczytowy poziom</w:t>
      </w:r>
      <w:r w:rsidR="00C56AFD">
        <w:rPr>
          <w:noProof/>
        </w:rPr>
        <w:t xml:space="preserve"> w</w:t>
      </w:r>
      <w:r w:rsidR="00C56AFD">
        <w:rPr>
          <w:rFonts w:ascii="Calibri" w:hAnsi="Calibri" w:cs="Calibri"/>
          <w:noProof/>
        </w:rPr>
        <w:t> </w:t>
      </w:r>
      <w:r w:rsidR="00C56AFD">
        <w:rPr>
          <w:noProof/>
        </w:rPr>
        <w:t>2</w:t>
      </w:r>
      <w:r>
        <w:rPr>
          <w:noProof/>
        </w:rPr>
        <w:t>0</w:t>
      </w:r>
      <w:r w:rsidRPr="00C56AFD">
        <w:rPr>
          <w:noProof/>
        </w:rPr>
        <w:t>26</w:t>
      </w:r>
      <w:r w:rsidR="00C56AFD" w:rsidRPr="00C56AFD">
        <w:rPr>
          <w:rFonts w:ascii="Calibri" w:hAnsi="Calibri" w:cs="Calibri"/>
          <w:noProof/>
        </w:rPr>
        <w:t> </w:t>
      </w:r>
      <w:r w:rsidRPr="00C56AFD">
        <w:rPr>
          <w:noProof/>
        </w:rPr>
        <w:t>r.</w:t>
      </w:r>
      <w:r>
        <w:rPr>
          <w:noProof/>
        </w:rPr>
        <w:t xml:space="preserve"> Wynika to</w:t>
      </w:r>
      <w:r w:rsidR="00C56AFD">
        <w:rPr>
          <w:noProof/>
        </w:rPr>
        <w:t xml:space="preserve"> z</w:t>
      </w:r>
      <w:r w:rsidR="00C56AFD">
        <w:rPr>
          <w:rFonts w:ascii="Calibri" w:hAnsi="Calibri" w:cs="Calibri"/>
          <w:noProof/>
        </w:rPr>
        <w:t> </w:t>
      </w:r>
      <w:r w:rsidR="00C56AFD">
        <w:rPr>
          <w:noProof/>
        </w:rPr>
        <w:t>nak</w:t>
      </w:r>
      <w:r>
        <w:rPr>
          <w:noProof/>
        </w:rPr>
        <w:t>ładania się płatności</w:t>
      </w:r>
      <w:r w:rsidR="00C56AFD">
        <w:rPr>
          <w:noProof/>
        </w:rPr>
        <w:t xml:space="preserve"> z</w:t>
      </w:r>
      <w:r w:rsidR="00C56AFD">
        <w:rPr>
          <w:rFonts w:ascii="Calibri" w:hAnsi="Calibri" w:cs="Calibri"/>
          <w:noProof/>
        </w:rPr>
        <w:t> </w:t>
      </w:r>
      <w:r w:rsidR="00C56AFD">
        <w:rPr>
          <w:noProof/>
        </w:rPr>
        <w:t>tyt</w:t>
      </w:r>
      <w:r>
        <w:rPr>
          <w:noProof/>
        </w:rPr>
        <w:t>ułu zobowiązań pozostających do spłaty na lata 2014–2020</w:t>
      </w:r>
      <w:r w:rsidR="00C56AFD">
        <w:rPr>
          <w:noProof/>
        </w:rPr>
        <w:t xml:space="preserve"> i</w:t>
      </w:r>
      <w:r w:rsidR="00C56AFD">
        <w:rPr>
          <w:rFonts w:ascii="Calibri" w:hAnsi="Calibri" w:cs="Calibri"/>
          <w:noProof/>
        </w:rPr>
        <w:t> </w:t>
      </w:r>
      <w:r w:rsidR="00C56AFD">
        <w:rPr>
          <w:noProof/>
        </w:rPr>
        <w:t>okr</w:t>
      </w:r>
      <w:r>
        <w:rPr>
          <w:noProof/>
        </w:rPr>
        <w:t>esu przejściowego na lata 2021–2022, które działają zgodnie</w:t>
      </w:r>
      <w:r w:rsidR="00C56AFD">
        <w:rPr>
          <w:noProof/>
        </w:rPr>
        <w:t xml:space="preserve"> z</w:t>
      </w:r>
      <w:r w:rsidR="00C56AFD">
        <w:rPr>
          <w:rFonts w:ascii="Calibri" w:hAnsi="Calibri" w:cs="Calibri"/>
          <w:noProof/>
        </w:rPr>
        <w:t> </w:t>
      </w:r>
      <w:r w:rsidR="00C56AFD">
        <w:rPr>
          <w:noProof/>
        </w:rPr>
        <w:t>zas</w:t>
      </w:r>
      <w:r>
        <w:rPr>
          <w:noProof/>
        </w:rPr>
        <w:t>adą umorzenia „N+3”, wraz ze stopniowym wprowadzaniem planów WPR na lata 2023–2027, które są zgodne</w:t>
      </w:r>
      <w:r w:rsidR="00C56AFD">
        <w:rPr>
          <w:noProof/>
        </w:rPr>
        <w:t xml:space="preserve"> z</w:t>
      </w:r>
      <w:r w:rsidR="00C56AFD">
        <w:rPr>
          <w:rFonts w:ascii="Calibri" w:hAnsi="Calibri" w:cs="Calibri"/>
          <w:noProof/>
        </w:rPr>
        <w:t> </w:t>
      </w:r>
      <w:r w:rsidR="00C56AFD">
        <w:rPr>
          <w:noProof/>
        </w:rPr>
        <w:t>zas</w:t>
      </w:r>
      <w:r>
        <w:rPr>
          <w:noProof/>
        </w:rPr>
        <w:t>adą umorzenia „N+2”.</w:t>
      </w:r>
    </w:p>
    <w:p w14:paraId="0005D92E" w14:textId="3D7BA357" w:rsidR="348A84CE" w:rsidRPr="00390EB1" w:rsidRDefault="348A84CE" w:rsidP="23B06DA2">
      <w:pPr>
        <w:spacing w:after="120" w:line="276" w:lineRule="auto"/>
        <w:jc w:val="both"/>
        <w:rPr>
          <w:noProof/>
        </w:rPr>
      </w:pPr>
      <w:r>
        <w:rPr>
          <w:noProof/>
        </w:rPr>
        <w:t xml:space="preserve">W budżecie </w:t>
      </w:r>
      <w:r w:rsidRPr="00C56AFD">
        <w:rPr>
          <w:noProof/>
        </w:rPr>
        <w:t>na</w:t>
      </w:r>
      <w:r w:rsidR="00C56AFD" w:rsidRPr="00C56AFD">
        <w:rPr>
          <w:rFonts w:ascii="Calibri" w:hAnsi="Calibri" w:cs="Calibri"/>
          <w:noProof/>
        </w:rPr>
        <w:t> </w:t>
      </w:r>
      <w:r w:rsidRPr="00C56AFD">
        <w:rPr>
          <w:noProof/>
        </w:rPr>
        <w:t>2</w:t>
      </w:r>
      <w:r>
        <w:rPr>
          <w:noProof/>
        </w:rPr>
        <w:t>0</w:t>
      </w:r>
      <w:r w:rsidRPr="00C56AFD">
        <w:rPr>
          <w:noProof/>
        </w:rPr>
        <w:t>24</w:t>
      </w:r>
      <w:r w:rsidR="00C56AFD" w:rsidRPr="00C56AFD">
        <w:rPr>
          <w:rFonts w:ascii="Calibri" w:hAnsi="Calibri" w:cs="Calibri"/>
          <w:noProof/>
        </w:rPr>
        <w:t> </w:t>
      </w:r>
      <w:r w:rsidRPr="00C56AFD">
        <w:rPr>
          <w:noProof/>
        </w:rPr>
        <w:t>r.</w:t>
      </w:r>
      <w:r w:rsidR="00C56AFD">
        <w:rPr>
          <w:noProof/>
        </w:rPr>
        <w:t xml:space="preserve"> i</w:t>
      </w:r>
      <w:r w:rsidR="00C56AFD">
        <w:rPr>
          <w:rFonts w:ascii="Calibri" w:hAnsi="Calibri" w:cs="Calibri"/>
          <w:noProof/>
        </w:rPr>
        <w:t> </w:t>
      </w:r>
      <w:r w:rsidR="00C56AFD">
        <w:rPr>
          <w:noProof/>
        </w:rPr>
        <w:t>w</w:t>
      </w:r>
      <w:r w:rsidR="00C56AFD">
        <w:rPr>
          <w:rFonts w:ascii="Calibri" w:hAnsi="Calibri" w:cs="Calibri"/>
          <w:noProof/>
        </w:rPr>
        <w:t> </w:t>
      </w:r>
      <w:r w:rsidR="00C56AFD">
        <w:rPr>
          <w:noProof/>
        </w:rPr>
        <w:t>pro</w:t>
      </w:r>
      <w:r>
        <w:rPr>
          <w:noProof/>
        </w:rPr>
        <w:t xml:space="preserve">jekcie budżetu </w:t>
      </w:r>
      <w:r w:rsidRPr="00C56AFD">
        <w:rPr>
          <w:noProof/>
        </w:rPr>
        <w:t>na</w:t>
      </w:r>
      <w:r w:rsidR="00C56AFD" w:rsidRPr="00C56AFD">
        <w:rPr>
          <w:rFonts w:ascii="Calibri" w:hAnsi="Calibri" w:cs="Calibri"/>
          <w:noProof/>
        </w:rPr>
        <w:t> </w:t>
      </w:r>
      <w:r w:rsidRPr="00C56AFD">
        <w:rPr>
          <w:noProof/>
        </w:rPr>
        <w:t>2</w:t>
      </w:r>
      <w:r>
        <w:rPr>
          <w:noProof/>
        </w:rPr>
        <w:t>0</w:t>
      </w:r>
      <w:r w:rsidRPr="00C56AFD">
        <w:rPr>
          <w:noProof/>
        </w:rPr>
        <w:t>25</w:t>
      </w:r>
      <w:r w:rsidR="00C56AFD" w:rsidRPr="00C56AFD">
        <w:rPr>
          <w:rFonts w:ascii="Calibri" w:hAnsi="Calibri" w:cs="Calibri"/>
          <w:noProof/>
        </w:rPr>
        <w:t> </w:t>
      </w:r>
      <w:r w:rsidRPr="00C56AFD">
        <w:rPr>
          <w:noProof/>
        </w:rPr>
        <w:t>r.</w:t>
      </w:r>
      <w:r>
        <w:rPr>
          <w:noProof/>
        </w:rPr>
        <w:t xml:space="preserve"> nie planuje się żadnych płatności</w:t>
      </w:r>
      <w:r w:rsidR="00C56AFD">
        <w:rPr>
          <w:noProof/>
        </w:rPr>
        <w:t xml:space="preserve"> w</w:t>
      </w:r>
      <w:r w:rsidR="00C56AFD">
        <w:rPr>
          <w:rFonts w:ascii="Calibri" w:hAnsi="Calibri" w:cs="Calibri"/>
          <w:noProof/>
        </w:rPr>
        <w:t> </w:t>
      </w:r>
      <w:r w:rsidR="00C56AFD">
        <w:rPr>
          <w:noProof/>
        </w:rPr>
        <w:t>ram</w:t>
      </w:r>
      <w:r>
        <w:rPr>
          <w:noProof/>
        </w:rPr>
        <w:t>ach pułapów WRF na rzecz Funduszu na rzecz Sprawiedliwej Transformacji,</w:t>
      </w:r>
      <w:r w:rsidR="00C56AFD">
        <w:rPr>
          <w:noProof/>
        </w:rPr>
        <w:t xml:space="preserve"> z</w:t>
      </w:r>
      <w:r w:rsidR="00C56AFD">
        <w:rPr>
          <w:rFonts w:ascii="Calibri" w:hAnsi="Calibri" w:cs="Calibri"/>
          <w:noProof/>
        </w:rPr>
        <w:t> </w:t>
      </w:r>
      <w:r w:rsidR="00C56AFD">
        <w:rPr>
          <w:noProof/>
        </w:rPr>
        <w:t>wyj</w:t>
      </w:r>
      <w:r>
        <w:rPr>
          <w:noProof/>
        </w:rPr>
        <w:t xml:space="preserve">ątkiem ograniczonych kwot na wydatki administracyjne, ponieważ priorytetem jest wykorzystanie środków NextGenerationEU dostępnych </w:t>
      </w:r>
      <w:r w:rsidRPr="00C56AFD">
        <w:rPr>
          <w:noProof/>
        </w:rPr>
        <w:t>do</w:t>
      </w:r>
      <w:r w:rsidR="00C56AFD" w:rsidRPr="00C56AFD">
        <w:rPr>
          <w:rFonts w:ascii="Calibri" w:hAnsi="Calibri" w:cs="Calibri"/>
          <w:noProof/>
        </w:rPr>
        <w:t> </w:t>
      </w:r>
      <w:r w:rsidRPr="00C56AFD">
        <w:rPr>
          <w:noProof/>
        </w:rPr>
        <w:t>2</w:t>
      </w:r>
      <w:r>
        <w:rPr>
          <w:noProof/>
        </w:rPr>
        <w:t>0</w:t>
      </w:r>
      <w:r w:rsidRPr="00C56AFD">
        <w:rPr>
          <w:noProof/>
        </w:rPr>
        <w:t>26</w:t>
      </w:r>
      <w:r w:rsidR="00C56AFD" w:rsidRPr="00C56AFD">
        <w:rPr>
          <w:rFonts w:ascii="Calibri" w:hAnsi="Calibri" w:cs="Calibri"/>
          <w:noProof/>
        </w:rPr>
        <w:t> </w:t>
      </w:r>
      <w:r w:rsidRPr="00C56AFD">
        <w:rPr>
          <w:noProof/>
        </w:rPr>
        <w:t>r.</w:t>
      </w:r>
      <w:r>
        <w:rPr>
          <w:noProof/>
        </w:rPr>
        <w:t xml:space="preserve"> Płatność zaliczkowa związana ze STEP</w:t>
      </w:r>
      <w:r w:rsidR="00C56AFD">
        <w:rPr>
          <w:noProof/>
        </w:rPr>
        <w:t xml:space="preserve"> w</w:t>
      </w:r>
      <w:r w:rsidR="00C56AFD">
        <w:rPr>
          <w:rFonts w:ascii="Calibri" w:hAnsi="Calibri" w:cs="Calibri"/>
          <w:noProof/>
        </w:rPr>
        <w:t> </w:t>
      </w:r>
      <w:r w:rsidR="00C56AFD">
        <w:rPr>
          <w:noProof/>
        </w:rPr>
        <w:t>ram</w:t>
      </w:r>
      <w:r>
        <w:rPr>
          <w:noProof/>
        </w:rPr>
        <w:t>ach NextGenerationEU nastąpiła już</w:t>
      </w:r>
      <w:r w:rsidR="00C56AFD">
        <w:rPr>
          <w:noProof/>
        </w:rPr>
        <w:t xml:space="preserve"> w</w:t>
      </w:r>
      <w:r w:rsidR="00C56AFD">
        <w:rPr>
          <w:rFonts w:ascii="Calibri" w:hAnsi="Calibri" w:cs="Calibri"/>
          <w:noProof/>
        </w:rPr>
        <w:t> </w:t>
      </w:r>
      <w:r w:rsidR="00C56AFD">
        <w:rPr>
          <w:noProof/>
        </w:rPr>
        <w:t>2</w:t>
      </w:r>
      <w:r>
        <w:rPr>
          <w:noProof/>
        </w:rPr>
        <w:t>0</w:t>
      </w:r>
      <w:r w:rsidRPr="00C56AFD">
        <w:rPr>
          <w:noProof/>
        </w:rPr>
        <w:t>24</w:t>
      </w:r>
      <w:r w:rsidR="00C56AFD" w:rsidRPr="00C56AFD">
        <w:rPr>
          <w:rFonts w:ascii="Calibri" w:hAnsi="Calibri" w:cs="Calibri"/>
          <w:noProof/>
        </w:rPr>
        <w:t> </w:t>
      </w:r>
      <w:r w:rsidRPr="00C56AFD">
        <w:rPr>
          <w:noProof/>
        </w:rPr>
        <w:t>r.</w:t>
      </w:r>
      <w:r w:rsidR="00C56AFD">
        <w:rPr>
          <w:noProof/>
        </w:rPr>
        <w:t xml:space="preserve"> i</w:t>
      </w:r>
      <w:r w:rsidR="00C56AFD">
        <w:rPr>
          <w:rFonts w:ascii="Calibri" w:hAnsi="Calibri" w:cs="Calibri"/>
          <w:noProof/>
        </w:rPr>
        <w:t> </w:t>
      </w:r>
      <w:r w:rsidR="00C56AFD">
        <w:rPr>
          <w:noProof/>
        </w:rPr>
        <w:t>ocz</w:t>
      </w:r>
      <w:r>
        <w:rPr>
          <w:noProof/>
        </w:rPr>
        <w:t xml:space="preserve">ekuje się dodatkowych płatności </w:t>
      </w:r>
      <w:r w:rsidRPr="00C56AFD">
        <w:rPr>
          <w:noProof/>
        </w:rPr>
        <w:t>na</w:t>
      </w:r>
      <w:r w:rsidR="00C56AFD" w:rsidRPr="00C56AFD">
        <w:rPr>
          <w:rFonts w:ascii="Calibri" w:hAnsi="Calibri" w:cs="Calibri"/>
          <w:noProof/>
        </w:rPr>
        <w:t> </w:t>
      </w:r>
      <w:r w:rsidRPr="00C56AFD">
        <w:rPr>
          <w:noProof/>
        </w:rPr>
        <w:t>2</w:t>
      </w:r>
      <w:r>
        <w:rPr>
          <w:noProof/>
        </w:rPr>
        <w:t>0</w:t>
      </w:r>
      <w:r w:rsidRPr="00C56AFD">
        <w:rPr>
          <w:noProof/>
        </w:rPr>
        <w:t>25</w:t>
      </w:r>
      <w:r w:rsidR="00C56AFD" w:rsidRPr="00C56AFD">
        <w:rPr>
          <w:rFonts w:ascii="Calibri" w:hAnsi="Calibri" w:cs="Calibri"/>
          <w:noProof/>
        </w:rPr>
        <w:t> </w:t>
      </w:r>
      <w:r w:rsidRPr="00C56AFD">
        <w:rPr>
          <w:noProof/>
        </w:rPr>
        <w:t>r.</w:t>
      </w:r>
      <w:r>
        <w:rPr>
          <w:noProof/>
        </w:rPr>
        <w:t xml:space="preserve"> również ze środków NextGenerationEU</w:t>
      </w:r>
      <w:r w:rsidR="00C56AFD">
        <w:rPr>
          <w:noProof/>
        </w:rPr>
        <w:t>. W</w:t>
      </w:r>
      <w:r w:rsidR="00C56AFD">
        <w:rPr>
          <w:rFonts w:ascii="Calibri" w:hAnsi="Calibri" w:cs="Calibri"/>
          <w:noProof/>
        </w:rPr>
        <w:t> </w:t>
      </w:r>
      <w:r w:rsidR="00C56AFD">
        <w:rPr>
          <w:noProof/>
        </w:rPr>
        <w:t>pro</w:t>
      </w:r>
      <w:r>
        <w:rPr>
          <w:noProof/>
        </w:rPr>
        <w:t>gnozie na ten rok zaproponowano pełne wykorzystanie przez państwa członkowskie finansowania</w:t>
      </w:r>
      <w:r w:rsidR="00C56AFD">
        <w:rPr>
          <w:noProof/>
        </w:rPr>
        <w:t xml:space="preserve"> w</w:t>
      </w:r>
      <w:r w:rsidR="00C56AFD">
        <w:rPr>
          <w:rFonts w:ascii="Calibri" w:hAnsi="Calibri" w:cs="Calibri"/>
          <w:noProof/>
        </w:rPr>
        <w:t> </w:t>
      </w:r>
      <w:r w:rsidR="00C56AFD">
        <w:rPr>
          <w:noProof/>
        </w:rPr>
        <w:t>ram</w:t>
      </w:r>
      <w:r>
        <w:rPr>
          <w:noProof/>
        </w:rPr>
        <w:t xml:space="preserve">ach NextGeneration EU </w:t>
      </w:r>
      <w:r w:rsidRPr="00C56AFD">
        <w:rPr>
          <w:noProof/>
        </w:rPr>
        <w:t>do</w:t>
      </w:r>
      <w:r w:rsidR="00C56AFD" w:rsidRPr="00C56AFD">
        <w:rPr>
          <w:rFonts w:ascii="Calibri" w:hAnsi="Calibri" w:cs="Calibri"/>
          <w:noProof/>
        </w:rPr>
        <w:t> </w:t>
      </w:r>
      <w:r w:rsidRPr="00C56AFD">
        <w:rPr>
          <w:noProof/>
        </w:rPr>
        <w:t>2</w:t>
      </w:r>
      <w:r>
        <w:rPr>
          <w:noProof/>
        </w:rPr>
        <w:t>0</w:t>
      </w:r>
      <w:r w:rsidRPr="00C56AFD">
        <w:rPr>
          <w:noProof/>
        </w:rPr>
        <w:t>26</w:t>
      </w:r>
      <w:r w:rsidR="00C56AFD" w:rsidRPr="00C56AFD">
        <w:rPr>
          <w:rFonts w:ascii="Calibri" w:hAnsi="Calibri" w:cs="Calibri"/>
          <w:noProof/>
        </w:rPr>
        <w:t> </w:t>
      </w:r>
      <w:r w:rsidRPr="00C56AFD">
        <w:rPr>
          <w:noProof/>
        </w:rPr>
        <w:t>r.</w:t>
      </w:r>
      <w:r>
        <w:rPr>
          <w:noProof/>
        </w:rPr>
        <w:t xml:space="preserve"> Od 20</w:t>
      </w:r>
      <w:r w:rsidRPr="00C56AFD">
        <w:rPr>
          <w:noProof/>
        </w:rPr>
        <w:t>27</w:t>
      </w:r>
      <w:r w:rsidR="00C56AFD" w:rsidRPr="00C56AFD">
        <w:rPr>
          <w:rFonts w:ascii="Calibri" w:hAnsi="Calibri" w:cs="Calibri"/>
          <w:noProof/>
        </w:rPr>
        <w:t> </w:t>
      </w:r>
      <w:r w:rsidRPr="00C56AFD">
        <w:rPr>
          <w:noProof/>
        </w:rPr>
        <w:t>r.</w:t>
      </w:r>
      <w:r>
        <w:rPr>
          <w:noProof/>
        </w:rPr>
        <w:t xml:space="preserve"> państwa członkowskie skoncentrują się zatem na wykorzystaniu finansowania</w:t>
      </w:r>
      <w:r w:rsidR="00C56AFD">
        <w:rPr>
          <w:noProof/>
        </w:rPr>
        <w:t xml:space="preserve"> w</w:t>
      </w:r>
      <w:r w:rsidR="00C56AFD">
        <w:rPr>
          <w:rFonts w:ascii="Calibri" w:hAnsi="Calibri" w:cs="Calibri"/>
          <w:noProof/>
        </w:rPr>
        <w:t> </w:t>
      </w:r>
      <w:r w:rsidR="00C56AFD">
        <w:rPr>
          <w:noProof/>
        </w:rPr>
        <w:t>ram</w:t>
      </w:r>
      <w:r>
        <w:rPr>
          <w:noProof/>
        </w:rPr>
        <w:t>ach WRF.</w:t>
      </w:r>
    </w:p>
    <w:bookmarkEnd w:id="15"/>
    <w:p w14:paraId="770AE79D" w14:textId="2DEA29A0" w:rsidR="00861C1C" w:rsidRPr="00390EB1" w:rsidRDefault="003B6DC2" w:rsidP="0050317D">
      <w:pPr>
        <w:pStyle w:val="amprH4Subhead1"/>
        <w:spacing w:before="400"/>
        <w:rPr>
          <w:noProof/>
        </w:rPr>
      </w:pPr>
      <w:r>
        <w:rPr>
          <w:noProof/>
        </w:rPr>
        <w:t>Pozostałe programy</w:t>
      </w:r>
      <w:r w:rsidR="00C56AFD">
        <w:rPr>
          <w:noProof/>
        </w:rPr>
        <w:t xml:space="preserve"> i</w:t>
      </w:r>
      <w:r w:rsidR="00C56AFD">
        <w:rPr>
          <w:rFonts w:ascii="Calibri" w:hAnsi="Calibri" w:cs="Calibri"/>
          <w:noProof/>
        </w:rPr>
        <w:t> </w:t>
      </w:r>
      <w:r w:rsidR="00C56AFD">
        <w:rPr>
          <w:noProof/>
        </w:rPr>
        <w:t>dzi</w:t>
      </w:r>
      <w:r>
        <w:rPr>
          <w:noProof/>
        </w:rPr>
        <w:t>ały</w:t>
      </w:r>
    </w:p>
    <w:p w14:paraId="23F7B171" w14:textId="3F78DD8D" w:rsidR="00861C1C" w:rsidRDefault="72518554" w:rsidP="217EDCC6">
      <w:pPr>
        <w:spacing w:before="0" w:after="120" w:line="276" w:lineRule="auto"/>
        <w:jc w:val="both"/>
        <w:rPr>
          <w:noProof/>
        </w:rPr>
      </w:pPr>
      <w:r>
        <w:rPr>
          <w:noProof/>
        </w:rPr>
        <w:t>Prognozowane płatności wzrosły</w:t>
      </w:r>
      <w:r w:rsidR="00C56AFD">
        <w:rPr>
          <w:noProof/>
        </w:rPr>
        <w:t xml:space="preserve"> w</w:t>
      </w:r>
      <w:r w:rsidR="00C56AFD">
        <w:rPr>
          <w:rFonts w:ascii="Calibri" w:hAnsi="Calibri" w:cs="Calibri"/>
          <w:noProof/>
        </w:rPr>
        <w:t> </w:t>
      </w:r>
      <w:r w:rsidR="00C56AFD">
        <w:rPr>
          <w:noProof/>
        </w:rPr>
        <w:t>por</w:t>
      </w:r>
      <w:r>
        <w:rPr>
          <w:noProof/>
        </w:rPr>
        <w:t>ównaniu</w:t>
      </w:r>
      <w:r w:rsidR="00C56AFD">
        <w:rPr>
          <w:noProof/>
        </w:rPr>
        <w:t xml:space="preserve"> z</w:t>
      </w:r>
      <w:r w:rsidR="00C56AFD">
        <w:rPr>
          <w:rFonts w:ascii="Calibri" w:hAnsi="Calibri" w:cs="Calibri"/>
          <w:noProof/>
        </w:rPr>
        <w:t> </w:t>
      </w:r>
      <w:r w:rsidR="00C56AFD">
        <w:rPr>
          <w:noProof/>
        </w:rPr>
        <w:t>ubi</w:t>
      </w:r>
      <w:r>
        <w:rPr>
          <w:noProof/>
        </w:rPr>
        <w:t>egłym rokiem,</w:t>
      </w:r>
      <w:r w:rsidR="00C56AFD">
        <w:rPr>
          <w:noProof/>
        </w:rPr>
        <w:t xml:space="preserve"> w</w:t>
      </w:r>
      <w:r w:rsidR="00C56AFD">
        <w:rPr>
          <w:rFonts w:ascii="Calibri" w:hAnsi="Calibri" w:cs="Calibri"/>
          <w:noProof/>
        </w:rPr>
        <w:t> </w:t>
      </w:r>
      <w:r w:rsidR="00C56AFD">
        <w:rPr>
          <w:noProof/>
        </w:rPr>
        <w:t>szc</w:t>
      </w:r>
      <w:r>
        <w:rPr>
          <w:noProof/>
        </w:rPr>
        <w:t>zególności</w:t>
      </w:r>
      <w:r w:rsidR="00C56AFD">
        <w:rPr>
          <w:noProof/>
        </w:rPr>
        <w:t xml:space="preserve"> w</w:t>
      </w:r>
      <w:r w:rsidR="00C56AFD">
        <w:rPr>
          <w:rFonts w:ascii="Calibri" w:hAnsi="Calibri" w:cs="Calibri"/>
          <w:noProof/>
        </w:rPr>
        <w:t> </w:t>
      </w:r>
      <w:r w:rsidR="00C56AFD">
        <w:rPr>
          <w:noProof/>
        </w:rPr>
        <w:t>dzi</w:t>
      </w:r>
      <w:r>
        <w:rPr>
          <w:noProof/>
        </w:rPr>
        <w:t>ale 1 – Jednolity rynek, innowacje</w:t>
      </w:r>
      <w:r w:rsidR="00C56AFD">
        <w:rPr>
          <w:noProof/>
        </w:rPr>
        <w:t xml:space="preserve"> i</w:t>
      </w:r>
      <w:r w:rsidR="00C56AFD">
        <w:rPr>
          <w:rFonts w:ascii="Calibri" w:hAnsi="Calibri" w:cs="Calibri"/>
          <w:noProof/>
        </w:rPr>
        <w:t> </w:t>
      </w:r>
      <w:r w:rsidR="00C56AFD">
        <w:rPr>
          <w:noProof/>
        </w:rPr>
        <w:t>gos</w:t>
      </w:r>
      <w:r>
        <w:rPr>
          <w:noProof/>
        </w:rPr>
        <w:t>podarka cyfrowa oraz</w:t>
      </w:r>
      <w:r w:rsidR="00C56AFD">
        <w:rPr>
          <w:noProof/>
        </w:rPr>
        <w:t xml:space="preserve"> w</w:t>
      </w:r>
      <w:r w:rsidR="00C56AFD">
        <w:rPr>
          <w:rFonts w:ascii="Calibri" w:hAnsi="Calibri" w:cs="Calibri"/>
          <w:noProof/>
        </w:rPr>
        <w:t> </w:t>
      </w:r>
      <w:r w:rsidR="00C56AFD">
        <w:rPr>
          <w:noProof/>
        </w:rPr>
        <w:t>dzi</w:t>
      </w:r>
      <w:r>
        <w:rPr>
          <w:noProof/>
        </w:rPr>
        <w:t>ale 5 – Bezpieczeństwo</w:t>
      </w:r>
      <w:r w:rsidR="00C56AFD">
        <w:rPr>
          <w:noProof/>
        </w:rPr>
        <w:t xml:space="preserve"> i</w:t>
      </w:r>
      <w:r w:rsidR="00C56AFD">
        <w:rPr>
          <w:rFonts w:ascii="Calibri" w:hAnsi="Calibri" w:cs="Calibri"/>
          <w:noProof/>
        </w:rPr>
        <w:t> </w:t>
      </w:r>
      <w:r w:rsidR="00C56AFD">
        <w:rPr>
          <w:noProof/>
        </w:rPr>
        <w:t>obr</w:t>
      </w:r>
      <w:r>
        <w:rPr>
          <w:noProof/>
        </w:rPr>
        <w:t>ona</w:t>
      </w:r>
      <w:r w:rsidR="00C56AFD">
        <w:rPr>
          <w:noProof/>
        </w:rPr>
        <w:t>. W</w:t>
      </w:r>
      <w:r w:rsidR="00C56AFD">
        <w:rPr>
          <w:rFonts w:ascii="Calibri" w:hAnsi="Calibri" w:cs="Calibri"/>
          <w:noProof/>
        </w:rPr>
        <w:t> </w:t>
      </w:r>
      <w:r w:rsidR="00C56AFD">
        <w:rPr>
          <w:noProof/>
        </w:rPr>
        <w:t>ram</w:t>
      </w:r>
      <w:r>
        <w:rPr>
          <w:noProof/>
        </w:rPr>
        <w:t>ach działu 1</w:t>
      </w:r>
      <w:r w:rsidR="00C56AFD">
        <w:rPr>
          <w:noProof/>
        </w:rPr>
        <w:t xml:space="preserve"> w</w:t>
      </w:r>
      <w:r w:rsidR="00C56AFD">
        <w:rPr>
          <w:rFonts w:ascii="Calibri" w:hAnsi="Calibri" w:cs="Calibri"/>
          <w:noProof/>
        </w:rPr>
        <w:t> </w:t>
      </w:r>
      <w:r w:rsidR="00C56AFD">
        <w:rPr>
          <w:noProof/>
        </w:rPr>
        <w:t>rea</w:t>
      </w:r>
      <w:r>
        <w:rPr>
          <w:noProof/>
        </w:rPr>
        <w:t>lizacji sztandarowych programó</w:t>
      </w:r>
      <w:r w:rsidRPr="00C56AFD">
        <w:rPr>
          <w:noProof/>
        </w:rPr>
        <w:t>w</w:t>
      </w:r>
      <w:r w:rsidR="00C56AFD" w:rsidRPr="00C56AFD">
        <w:rPr>
          <w:noProof/>
        </w:rPr>
        <w:t xml:space="preserve"> </w:t>
      </w:r>
      <w:r w:rsidRPr="00C56AFD">
        <w:rPr>
          <w:noProof/>
        </w:rPr>
        <w:t>z</w:t>
      </w:r>
      <w:r>
        <w:rPr>
          <w:noProof/>
        </w:rPr>
        <w:t>nikają zaległości</w:t>
      </w:r>
      <w:r w:rsidR="00C56AFD">
        <w:rPr>
          <w:noProof/>
        </w:rPr>
        <w:t xml:space="preserve"> i</w:t>
      </w:r>
      <w:r w:rsidR="00C56AFD">
        <w:rPr>
          <w:rFonts w:ascii="Calibri" w:hAnsi="Calibri" w:cs="Calibri"/>
          <w:noProof/>
        </w:rPr>
        <w:t> </w:t>
      </w:r>
      <w:r w:rsidR="00C56AFD">
        <w:rPr>
          <w:noProof/>
        </w:rPr>
        <w:t>ocz</w:t>
      </w:r>
      <w:r>
        <w:rPr>
          <w:noProof/>
        </w:rPr>
        <w:t>ekuje się, że programy te osiągną pełną operacyjność. Przewiduje się, że zwiększenie środków</w:t>
      </w:r>
      <w:r w:rsidR="00C56AFD">
        <w:rPr>
          <w:noProof/>
        </w:rPr>
        <w:t xml:space="preserve"> w</w:t>
      </w:r>
      <w:r w:rsidR="00C56AFD">
        <w:rPr>
          <w:rFonts w:ascii="Calibri" w:hAnsi="Calibri" w:cs="Calibri"/>
          <w:noProof/>
        </w:rPr>
        <w:t> </w:t>
      </w:r>
      <w:r w:rsidR="00C56AFD">
        <w:rPr>
          <w:noProof/>
        </w:rPr>
        <w:t>ram</w:t>
      </w:r>
      <w:r>
        <w:rPr>
          <w:noProof/>
        </w:rPr>
        <w:t>ach działu 5 wynikające ze śródokresowego przeglądu doprowadzi do dodatkowych płatności. Oczekuje się, że wyeliminowanie zaległości nastąpi</w:t>
      </w:r>
      <w:r w:rsidR="00C56AFD">
        <w:rPr>
          <w:noProof/>
        </w:rPr>
        <w:t xml:space="preserve"> w</w:t>
      </w:r>
      <w:r w:rsidR="00C56AFD">
        <w:rPr>
          <w:rFonts w:ascii="Calibri" w:hAnsi="Calibri" w:cs="Calibri"/>
          <w:noProof/>
        </w:rPr>
        <w:t> </w:t>
      </w:r>
      <w:r w:rsidR="00C56AFD">
        <w:rPr>
          <w:noProof/>
        </w:rPr>
        <w:t>lat</w:t>
      </w:r>
      <w:r>
        <w:rPr>
          <w:noProof/>
        </w:rPr>
        <w:t>ach 2026–2027.</w:t>
      </w:r>
    </w:p>
    <w:p w14:paraId="2A32218E" w14:textId="6C4E2D55" w:rsidR="000F1B6B" w:rsidRDefault="000D0C52" w:rsidP="217EDCC6">
      <w:pPr>
        <w:spacing w:before="0" w:after="120" w:line="276" w:lineRule="auto"/>
        <w:jc w:val="both"/>
        <w:rPr>
          <w:noProof/>
        </w:rPr>
      </w:pPr>
      <w:r>
        <w:rPr>
          <w:noProof/>
        </w:rPr>
        <w:t>Aktualizacja linii odsetek</w:t>
      </w:r>
      <w:r w:rsidR="00C56AFD">
        <w:rPr>
          <w:noProof/>
        </w:rPr>
        <w:t xml:space="preserve"> w</w:t>
      </w:r>
      <w:r w:rsidR="00C56AFD">
        <w:rPr>
          <w:rFonts w:ascii="Calibri" w:hAnsi="Calibri" w:cs="Calibri"/>
          <w:noProof/>
        </w:rPr>
        <w:t> </w:t>
      </w:r>
      <w:r w:rsidR="00C56AFD">
        <w:rPr>
          <w:noProof/>
        </w:rPr>
        <w:t>ram</w:t>
      </w:r>
      <w:r>
        <w:rPr>
          <w:noProof/>
        </w:rPr>
        <w:t xml:space="preserve">ach Europejskiego Instrumentu na rzecz Odbudowy (EURI) odzwierciedla projekt budżetu </w:t>
      </w:r>
      <w:r w:rsidRPr="00C56AFD">
        <w:rPr>
          <w:noProof/>
        </w:rPr>
        <w:t>na</w:t>
      </w:r>
      <w:r w:rsidR="00C56AFD" w:rsidRPr="00C56AFD">
        <w:rPr>
          <w:rFonts w:ascii="Calibri" w:hAnsi="Calibri" w:cs="Calibri"/>
          <w:noProof/>
        </w:rPr>
        <w:t> </w:t>
      </w:r>
      <w:r w:rsidRPr="00C56AFD">
        <w:rPr>
          <w:noProof/>
        </w:rPr>
        <w:t>2</w:t>
      </w:r>
      <w:r>
        <w:rPr>
          <w:noProof/>
        </w:rPr>
        <w:t>0</w:t>
      </w:r>
      <w:r w:rsidRPr="00C56AFD">
        <w:rPr>
          <w:noProof/>
        </w:rPr>
        <w:t>25</w:t>
      </w:r>
      <w:r w:rsidR="00C56AFD" w:rsidRPr="00C56AFD">
        <w:rPr>
          <w:rFonts w:ascii="Calibri" w:hAnsi="Calibri" w:cs="Calibri"/>
          <w:noProof/>
        </w:rPr>
        <w:t> </w:t>
      </w:r>
      <w:r w:rsidRPr="00C56AFD">
        <w:rPr>
          <w:noProof/>
        </w:rPr>
        <w:t>r.</w:t>
      </w:r>
      <w:r>
        <w:rPr>
          <w:noProof/>
        </w:rPr>
        <w:t xml:space="preserve"> Linia ta uwzględnia zwiększone koszty finansowania odpowiedniej działalności</w:t>
      </w:r>
      <w:r w:rsidR="00C56AFD">
        <w:rPr>
          <w:noProof/>
        </w:rPr>
        <w:t xml:space="preserve"> w</w:t>
      </w:r>
      <w:r w:rsidR="00C56AFD">
        <w:rPr>
          <w:rFonts w:ascii="Calibri" w:hAnsi="Calibri" w:cs="Calibri"/>
          <w:noProof/>
        </w:rPr>
        <w:t> </w:t>
      </w:r>
      <w:r w:rsidR="00C56AFD">
        <w:rPr>
          <w:noProof/>
        </w:rPr>
        <w:t>zak</w:t>
      </w:r>
      <w:r>
        <w:rPr>
          <w:noProof/>
        </w:rPr>
        <w:t>resie zaciągania</w:t>
      </w:r>
      <w:r w:rsidR="00C56AFD">
        <w:rPr>
          <w:noProof/>
        </w:rPr>
        <w:t xml:space="preserve"> i</w:t>
      </w:r>
      <w:r w:rsidR="00C56AFD">
        <w:rPr>
          <w:rFonts w:ascii="Calibri" w:hAnsi="Calibri" w:cs="Calibri"/>
          <w:noProof/>
        </w:rPr>
        <w:t> </w:t>
      </w:r>
      <w:r w:rsidR="00C56AFD">
        <w:rPr>
          <w:noProof/>
        </w:rPr>
        <w:t>udz</w:t>
      </w:r>
      <w:r>
        <w:rPr>
          <w:noProof/>
        </w:rPr>
        <w:t>ielania pożyczek. Wzrost kosztów finansowania wynika ze znacznie wyższych stóp procentowych prowadzących do przekroczenia kosztów, co będzie zależało głównie od profilu wypłat</w:t>
      </w:r>
      <w:r w:rsidR="00C56AFD">
        <w:rPr>
          <w:noProof/>
        </w:rPr>
        <w:t>. W</w:t>
      </w:r>
      <w:r w:rsidR="00C56AFD">
        <w:rPr>
          <w:rFonts w:ascii="Calibri" w:hAnsi="Calibri" w:cs="Calibri"/>
          <w:noProof/>
        </w:rPr>
        <w:t> </w:t>
      </w:r>
      <w:r w:rsidR="00C56AFD">
        <w:rPr>
          <w:noProof/>
        </w:rPr>
        <w:t>zwi</w:t>
      </w:r>
      <w:r>
        <w:rPr>
          <w:noProof/>
        </w:rPr>
        <w:t>ązku</w:t>
      </w:r>
      <w:r w:rsidR="00C56AFD">
        <w:rPr>
          <w:noProof/>
        </w:rPr>
        <w:t xml:space="preserve"> z</w:t>
      </w:r>
      <w:r w:rsidR="00C56AFD">
        <w:rPr>
          <w:rFonts w:ascii="Calibri" w:hAnsi="Calibri" w:cs="Calibri"/>
          <w:noProof/>
        </w:rPr>
        <w:t> </w:t>
      </w:r>
      <w:r w:rsidR="00C56AFD">
        <w:rPr>
          <w:noProof/>
        </w:rPr>
        <w:t>tym</w:t>
      </w:r>
      <w:r>
        <w:rPr>
          <w:noProof/>
        </w:rPr>
        <w:t xml:space="preserve"> prognoza dotycząca przekroczenia kosztów na lata 2026</w:t>
      </w:r>
      <w:r w:rsidR="00C56AFD">
        <w:rPr>
          <w:noProof/>
        </w:rPr>
        <w:t xml:space="preserve"> i</w:t>
      </w:r>
      <w:r w:rsidR="00C56AFD">
        <w:rPr>
          <w:rFonts w:ascii="Calibri" w:hAnsi="Calibri" w:cs="Calibri"/>
          <w:noProof/>
        </w:rPr>
        <w:t> </w:t>
      </w:r>
      <w:r w:rsidR="00C56AFD">
        <w:rPr>
          <w:noProof/>
        </w:rPr>
        <w:t>2</w:t>
      </w:r>
      <w:r>
        <w:rPr>
          <w:noProof/>
        </w:rPr>
        <w:t>027 nie jest wystarczająco stabilna, aby można ją było uwzględnić bezpośrednio</w:t>
      </w:r>
      <w:r w:rsidR="00C56AFD">
        <w:rPr>
          <w:noProof/>
        </w:rPr>
        <w:t xml:space="preserve"> w</w:t>
      </w:r>
      <w:r w:rsidR="00C56AFD">
        <w:rPr>
          <w:rFonts w:ascii="Calibri" w:hAnsi="Calibri" w:cs="Calibri"/>
          <w:noProof/>
        </w:rPr>
        <w:t> </w:t>
      </w:r>
      <w:r w:rsidR="00C56AFD">
        <w:rPr>
          <w:noProof/>
        </w:rPr>
        <w:t>pro</w:t>
      </w:r>
      <w:r>
        <w:rPr>
          <w:noProof/>
        </w:rPr>
        <w:t>gramowaniu finansowym,</w:t>
      </w:r>
      <w:r w:rsidR="00C56AFD">
        <w:rPr>
          <w:noProof/>
        </w:rPr>
        <w:t xml:space="preserve"> i</w:t>
      </w:r>
      <w:r w:rsidR="00C56AFD">
        <w:rPr>
          <w:rFonts w:ascii="Calibri" w:hAnsi="Calibri" w:cs="Calibri"/>
          <w:noProof/>
        </w:rPr>
        <w:t> </w:t>
      </w:r>
      <w:r w:rsidR="00C56AFD">
        <w:rPr>
          <w:noProof/>
        </w:rPr>
        <w:t>nie</w:t>
      </w:r>
      <w:r>
        <w:rPr>
          <w:noProof/>
        </w:rPr>
        <w:t xml:space="preserve"> została odzwierciedlona</w:t>
      </w:r>
      <w:r w:rsidR="00C56AFD">
        <w:rPr>
          <w:noProof/>
        </w:rPr>
        <w:t xml:space="preserve"> w</w:t>
      </w:r>
      <w:r w:rsidR="00C56AFD">
        <w:rPr>
          <w:rFonts w:ascii="Calibri" w:hAnsi="Calibri" w:cs="Calibri"/>
          <w:noProof/>
        </w:rPr>
        <w:t> </w:t>
      </w:r>
      <w:r w:rsidR="00C56AFD">
        <w:rPr>
          <w:noProof/>
        </w:rPr>
        <w:t>nin</w:t>
      </w:r>
      <w:r>
        <w:rPr>
          <w:noProof/>
        </w:rPr>
        <w:t>iejszym sprawozdaniu.</w:t>
      </w:r>
    </w:p>
    <w:p w14:paraId="4B149E6B" w14:textId="5A386AF2" w:rsidR="008472CD" w:rsidRDefault="008472CD" w:rsidP="217EDCC6">
      <w:pPr>
        <w:spacing w:before="0" w:after="120" w:line="276" w:lineRule="auto"/>
        <w:jc w:val="both"/>
        <w:rPr>
          <w:noProof/>
        </w:rPr>
      </w:pPr>
      <w:r>
        <w:rPr>
          <w:noProof/>
        </w:rPr>
        <w:t>Rezerwa na rzecz Ukrainy jest tematycznym instrumentem szczególnym, który służy uruchomieniu wsparcia innego niż</w:t>
      </w:r>
      <w:r w:rsidR="00C56AFD">
        <w:rPr>
          <w:noProof/>
        </w:rPr>
        <w:t xml:space="preserve"> w</w:t>
      </w:r>
      <w:r w:rsidR="00C56AFD">
        <w:rPr>
          <w:rFonts w:ascii="Calibri" w:hAnsi="Calibri" w:cs="Calibri"/>
          <w:noProof/>
        </w:rPr>
        <w:t> </w:t>
      </w:r>
      <w:r w:rsidR="00C56AFD">
        <w:rPr>
          <w:noProof/>
        </w:rPr>
        <w:t>for</w:t>
      </w:r>
      <w:r>
        <w:rPr>
          <w:noProof/>
        </w:rPr>
        <w:t>mie pożyczek</w:t>
      </w:r>
      <w:r w:rsidR="00C56AFD">
        <w:rPr>
          <w:noProof/>
        </w:rPr>
        <w:t xml:space="preserve"> w</w:t>
      </w:r>
      <w:r w:rsidR="00C56AFD">
        <w:rPr>
          <w:rFonts w:ascii="Calibri" w:hAnsi="Calibri" w:cs="Calibri"/>
          <w:noProof/>
        </w:rPr>
        <w:t> </w:t>
      </w:r>
      <w:r w:rsidR="00C56AFD">
        <w:rPr>
          <w:noProof/>
        </w:rPr>
        <w:t>ram</w:t>
      </w:r>
      <w:r>
        <w:rPr>
          <w:noProof/>
        </w:rPr>
        <w:t>ach Instrumentu na rzecz Ukrainy. To bezzwrotne wsparcie dotyczy wszystkich trzech filarów Instrumentu na rzecz Ukrainy oraz wydatków na wsparcie</w:t>
      </w:r>
      <w:r w:rsidR="00C56AFD">
        <w:rPr>
          <w:noProof/>
        </w:rPr>
        <w:t xml:space="preserve"> w</w:t>
      </w:r>
      <w:r w:rsidR="00C56AFD">
        <w:rPr>
          <w:rFonts w:ascii="Calibri" w:hAnsi="Calibri" w:cs="Calibri"/>
          <w:noProof/>
        </w:rPr>
        <w:t> </w:t>
      </w:r>
      <w:r w:rsidR="00C56AFD">
        <w:rPr>
          <w:noProof/>
        </w:rPr>
        <w:t>łąc</w:t>
      </w:r>
      <w:r>
        <w:rPr>
          <w:noProof/>
        </w:rPr>
        <w:t>znej kwocie do maksymalnie 17 mld EUR</w:t>
      </w:r>
      <w:r w:rsidR="00C56AFD">
        <w:rPr>
          <w:noProof/>
        </w:rPr>
        <w:t xml:space="preserve"> w</w:t>
      </w:r>
      <w:r w:rsidR="00C56AFD">
        <w:rPr>
          <w:rFonts w:ascii="Calibri" w:hAnsi="Calibri" w:cs="Calibri"/>
          <w:noProof/>
        </w:rPr>
        <w:t> </w:t>
      </w:r>
      <w:r w:rsidR="00C56AFD">
        <w:rPr>
          <w:noProof/>
        </w:rPr>
        <w:t>lat</w:t>
      </w:r>
      <w:r>
        <w:rPr>
          <w:noProof/>
        </w:rPr>
        <w:t>ach 2024–2027. Środki na zobowiązania</w:t>
      </w:r>
      <w:r w:rsidR="00C56AFD">
        <w:rPr>
          <w:noProof/>
        </w:rPr>
        <w:t xml:space="preserve"> i</w:t>
      </w:r>
      <w:r w:rsidR="00C56AFD">
        <w:rPr>
          <w:rFonts w:ascii="Calibri" w:hAnsi="Calibri" w:cs="Calibri"/>
          <w:noProof/>
        </w:rPr>
        <w:t> </w:t>
      </w:r>
      <w:r w:rsidR="00C56AFD">
        <w:rPr>
          <w:noProof/>
        </w:rPr>
        <w:t>odp</w:t>
      </w:r>
      <w:r>
        <w:rPr>
          <w:noProof/>
        </w:rPr>
        <w:t>owiadające im środki na płatności</w:t>
      </w:r>
      <w:r w:rsidR="00C56AFD">
        <w:rPr>
          <w:noProof/>
        </w:rPr>
        <w:t xml:space="preserve"> z</w:t>
      </w:r>
      <w:r w:rsidR="00C56AFD">
        <w:rPr>
          <w:rFonts w:ascii="Calibri" w:hAnsi="Calibri" w:cs="Calibri"/>
          <w:noProof/>
        </w:rPr>
        <w:t> </w:t>
      </w:r>
      <w:r w:rsidR="00C56AFD">
        <w:rPr>
          <w:noProof/>
        </w:rPr>
        <w:t>Rez</w:t>
      </w:r>
      <w:r>
        <w:rPr>
          <w:noProof/>
        </w:rPr>
        <w:t>erwy na rzecz Ukrainy uruchamiają corocznie Parlament Europejski</w:t>
      </w:r>
      <w:r w:rsidR="00C56AFD">
        <w:rPr>
          <w:noProof/>
        </w:rPr>
        <w:t xml:space="preserve"> i</w:t>
      </w:r>
      <w:r w:rsidR="00C56AFD">
        <w:rPr>
          <w:rFonts w:ascii="Calibri" w:hAnsi="Calibri" w:cs="Calibri"/>
          <w:noProof/>
        </w:rPr>
        <w:t> </w:t>
      </w:r>
      <w:r w:rsidR="00C56AFD">
        <w:rPr>
          <w:noProof/>
        </w:rPr>
        <w:t>Rad</w:t>
      </w:r>
      <w:r>
        <w:rPr>
          <w:noProof/>
        </w:rPr>
        <w:t>a</w:t>
      </w:r>
      <w:r w:rsidR="00C56AFD">
        <w:rPr>
          <w:noProof/>
        </w:rPr>
        <w:t xml:space="preserve"> w</w:t>
      </w:r>
      <w:r w:rsidR="00C56AFD">
        <w:rPr>
          <w:rFonts w:ascii="Calibri" w:hAnsi="Calibri" w:cs="Calibri"/>
          <w:noProof/>
        </w:rPr>
        <w:t> </w:t>
      </w:r>
      <w:r w:rsidR="00C56AFD">
        <w:rPr>
          <w:noProof/>
        </w:rPr>
        <w:t>ram</w:t>
      </w:r>
      <w:r>
        <w:rPr>
          <w:noProof/>
        </w:rPr>
        <w:t>ach rocznej procedury budżetowej, biorąc pod uwagę fakt, że roczna maksymalna kwota wsparcia innego niż</w:t>
      </w:r>
      <w:r w:rsidR="00C56AFD">
        <w:rPr>
          <w:noProof/>
        </w:rPr>
        <w:t xml:space="preserve"> w</w:t>
      </w:r>
      <w:r w:rsidR="00C56AFD">
        <w:rPr>
          <w:rFonts w:ascii="Calibri" w:hAnsi="Calibri" w:cs="Calibri"/>
          <w:noProof/>
        </w:rPr>
        <w:t> </w:t>
      </w:r>
      <w:r w:rsidR="00C56AFD">
        <w:rPr>
          <w:noProof/>
        </w:rPr>
        <w:t>for</w:t>
      </w:r>
      <w:r>
        <w:rPr>
          <w:noProof/>
        </w:rPr>
        <w:t>mie pożyczek wynosi 5 mld EUR. Ponieważ kwoty płatności podlegają corocznym decyzjom Parlamentu</w:t>
      </w:r>
      <w:r w:rsidR="00C56AFD">
        <w:rPr>
          <w:noProof/>
        </w:rPr>
        <w:t xml:space="preserve"> i</w:t>
      </w:r>
      <w:r w:rsidR="00C56AFD">
        <w:rPr>
          <w:rFonts w:ascii="Calibri" w:hAnsi="Calibri" w:cs="Calibri"/>
          <w:noProof/>
        </w:rPr>
        <w:t> </w:t>
      </w:r>
      <w:r w:rsidR="00C56AFD">
        <w:rPr>
          <w:noProof/>
        </w:rPr>
        <w:t>Rad</w:t>
      </w:r>
      <w:r>
        <w:rPr>
          <w:noProof/>
        </w:rPr>
        <w:t>y</w:t>
      </w:r>
      <w:r w:rsidR="00C56AFD">
        <w:rPr>
          <w:noProof/>
        </w:rPr>
        <w:t xml:space="preserve"> w</w:t>
      </w:r>
      <w:r w:rsidR="00C56AFD">
        <w:rPr>
          <w:rFonts w:ascii="Calibri" w:hAnsi="Calibri" w:cs="Calibri"/>
          <w:noProof/>
        </w:rPr>
        <w:t> </w:t>
      </w:r>
      <w:r w:rsidR="00C56AFD">
        <w:rPr>
          <w:noProof/>
        </w:rPr>
        <w:t>kon</w:t>
      </w:r>
      <w:r>
        <w:rPr>
          <w:noProof/>
        </w:rPr>
        <w:t>tekście rocznej procedury budżetowej, zgodnie</w:t>
      </w:r>
      <w:r w:rsidR="00C56AFD">
        <w:rPr>
          <w:noProof/>
        </w:rPr>
        <w:t xml:space="preserve"> z</w:t>
      </w:r>
      <w:r w:rsidR="00C56AFD">
        <w:rPr>
          <w:rFonts w:ascii="Calibri" w:hAnsi="Calibri" w:cs="Calibri"/>
          <w:noProof/>
        </w:rPr>
        <w:t> </w:t>
      </w:r>
      <w:r w:rsidR="00C56AFD">
        <w:rPr>
          <w:noProof/>
        </w:rPr>
        <w:t>roz</w:t>
      </w:r>
      <w:r>
        <w:rPr>
          <w:noProof/>
        </w:rPr>
        <w:t>porządzeniem</w:t>
      </w:r>
      <w:r w:rsidR="00C56AFD">
        <w:rPr>
          <w:noProof/>
        </w:rPr>
        <w:t xml:space="preserve"> w</w:t>
      </w:r>
      <w:r w:rsidR="00C56AFD">
        <w:rPr>
          <w:rFonts w:ascii="Calibri" w:hAnsi="Calibri" w:cs="Calibri"/>
          <w:noProof/>
        </w:rPr>
        <w:t> </w:t>
      </w:r>
      <w:r w:rsidR="00C56AFD">
        <w:rPr>
          <w:noProof/>
        </w:rPr>
        <w:t>spr</w:t>
      </w:r>
      <w:r>
        <w:rPr>
          <w:noProof/>
        </w:rPr>
        <w:t>awie Instrumentu na rzecz Ukrainy</w:t>
      </w:r>
      <w:r w:rsidR="00306CCB">
        <w:rPr>
          <w:rStyle w:val="EndnoteReference"/>
          <w:noProof/>
        </w:rPr>
        <w:endnoteReference w:id="22"/>
      </w:r>
      <w:r>
        <w:rPr>
          <w:noProof/>
        </w:rPr>
        <w:t>,</w:t>
      </w:r>
      <w:r w:rsidR="00C56AFD">
        <w:rPr>
          <w:noProof/>
        </w:rPr>
        <w:t xml:space="preserve"> i</w:t>
      </w:r>
      <w:r w:rsidR="00C56AFD">
        <w:rPr>
          <w:rFonts w:ascii="Calibri" w:hAnsi="Calibri" w:cs="Calibri"/>
          <w:noProof/>
        </w:rPr>
        <w:t> </w:t>
      </w:r>
      <w:r w:rsidR="00C56AFD">
        <w:rPr>
          <w:noProof/>
        </w:rPr>
        <w:t>inf</w:t>
      </w:r>
      <w:r>
        <w:rPr>
          <w:noProof/>
        </w:rPr>
        <w:t>ormacje na temat sposobu wdrażania tego niedawno przyjętego instrumentu nie są wystarczające, nie przedstawiono prognoz dotyczących płatności.</w:t>
      </w:r>
    </w:p>
    <w:p w14:paraId="705EEF86" w14:textId="11C78512" w:rsidR="00861C1C" w:rsidRPr="00390EB1" w:rsidRDefault="003B6DC2">
      <w:pPr>
        <w:pStyle w:val="amprH3Title2-Numbered-11"/>
        <w:rPr>
          <w:noProof/>
        </w:rPr>
      </w:pPr>
      <w:bookmarkStart w:id="17" w:name="_Toc74213162"/>
      <w:bookmarkStart w:id="18" w:name="_Toc170319519"/>
      <w:bookmarkStart w:id="19" w:name="_Hlk136514407"/>
      <w:bookmarkEnd w:id="17"/>
      <w:r>
        <w:rPr>
          <w:noProof/>
        </w:rPr>
        <w:t>Płatności</w:t>
      </w:r>
      <w:r w:rsidR="00C56AFD">
        <w:rPr>
          <w:noProof/>
        </w:rPr>
        <w:t xml:space="preserve"> z</w:t>
      </w:r>
      <w:r w:rsidR="00C56AFD">
        <w:rPr>
          <w:rFonts w:ascii="Calibri" w:hAnsi="Calibri" w:cs="Calibri"/>
          <w:noProof/>
        </w:rPr>
        <w:t> </w:t>
      </w:r>
      <w:r w:rsidR="00C56AFD">
        <w:rPr>
          <w:noProof/>
        </w:rPr>
        <w:t>tyt</w:t>
      </w:r>
      <w:r>
        <w:rPr>
          <w:noProof/>
        </w:rPr>
        <w:t>ułu wykonania zobowiązań pozostających do spłaty</w:t>
      </w:r>
      <w:bookmarkEnd w:id="18"/>
    </w:p>
    <w:bookmarkEnd w:id="19"/>
    <w:p w14:paraId="0517DFB8" w14:textId="48C4B0CD" w:rsidR="00861C1C" w:rsidRPr="00390EB1" w:rsidRDefault="6375D7F3" w:rsidP="23B06DA2">
      <w:pPr>
        <w:spacing w:after="120" w:line="276" w:lineRule="auto"/>
        <w:jc w:val="both"/>
        <w:rPr>
          <w:noProof/>
        </w:rPr>
      </w:pPr>
      <w:r>
        <w:rPr>
          <w:noProof/>
        </w:rPr>
        <w:t>Prognozuje się, że płatności</w:t>
      </w:r>
      <w:r w:rsidR="00C56AFD">
        <w:rPr>
          <w:noProof/>
        </w:rPr>
        <w:t xml:space="preserve"> z</w:t>
      </w:r>
      <w:r w:rsidR="00C56AFD">
        <w:rPr>
          <w:rFonts w:ascii="Calibri" w:hAnsi="Calibri" w:cs="Calibri"/>
          <w:noProof/>
        </w:rPr>
        <w:t> </w:t>
      </w:r>
      <w:r w:rsidR="00C56AFD">
        <w:rPr>
          <w:noProof/>
        </w:rPr>
        <w:t>tyt</w:t>
      </w:r>
      <w:r>
        <w:rPr>
          <w:noProof/>
        </w:rPr>
        <w:t xml:space="preserve">ułu zobowiązań pozostających do spłaty (RAL od fr. </w:t>
      </w:r>
      <w:r>
        <w:rPr>
          <w:i/>
          <w:noProof/>
        </w:rPr>
        <w:t>reste à liquider</w:t>
      </w:r>
      <w:r>
        <w:rPr>
          <w:noProof/>
        </w:rPr>
        <w:t>) wyniosą 24 mld EUR na lata 2025–2029.</w:t>
      </w:r>
    </w:p>
    <w:p w14:paraId="7FEE4904" w14:textId="1D11A859" w:rsidR="00861C1C" w:rsidRPr="00390EB1" w:rsidRDefault="003B6DC2">
      <w:pPr>
        <w:pStyle w:val="amprH4Subhead1"/>
        <w:rPr>
          <w:noProof/>
        </w:rPr>
      </w:pPr>
      <w:r>
        <w:rPr>
          <w:noProof/>
        </w:rPr>
        <w:t>Dział 2a – Polityka spójności</w:t>
      </w:r>
    </w:p>
    <w:p w14:paraId="737420FA" w14:textId="4D2C69F6" w:rsidR="00861C1C" w:rsidRPr="00390EB1" w:rsidRDefault="6375D7F3">
      <w:pPr>
        <w:spacing w:after="120" w:line="276" w:lineRule="auto"/>
        <w:jc w:val="both"/>
        <w:rPr>
          <w:noProof/>
        </w:rPr>
      </w:pPr>
      <w:bookmarkStart w:id="20" w:name="_Hlk136514400"/>
      <w:r>
        <w:rPr>
          <w:noProof/>
        </w:rPr>
        <w:t>Większość płatności</w:t>
      </w:r>
      <w:r w:rsidR="00C56AFD">
        <w:rPr>
          <w:noProof/>
        </w:rPr>
        <w:t xml:space="preserve"> z</w:t>
      </w:r>
      <w:r w:rsidR="00C56AFD">
        <w:rPr>
          <w:rFonts w:ascii="Calibri" w:hAnsi="Calibri" w:cs="Calibri"/>
          <w:noProof/>
        </w:rPr>
        <w:t> </w:t>
      </w:r>
      <w:r w:rsidR="00C56AFD">
        <w:rPr>
          <w:noProof/>
        </w:rPr>
        <w:t>tyt</w:t>
      </w:r>
      <w:r>
        <w:rPr>
          <w:noProof/>
        </w:rPr>
        <w:t>ułu zobowiązań sprzed 20</w:t>
      </w:r>
      <w:r w:rsidRPr="00C56AFD">
        <w:rPr>
          <w:noProof/>
        </w:rPr>
        <w:t>21</w:t>
      </w:r>
      <w:r w:rsidR="00C56AFD" w:rsidRPr="00C56AFD">
        <w:rPr>
          <w:rFonts w:ascii="Calibri" w:hAnsi="Calibri" w:cs="Calibri"/>
          <w:noProof/>
        </w:rPr>
        <w:t> </w:t>
      </w:r>
      <w:r w:rsidRPr="00C56AFD">
        <w:rPr>
          <w:noProof/>
        </w:rPr>
        <w:t>r.</w:t>
      </w:r>
      <w:r>
        <w:rPr>
          <w:noProof/>
        </w:rPr>
        <w:t xml:space="preserve"> odnosi się do programów</w:t>
      </w:r>
      <w:r w:rsidR="00C56AFD">
        <w:rPr>
          <w:noProof/>
        </w:rPr>
        <w:t xml:space="preserve"> w</w:t>
      </w:r>
      <w:r w:rsidR="00C56AFD">
        <w:rPr>
          <w:rFonts w:ascii="Calibri" w:hAnsi="Calibri" w:cs="Calibri"/>
          <w:noProof/>
        </w:rPr>
        <w:t> </w:t>
      </w:r>
      <w:r w:rsidR="00C56AFD">
        <w:rPr>
          <w:noProof/>
        </w:rPr>
        <w:t>ram</w:t>
      </w:r>
      <w:r>
        <w:rPr>
          <w:noProof/>
        </w:rPr>
        <w:t>ach polityki spójności, które są bliskie zamknięcia. Prognozy dotyczące płatności opierają się na najnowszych prognozach państw członkowskich (styczeń 20</w:t>
      </w:r>
      <w:r w:rsidRPr="00C56AFD">
        <w:rPr>
          <w:noProof/>
        </w:rPr>
        <w:t>24</w:t>
      </w:r>
      <w:r w:rsidR="00C56AFD" w:rsidRPr="00C56AFD">
        <w:rPr>
          <w:rFonts w:ascii="Calibri" w:hAnsi="Calibri" w:cs="Calibri"/>
          <w:noProof/>
        </w:rPr>
        <w:t> </w:t>
      </w:r>
      <w:r w:rsidRPr="00C56AFD">
        <w:rPr>
          <w:noProof/>
        </w:rPr>
        <w:t>r.</w:t>
      </w:r>
      <w:r>
        <w:rPr>
          <w:noProof/>
        </w:rPr>
        <w:t>)</w:t>
      </w:r>
      <w:r w:rsidR="00C56AFD">
        <w:rPr>
          <w:noProof/>
        </w:rPr>
        <w:t xml:space="preserve"> i</w:t>
      </w:r>
      <w:r w:rsidR="00C56AFD">
        <w:rPr>
          <w:rFonts w:ascii="Calibri" w:hAnsi="Calibri" w:cs="Calibri"/>
          <w:noProof/>
        </w:rPr>
        <w:t> </w:t>
      </w:r>
      <w:r w:rsidR="00C56AFD">
        <w:rPr>
          <w:noProof/>
        </w:rPr>
        <w:t>inf</w:t>
      </w:r>
      <w:r>
        <w:rPr>
          <w:noProof/>
        </w:rPr>
        <w:t xml:space="preserve">ormacjach dotyczących praktycznego wdrażania. </w:t>
      </w:r>
    </w:p>
    <w:p w14:paraId="38873935" w14:textId="6C54FF19" w:rsidR="00861C1C" w:rsidRPr="00390EB1" w:rsidRDefault="006168D0">
      <w:pPr>
        <w:spacing w:after="120" w:line="276" w:lineRule="auto"/>
        <w:jc w:val="both"/>
        <w:rPr>
          <w:noProof/>
        </w:rPr>
      </w:pPr>
      <w:r>
        <w:rPr>
          <w:noProof/>
        </w:rPr>
        <w:t>W związku ze zmianami zaproponowanymi w STEP termin składania ostatecznego wniosku</w:t>
      </w:r>
      <w:r w:rsidR="00C56AFD">
        <w:rPr>
          <w:noProof/>
        </w:rPr>
        <w:t xml:space="preserve"> o</w:t>
      </w:r>
      <w:r w:rsidR="00C56AFD">
        <w:rPr>
          <w:rFonts w:ascii="Calibri" w:hAnsi="Calibri" w:cs="Calibri"/>
          <w:noProof/>
        </w:rPr>
        <w:t> </w:t>
      </w:r>
      <w:r w:rsidR="00C56AFD">
        <w:rPr>
          <w:noProof/>
        </w:rPr>
        <w:t>pła</w:t>
      </w:r>
      <w:r>
        <w:rPr>
          <w:noProof/>
        </w:rPr>
        <w:t>tność okresową za ostatni rok obrachunkowy został przedłużony</w:t>
      </w:r>
      <w:r w:rsidR="00C56AFD">
        <w:rPr>
          <w:noProof/>
        </w:rPr>
        <w:t xml:space="preserve"> o</w:t>
      </w:r>
      <w:r w:rsidR="00C56AFD">
        <w:rPr>
          <w:rFonts w:ascii="Calibri" w:hAnsi="Calibri" w:cs="Calibri"/>
          <w:noProof/>
        </w:rPr>
        <w:t> </w:t>
      </w:r>
      <w:r w:rsidR="00C56AFD">
        <w:rPr>
          <w:noProof/>
        </w:rPr>
        <w:t>1</w:t>
      </w:r>
      <w:r>
        <w:rPr>
          <w:noProof/>
        </w:rPr>
        <w:t>2 miesięcy, tj. do dnia 31 lipca 20</w:t>
      </w:r>
      <w:r w:rsidRPr="00C56AFD">
        <w:rPr>
          <w:noProof/>
        </w:rPr>
        <w:t>25</w:t>
      </w:r>
      <w:r w:rsidR="00C56AFD" w:rsidRPr="00C56AFD">
        <w:rPr>
          <w:rFonts w:ascii="Calibri" w:hAnsi="Calibri" w:cs="Calibri"/>
          <w:noProof/>
        </w:rPr>
        <w:t> </w:t>
      </w:r>
      <w:r w:rsidRPr="00C56AFD">
        <w:rPr>
          <w:noProof/>
        </w:rPr>
        <w:t>r.</w:t>
      </w:r>
      <w:r>
        <w:rPr>
          <w:noProof/>
        </w:rPr>
        <w:t xml:space="preserve"> W 20</w:t>
      </w:r>
      <w:r w:rsidRPr="00C56AFD">
        <w:rPr>
          <w:noProof/>
        </w:rPr>
        <w:t>25</w:t>
      </w:r>
      <w:r w:rsidR="00C56AFD" w:rsidRPr="00C56AFD">
        <w:rPr>
          <w:rFonts w:ascii="Calibri" w:hAnsi="Calibri" w:cs="Calibri"/>
          <w:noProof/>
        </w:rPr>
        <w:t> </w:t>
      </w:r>
      <w:r w:rsidRPr="00C56AFD">
        <w:rPr>
          <w:noProof/>
        </w:rPr>
        <w:t>r.</w:t>
      </w:r>
      <w:r>
        <w:rPr>
          <w:noProof/>
        </w:rPr>
        <w:t xml:space="preserve"> i po nim spodziewane są jednak ograniczone płatności, biorąc pod uwagę wskaźnik retencji</w:t>
      </w:r>
      <w:r w:rsidR="00C56AFD">
        <w:rPr>
          <w:noProof/>
        </w:rPr>
        <w:t xml:space="preserve"> i</w:t>
      </w:r>
      <w:r w:rsidR="00C56AFD">
        <w:rPr>
          <w:rFonts w:ascii="Calibri" w:hAnsi="Calibri" w:cs="Calibri"/>
          <w:noProof/>
        </w:rPr>
        <w:t> </w:t>
      </w:r>
      <w:r w:rsidR="00C56AFD">
        <w:rPr>
          <w:noProof/>
        </w:rPr>
        <w:t>roz</w:t>
      </w:r>
      <w:r>
        <w:rPr>
          <w:noProof/>
        </w:rPr>
        <w:t xml:space="preserve">liczenie płatności zaliczkowych. </w:t>
      </w:r>
    </w:p>
    <w:bookmarkEnd w:id="20"/>
    <w:p w14:paraId="36AA7ED2" w14:textId="7E6331FA" w:rsidR="00861C1C" w:rsidRPr="00390EB1" w:rsidRDefault="003B6DC2">
      <w:pPr>
        <w:pStyle w:val="amprH4Subhead1"/>
        <w:rPr>
          <w:noProof/>
        </w:rPr>
      </w:pPr>
      <w:r>
        <w:rPr>
          <w:noProof/>
        </w:rPr>
        <w:t xml:space="preserve">Dział 3 – Wspólna polityka rolna </w:t>
      </w:r>
    </w:p>
    <w:p w14:paraId="45D00C97" w14:textId="0C4A62E6" w:rsidR="00861C1C" w:rsidRPr="00390EB1" w:rsidRDefault="0EC21B4F" w:rsidP="14282FF8">
      <w:pPr>
        <w:pStyle w:val="amprH4Subhead1"/>
        <w:jc w:val="both"/>
        <w:rPr>
          <w:rFonts w:eastAsiaTheme="minorEastAsia" w:cstheme="minorBidi"/>
          <w:noProof/>
          <w:color w:val="auto"/>
          <w:sz w:val="20"/>
          <w:szCs w:val="20"/>
        </w:rPr>
      </w:pPr>
      <w:r>
        <w:rPr>
          <w:noProof/>
          <w:color w:val="auto"/>
          <w:sz w:val="20"/>
        </w:rPr>
        <w:t>Podobnie jak</w:t>
      </w:r>
      <w:r w:rsidR="00C56AFD">
        <w:rPr>
          <w:noProof/>
          <w:color w:val="auto"/>
          <w:sz w:val="20"/>
        </w:rPr>
        <w:t xml:space="preserve"> w</w:t>
      </w:r>
      <w:r w:rsidR="00C56AFD">
        <w:rPr>
          <w:rFonts w:ascii="Calibri" w:hAnsi="Calibri" w:cs="Calibri"/>
          <w:noProof/>
          <w:color w:val="auto"/>
          <w:sz w:val="20"/>
        </w:rPr>
        <w:t> </w:t>
      </w:r>
      <w:r w:rsidR="00C56AFD">
        <w:rPr>
          <w:noProof/>
          <w:color w:val="auto"/>
          <w:sz w:val="20"/>
        </w:rPr>
        <w:t>pop</w:t>
      </w:r>
      <w:r>
        <w:rPr>
          <w:noProof/>
          <w:color w:val="auto"/>
          <w:sz w:val="20"/>
        </w:rPr>
        <w:t xml:space="preserve">rzedniej prognozie zakończenie operacyjnych programów rozwoju obszarów wiejskich na lata 2014–2022 przewiduje się </w:t>
      </w:r>
      <w:r w:rsidRPr="00C56AFD">
        <w:rPr>
          <w:noProof/>
          <w:color w:val="auto"/>
          <w:sz w:val="20"/>
        </w:rPr>
        <w:t>na</w:t>
      </w:r>
      <w:r w:rsidR="00C56AFD" w:rsidRPr="00C56AFD">
        <w:rPr>
          <w:rFonts w:ascii="Calibri" w:hAnsi="Calibri" w:cs="Calibri"/>
          <w:noProof/>
          <w:color w:val="auto"/>
          <w:sz w:val="20"/>
        </w:rPr>
        <w:t> </w:t>
      </w:r>
      <w:r w:rsidRPr="00C56AFD">
        <w:rPr>
          <w:noProof/>
          <w:color w:val="auto"/>
          <w:sz w:val="20"/>
        </w:rPr>
        <w:t>2</w:t>
      </w:r>
      <w:r>
        <w:rPr>
          <w:noProof/>
          <w:color w:val="auto"/>
          <w:sz w:val="20"/>
        </w:rPr>
        <w:t>0</w:t>
      </w:r>
      <w:r w:rsidRPr="00C56AFD">
        <w:rPr>
          <w:noProof/>
          <w:color w:val="auto"/>
          <w:sz w:val="20"/>
        </w:rPr>
        <w:t>26</w:t>
      </w:r>
      <w:r w:rsidR="00C56AFD" w:rsidRPr="00C56AFD">
        <w:rPr>
          <w:rFonts w:ascii="Calibri" w:hAnsi="Calibri" w:cs="Calibri"/>
          <w:noProof/>
          <w:color w:val="auto"/>
          <w:sz w:val="20"/>
        </w:rPr>
        <w:t> </w:t>
      </w:r>
      <w:r w:rsidRPr="00C56AFD">
        <w:rPr>
          <w:noProof/>
          <w:color w:val="auto"/>
          <w:sz w:val="20"/>
        </w:rPr>
        <w:t>r.</w:t>
      </w:r>
      <w:r>
        <w:rPr>
          <w:noProof/>
          <w:color w:val="auto"/>
          <w:sz w:val="20"/>
        </w:rPr>
        <w:t xml:space="preserve">, przy czym płatności </w:t>
      </w:r>
      <w:r w:rsidRPr="00C56AFD">
        <w:rPr>
          <w:noProof/>
          <w:color w:val="auto"/>
          <w:sz w:val="20"/>
        </w:rPr>
        <w:t>na</w:t>
      </w:r>
      <w:r w:rsidR="00C56AFD" w:rsidRPr="00C56AFD">
        <w:rPr>
          <w:rFonts w:ascii="Calibri" w:hAnsi="Calibri" w:cs="Calibri"/>
          <w:noProof/>
          <w:color w:val="auto"/>
          <w:sz w:val="20"/>
        </w:rPr>
        <w:t> </w:t>
      </w:r>
      <w:r w:rsidRPr="00C56AFD">
        <w:rPr>
          <w:noProof/>
          <w:color w:val="auto"/>
          <w:sz w:val="20"/>
        </w:rPr>
        <w:t>2</w:t>
      </w:r>
      <w:r>
        <w:rPr>
          <w:noProof/>
          <w:color w:val="auto"/>
          <w:sz w:val="20"/>
        </w:rPr>
        <w:t>0</w:t>
      </w:r>
      <w:r w:rsidRPr="00C56AFD">
        <w:rPr>
          <w:noProof/>
          <w:color w:val="auto"/>
          <w:sz w:val="20"/>
        </w:rPr>
        <w:t>27</w:t>
      </w:r>
      <w:r w:rsidR="00C56AFD" w:rsidRPr="00C56AFD">
        <w:rPr>
          <w:rFonts w:ascii="Calibri" w:hAnsi="Calibri" w:cs="Calibri"/>
          <w:noProof/>
          <w:color w:val="auto"/>
          <w:sz w:val="20"/>
        </w:rPr>
        <w:t> </w:t>
      </w:r>
      <w:r w:rsidRPr="00C56AFD">
        <w:rPr>
          <w:noProof/>
          <w:color w:val="auto"/>
          <w:sz w:val="20"/>
        </w:rPr>
        <w:t>r.</w:t>
      </w:r>
      <w:r>
        <w:rPr>
          <w:noProof/>
          <w:color w:val="auto"/>
          <w:sz w:val="20"/>
        </w:rPr>
        <w:t xml:space="preserve"> będą bardzo ograniczone. Większość płatności okresowych ma zostać wypłacona</w:t>
      </w:r>
      <w:r w:rsidR="00C56AFD">
        <w:rPr>
          <w:noProof/>
          <w:color w:val="auto"/>
          <w:sz w:val="20"/>
        </w:rPr>
        <w:t xml:space="preserve"> w</w:t>
      </w:r>
      <w:r w:rsidR="00C56AFD">
        <w:rPr>
          <w:rFonts w:ascii="Calibri" w:hAnsi="Calibri" w:cs="Calibri"/>
          <w:noProof/>
          <w:color w:val="auto"/>
          <w:sz w:val="20"/>
        </w:rPr>
        <w:t> </w:t>
      </w:r>
      <w:r w:rsidR="00C56AFD">
        <w:rPr>
          <w:noProof/>
          <w:color w:val="auto"/>
          <w:sz w:val="20"/>
        </w:rPr>
        <w:t>2</w:t>
      </w:r>
      <w:r>
        <w:rPr>
          <w:noProof/>
          <w:color w:val="auto"/>
          <w:sz w:val="20"/>
        </w:rPr>
        <w:t>0</w:t>
      </w:r>
      <w:r w:rsidRPr="00C56AFD">
        <w:rPr>
          <w:noProof/>
          <w:color w:val="auto"/>
          <w:sz w:val="20"/>
        </w:rPr>
        <w:t>25</w:t>
      </w:r>
      <w:r w:rsidR="00C56AFD" w:rsidRPr="00C56AFD">
        <w:rPr>
          <w:rFonts w:ascii="Calibri" w:hAnsi="Calibri" w:cs="Calibri"/>
          <w:noProof/>
          <w:color w:val="auto"/>
          <w:sz w:val="20"/>
        </w:rPr>
        <w:t> </w:t>
      </w:r>
      <w:r w:rsidRPr="00C56AFD">
        <w:rPr>
          <w:noProof/>
          <w:color w:val="auto"/>
          <w:sz w:val="20"/>
        </w:rPr>
        <w:t>r.</w:t>
      </w:r>
      <w:r>
        <w:rPr>
          <w:noProof/>
          <w:color w:val="auto"/>
          <w:sz w:val="20"/>
        </w:rPr>
        <w:t>,</w:t>
      </w:r>
      <w:r w:rsidR="00C56AFD">
        <w:rPr>
          <w:noProof/>
          <w:color w:val="auto"/>
          <w:sz w:val="20"/>
        </w:rPr>
        <w:t xml:space="preserve"> a</w:t>
      </w:r>
      <w:r w:rsidR="00C56AFD">
        <w:rPr>
          <w:rFonts w:ascii="Calibri" w:hAnsi="Calibri" w:cs="Calibri"/>
          <w:noProof/>
          <w:color w:val="auto"/>
          <w:sz w:val="20"/>
        </w:rPr>
        <w:t> </w:t>
      </w:r>
      <w:r w:rsidR="00C56AFD">
        <w:rPr>
          <w:noProof/>
          <w:color w:val="auto"/>
          <w:sz w:val="20"/>
        </w:rPr>
        <w:t>wię</w:t>
      </w:r>
      <w:r>
        <w:rPr>
          <w:noProof/>
          <w:color w:val="auto"/>
          <w:sz w:val="20"/>
        </w:rPr>
        <w:t>ksza kwota płatności</w:t>
      </w:r>
      <w:r w:rsidR="00C56AFD">
        <w:rPr>
          <w:noProof/>
          <w:color w:val="auto"/>
          <w:sz w:val="20"/>
        </w:rPr>
        <w:t xml:space="preserve"> w</w:t>
      </w:r>
      <w:r w:rsidR="00C56AFD">
        <w:rPr>
          <w:rFonts w:ascii="Calibri" w:hAnsi="Calibri" w:cs="Calibri"/>
          <w:noProof/>
          <w:color w:val="auto"/>
          <w:sz w:val="20"/>
        </w:rPr>
        <w:t> </w:t>
      </w:r>
      <w:r w:rsidR="00C56AFD">
        <w:rPr>
          <w:noProof/>
          <w:color w:val="auto"/>
          <w:sz w:val="20"/>
        </w:rPr>
        <w:t>2</w:t>
      </w:r>
      <w:r>
        <w:rPr>
          <w:noProof/>
          <w:color w:val="auto"/>
          <w:sz w:val="20"/>
        </w:rPr>
        <w:t>0</w:t>
      </w:r>
      <w:r w:rsidRPr="00C56AFD">
        <w:rPr>
          <w:noProof/>
          <w:color w:val="auto"/>
          <w:sz w:val="20"/>
        </w:rPr>
        <w:t>26</w:t>
      </w:r>
      <w:r w:rsidR="00C56AFD" w:rsidRPr="00C56AFD">
        <w:rPr>
          <w:rFonts w:ascii="Calibri" w:hAnsi="Calibri" w:cs="Calibri"/>
          <w:noProof/>
          <w:color w:val="auto"/>
          <w:sz w:val="20"/>
        </w:rPr>
        <w:t> </w:t>
      </w:r>
      <w:r w:rsidRPr="00C56AFD">
        <w:rPr>
          <w:noProof/>
          <w:color w:val="auto"/>
          <w:sz w:val="20"/>
        </w:rPr>
        <w:t>r.</w:t>
      </w:r>
      <w:r>
        <w:rPr>
          <w:noProof/>
          <w:color w:val="auto"/>
          <w:sz w:val="20"/>
        </w:rPr>
        <w:t xml:space="preserve"> wynika</w:t>
      </w:r>
      <w:r w:rsidR="00C56AFD">
        <w:rPr>
          <w:noProof/>
          <w:color w:val="auto"/>
          <w:sz w:val="20"/>
        </w:rPr>
        <w:t xml:space="preserve"> z</w:t>
      </w:r>
      <w:r w:rsidR="00C56AFD">
        <w:rPr>
          <w:rFonts w:ascii="Calibri" w:hAnsi="Calibri" w:cs="Calibri"/>
          <w:noProof/>
          <w:color w:val="auto"/>
          <w:sz w:val="20"/>
        </w:rPr>
        <w:t> </w:t>
      </w:r>
      <w:r w:rsidR="00C56AFD">
        <w:rPr>
          <w:noProof/>
          <w:color w:val="auto"/>
          <w:sz w:val="20"/>
        </w:rPr>
        <w:t>ocz</w:t>
      </w:r>
      <w:r>
        <w:rPr>
          <w:noProof/>
          <w:color w:val="auto"/>
          <w:sz w:val="20"/>
        </w:rPr>
        <w:t>ekiwanych płatności EFRROW</w:t>
      </w:r>
      <w:r w:rsidR="00C56AFD">
        <w:rPr>
          <w:noProof/>
          <w:color w:val="auto"/>
          <w:sz w:val="20"/>
        </w:rPr>
        <w:t xml:space="preserve"> w</w:t>
      </w:r>
      <w:r w:rsidR="00C56AFD">
        <w:rPr>
          <w:rFonts w:ascii="Calibri" w:hAnsi="Calibri" w:cs="Calibri"/>
          <w:noProof/>
          <w:color w:val="auto"/>
          <w:sz w:val="20"/>
        </w:rPr>
        <w:t> </w:t>
      </w:r>
      <w:r w:rsidR="00C56AFD">
        <w:rPr>
          <w:noProof/>
          <w:color w:val="auto"/>
          <w:sz w:val="20"/>
        </w:rPr>
        <w:t>mom</w:t>
      </w:r>
      <w:r>
        <w:rPr>
          <w:noProof/>
          <w:color w:val="auto"/>
          <w:sz w:val="20"/>
        </w:rPr>
        <w:t>encie zamknięcia.</w:t>
      </w:r>
    </w:p>
    <w:p w14:paraId="597FCF93" w14:textId="163E666B" w:rsidR="00861C1C" w:rsidRPr="00390EB1" w:rsidRDefault="003B6DC2">
      <w:pPr>
        <w:pStyle w:val="amprH4Subhead1"/>
        <w:rPr>
          <w:noProof/>
        </w:rPr>
      </w:pPr>
      <w:r>
        <w:rPr>
          <w:noProof/>
        </w:rPr>
        <w:t>Pozostałe programy</w:t>
      </w:r>
      <w:r w:rsidR="00C56AFD">
        <w:rPr>
          <w:noProof/>
        </w:rPr>
        <w:t xml:space="preserve"> i</w:t>
      </w:r>
      <w:r w:rsidR="00C56AFD">
        <w:rPr>
          <w:rFonts w:ascii="Calibri" w:hAnsi="Calibri" w:cs="Calibri"/>
          <w:noProof/>
        </w:rPr>
        <w:t> </w:t>
      </w:r>
      <w:r w:rsidR="00C56AFD">
        <w:rPr>
          <w:noProof/>
        </w:rPr>
        <w:t>dzi</w:t>
      </w:r>
      <w:r>
        <w:rPr>
          <w:noProof/>
        </w:rPr>
        <w:t>ały</w:t>
      </w:r>
    </w:p>
    <w:p w14:paraId="4C9023B1" w14:textId="16F1687E" w:rsidR="00861C1C" w:rsidRPr="00390EB1" w:rsidRDefault="003B6DC2">
      <w:pPr>
        <w:spacing w:after="120" w:line="276" w:lineRule="auto"/>
        <w:jc w:val="both"/>
        <w:rPr>
          <w:noProof/>
        </w:rPr>
      </w:pPr>
      <w:r>
        <w:rPr>
          <w:noProof/>
        </w:rPr>
        <w:t>Większość zaległych płatności</w:t>
      </w:r>
      <w:r w:rsidR="00C56AFD">
        <w:rPr>
          <w:noProof/>
        </w:rPr>
        <w:t xml:space="preserve"> w</w:t>
      </w:r>
      <w:r w:rsidR="00C56AFD">
        <w:rPr>
          <w:rFonts w:ascii="Calibri" w:hAnsi="Calibri" w:cs="Calibri"/>
          <w:noProof/>
        </w:rPr>
        <w:t> </w:t>
      </w:r>
      <w:r w:rsidR="00C56AFD">
        <w:rPr>
          <w:noProof/>
        </w:rPr>
        <w:t>poz</w:t>
      </w:r>
      <w:r>
        <w:rPr>
          <w:noProof/>
        </w:rPr>
        <w:t>ostałych częściach budżetu jest rozłożona między działem 1 – Jednolity rynek, innowacje</w:t>
      </w:r>
      <w:r w:rsidR="00C56AFD">
        <w:rPr>
          <w:noProof/>
        </w:rPr>
        <w:t xml:space="preserve"> i</w:t>
      </w:r>
      <w:r w:rsidR="00C56AFD">
        <w:rPr>
          <w:rFonts w:ascii="Calibri" w:hAnsi="Calibri" w:cs="Calibri"/>
          <w:noProof/>
        </w:rPr>
        <w:t> </w:t>
      </w:r>
      <w:r w:rsidR="00C56AFD">
        <w:rPr>
          <w:noProof/>
        </w:rPr>
        <w:t>gos</w:t>
      </w:r>
      <w:r>
        <w:rPr>
          <w:noProof/>
        </w:rPr>
        <w:t>podarka cyfrowa – oraz działem 6 – Sąsiedztwo</w:t>
      </w:r>
      <w:r w:rsidR="00C56AFD">
        <w:rPr>
          <w:noProof/>
        </w:rPr>
        <w:t xml:space="preserve"> i</w:t>
      </w:r>
      <w:r w:rsidR="00C56AFD">
        <w:rPr>
          <w:rFonts w:ascii="Calibri" w:hAnsi="Calibri" w:cs="Calibri"/>
          <w:noProof/>
        </w:rPr>
        <w:t> </w:t>
      </w:r>
      <w:r w:rsidR="00C56AFD">
        <w:rPr>
          <w:noProof/>
        </w:rPr>
        <w:t>świ</w:t>
      </w:r>
      <w:r>
        <w:rPr>
          <w:noProof/>
        </w:rPr>
        <w:t>at. Obecnie oczekuje się, na podstawie najnowszych informacji na temat wdrażania</w:t>
      </w:r>
      <w:r w:rsidR="00C56AFD">
        <w:rPr>
          <w:noProof/>
        </w:rPr>
        <w:t xml:space="preserve"> w</w:t>
      </w:r>
      <w:r w:rsidR="00C56AFD">
        <w:rPr>
          <w:rFonts w:ascii="Calibri" w:hAnsi="Calibri" w:cs="Calibri"/>
          <w:noProof/>
        </w:rPr>
        <w:t> </w:t>
      </w:r>
      <w:r w:rsidR="00C56AFD">
        <w:rPr>
          <w:noProof/>
        </w:rPr>
        <w:t>ter</w:t>
      </w:r>
      <w:r>
        <w:rPr>
          <w:noProof/>
        </w:rPr>
        <w:t>enie, że ukończenie</w:t>
      </w:r>
      <w:r w:rsidR="00C56AFD">
        <w:rPr>
          <w:noProof/>
        </w:rPr>
        <w:t xml:space="preserve"> w</w:t>
      </w:r>
      <w:r w:rsidR="00C56AFD">
        <w:rPr>
          <w:rFonts w:ascii="Calibri" w:hAnsi="Calibri" w:cs="Calibri"/>
          <w:noProof/>
        </w:rPr>
        <w:t> </w:t>
      </w:r>
      <w:r w:rsidR="00C56AFD">
        <w:rPr>
          <w:noProof/>
        </w:rPr>
        <w:t>ram</w:t>
      </w:r>
      <w:r>
        <w:rPr>
          <w:noProof/>
        </w:rPr>
        <w:t>ach działu 1 nastąpi wcześniej niż poprzednio szacowano.</w:t>
      </w:r>
    </w:p>
    <w:p w14:paraId="39623D05" w14:textId="5AD8B7CB" w:rsidR="00861C1C" w:rsidRPr="00390EB1" w:rsidRDefault="003B6DC2">
      <w:pPr>
        <w:pStyle w:val="amprH3Title2-Numbered-11"/>
        <w:rPr>
          <w:noProof/>
        </w:rPr>
      </w:pPr>
      <w:bookmarkStart w:id="21" w:name="_Toc71370937"/>
      <w:bookmarkStart w:id="22" w:name="_Toc71377349"/>
      <w:bookmarkStart w:id="23" w:name="_Toc71392500"/>
      <w:bookmarkStart w:id="24" w:name="_Toc71399666"/>
      <w:bookmarkStart w:id="25" w:name="_Toc71454330"/>
      <w:bookmarkStart w:id="26" w:name="_Toc71462280"/>
      <w:bookmarkStart w:id="27" w:name="_Toc71462312"/>
      <w:bookmarkStart w:id="28" w:name="_Toc71370938"/>
      <w:bookmarkStart w:id="29" w:name="_Toc71377350"/>
      <w:bookmarkStart w:id="30" w:name="_Toc71392501"/>
      <w:bookmarkStart w:id="31" w:name="_Toc71399667"/>
      <w:bookmarkStart w:id="32" w:name="_Toc71454331"/>
      <w:bookmarkStart w:id="33" w:name="_Toc71462281"/>
      <w:bookmarkStart w:id="34" w:name="_Toc71462313"/>
      <w:bookmarkStart w:id="35" w:name="_Toc71370939"/>
      <w:bookmarkStart w:id="36" w:name="_Toc71377351"/>
      <w:bookmarkStart w:id="37" w:name="_Toc71392502"/>
      <w:bookmarkStart w:id="38" w:name="_Toc71399668"/>
      <w:bookmarkStart w:id="39" w:name="_Toc71454332"/>
      <w:bookmarkStart w:id="40" w:name="_Toc71462282"/>
      <w:bookmarkStart w:id="41" w:name="_Toc71462314"/>
      <w:bookmarkStart w:id="42" w:name="_Toc71224921"/>
      <w:bookmarkStart w:id="43" w:name="_Toc71226625"/>
      <w:bookmarkStart w:id="44" w:name="_Toc71232395"/>
      <w:bookmarkStart w:id="45" w:name="_Toc71370940"/>
      <w:bookmarkStart w:id="46" w:name="_Toc71377352"/>
      <w:bookmarkStart w:id="47" w:name="_Toc71392503"/>
      <w:bookmarkStart w:id="48" w:name="_Toc71399669"/>
      <w:bookmarkStart w:id="49" w:name="_Toc71454333"/>
      <w:bookmarkStart w:id="50" w:name="_Toc71462283"/>
      <w:bookmarkStart w:id="51" w:name="_Toc71462315"/>
      <w:bookmarkStart w:id="52" w:name="_Toc71224922"/>
      <w:bookmarkStart w:id="53" w:name="_Toc71226626"/>
      <w:bookmarkStart w:id="54" w:name="_Toc71232396"/>
      <w:bookmarkStart w:id="55" w:name="_Toc71370941"/>
      <w:bookmarkStart w:id="56" w:name="_Toc71377353"/>
      <w:bookmarkStart w:id="57" w:name="_Toc71392504"/>
      <w:bookmarkStart w:id="58" w:name="_Toc71399670"/>
      <w:bookmarkStart w:id="59" w:name="_Toc71454334"/>
      <w:bookmarkStart w:id="60" w:name="_Toc71462284"/>
      <w:bookmarkStart w:id="61" w:name="_Toc71462316"/>
      <w:bookmarkStart w:id="62" w:name="_Toc524523063"/>
      <w:bookmarkStart w:id="63" w:name="_Toc1703195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Pr>
          <w:noProof/>
        </w:rPr>
        <w:t>Umorzenia</w:t>
      </w:r>
      <w:bookmarkEnd w:id="62"/>
      <w:bookmarkEnd w:id="63"/>
    </w:p>
    <w:p w14:paraId="08CBB9D1" w14:textId="7295ADA3" w:rsidR="00861C1C" w:rsidRPr="00390EB1" w:rsidRDefault="6375D7F3">
      <w:pPr>
        <w:spacing w:after="120" w:line="276" w:lineRule="auto"/>
        <w:jc w:val="both"/>
        <w:rPr>
          <w:noProof/>
        </w:rPr>
      </w:pPr>
      <w:r>
        <w:rPr>
          <w:noProof/>
        </w:rPr>
        <w:t>Prognozowane umorzenia wynikające</w:t>
      </w:r>
      <w:r w:rsidR="00C56AFD">
        <w:rPr>
          <w:noProof/>
        </w:rPr>
        <w:t xml:space="preserve"> z</w:t>
      </w:r>
      <w:r w:rsidR="00C56AFD">
        <w:rPr>
          <w:rFonts w:ascii="Calibri" w:hAnsi="Calibri" w:cs="Calibri"/>
          <w:noProof/>
        </w:rPr>
        <w:t> </w:t>
      </w:r>
      <w:r w:rsidR="00C56AFD">
        <w:rPr>
          <w:noProof/>
        </w:rPr>
        <w:t>pro</w:t>
      </w:r>
      <w:r>
        <w:rPr>
          <w:noProof/>
        </w:rPr>
        <w:t>gramów obecnych</w:t>
      </w:r>
      <w:r w:rsidR="00C56AFD">
        <w:rPr>
          <w:noProof/>
        </w:rPr>
        <w:t xml:space="preserve"> i</w:t>
      </w:r>
      <w:r w:rsidR="00C56AFD">
        <w:rPr>
          <w:rFonts w:ascii="Calibri" w:hAnsi="Calibri" w:cs="Calibri"/>
          <w:noProof/>
        </w:rPr>
        <w:t> </w:t>
      </w:r>
      <w:r w:rsidR="00C56AFD">
        <w:rPr>
          <w:noProof/>
        </w:rPr>
        <w:t>pop</w:t>
      </w:r>
      <w:r>
        <w:rPr>
          <w:noProof/>
        </w:rPr>
        <w:t>rzednich WRF na lata 2025–2027 wynoszą 8,8 mld EUR, co oznacza wzrost</w:t>
      </w:r>
      <w:r w:rsidR="00C56AFD">
        <w:rPr>
          <w:noProof/>
        </w:rPr>
        <w:t xml:space="preserve"> w</w:t>
      </w:r>
      <w:r w:rsidR="00C56AFD">
        <w:rPr>
          <w:rFonts w:ascii="Calibri" w:hAnsi="Calibri" w:cs="Calibri"/>
          <w:noProof/>
        </w:rPr>
        <w:t> </w:t>
      </w:r>
      <w:r w:rsidR="00C56AFD">
        <w:rPr>
          <w:noProof/>
        </w:rPr>
        <w:t>por</w:t>
      </w:r>
      <w:r>
        <w:rPr>
          <w:noProof/>
        </w:rPr>
        <w:t>ównaniu</w:t>
      </w:r>
      <w:r w:rsidR="00C56AFD">
        <w:rPr>
          <w:noProof/>
        </w:rPr>
        <w:t xml:space="preserve"> z</w:t>
      </w:r>
      <w:r w:rsidR="00C56AFD">
        <w:rPr>
          <w:rFonts w:ascii="Calibri" w:hAnsi="Calibri" w:cs="Calibri"/>
          <w:noProof/>
        </w:rPr>
        <w:t> </w:t>
      </w:r>
      <w:r w:rsidR="00C56AFD">
        <w:rPr>
          <w:noProof/>
        </w:rPr>
        <w:t>ubi</w:t>
      </w:r>
      <w:r>
        <w:rPr>
          <w:noProof/>
        </w:rPr>
        <w:t>egłorocznymi prognozami na lata 2024–2027. Wzrost ten wynika głównie</w:t>
      </w:r>
      <w:r w:rsidR="00C56AFD">
        <w:rPr>
          <w:noProof/>
        </w:rPr>
        <w:t xml:space="preserve"> z</w:t>
      </w:r>
      <w:r w:rsidR="00C56AFD">
        <w:rPr>
          <w:rFonts w:ascii="Calibri" w:hAnsi="Calibri" w:cs="Calibri"/>
          <w:noProof/>
        </w:rPr>
        <w:t> </w:t>
      </w:r>
      <w:r w:rsidR="00C56AFD">
        <w:rPr>
          <w:noProof/>
        </w:rPr>
        <w:t>pro</w:t>
      </w:r>
      <w:r>
        <w:rPr>
          <w:noProof/>
        </w:rPr>
        <w:t>gramów</w:t>
      </w:r>
      <w:r w:rsidR="00C56AFD">
        <w:rPr>
          <w:noProof/>
        </w:rPr>
        <w:t xml:space="preserve"> w</w:t>
      </w:r>
      <w:r w:rsidR="00C56AFD">
        <w:rPr>
          <w:rFonts w:ascii="Calibri" w:hAnsi="Calibri" w:cs="Calibri"/>
          <w:noProof/>
        </w:rPr>
        <w:t> </w:t>
      </w:r>
      <w:r w:rsidR="00C56AFD">
        <w:rPr>
          <w:noProof/>
        </w:rPr>
        <w:t>obs</w:t>
      </w:r>
      <w:r>
        <w:rPr>
          <w:noProof/>
        </w:rPr>
        <w:t>zarze spójności realizowanych</w:t>
      </w:r>
      <w:r w:rsidR="00C56AFD">
        <w:rPr>
          <w:noProof/>
        </w:rPr>
        <w:t xml:space="preserve"> w</w:t>
      </w:r>
      <w:r w:rsidR="00C56AFD">
        <w:rPr>
          <w:rFonts w:ascii="Calibri" w:hAnsi="Calibri" w:cs="Calibri"/>
          <w:noProof/>
        </w:rPr>
        <w:t> </w:t>
      </w:r>
      <w:r w:rsidR="00C56AFD">
        <w:rPr>
          <w:noProof/>
        </w:rPr>
        <w:t>ram</w:t>
      </w:r>
      <w:r>
        <w:rPr>
          <w:noProof/>
        </w:rPr>
        <w:t>ach obecnych WRF i EFRROW. Większość</w:t>
      </w:r>
      <w:r w:rsidR="00C56AFD">
        <w:rPr>
          <w:noProof/>
        </w:rPr>
        <w:t xml:space="preserve"> z</w:t>
      </w:r>
      <w:r w:rsidR="00C56AFD">
        <w:rPr>
          <w:rFonts w:ascii="Calibri" w:hAnsi="Calibri" w:cs="Calibri"/>
          <w:noProof/>
        </w:rPr>
        <w:t> </w:t>
      </w:r>
      <w:r w:rsidR="00C56AFD">
        <w:rPr>
          <w:noProof/>
        </w:rPr>
        <w:t>tyc</w:t>
      </w:r>
      <w:r>
        <w:rPr>
          <w:noProof/>
        </w:rPr>
        <w:t>h umorzeń</w:t>
      </w:r>
      <w:r w:rsidR="00736B85">
        <w:rPr>
          <w:rStyle w:val="EndnoteReference"/>
          <w:noProof/>
        </w:rPr>
        <w:endnoteReference w:id="23"/>
      </w:r>
      <w:r>
        <w:rPr>
          <w:noProof/>
        </w:rPr>
        <w:t xml:space="preserve"> kwalifikuje się do wykorzystania</w:t>
      </w:r>
      <w:r w:rsidR="00C56AFD">
        <w:rPr>
          <w:noProof/>
        </w:rPr>
        <w:t xml:space="preserve"> w</w:t>
      </w:r>
      <w:r w:rsidR="00C56AFD">
        <w:rPr>
          <w:rFonts w:ascii="Calibri" w:hAnsi="Calibri" w:cs="Calibri"/>
          <w:noProof/>
        </w:rPr>
        <w:t> </w:t>
      </w:r>
      <w:r w:rsidR="00C56AFD">
        <w:rPr>
          <w:noProof/>
        </w:rPr>
        <w:t>ram</w:t>
      </w:r>
      <w:r>
        <w:rPr>
          <w:noProof/>
        </w:rPr>
        <w:t>ach instrumentu EURI</w:t>
      </w:r>
      <w:r w:rsidR="00C56AFD">
        <w:rPr>
          <w:noProof/>
        </w:rPr>
        <w:t xml:space="preserve"> w</w:t>
      </w:r>
      <w:r w:rsidR="00C56AFD">
        <w:rPr>
          <w:rFonts w:ascii="Calibri" w:hAnsi="Calibri" w:cs="Calibri"/>
          <w:noProof/>
        </w:rPr>
        <w:t> </w:t>
      </w:r>
      <w:r w:rsidR="00C56AFD">
        <w:rPr>
          <w:noProof/>
        </w:rPr>
        <w:t>cel</w:t>
      </w:r>
      <w:r>
        <w:rPr>
          <w:noProof/>
        </w:rPr>
        <w:t>u pokrycia przekroczeń kosztów powyżej dostępnych środków budżetowych.</w:t>
      </w:r>
    </w:p>
    <w:p w14:paraId="0AA447F8" w14:textId="6AEAADED" w:rsidR="00861C1C" w:rsidRPr="00390EB1" w:rsidRDefault="55E43B5C" w:rsidP="00A74031">
      <w:pPr>
        <w:pStyle w:val="amprH4Subhead1"/>
        <w:spacing w:after="120" w:line="276" w:lineRule="auto"/>
        <w:jc w:val="both"/>
        <w:rPr>
          <w:noProof/>
        </w:rPr>
      </w:pPr>
      <w:r>
        <w:rPr>
          <w:noProof/>
        </w:rPr>
        <w:t>Dział 2a – Polityka spójności</w:t>
      </w:r>
    </w:p>
    <w:p w14:paraId="5B699BAE" w14:textId="1B423CB5" w:rsidR="00861C1C" w:rsidRPr="00390EB1" w:rsidRDefault="55E43B5C">
      <w:pPr>
        <w:spacing w:after="120" w:line="276" w:lineRule="auto"/>
        <w:jc w:val="both"/>
        <w:rPr>
          <w:noProof/>
        </w:rPr>
      </w:pPr>
      <w:bookmarkStart w:id="64" w:name="_Hlk136514282"/>
      <w:r>
        <w:rPr>
          <w:noProof/>
        </w:rPr>
        <w:t>Kwoty obarczone ryzykiem umorzenia</w:t>
      </w:r>
      <w:r w:rsidR="00C56AFD">
        <w:rPr>
          <w:noProof/>
        </w:rPr>
        <w:t xml:space="preserve"> w</w:t>
      </w:r>
      <w:r w:rsidR="00C56AFD">
        <w:rPr>
          <w:rFonts w:ascii="Calibri" w:hAnsi="Calibri" w:cs="Calibri"/>
          <w:noProof/>
        </w:rPr>
        <w:t> </w:t>
      </w:r>
      <w:r w:rsidR="00C56AFD">
        <w:rPr>
          <w:noProof/>
        </w:rPr>
        <w:t>zwi</w:t>
      </w:r>
      <w:r>
        <w:rPr>
          <w:noProof/>
        </w:rPr>
        <w:t>ązku</w:t>
      </w:r>
      <w:r w:rsidR="00C56AFD">
        <w:rPr>
          <w:noProof/>
        </w:rPr>
        <w:t xml:space="preserve"> z</w:t>
      </w:r>
      <w:r w:rsidR="00C56AFD">
        <w:rPr>
          <w:rFonts w:ascii="Calibri" w:hAnsi="Calibri" w:cs="Calibri"/>
          <w:noProof/>
        </w:rPr>
        <w:t> </w:t>
      </w:r>
      <w:r w:rsidR="00C56AFD">
        <w:rPr>
          <w:noProof/>
        </w:rPr>
        <w:t>zak</w:t>
      </w:r>
      <w:r>
        <w:rPr>
          <w:noProof/>
        </w:rPr>
        <w:t>ończeniem programów na lata 2014–2020 są wyższe niż</w:t>
      </w:r>
      <w:r w:rsidR="00C56AFD">
        <w:rPr>
          <w:noProof/>
        </w:rPr>
        <w:t xml:space="preserve"> w</w:t>
      </w:r>
      <w:r w:rsidR="00C56AFD">
        <w:rPr>
          <w:rFonts w:ascii="Calibri" w:hAnsi="Calibri" w:cs="Calibri"/>
          <w:noProof/>
        </w:rPr>
        <w:t> </w:t>
      </w:r>
      <w:r w:rsidR="00C56AFD">
        <w:rPr>
          <w:noProof/>
        </w:rPr>
        <w:t>pop</w:t>
      </w:r>
      <w:r>
        <w:rPr>
          <w:noProof/>
        </w:rPr>
        <w:t>rzednim sprawozdaniu zgodnie</w:t>
      </w:r>
      <w:r w:rsidR="00C56AFD">
        <w:rPr>
          <w:noProof/>
        </w:rPr>
        <w:t xml:space="preserve"> z</w:t>
      </w:r>
      <w:r w:rsidR="00C56AFD">
        <w:rPr>
          <w:rFonts w:ascii="Calibri" w:hAnsi="Calibri" w:cs="Calibri"/>
          <w:noProof/>
        </w:rPr>
        <w:t> </w:t>
      </w:r>
      <w:r w:rsidR="00C56AFD">
        <w:rPr>
          <w:noProof/>
        </w:rPr>
        <w:t>pro</w:t>
      </w:r>
      <w:r>
        <w:rPr>
          <w:noProof/>
        </w:rPr>
        <w:t>gnozami przedstawionymi przez państwa członkowskie.</w:t>
      </w:r>
    </w:p>
    <w:p w14:paraId="7D8650F4" w14:textId="3B267B44" w:rsidR="00861C1C" w:rsidRPr="00390EB1" w:rsidRDefault="003231EC" w:rsidP="04494A96">
      <w:pPr>
        <w:spacing w:after="120" w:line="276" w:lineRule="auto"/>
        <w:jc w:val="both"/>
        <w:rPr>
          <w:noProof/>
        </w:rPr>
      </w:pPr>
      <w:r>
        <w:rPr>
          <w:noProof/>
        </w:rPr>
        <w:t>Przewiduje się, że programy</w:t>
      </w:r>
      <w:r w:rsidR="00C56AFD">
        <w:rPr>
          <w:noProof/>
        </w:rPr>
        <w:t xml:space="preserve"> w</w:t>
      </w:r>
      <w:r w:rsidR="00C56AFD">
        <w:rPr>
          <w:rFonts w:ascii="Calibri" w:hAnsi="Calibri" w:cs="Calibri"/>
          <w:noProof/>
        </w:rPr>
        <w:t> </w:t>
      </w:r>
      <w:r w:rsidR="00C56AFD">
        <w:rPr>
          <w:noProof/>
        </w:rPr>
        <w:t>obs</w:t>
      </w:r>
      <w:r>
        <w:rPr>
          <w:noProof/>
        </w:rPr>
        <w:t xml:space="preserve">zarze spójności na lata 2021–2027 będą narażone na poważne ryzyko </w:t>
      </w:r>
      <w:r w:rsidRPr="00C56AFD">
        <w:rPr>
          <w:noProof/>
        </w:rPr>
        <w:t>od</w:t>
      </w:r>
      <w:r w:rsidR="00C56AFD" w:rsidRPr="00C56AFD">
        <w:rPr>
          <w:rFonts w:ascii="Calibri" w:hAnsi="Calibri" w:cs="Calibri"/>
          <w:noProof/>
        </w:rPr>
        <w:t> </w:t>
      </w:r>
      <w:r w:rsidRPr="00C56AFD">
        <w:rPr>
          <w:noProof/>
        </w:rPr>
        <w:t>2</w:t>
      </w:r>
      <w:r>
        <w:rPr>
          <w:noProof/>
        </w:rPr>
        <w:t>0</w:t>
      </w:r>
      <w:r w:rsidRPr="00C56AFD">
        <w:rPr>
          <w:noProof/>
        </w:rPr>
        <w:t>27</w:t>
      </w:r>
      <w:r w:rsidR="00C56AFD" w:rsidRPr="00C56AFD">
        <w:rPr>
          <w:rFonts w:ascii="Calibri" w:hAnsi="Calibri" w:cs="Calibri"/>
          <w:noProof/>
        </w:rPr>
        <w:t> </w:t>
      </w:r>
      <w:r w:rsidRPr="00C56AFD">
        <w:rPr>
          <w:noProof/>
        </w:rPr>
        <w:t>r.</w:t>
      </w:r>
      <w:r>
        <w:rPr>
          <w:noProof/>
        </w:rPr>
        <w:t xml:space="preserve">, kiedy to zaczną obowiązywać cele dotyczące umarzania zobowiązań na </w:t>
      </w:r>
      <w:r w:rsidRPr="00C56AFD">
        <w:rPr>
          <w:noProof/>
        </w:rPr>
        <w:t>rok</w:t>
      </w:r>
      <w:r w:rsidR="00C56AFD" w:rsidRPr="00C56AFD">
        <w:rPr>
          <w:rFonts w:ascii="Calibri" w:hAnsi="Calibri" w:cs="Calibri"/>
          <w:noProof/>
        </w:rPr>
        <w:t> </w:t>
      </w:r>
      <w:r w:rsidRPr="00C56AFD">
        <w:rPr>
          <w:noProof/>
        </w:rPr>
        <w:t>2</w:t>
      </w:r>
      <w:r>
        <w:rPr>
          <w:noProof/>
        </w:rPr>
        <w:t>023. Szacuje się, że tempo składania wniosków</w:t>
      </w:r>
      <w:r w:rsidR="00C56AFD">
        <w:rPr>
          <w:noProof/>
        </w:rPr>
        <w:t xml:space="preserve"> o</w:t>
      </w:r>
      <w:r w:rsidR="00C56AFD">
        <w:rPr>
          <w:rFonts w:ascii="Calibri" w:hAnsi="Calibri" w:cs="Calibri"/>
          <w:noProof/>
        </w:rPr>
        <w:t> </w:t>
      </w:r>
      <w:r w:rsidR="00C56AFD">
        <w:rPr>
          <w:noProof/>
        </w:rPr>
        <w:t>pła</w:t>
      </w:r>
      <w:r>
        <w:rPr>
          <w:noProof/>
        </w:rPr>
        <w:t>tność będzie nadal niższe niż</w:t>
      </w:r>
      <w:r w:rsidR="00C56AFD">
        <w:rPr>
          <w:noProof/>
        </w:rPr>
        <w:t xml:space="preserve"> w</w:t>
      </w:r>
      <w:r w:rsidR="00C56AFD">
        <w:rPr>
          <w:rFonts w:ascii="Calibri" w:hAnsi="Calibri" w:cs="Calibri"/>
          <w:noProof/>
        </w:rPr>
        <w:t> </w:t>
      </w:r>
      <w:r w:rsidR="00C56AFD">
        <w:rPr>
          <w:noProof/>
        </w:rPr>
        <w:t>lat</w:t>
      </w:r>
      <w:r>
        <w:rPr>
          <w:noProof/>
        </w:rPr>
        <w:t>ach 2014–2020 ze względu na opóźnienie</w:t>
      </w:r>
      <w:r w:rsidR="00C56AFD">
        <w:rPr>
          <w:noProof/>
        </w:rPr>
        <w:t xml:space="preserve"> w</w:t>
      </w:r>
      <w:r w:rsidR="00C56AFD">
        <w:rPr>
          <w:rFonts w:ascii="Calibri" w:hAnsi="Calibri" w:cs="Calibri"/>
          <w:noProof/>
        </w:rPr>
        <w:t> </w:t>
      </w:r>
      <w:r w:rsidR="00C56AFD">
        <w:rPr>
          <w:noProof/>
        </w:rPr>
        <w:t>zat</w:t>
      </w:r>
      <w:r>
        <w:rPr>
          <w:noProof/>
        </w:rPr>
        <w:t>wierdzaniu programów</w:t>
      </w:r>
      <w:r w:rsidR="00C56AFD">
        <w:rPr>
          <w:noProof/>
        </w:rPr>
        <w:t xml:space="preserve"> i</w:t>
      </w:r>
      <w:r w:rsidR="00C56AFD">
        <w:rPr>
          <w:rFonts w:ascii="Calibri" w:hAnsi="Calibri" w:cs="Calibri"/>
          <w:noProof/>
        </w:rPr>
        <w:t> </w:t>
      </w:r>
      <w:r w:rsidR="00C56AFD">
        <w:rPr>
          <w:noProof/>
        </w:rPr>
        <w:t>nis</w:t>
      </w:r>
      <w:r>
        <w:rPr>
          <w:noProof/>
        </w:rPr>
        <w:t>kie wykorzystanie środków</w:t>
      </w:r>
      <w:r w:rsidR="00C56AFD">
        <w:rPr>
          <w:noProof/>
        </w:rPr>
        <w:t xml:space="preserve"> w</w:t>
      </w:r>
      <w:r w:rsidR="00C56AFD">
        <w:rPr>
          <w:rFonts w:ascii="Calibri" w:hAnsi="Calibri" w:cs="Calibri"/>
          <w:noProof/>
        </w:rPr>
        <w:t> </w:t>
      </w:r>
      <w:r w:rsidR="00C56AFD">
        <w:rPr>
          <w:noProof/>
        </w:rPr>
        <w:t>bud</w:t>
      </w:r>
      <w:r>
        <w:rPr>
          <w:noProof/>
        </w:rPr>
        <w:t xml:space="preserve">żetach </w:t>
      </w:r>
      <w:r w:rsidRPr="00C56AFD">
        <w:rPr>
          <w:noProof/>
        </w:rPr>
        <w:t>na</w:t>
      </w:r>
      <w:r w:rsidR="00C56AFD" w:rsidRPr="00C56AFD">
        <w:rPr>
          <w:rFonts w:ascii="Calibri" w:hAnsi="Calibri" w:cs="Calibri"/>
          <w:noProof/>
        </w:rPr>
        <w:t> </w:t>
      </w:r>
      <w:r w:rsidRPr="00C56AFD">
        <w:rPr>
          <w:noProof/>
        </w:rPr>
        <w:t>2</w:t>
      </w:r>
      <w:r>
        <w:rPr>
          <w:noProof/>
        </w:rPr>
        <w:t>0</w:t>
      </w:r>
      <w:r w:rsidRPr="00C56AFD">
        <w:rPr>
          <w:noProof/>
        </w:rPr>
        <w:t>23</w:t>
      </w:r>
      <w:r w:rsidR="00C56AFD" w:rsidRPr="00C56AFD">
        <w:rPr>
          <w:rFonts w:ascii="Calibri" w:hAnsi="Calibri" w:cs="Calibri"/>
          <w:noProof/>
        </w:rPr>
        <w:t> </w:t>
      </w:r>
      <w:r w:rsidRPr="00C56AFD">
        <w:rPr>
          <w:noProof/>
        </w:rPr>
        <w:t>r.</w:t>
      </w:r>
      <w:r w:rsidR="00C56AFD">
        <w:rPr>
          <w:noProof/>
        </w:rPr>
        <w:t xml:space="preserve"> i</w:t>
      </w:r>
      <w:r w:rsidR="00C56AFD">
        <w:rPr>
          <w:rFonts w:ascii="Calibri" w:hAnsi="Calibri" w:cs="Calibri"/>
          <w:noProof/>
        </w:rPr>
        <w:t> </w:t>
      </w:r>
      <w:r w:rsidR="00C56AFD">
        <w:rPr>
          <w:noProof/>
        </w:rPr>
        <w:t>2</w:t>
      </w:r>
      <w:r>
        <w:rPr>
          <w:noProof/>
        </w:rPr>
        <w:t>0</w:t>
      </w:r>
      <w:r w:rsidRPr="00C56AFD">
        <w:rPr>
          <w:noProof/>
        </w:rPr>
        <w:t>24</w:t>
      </w:r>
      <w:r w:rsidR="00C56AFD" w:rsidRPr="00C56AFD">
        <w:rPr>
          <w:rFonts w:ascii="Calibri" w:hAnsi="Calibri" w:cs="Calibri"/>
          <w:noProof/>
        </w:rPr>
        <w:t> </w:t>
      </w:r>
      <w:r w:rsidRPr="00C56AFD">
        <w:rPr>
          <w:noProof/>
        </w:rPr>
        <w:t>r.</w:t>
      </w:r>
      <w:r>
        <w:rPr>
          <w:noProof/>
        </w:rPr>
        <w:t xml:space="preserve"> oraz projekcie budżetu </w:t>
      </w:r>
      <w:r w:rsidRPr="00C56AFD">
        <w:rPr>
          <w:noProof/>
        </w:rPr>
        <w:t>na</w:t>
      </w:r>
      <w:r w:rsidR="00C56AFD" w:rsidRPr="00C56AFD">
        <w:rPr>
          <w:rFonts w:ascii="Calibri" w:hAnsi="Calibri" w:cs="Calibri"/>
          <w:noProof/>
        </w:rPr>
        <w:t> </w:t>
      </w:r>
      <w:r w:rsidRPr="00C56AFD">
        <w:rPr>
          <w:noProof/>
        </w:rPr>
        <w:t>2</w:t>
      </w:r>
      <w:r>
        <w:rPr>
          <w:noProof/>
        </w:rPr>
        <w:t>0</w:t>
      </w:r>
      <w:r w:rsidRPr="00C56AFD">
        <w:rPr>
          <w:noProof/>
        </w:rPr>
        <w:t>25</w:t>
      </w:r>
      <w:r w:rsidR="00C56AFD" w:rsidRPr="00C56AFD">
        <w:rPr>
          <w:rFonts w:ascii="Calibri" w:hAnsi="Calibri" w:cs="Calibri"/>
          <w:noProof/>
        </w:rPr>
        <w:t> </w:t>
      </w:r>
      <w:r w:rsidRPr="00C56AFD">
        <w:rPr>
          <w:noProof/>
        </w:rPr>
        <w:t>r.</w:t>
      </w:r>
      <w:r>
        <w:rPr>
          <w:noProof/>
        </w:rPr>
        <w:t xml:space="preserve"> Ryzyko umorzenia zobowiązań może się zmniejszyć tylko wtedy, gdy tempo wdrażania zwiększy się</w:t>
      </w:r>
      <w:r w:rsidR="00C56AFD">
        <w:rPr>
          <w:noProof/>
        </w:rPr>
        <w:t xml:space="preserve"> w</w:t>
      </w:r>
      <w:r w:rsidR="00C56AFD">
        <w:rPr>
          <w:rFonts w:ascii="Calibri" w:hAnsi="Calibri" w:cs="Calibri"/>
          <w:noProof/>
        </w:rPr>
        <w:t> </w:t>
      </w:r>
      <w:r w:rsidR="00C56AFD">
        <w:rPr>
          <w:noProof/>
        </w:rPr>
        <w:t>2</w:t>
      </w:r>
      <w:r>
        <w:rPr>
          <w:noProof/>
        </w:rPr>
        <w:t>026</w:t>
      </w:r>
      <w:r w:rsidR="00C56AFD">
        <w:rPr>
          <w:noProof/>
        </w:rPr>
        <w:t xml:space="preserve"> i</w:t>
      </w:r>
      <w:r w:rsidR="00C56AFD">
        <w:rPr>
          <w:rFonts w:ascii="Calibri" w:hAnsi="Calibri" w:cs="Calibri"/>
          <w:noProof/>
        </w:rPr>
        <w:t> </w:t>
      </w:r>
      <w:r w:rsidR="00C56AFD">
        <w:rPr>
          <w:noProof/>
        </w:rPr>
        <w:t>2</w:t>
      </w:r>
      <w:r>
        <w:rPr>
          <w:noProof/>
        </w:rPr>
        <w:t>0</w:t>
      </w:r>
      <w:r w:rsidRPr="00C56AFD">
        <w:rPr>
          <w:noProof/>
        </w:rPr>
        <w:t>27</w:t>
      </w:r>
      <w:r w:rsidR="00C56AFD" w:rsidRPr="00C56AFD">
        <w:rPr>
          <w:rFonts w:ascii="Calibri" w:hAnsi="Calibri" w:cs="Calibri"/>
          <w:noProof/>
        </w:rPr>
        <w:t> </w:t>
      </w:r>
      <w:r w:rsidRPr="00C56AFD">
        <w:rPr>
          <w:noProof/>
        </w:rPr>
        <w:t>r.</w:t>
      </w:r>
      <w:r w:rsidR="00C56AFD">
        <w:rPr>
          <w:noProof/>
        </w:rPr>
        <w:t xml:space="preserve"> i</w:t>
      </w:r>
      <w:r w:rsidR="00C56AFD">
        <w:rPr>
          <w:rFonts w:ascii="Calibri" w:hAnsi="Calibri" w:cs="Calibri"/>
          <w:noProof/>
        </w:rPr>
        <w:t> </w:t>
      </w:r>
      <w:r w:rsidR="00C56AFD">
        <w:rPr>
          <w:noProof/>
        </w:rPr>
        <w:t>prz</w:t>
      </w:r>
      <w:r>
        <w:rPr>
          <w:noProof/>
        </w:rPr>
        <w:t>ekroczy tempo zakładane</w:t>
      </w:r>
      <w:r w:rsidR="00C56AFD">
        <w:rPr>
          <w:noProof/>
        </w:rPr>
        <w:t xml:space="preserve"> w</w:t>
      </w:r>
      <w:r w:rsidR="00C56AFD">
        <w:rPr>
          <w:rFonts w:ascii="Calibri" w:hAnsi="Calibri" w:cs="Calibri"/>
          <w:noProof/>
        </w:rPr>
        <w:t> </w:t>
      </w:r>
      <w:r w:rsidR="00C56AFD">
        <w:rPr>
          <w:noProof/>
        </w:rPr>
        <w:t>sce</w:t>
      </w:r>
      <w:r>
        <w:rPr>
          <w:noProof/>
        </w:rPr>
        <w:t>nariuszu proponowanym</w:t>
      </w:r>
      <w:r w:rsidR="00C56AFD">
        <w:rPr>
          <w:noProof/>
        </w:rPr>
        <w:t xml:space="preserve"> w</w:t>
      </w:r>
      <w:r w:rsidR="00C56AFD">
        <w:rPr>
          <w:rFonts w:ascii="Calibri" w:hAnsi="Calibri" w:cs="Calibri"/>
          <w:noProof/>
        </w:rPr>
        <w:t> </w:t>
      </w:r>
      <w:r w:rsidR="00C56AFD">
        <w:rPr>
          <w:noProof/>
        </w:rPr>
        <w:t>nin</w:t>
      </w:r>
      <w:r>
        <w:rPr>
          <w:noProof/>
        </w:rPr>
        <w:t>iejszej prognozie. Jeżeli jednak takie przyspieszenie nie nastąpi,</w:t>
      </w:r>
      <w:r w:rsidR="00C56AFD">
        <w:rPr>
          <w:noProof/>
        </w:rPr>
        <w:t xml:space="preserve"> a</w:t>
      </w:r>
      <w:r w:rsidR="00C56AFD">
        <w:rPr>
          <w:rFonts w:ascii="Calibri" w:hAnsi="Calibri" w:cs="Calibri"/>
          <w:noProof/>
        </w:rPr>
        <w:t> </w:t>
      </w:r>
      <w:r w:rsidR="00C56AFD">
        <w:rPr>
          <w:noProof/>
        </w:rPr>
        <w:t>tem</w:t>
      </w:r>
      <w:r>
        <w:rPr>
          <w:noProof/>
        </w:rPr>
        <w:t>po wdrażania pozostanie stosunkowo stabilne, kwoty zagrożone umorzeniem byłyby znacznie wyższe, nawet po uwzględnieniu spodziewanego wpływu STEP na politykę spójności.</w:t>
      </w:r>
    </w:p>
    <w:bookmarkEnd w:id="64"/>
    <w:p w14:paraId="24DC8C51" w14:textId="269B306F" w:rsidR="00861C1C" w:rsidRPr="00390EB1" w:rsidRDefault="003B6DC2">
      <w:pPr>
        <w:pStyle w:val="amprH4Subhead1"/>
        <w:rPr>
          <w:noProof/>
        </w:rPr>
      </w:pPr>
      <w:r>
        <w:rPr>
          <w:noProof/>
        </w:rPr>
        <w:t>Dział 3 – Wspólna polityka rolna</w:t>
      </w:r>
      <w:r w:rsidR="00C56AFD">
        <w:rPr>
          <w:noProof/>
        </w:rPr>
        <w:t xml:space="preserve"> i</w:t>
      </w:r>
      <w:r w:rsidR="00C56AFD">
        <w:rPr>
          <w:rFonts w:ascii="Calibri" w:hAnsi="Calibri" w:cs="Calibri"/>
          <w:noProof/>
        </w:rPr>
        <w:t> </w:t>
      </w:r>
      <w:r w:rsidR="00C56AFD">
        <w:rPr>
          <w:noProof/>
        </w:rPr>
        <w:t>Fun</w:t>
      </w:r>
      <w:r>
        <w:rPr>
          <w:noProof/>
        </w:rPr>
        <w:t xml:space="preserve">dusz na rzecz Sprawiedliwej Transformacji </w:t>
      </w:r>
    </w:p>
    <w:p w14:paraId="3BFFB3A7" w14:textId="07EA6647" w:rsidR="00861C1C" w:rsidRPr="00390EB1" w:rsidRDefault="2A67BF04">
      <w:pPr>
        <w:spacing w:after="120" w:line="276" w:lineRule="auto"/>
        <w:jc w:val="both"/>
        <w:rPr>
          <w:noProof/>
        </w:rPr>
      </w:pPr>
      <w:r>
        <w:rPr>
          <w:noProof/>
        </w:rPr>
        <w:t>Prognozowana kwota umorzeń</w:t>
      </w:r>
      <w:r w:rsidR="00C56AFD">
        <w:rPr>
          <w:noProof/>
        </w:rPr>
        <w:t xml:space="preserve"> w</w:t>
      </w:r>
      <w:r w:rsidR="00C56AFD">
        <w:rPr>
          <w:rFonts w:ascii="Calibri" w:hAnsi="Calibri" w:cs="Calibri"/>
          <w:noProof/>
        </w:rPr>
        <w:t> </w:t>
      </w:r>
      <w:r w:rsidR="00C56AFD">
        <w:rPr>
          <w:noProof/>
        </w:rPr>
        <w:t>ram</w:t>
      </w:r>
      <w:r>
        <w:rPr>
          <w:noProof/>
        </w:rPr>
        <w:t>ach programów EFRROW na lata 2014–2022 wzrasta</w:t>
      </w:r>
      <w:r w:rsidR="00C56AFD">
        <w:rPr>
          <w:noProof/>
        </w:rPr>
        <w:t xml:space="preserve"> w</w:t>
      </w:r>
      <w:r w:rsidR="00C56AFD">
        <w:rPr>
          <w:rFonts w:ascii="Calibri" w:hAnsi="Calibri" w:cs="Calibri"/>
          <w:noProof/>
        </w:rPr>
        <w:t> </w:t>
      </w:r>
      <w:r w:rsidR="00C56AFD">
        <w:rPr>
          <w:noProof/>
        </w:rPr>
        <w:t>por</w:t>
      </w:r>
      <w:r>
        <w:rPr>
          <w:noProof/>
        </w:rPr>
        <w:t>ównaniu</w:t>
      </w:r>
      <w:r w:rsidR="00C56AFD">
        <w:rPr>
          <w:noProof/>
        </w:rPr>
        <w:t xml:space="preserve"> z</w:t>
      </w:r>
      <w:r w:rsidR="00C56AFD">
        <w:rPr>
          <w:rFonts w:ascii="Calibri" w:hAnsi="Calibri" w:cs="Calibri"/>
          <w:noProof/>
        </w:rPr>
        <w:t> </w:t>
      </w:r>
      <w:r w:rsidR="00C56AFD">
        <w:rPr>
          <w:noProof/>
        </w:rPr>
        <w:t>pro</w:t>
      </w:r>
      <w:r>
        <w:rPr>
          <w:noProof/>
        </w:rPr>
        <w:t>gnozami</w:t>
      </w:r>
      <w:r w:rsidR="00C56AFD">
        <w:rPr>
          <w:noProof/>
        </w:rPr>
        <w:t xml:space="preserve"> z</w:t>
      </w:r>
      <w:r w:rsidR="00C56AFD">
        <w:rPr>
          <w:rFonts w:ascii="Calibri" w:hAnsi="Calibri" w:cs="Calibri"/>
          <w:noProof/>
        </w:rPr>
        <w:t> </w:t>
      </w:r>
      <w:r w:rsidR="00C56AFD">
        <w:rPr>
          <w:noProof/>
        </w:rPr>
        <w:t>ubi</w:t>
      </w:r>
      <w:r>
        <w:rPr>
          <w:noProof/>
        </w:rPr>
        <w:t>egłego roku</w:t>
      </w:r>
      <w:r w:rsidR="00C56AFD">
        <w:rPr>
          <w:noProof/>
        </w:rPr>
        <w:t xml:space="preserve"> i</w:t>
      </w:r>
      <w:r w:rsidR="00C56AFD">
        <w:rPr>
          <w:rFonts w:ascii="Calibri" w:hAnsi="Calibri" w:cs="Calibri"/>
          <w:noProof/>
        </w:rPr>
        <w:t> </w:t>
      </w:r>
      <w:r w:rsidR="00C56AFD">
        <w:rPr>
          <w:noProof/>
        </w:rPr>
        <w:t>osi</w:t>
      </w:r>
      <w:r>
        <w:rPr>
          <w:noProof/>
        </w:rPr>
        <w:t>ąga historyczny profil okresu 2007–2013; oczekuje się, że nastąpi to</w:t>
      </w:r>
      <w:r w:rsidR="00C56AFD">
        <w:rPr>
          <w:noProof/>
        </w:rPr>
        <w:t xml:space="preserve"> w</w:t>
      </w:r>
      <w:r w:rsidR="00C56AFD">
        <w:rPr>
          <w:rFonts w:ascii="Calibri" w:hAnsi="Calibri" w:cs="Calibri"/>
          <w:noProof/>
        </w:rPr>
        <w:t> </w:t>
      </w:r>
      <w:r w:rsidR="00C56AFD">
        <w:rPr>
          <w:noProof/>
        </w:rPr>
        <w:t>mom</w:t>
      </w:r>
      <w:r>
        <w:rPr>
          <w:noProof/>
        </w:rPr>
        <w:t>encie zamknięcia programów</w:t>
      </w:r>
      <w:r w:rsidR="00C56AFD">
        <w:rPr>
          <w:noProof/>
        </w:rPr>
        <w:t xml:space="preserve"> w</w:t>
      </w:r>
      <w:r w:rsidR="00C56AFD">
        <w:rPr>
          <w:rFonts w:ascii="Calibri" w:hAnsi="Calibri" w:cs="Calibri"/>
          <w:noProof/>
        </w:rPr>
        <w:t> </w:t>
      </w:r>
      <w:r w:rsidR="00C56AFD">
        <w:rPr>
          <w:noProof/>
        </w:rPr>
        <w:t>2</w:t>
      </w:r>
      <w:r>
        <w:rPr>
          <w:noProof/>
        </w:rPr>
        <w:t>0</w:t>
      </w:r>
      <w:r w:rsidRPr="00C56AFD">
        <w:rPr>
          <w:noProof/>
        </w:rPr>
        <w:t>26</w:t>
      </w:r>
      <w:r w:rsidR="00C56AFD" w:rsidRPr="00C56AFD">
        <w:rPr>
          <w:rFonts w:ascii="Calibri" w:hAnsi="Calibri" w:cs="Calibri"/>
          <w:noProof/>
        </w:rPr>
        <w:t> </w:t>
      </w:r>
      <w:r w:rsidRPr="00C56AFD">
        <w:rPr>
          <w:noProof/>
        </w:rPr>
        <w:t>r.</w:t>
      </w:r>
      <w:r>
        <w:rPr>
          <w:noProof/>
        </w:rPr>
        <w:t xml:space="preserve"> Wzrost oczekiwanej kwoty umorzeń wynika</w:t>
      </w:r>
      <w:r w:rsidR="00C56AFD">
        <w:rPr>
          <w:noProof/>
        </w:rPr>
        <w:t xml:space="preserve"> z</w:t>
      </w:r>
      <w:r w:rsidR="00C56AFD">
        <w:rPr>
          <w:rFonts w:ascii="Calibri" w:hAnsi="Calibri" w:cs="Calibri"/>
          <w:noProof/>
        </w:rPr>
        <w:t> </w:t>
      </w:r>
      <w:r w:rsidR="00C56AFD">
        <w:rPr>
          <w:noProof/>
        </w:rPr>
        <w:t>nie</w:t>
      </w:r>
      <w:r>
        <w:rPr>
          <w:noProof/>
        </w:rPr>
        <w:t>dawnego wdrożenia</w:t>
      </w:r>
      <w:r w:rsidR="00C56AFD">
        <w:rPr>
          <w:noProof/>
        </w:rPr>
        <w:t xml:space="preserve"> i</w:t>
      </w:r>
      <w:r w:rsidR="00C56AFD">
        <w:rPr>
          <w:rFonts w:ascii="Calibri" w:hAnsi="Calibri" w:cs="Calibri"/>
          <w:noProof/>
        </w:rPr>
        <w:t> </w:t>
      </w:r>
      <w:r w:rsidR="00C56AFD">
        <w:rPr>
          <w:noProof/>
        </w:rPr>
        <w:t>pro</w:t>
      </w:r>
      <w:r>
        <w:rPr>
          <w:noProof/>
        </w:rPr>
        <w:t>gnozy państw członkowskich. Ewentualnych umorzeń dotyczących planów strategicznych WPR na lata 2023–2027 można by oczekiwać</w:t>
      </w:r>
      <w:r w:rsidR="00C56AFD">
        <w:rPr>
          <w:noProof/>
        </w:rPr>
        <w:t xml:space="preserve"> w</w:t>
      </w:r>
      <w:r w:rsidR="00C56AFD">
        <w:rPr>
          <w:rFonts w:ascii="Calibri" w:hAnsi="Calibri" w:cs="Calibri"/>
          <w:noProof/>
        </w:rPr>
        <w:t> </w:t>
      </w:r>
      <w:r w:rsidR="00C56AFD">
        <w:rPr>
          <w:noProof/>
        </w:rPr>
        <w:t>zwi</w:t>
      </w:r>
      <w:r>
        <w:rPr>
          <w:noProof/>
        </w:rPr>
        <w:t>ązku</w:t>
      </w:r>
      <w:r w:rsidR="00C56AFD">
        <w:rPr>
          <w:noProof/>
        </w:rPr>
        <w:t xml:space="preserve"> z</w:t>
      </w:r>
      <w:r w:rsidR="00C56AFD">
        <w:rPr>
          <w:rFonts w:ascii="Calibri" w:hAnsi="Calibri" w:cs="Calibri"/>
          <w:noProof/>
        </w:rPr>
        <w:t> </w:t>
      </w:r>
      <w:r w:rsidR="00C56AFD">
        <w:rPr>
          <w:noProof/>
        </w:rPr>
        <w:t>zam</w:t>
      </w:r>
      <w:r>
        <w:rPr>
          <w:noProof/>
        </w:rPr>
        <w:t>knięciem (tj.</w:t>
      </w:r>
      <w:r w:rsidR="00C56AFD">
        <w:rPr>
          <w:noProof/>
        </w:rPr>
        <w:t xml:space="preserve"> w</w:t>
      </w:r>
      <w:r w:rsidR="00C56AFD">
        <w:rPr>
          <w:rFonts w:ascii="Calibri" w:hAnsi="Calibri" w:cs="Calibri"/>
          <w:noProof/>
        </w:rPr>
        <w:t> </w:t>
      </w:r>
      <w:r w:rsidR="00C56AFD">
        <w:rPr>
          <w:noProof/>
        </w:rPr>
        <w:t>2</w:t>
      </w:r>
      <w:r>
        <w:rPr>
          <w:noProof/>
        </w:rPr>
        <w:t>0</w:t>
      </w:r>
      <w:r w:rsidRPr="00C56AFD">
        <w:rPr>
          <w:noProof/>
        </w:rPr>
        <w:t>30</w:t>
      </w:r>
      <w:r w:rsidR="00C56AFD" w:rsidRPr="00C56AFD">
        <w:rPr>
          <w:rFonts w:ascii="Calibri" w:hAnsi="Calibri" w:cs="Calibri"/>
          <w:noProof/>
        </w:rPr>
        <w:t> </w:t>
      </w:r>
      <w:r w:rsidRPr="00C56AFD">
        <w:rPr>
          <w:noProof/>
        </w:rPr>
        <w:t>r.</w:t>
      </w:r>
      <w:r>
        <w:rPr>
          <w:noProof/>
        </w:rPr>
        <w:t xml:space="preserve">), dlatego są one poza zakresem niniejszego sprawozdania. </w:t>
      </w:r>
    </w:p>
    <w:p w14:paraId="5B9BD84C" w14:textId="721DA698" w:rsidR="00861C1C" w:rsidRPr="00390EB1" w:rsidRDefault="6375D7F3" w:rsidP="23B06DA2">
      <w:pPr>
        <w:spacing w:after="120" w:line="276" w:lineRule="auto"/>
        <w:jc w:val="both"/>
        <w:rPr>
          <w:noProof/>
        </w:rPr>
      </w:pPr>
      <w:r>
        <w:rPr>
          <w:noProof/>
        </w:rPr>
        <w:t>W odniesieniu do Funduszu na rzecz Sprawiedliwej Transformacji,</w:t>
      </w:r>
      <w:r w:rsidR="00C56AFD">
        <w:rPr>
          <w:noProof/>
        </w:rPr>
        <w:t xml:space="preserve"> w</w:t>
      </w:r>
      <w:r w:rsidR="00C56AFD">
        <w:rPr>
          <w:rFonts w:ascii="Calibri" w:hAnsi="Calibri" w:cs="Calibri"/>
          <w:noProof/>
        </w:rPr>
        <w:t> </w:t>
      </w:r>
      <w:r w:rsidR="00C56AFD">
        <w:rPr>
          <w:noProof/>
        </w:rPr>
        <w:t>2</w:t>
      </w:r>
      <w:r>
        <w:rPr>
          <w:noProof/>
        </w:rPr>
        <w:t>0</w:t>
      </w:r>
      <w:r w:rsidRPr="00C56AFD">
        <w:rPr>
          <w:noProof/>
        </w:rPr>
        <w:t>24</w:t>
      </w:r>
      <w:r w:rsidR="00C56AFD" w:rsidRPr="00C56AFD">
        <w:rPr>
          <w:rFonts w:ascii="Calibri" w:hAnsi="Calibri" w:cs="Calibri"/>
          <w:noProof/>
        </w:rPr>
        <w:t> </w:t>
      </w:r>
      <w:r w:rsidRPr="00C56AFD">
        <w:rPr>
          <w:noProof/>
        </w:rPr>
        <w:t>r.</w:t>
      </w:r>
      <w:r>
        <w:rPr>
          <w:noProof/>
        </w:rPr>
        <w:t xml:space="preserve"> dokonano płatności</w:t>
      </w:r>
      <w:r w:rsidR="00C56AFD">
        <w:rPr>
          <w:noProof/>
        </w:rPr>
        <w:t xml:space="preserve"> z</w:t>
      </w:r>
      <w:r w:rsidR="00C56AFD">
        <w:rPr>
          <w:rFonts w:ascii="Calibri" w:hAnsi="Calibri" w:cs="Calibri"/>
          <w:noProof/>
        </w:rPr>
        <w:t> </w:t>
      </w:r>
      <w:r w:rsidR="00C56AFD">
        <w:rPr>
          <w:noProof/>
        </w:rPr>
        <w:t>Nex</w:t>
      </w:r>
      <w:r>
        <w:rPr>
          <w:noProof/>
        </w:rPr>
        <w:t>tGenerationEU,</w:t>
      </w:r>
      <w:r w:rsidR="00C56AFD">
        <w:rPr>
          <w:noProof/>
        </w:rPr>
        <w:t xml:space="preserve"> w</w:t>
      </w:r>
      <w:r w:rsidR="00C56AFD">
        <w:rPr>
          <w:rFonts w:ascii="Calibri" w:hAnsi="Calibri" w:cs="Calibri"/>
          <w:noProof/>
        </w:rPr>
        <w:t> </w:t>
      </w:r>
      <w:r w:rsidR="00C56AFD">
        <w:rPr>
          <w:noProof/>
        </w:rPr>
        <w:t>tym</w:t>
      </w:r>
      <w:r>
        <w:rPr>
          <w:noProof/>
        </w:rPr>
        <w:t xml:space="preserve"> wyjątkowych płatności zaliczkowych</w:t>
      </w:r>
      <w:r w:rsidR="00C56AFD">
        <w:rPr>
          <w:noProof/>
        </w:rPr>
        <w:t xml:space="preserve"> w</w:t>
      </w:r>
      <w:r w:rsidR="00C56AFD">
        <w:rPr>
          <w:rFonts w:ascii="Calibri" w:hAnsi="Calibri" w:cs="Calibri"/>
          <w:noProof/>
        </w:rPr>
        <w:t> </w:t>
      </w:r>
      <w:r w:rsidR="00C56AFD">
        <w:rPr>
          <w:noProof/>
        </w:rPr>
        <w:t>ram</w:t>
      </w:r>
      <w:r>
        <w:rPr>
          <w:noProof/>
        </w:rPr>
        <w:t>ach STEP, regularnych rocznych płatności zaliczkowych</w:t>
      </w:r>
      <w:r w:rsidR="00C56AFD">
        <w:rPr>
          <w:noProof/>
        </w:rPr>
        <w:t xml:space="preserve"> i</w:t>
      </w:r>
      <w:r w:rsidR="00C56AFD">
        <w:rPr>
          <w:rFonts w:ascii="Calibri" w:hAnsi="Calibri" w:cs="Calibri"/>
          <w:noProof/>
        </w:rPr>
        <w:t> </w:t>
      </w:r>
      <w:r w:rsidR="00C56AFD">
        <w:rPr>
          <w:noProof/>
        </w:rPr>
        <w:t>ogr</w:t>
      </w:r>
      <w:r>
        <w:rPr>
          <w:noProof/>
        </w:rPr>
        <w:t>aniczonych płatności okresowych, natomiast na lata 2024</w:t>
      </w:r>
      <w:r w:rsidR="00C56AFD">
        <w:rPr>
          <w:noProof/>
        </w:rPr>
        <w:t xml:space="preserve"> i</w:t>
      </w:r>
      <w:r w:rsidR="00C56AFD">
        <w:rPr>
          <w:rFonts w:ascii="Calibri" w:hAnsi="Calibri" w:cs="Calibri"/>
          <w:noProof/>
        </w:rPr>
        <w:t> </w:t>
      </w:r>
      <w:r w:rsidR="00C56AFD">
        <w:rPr>
          <w:noProof/>
        </w:rPr>
        <w:t>2</w:t>
      </w:r>
      <w:r>
        <w:rPr>
          <w:noProof/>
        </w:rPr>
        <w:t xml:space="preserve">025 zaplanowano dodatkowe płatności, jeszcze bardziej minimalizujące ryzyko umorzeń. </w:t>
      </w:r>
    </w:p>
    <w:p w14:paraId="04C5B228" w14:textId="44E448F8" w:rsidR="00861C1C" w:rsidRPr="00390EB1" w:rsidRDefault="003B6DC2">
      <w:pPr>
        <w:pStyle w:val="amprH4Subhead1"/>
        <w:rPr>
          <w:noProof/>
        </w:rPr>
      </w:pPr>
      <w:r>
        <w:rPr>
          <w:noProof/>
        </w:rPr>
        <w:t>Pozostałe programy</w:t>
      </w:r>
      <w:r w:rsidR="00C56AFD">
        <w:rPr>
          <w:noProof/>
        </w:rPr>
        <w:t xml:space="preserve"> i</w:t>
      </w:r>
      <w:r w:rsidR="00C56AFD">
        <w:rPr>
          <w:rFonts w:ascii="Calibri" w:hAnsi="Calibri" w:cs="Calibri"/>
          <w:noProof/>
        </w:rPr>
        <w:t> </w:t>
      </w:r>
      <w:r w:rsidR="00C56AFD">
        <w:rPr>
          <w:noProof/>
        </w:rPr>
        <w:t>dzi</w:t>
      </w:r>
      <w:r>
        <w:rPr>
          <w:noProof/>
        </w:rPr>
        <w:t>ały</w:t>
      </w:r>
    </w:p>
    <w:p w14:paraId="2F505424" w14:textId="35BDB378" w:rsidR="00861C1C" w:rsidRPr="00390EB1" w:rsidRDefault="003B6DC2">
      <w:pPr>
        <w:spacing w:after="120" w:line="276" w:lineRule="auto"/>
        <w:jc w:val="both"/>
        <w:rPr>
          <w:noProof/>
        </w:rPr>
      </w:pPr>
      <w:r>
        <w:rPr>
          <w:noProof/>
        </w:rPr>
        <w:t>W przypadku programów zarządzanych bezpośrednio przez Komisję prognoza umorzeń opiera się na najbardziej aktualnych informacjach na szczeblu projektów. Podobnie jak</w:t>
      </w:r>
      <w:r w:rsidR="00C56AFD">
        <w:rPr>
          <w:noProof/>
        </w:rPr>
        <w:t xml:space="preserve"> w</w:t>
      </w:r>
      <w:r w:rsidR="00C56AFD">
        <w:rPr>
          <w:rFonts w:ascii="Calibri" w:hAnsi="Calibri" w:cs="Calibri"/>
          <w:noProof/>
        </w:rPr>
        <w:t> </w:t>
      </w:r>
      <w:r w:rsidR="00C56AFD">
        <w:rPr>
          <w:noProof/>
        </w:rPr>
        <w:t>pop</w:t>
      </w:r>
      <w:r>
        <w:rPr>
          <w:noProof/>
        </w:rPr>
        <w:t>rzednim sprawozdaniu prognozy dotyczące umorzeń związanych</w:t>
      </w:r>
      <w:r w:rsidR="00C56AFD">
        <w:rPr>
          <w:noProof/>
        </w:rPr>
        <w:t xml:space="preserve"> z</w:t>
      </w:r>
      <w:r w:rsidR="00C56AFD">
        <w:rPr>
          <w:rFonts w:ascii="Calibri" w:hAnsi="Calibri" w:cs="Calibri"/>
          <w:noProof/>
        </w:rPr>
        <w:t> </w:t>
      </w:r>
      <w:r w:rsidR="00C56AFD">
        <w:rPr>
          <w:noProof/>
        </w:rPr>
        <w:t>pro</w:t>
      </w:r>
      <w:r>
        <w:rPr>
          <w:noProof/>
        </w:rPr>
        <w:t>gramami WRF na lata 2021–2027 opierają się na wskaźnikach umorzeń poprzednich programów</w:t>
      </w:r>
      <w:r w:rsidR="00C56AFD">
        <w:rPr>
          <w:noProof/>
        </w:rPr>
        <w:t>. W</w:t>
      </w:r>
      <w:r w:rsidR="00C56AFD">
        <w:rPr>
          <w:rFonts w:ascii="Calibri" w:hAnsi="Calibri" w:cs="Calibri"/>
          <w:noProof/>
        </w:rPr>
        <w:t> </w:t>
      </w:r>
      <w:r w:rsidR="00C56AFD">
        <w:rPr>
          <w:noProof/>
        </w:rPr>
        <w:t>tym</w:t>
      </w:r>
      <w:r>
        <w:rPr>
          <w:noProof/>
        </w:rPr>
        <w:t xml:space="preserve"> roku prognoza zawiera informacje pochodzące</w:t>
      </w:r>
      <w:r w:rsidR="00C56AFD">
        <w:rPr>
          <w:noProof/>
        </w:rPr>
        <w:t xml:space="preserve"> z</w:t>
      </w:r>
      <w:r w:rsidR="00C56AFD">
        <w:rPr>
          <w:rFonts w:ascii="Calibri" w:hAnsi="Calibri" w:cs="Calibri"/>
          <w:noProof/>
        </w:rPr>
        <w:t> </w:t>
      </w:r>
      <w:r w:rsidR="00C56AFD">
        <w:rPr>
          <w:noProof/>
        </w:rPr>
        <w:t>dot</w:t>
      </w:r>
      <w:r>
        <w:rPr>
          <w:noProof/>
        </w:rPr>
        <w:t>ychczasowego profilu wdrażania WRF na lata 2021–2027. Dokładny rok umorzenia zależałby od zamykania poszczególnych projektów</w:t>
      </w:r>
      <w:r w:rsidR="00C56AFD">
        <w:rPr>
          <w:noProof/>
        </w:rPr>
        <w:t xml:space="preserve"> i</w:t>
      </w:r>
      <w:r w:rsidR="00C56AFD">
        <w:rPr>
          <w:rFonts w:ascii="Calibri" w:hAnsi="Calibri" w:cs="Calibri"/>
          <w:noProof/>
        </w:rPr>
        <w:t> </w:t>
      </w:r>
      <w:r w:rsidR="00C56AFD">
        <w:rPr>
          <w:noProof/>
        </w:rPr>
        <w:t>dzi</w:t>
      </w:r>
      <w:r>
        <w:rPr>
          <w:noProof/>
        </w:rPr>
        <w:t>ałań, czego nie można precyzyjnie przewidzieć.</w:t>
      </w:r>
    </w:p>
    <w:p w14:paraId="37B8B7FA" w14:textId="77777777" w:rsidR="00861C1C" w:rsidRPr="00390EB1" w:rsidRDefault="003B6DC2">
      <w:pPr>
        <w:pStyle w:val="amprH3Title2-Numbered-11"/>
        <w:rPr>
          <w:noProof/>
        </w:rPr>
      </w:pPr>
      <w:bookmarkStart w:id="65" w:name="_Toc524523066"/>
      <w:r>
        <w:rPr>
          <w:noProof/>
        </w:rPr>
        <w:tab/>
      </w:r>
      <w:bookmarkStart w:id="66" w:name="_Toc170319521"/>
      <w:bookmarkStart w:id="67" w:name="_Hlk134003111"/>
      <w:r>
        <w:rPr>
          <w:noProof/>
        </w:rPr>
        <w:t>NextGenerationEU</w:t>
      </w:r>
      <w:bookmarkEnd w:id="66"/>
    </w:p>
    <w:p w14:paraId="4476D5ED" w14:textId="7CCA5715" w:rsidR="00861C1C" w:rsidRPr="00390EB1" w:rsidRDefault="003B6DC2">
      <w:pPr>
        <w:spacing w:after="120" w:line="276" w:lineRule="auto"/>
        <w:jc w:val="both"/>
        <w:rPr>
          <w:noProof/>
        </w:rPr>
      </w:pPr>
      <w:r>
        <w:rPr>
          <w:noProof/>
        </w:rPr>
        <w:t>NextGenerationEU</w:t>
      </w:r>
      <w:r w:rsidR="00C9617B">
        <w:rPr>
          <w:rStyle w:val="EndnoteReference"/>
          <w:noProof/>
        </w:rPr>
        <w:endnoteReference w:id="24"/>
      </w:r>
      <w:r>
        <w:rPr>
          <w:noProof/>
        </w:rPr>
        <w:t xml:space="preserve"> to tymczasowy instrument nadzwyczajny na potrzeby reagowania kryzysowego oraz środków służących odbudowie gospodarki</w:t>
      </w:r>
      <w:r w:rsidR="00C56AFD">
        <w:rPr>
          <w:noProof/>
        </w:rPr>
        <w:t xml:space="preserve"> i</w:t>
      </w:r>
      <w:r w:rsidR="00C56AFD">
        <w:rPr>
          <w:rFonts w:ascii="Calibri" w:hAnsi="Calibri" w:cs="Calibri"/>
          <w:noProof/>
        </w:rPr>
        <w:t> </w:t>
      </w:r>
      <w:r w:rsidR="00C56AFD">
        <w:rPr>
          <w:noProof/>
        </w:rPr>
        <w:t>zwi</w:t>
      </w:r>
      <w:r>
        <w:rPr>
          <w:noProof/>
        </w:rPr>
        <w:t>ększaniu odporności po kryzysie związanym z COVID-19. Bezzwrotny komponent wsparcia</w:t>
      </w:r>
      <w:r w:rsidR="00C56AFD">
        <w:rPr>
          <w:noProof/>
        </w:rPr>
        <w:t xml:space="preserve"> w</w:t>
      </w:r>
      <w:r w:rsidR="00C56AFD">
        <w:rPr>
          <w:rFonts w:ascii="Calibri" w:hAnsi="Calibri" w:cs="Calibri"/>
          <w:noProof/>
        </w:rPr>
        <w:t> </w:t>
      </w:r>
      <w:r w:rsidR="00C56AFD">
        <w:rPr>
          <w:noProof/>
        </w:rPr>
        <w:t>ram</w:t>
      </w:r>
      <w:r>
        <w:rPr>
          <w:noProof/>
        </w:rPr>
        <w:t>ach NextGenerationEU stanowi zewnętrzne dochody przeznaczone na finansowanie reform</w:t>
      </w:r>
      <w:r w:rsidR="00C56AFD">
        <w:rPr>
          <w:noProof/>
        </w:rPr>
        <w:t xml:space="preserve"> i</w:t>
      </w:r>
      <w:r w:rsidR="00C56AFD">
        <w:rPr>
          <w:rFonts w:ascii="Calibri" w:hAnsi="Calibri" w:cs="Calibri"/>
          <w:noProof/>
        </w:rPr>
        <w:t> </w:t>
      </w:r>
      <w:r w:rsidR="00C56AFD">
        <w:rPr>
          <w:noProof/>
        </w:rPr>
        <w:t>pri</w:t>
      </w:r>
      <w:r>
        <w:rPr>
          <w:noProof/>
        </w:rPr>
        <w:t>orytetów inwestycyjnych –</w:t>
      </w:r>
      <w:r w:rsidR="00C56AFD">
        <w:rPr>
          <w:noProof/>
        </w:rPr>
        <w:t xml:space="preserve"> w</w:t>
      </w:r>
      <w:r w:rsidR="00C56AFD">
        <w:rPr>
          <w:rFonts w:ascii="Calibri" w:hAnsi="Calibri" w:cs="Calibri"/>
          <w:noProof/>
        </w:rPr>
        <w:t> </w:t>
      </w:r>
      <w:r w:rsidR="00C56AFD">
        <w:rPr>
          <w:noProof/>
        </w:rPr>
        <w:t>szc</w:t>
      </w:r>
      <w:r>
        <w:rPr>
          <w:noProof/>
        </w:rPr>
        <w:t>zególności za pomocą Instrumentu na rzecz Odbudowy</w:t>
      </w:r>
      <w:r w:rsidR="00C56AFD">
        <w:rPr>
          <w:noProof/>
        </w:rPr>
        <w:t xml:space="preserve"> i</w:t>
      </w:r>
      <w:r w:rsidR="00C56AFD">
        <w:rPr>
          <w:rFonts w:ascii="Calibri" w:hAnsi="Calibri" w:cs="Calibri"/>
          <w:noProof/>
        </w:rPr>
        <w:t> </w:t>
      </w:r>
      <w:r w:rsidR="00C56AFD">
        <w:rPr>
          <w:noProof/>
        </w:rPr>
        <w:t>Zwi</w:t>
      </w:r>
      <w:r>
        <w:rPr>
          <w:noProof/>
        </w:rPr>
        <w:t>ększania Odporności (RRF) oraz poprzez wzmocnienie szeregu programów, które mają kluczowe znaczenie dla odbudowy. Aby</w:t>
      </w:r>
      <w:r w:rsidR="00C56AFD">
        <w:rPr>
          <w:noProof/>
        </w:rPr>
        <w:t xml:space="preserve"> w</w:t>
      </w:r>
      <w:r w:rsidR="00C56AFD">
        <w:rPr>
          <w:rFonts w:ascii="Calibri" w:hAnsi="Calibri" w:cs="Calibri"/>
          <w:noProof/>
        </w:rPr>
        <w:t> </w:t>
      </w:r>
      <w:r w:rsidR="00C56AFD">
        <w:rPr>
          <w:noProof/>
        </w:rPr>
        <w:t>prz</w:t>
      </w:r>
      <w:r>
        <w:rPr>
          <w:noProof/>
        </w:rPr>
        <w:t>ejrzysty sposób przedstawić wpływ NextGenerationEU, szacunki dotyczące oczekiwanego wykorzystania zewnętrznych dochodów przeznaczonych na określony cel sporządzono oddzielnie dla każdego programu (zob. tabela 3). Prognozę opracowano na podstawie rocznych rat zobowiązań przewidzianych</w:t>
      </w:r>
      <w:r w:rsidR="00C56AFD">
        <w:rPr>
          <w:noProof/>
        </w:rPr>
        <w:t xml:space="preserve"> w</w:t>
      </w:r>
      <w:r w:rsidR="00C56AFD">
        <w:rPr>
          <w:rFonts w:ascii="Calibri" w:hAnsi="Calibri" w:cs="Calibri"/>
          <w:noProof/>
        </w:rPr>
        <w:t> </w:t>
      </w:r>
      <w:r w:rsidR="00C56AFD">
        <w:rPr>
          <w:noProof/>
        </w:rPr>
        <w:t>pro</w:t>
      </w:r>
      <w:r>
        <w:rPr>
          <w:noProof/>
        </w:rPr>
        <w:t xml:space="preserve">gramowaniu finansowym towarzyszącym projektowi budżetu </w:t>
      </w:r>
      <w:r w:rsidRPr="00C56AFD">
        <w:rPr>
          <w:noProof/>
        </w:rPr>
        <w:t>na</w:t>
      </w:r>
      <w:r w:rsidR="00C56AFD" w:rsidRPr="00C56AFD">
        <w:rPr>
          <w:rFonts w:ascii="Calibri" w:hAnsi="Calibri" w:cs="Calibri"/>
          <w:noProof/>
        </w:rPr>
        <w:t> </w:t>
      </w:r>
      <w:r w:rsidRPr="00C56AFD">
        <w:rPr>
          <w:noProof/>
        </w:rPr>
        <w:t>2</w:t>
      </w:r>
      <w:r>
        <w:rPr>
          <w:noProof/>
        </w:rPr>
        <w:t>0</w:t>
      </w:r>
      <w:r w:rsidRPr="00C56AFD">
        <w:rPr>
          <w:noProof/>
        </w:rPr>
        <w:t>25</w:t>
      </w:r>
      <w:r w:rsidR="00C56AFD" w:rsidRPr="00C56AFD">
        <w:rPr>
          <w:rFonts w:ascii="Calibri" w:hAnsi="Calibri" w:cs="Calibri"/>
          <w:noProof/>
        </w:rPr>
        <w:t> </w:t>
      </w:r>
      <w:r w:rsidRPr="00C56AFD">
        <w:rPr>
          <w:noProof/>
        </w:rPr>
        <w:t>r.</w:t>
      </w:r>
    </w:p>
    <w:p w14:paraId="1DF9B25A" w14:textId="03D1F097" w:rsidR="00861C1C" w:rsidRPr="00390EB1" w:rsidRDefault="003B6DC2">
      <w:pPr>
        <w:spacing w:after="120" w:line="276" w:lineRule="auto"/>
        <w:jc w:val="both"/>
        <w:rPr>
          <w:rStyle w:val="normaltextrun"/>
          <w:rFonts w:asciiTheme="majorHAnsi" w:hAnsiTheme="majorHAnsi" w:cs="Calibri"/>
          <w:noProof/>
          <w:color w:val="000000"/>
          <w:shd w:val="clear" w:color="auto" w:fill="FFFFFF"/>
        </w:rPr>
      </w:pPr>
      <w:r>
        <w:rPr>
          <w:rStyle w:val="normaltextrun"/>
          <w:rFonts w:asciiTheme="majorHAnsi" w:hAnsiTheme="majorHAnsi"/>
          <w:noProof/>
          <w:color w:val="000000"/>
          <w:shd w:val="clear" w:color="auto" w:fill="FFFFFF"/>
        </w:rPr>
        <w:t xml:space="preserve">Centralnym elementem NextGenerationEU jest </w:t>
      </w:r>
      <w:r>
        <w:rPr>
          <w:noProof/>
        </w:rPr>
        <w:t>Instrument na rzecz Odbudowy</w:t>
      </w:r>
      <w:r w:rsidR="00C56AFD">
        <w:rPr>
          <w:noProof/>
        </w:rPr>
        <w:t xml:space="preserve"> i</w:t>
      </w:r>
      <w:r w:rsidR="00C56AFD">
        <w:rPr>
          <w:rFonts w:ascii="Calibri" w:hAnsi="Calibri" w:cs="Calibri"/>
          <w:noProof/>
        </w:rPr>
        <w:t> </w:t>
      </w:r>
      <w:r w:rsidR="00C56AFD">
        <w:rPr>
          <w:noProof/>
        </w:rPr>
        <w:t>Zwi</w:t>
      </w:r>
      <w:r>
        <w:rPr>
          <w:noProof/>
        </w:rPr>
        <w:t>ększania Odporności (RRF),</w:t>
      </w:r>
      <w:r>
        <w:rPr>
          <w:rStyle w:val="normaltextrun"/>
          <w:rFonts w:asciiTheme="majorHAnsi" w:hAnsiTheme="majorHAnsi"/>
          <w:noProof/>
          <w:color w:val="000000"/>
          <w:shd w:val="clear" w:color="auto" w:fill="FFFFFF"/>
        </w:rPr>
        <w:t xml:space="preserve"> na który przypada 8</w:t>
      </w:r>
      <w:r w:rsidRPr="00C56AFD">
        <w:rPr>
          <w:rStyle w:val="normaltextrun"/>
          <w:rFonts w:asciiTheme="majorHAnsi" w:hAnsiTheme="majorHAnsi"/>
          <w:noProof/>
          <w:color w:val="000000"/>
          <w:shd w:val="clear" w:color="auto" w:fill="FFFFFF"/>
        </w:rPr>
        <w:t>0</w:t>
      </w:r>
      <w:r w:rsidR="00C56AFD" w:rsidRPr="00C56AFD">
        <w:rPr>
          <w:rStyle w:val="normaltextrun"/>
          <w:rFonts w:ascii="Calibri" w:hAnsi="Calibri" w:cs="Calibri"/>
          <w:noProof/>
          <w:color w:val="000000"/>
          <w:shd w:val="clear" w:color="auto" w:fill="FFFFFF"/>
        </w:rPr>
        <w:t> </w:t>
      </w:r>
      <w:r w:rsidRPr="00C56AFD">
        <w:rPr>
          <w:rStyle w:val="normaltextrun"/>
          <w:rFonts w:asciiTheme="majorHAnsi" w:hAnsiTheme="majorHAnsi"/>
          <w:noProof/>
          <w:color w:val="000000"/>
          <w:shd w:val="clear" w:color="auto" w:fill="FFFFFF"/>
        </w:rPr>
        <w:t>%</w:t>
      </w:r>
      <w:r>
        <w:rPr>
          <w:rStyle w:val="normaltextrun"/>
          <w:rFonts w:asciiTheme="majorHAnsi" w:hAnsiTheme="majorHAnsi"/>
          <w:noProof/>
          <w:color w:val="000000"/>
          <w:shd w:val="clear" w:color="auto" w:fill="FFFFFF"/>
        </w:rPr>
        <w:t xml:space="preserve"> bezzwrotnych środków</w:t>
      </w:r>
      <w:r w:rsidR="003217CE">
        <w:rPr>
          <w:rStyle w:val="EndnoteReference"/>
          <w:rFonts w:cs="Calibri"/>
          <w:noProof/>
          <w:color w:val="000000"/>
          <w:shd w:val="clear" w:color="auto" w:fill="FFFFFF"/>
        </w:rPr>
        <w:endnoteReference w:id="25"/>
      </w:r>
      <w:r>
        <w:rPr>
          <w:rStyle w:val="normaltextrun"/>
          <w:rFonts w:asciiTheme="majorHAnsi" w:hAnsiTheme="majorHAnsi"/>
          <w:noProof/>
          <w:color w:val="000000"/>
          <w:shd w:val="clear" w:color="auto" w:fill="FFFFFF"/>
        </w:rPr>
        <w:t>. Wypływy środków</w:t>
      </w:r>
      <w:r w:rsidR="00C56AFD">
        <w:rPr>
          <w:rStyle w:val="normaltextrun"/>
          <w:rFonts w:asciiTheme="majorHAnsi" w:hAnsiTheme="majorHAnsi"/>
          <w:noProof/>
          <w:color w:val="000000"/>
          <w:shd w:val="clear" w:color="auto" w:fill="FFFFFF"/>
        </w:rPr>
        <w:t xml:space="preserve"> z</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zas</w:t>
      </w:r>
      <w:r>
        <w:rPr>
          <w:rStyle w:val="normaltextrun"/>
          <w:rFonts w:asciiTheme="majorHAnsi" w:hAnsiTheme="majorHAnsi"/>
          <w:noProof/>
          <w:color w:val="000000"/>
          <w:shd w:val="clear" w:color="auto" w:fill="FFFFFF"/>
        </w:rPr>
        <w:t>obów NextGenerationEU są</w:t>
      </w:r>
      <w:r w:rsidR="00C56AFD">
        <w:rPr>
          <w:rStyle w:val="normaltextrun"/>
          <w:rFonts w:asciiTheme="majorHAnsi" w:hAnsiTheme="majorHAnsi"/>
          <w:noProof/>
          <w:color w:val="000000"/>
          <w:shd w:val="clear" w:color="auto" w:fill="FFFFFF"/>
        </w:rPr>
        <w:t xml:space="preserve"> w</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duż</w:t>
      </w:r>
      <w:r>
        <w:rPr>
          <w:rStyle w:val="normaltextrun"/>
          <w:rFonts w:asciiTheme="majorHAnsi" w:hAnsiTheme="majorHAnsi"/>
          <w:noProof/>
          <w:color w:val="000000"/>
          <w:shd w:val="clear" w:color="auto" w:fill="FFFFFF"/>
        </w:rPr>
        <w:t>ej mierze uzależnione od tempa wypłat</w:t>
      </w:r>
      <w:r w:rsidR="00C56AFD">
        <w:rPr>
          <w:rStyle w:val="normaltextrun"/>
          <w:rFonts w:asciiTheme="majorHAnsi" w:hAnsiTheme="majorHAnsi"/>
          <w:noProof/>
          <w:color w:val="000000"/>
          <w:shd w:val="clear" w:color="auto" w:fill="FFFFFF"/>
        </w:rPr>
        <w:t xml:space="preserve"> w</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ram</w:t>
      </w:r>
      <w:r>
        <w:rPr>
          <w:rStyle w:val="normaltextrun"/>
          <w:rFonts w:asciiTheme="majorHAnsi" w:hAnsiTheme="majorHAnsi"/>
          <w:noProof/>
          <w:color w:val="000000"/>
          <w:shd w:val="clear" w:color="auto" w:fill="FFFFFF"/>
        </w:rPr>
        <w:t>ach RRF. RRF osiągnął połowę fazy wdrażania</w:t>
      </w:r>
      <w:r w:rsidR="00C56AFD">
        <w:rPr>
          <w:rStyle w:val="normaltextrun"/>
          <w:rFonts w:asciiTheme="majorHAnsi" w:hAnsiTheme="majorHAnsi"/>
          <w:noProof/>
          <w:color w:val="000000"/>
          <w:shd w:val="clear" w:color="auto" w:fill="FFFFFF"/>
        </w:rPr>
        <w:t xml:space="preserve"> i</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pos</w:t>
      </w:r>
      <w:r>
        <w:rPr>
          <w:rStyle w:val="normaltextrun"/>
          <w:rFonts w:asciiTheme="majorHAnsi" w:hAnsiTheme="majorHAnsi"/>
          <w:noProof/>
          <w:color w:val="000000"/>
          <w:shd w:val="clear" w:color="auto" w:fill="FFFFFF"/>
        </w:rPr>
        <w:t>tępy są proporcjonalne do osiągania kamieni milowych</w:t>
      </w:r>
      <w:r w:rsidR="00C56AFD">
        <w:rPr>
          <w:rStyle w:val="normaltextrun"/>
          <w:rFonts w:asciiTheme="majorHAnsi" w:hAnsiTheme="majorHAnsi"/>
          <w:noProof/>
          <w:color w:val="000000"/>
          <w:shd w:val="clear" w:color="auto" w:fill="FFFFFF"/>
        </w:rPr>
        <w:t xml:space="preserve"> i</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war</w:t>
      </w:r>
      <w:r>
        <w:rPr>
          <w:rStyle w:val="normaltextrun"/>
          <w:rFonts w:asciiTheme="majorHAnsi" w:hAnsiTheme="majorHAnsi"/>
          <w:noProof/>
          <w:color w:val="000000"/>
          <w:shd w:val="clear" w:color="auto" w:fill="FFFFFF"/>
        </w:rPr>
        <w:t>tości docelowych związanych</w:t>
      </w:r>
      <w:r w:rsidR="00C56AFD">
        <w:rPr>
          <w:rStyle w:val="normaltextrun"/>
          <w:rFonts w:asciiTheme="majorHAnsi" w:hAnsiTheme="majorHAnsi"/>
          <w:noProof/>
          <w:color w:val="000000"/>
          <w:shd w:val="clear" w:color="auto" w:fill="FFFFFF"/>
        </w:rPr>
        <w:t xml:space="preserve"> z</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ref</w:t>
      </w:r>
      <w:r>
        <w:rPr>
          <w:rStyle w:val="normaltextrun"/>
          <w:rFonts w:asciiTheme="majorHAnsi" w:hAnsiTheme="majorHAnsi"/>
          <w:noProof/>
          <w:color w:val="000000"/>
          <w:shd w:val="clear" w:color="auto" w:fill="FFFFFF"/>
        </w:rPr>
        <w:t>ormami</w:t>
      </w:r>
      <w:r w:rsidR="00C56AFD">
        <w:rPr>
          <w:rStyle w:val="normaltextrun"/>
          <w:rFonts w:asciiTheme="majorHAnsi" w:hAnsiTheme="majorHAnsi"/>
          <w:noProof/>
          <w:color w:val="000000"/>
          <w:shd w:val="clear" w:color="auto" w:fill="FFFFFF"/>
        </w:rPr>
        <w:t xml:space="preserve"> i</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inw</w:t>
      </w:r>
      <w:r>
        <w:rPr>
          <w:rStyle w:val="normaltextrun"/>
          <w:rFonts w:asciiTheme="majorHAnsi" w:hAnsiTheme="majorHAnsi"/>
          <w:noProof/>
          <w:color w:val="000000"/>
          <w:shd w:val="clear" w:color="auto" w:fill="FFFFFF"/>
        </w:rPr>
        <w:t>estycjami państw członkowskich.</w:t>
      </w:r>
    </w:p>
    <w:p w14:paraId="07BD29AF" w14:textId="5ECCD205" w:rsidR="00861C1C" w:rsidRPr="00507A67" w:rsidRDefault="2A67BF04" w:rsidP="4CFE12F3">
      <w:pPr>
        <w:spacing w:after="120" w:line="276" w:lineRule="auto"/>
        <w:jc w:val="both"/>
        <w:rPr>
          <w:rStyle w:val="normaltextrun"/>
          <w:rFonts w:asciiTheme="majorHAnsi" w:hAnsiTheme="majorHAnsi"/>
          <w:noProof/>
          <w:color w:val="000000"/>
          <w:shd w:val="clear" w:color="auto" w:fill="FFFFFF"/>
        </w:rPr>
      </w:pPr>
      <w:bookmarkStart w:id="68" w:name="_Hlk134003757"/>
      <w:r>
        <w:rPr>
          <w:rStyle w:val="normaltextrun"/>
          <w:rFonts w:asciiTheme="majorHAnsi" w:hAnsiTheme="majorHAnsi"/>
          <w:noProof/>
          <w:color w:val="000000"/>
          <w:shd w:val="clear" w:color="auto" w:fill="FFFFFF"/>
        </w:rPr>
        <w:t>Od maja 20</w:t>
      </w:r>
      <w:r w:rsidRPr="00C56AFD">
        <w:rPr>
          <w:rStyle w:val="normaltextrun"/>
          <w:rFonts w:asciiTheme="majorHAnsi" w:hAnsiTheme="majorHAnsi"/>
          <w:noProof/>
          <w:color w:val="000000"/>
          <w:shd w:val="clear" w:color="auto" w:fill="FFFFFF"/>
        </w:rPr>
        <w:t>24</w:t>
      </w:r>
      <w:r w:rsidR="00C56AFD" w:rsidRPr="00C56AFD">
        <w:rPr>
          <w:rStyle w:val="normaltextrun"/>
          <w:rFonts w:ascii="Calibri" w:hAnsi="Calibri" w:cs="Calibri"/>
          <w:noProof/>
          <w:color w:val="000000"/>
          <w:shd w:val="clear" w:color="auto" w:fill="FFFFFF"/>
        </w:rPr>
        <w:t> </w:t>
      </w:r>
      <w:r w:rsidRPr="00C56AFD">
        <w:rPr>
          <w:rStyle w:val="normaltextrun"/>
          <w:rFonts w:asciiTheme="majorHAnsi" w:hAnsiTheme="majorHAnsi"/>
          <w:noProof/>
          <w:color w:val="000000"/>
          <w:shd w:val="clear" w:color="auto" w:fill="FFFFFF"/>
        </w:rPr>
        <w:t>r.</w:t>
      </w:r>
      <w:r>
        <w:rPr>
          <w:rStyle w:val="normaltextrun"/>
          <w:rFonts w:asciiTheme="majorHAnsi" w:hAnsiTheme="majorHAnsi"/>
          <w:noProof/>
          <w:color w:val="000000"/>
          <w:shd w:val="clear" w:color="auto" w:fill="FFFFFF"/>
        </w:rPr>
        <w:t xml:space="preserve"> wszystkie 27 państw członkowskich zaktualizowało swoje krajowe plany odbudowy</w:t>
      </w:r>
      <w:r w:rsidR="00C56AFD">
        <w:rPr>
          <w:rStyle w:val="normaltextrun"/>
          <w:rFonts w:asciiTheme="majorHAnsi" w:hAnsiTheme="majorHAnsi"/>
          <w:noProof/>
          <w:color w:val="000000"/>
          <w:shd w:val="clear" w:color="auto" w:fill="FFFFFF"/>
        </w:rPr>
        <w:t xml:space="preserve"> i</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zwi</w:t>
      </w:r>
      <w:r>
        <w:rPr>
          <w:rStyle w:val="normaltextrun"/>
          <w:rFonts w:asciiTheme="majorHAnsi" w:hAnsiTheme="majorHAnsi"/>
          <w:noProof/>
          <w:color w:val="000000"/>
          <w:shd w:val="clear" w:color="auto" w:fill="FFFFFF"/>
        </w:rPr>
        <w:t>ększania odporności (RRP), aby uwzględnić aktualizację alokacji</w:t>
      </w:r>
      <w:r w:rsidR="00C56AFD">
        <w:rPr>
          <w:rStyle w:val="normaltextrun"/>
          <w:rFonts w:asciiTheme="majorHAnsi" w:hAnsiTheme="majorHAnsi"/>
          <w:noProof/>
          <w:color w:val="000000"/>
          <w:shd w:val="clear" w:color="auto" w:fill="FFFFFF"/>
        </w:rPr>
        <w:t xml:space="preserve"> w</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ram</w:t>
      </w:r>
      <w:r>
        <w:rPr>
          <w:rStyle w:val="normaltextrun"/>
          <w:rFonts w:asciiTheme="majorHAnsi" w:hAnsiTheme="majorHAnsi"/>
          <w:noProof/>
          <w:color w:val="000000"/>
          <w:shd w:val="clear" w:color="auto" w:fill="FFFFFF"/>
        </w:rPr>
        <w:t>ach RRF. Prawie wszystkie państwa członkowskie włączyły specjalne rozdziały REPowerEU do krajowych planów odbudowy</w:t>
      </w:r>
      <w:r w:rsidR="00C56AFD">
        <w:rPr>
          <w:rStyle w:val="normaltextrun"/>
          <w:rFonts w:asciiTheme="majorHAnsi" w:hAnsiTheme="majorHAnsi"/>
          <w:noProof/>
          <w:color w:val="000000"/>
          <w:shd w:val="clear" w:color="auto" w:fill="FFFFFF"/>
        </w:rPr>
        <w:t xml:space="preserve"> i</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zwi</w:t>
      </w:r>
      <w:r>
        <w:rPr>
          <w:rStyle w:val="normaltextrun"/>
          <w:rFonts w:asciiTheme="majorHAnsi" w:hAnsiTheme="majorHAnsi"/>
          <w:noProof/>
          <w:color w:val="000000"/>
          <w:shd w:val="clear" w:color="auto" w:fill="FFFFFF"/>
        </w:rPr>
        <w:t>ększania odporności, zgodnie</w:t>
      </w:r>
      <w:r w:rsidR="00C56AFD">
        <w:rPr>
          <w:rStyle w:val="normaltextrun"/>
          <w:rFonts w:asciiTheme="majorHAnsi" w:hAnsiTheme="majorHAnsi"/>
          <w:noProof/>
          <w:color w:val="000000"/>
          <w:shd w:val="clear" w:color="auto" w:fill="FFFFFF"/>
        </w:rPr>
        <w:t xml:space="preserve"> z</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pla</w:t>
      </w:r>
      <w:r>
        <w:rPr>
          <w:rStyle w:val="normaltextrun"/>
          <w:rFonts w:asciiTheme="majorHAnsi" w:hAnsiTheme="majorHAnsi"/>
          <w:noProof/>
          <w:color w:val="000000"/>
          <w:shd w:val="clear" w:color="auto" w:fill="FFFFFF"/>
        </w:rPr>
        <w:t>nem REPowerEU Komisji mającym na celu zwiększenie niezależności energetycznej</w:t>
      </w:r>
      <w:r w:rsidR="00C56AFD">
        <w:rPr>
          <w:rStyle w:val="normaltextrun"/>
          <w:rFonts w:asciiTheme="majorHAnsi" w:hAnsiTheme="majorHAnsi"/>
          <w:noProof/>
          <w:color w:val="000000"/>
          <w:shd w:val="clear" w:color="auto" w:fill="FFFFFF"/>
        </w:rPr>
        <w:t xml:space="preserve"> i</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wsp</w:t>
      </w:r>
      <w:r>
        <w:rPr>
          <w:rStyle w:val="normaltextrun"/>
          <w:rFonts w:asciiTheme="majorHAnsi" w:hAnsiTheme="majorHAnsi"/>
          <w:noProof/>
          <w:color w:val="000000"/>
          <w:shd w:val="clear" w:color="auto" w:fill="FFFFFF"/>
        </w:rPr>
        <w:t>ieranie transformacji energetycznej</w:t>
      </w:r>
      <w:r w:rsidR="00C56AFD">
        <w:rPr>
          <w:rStyle w:val="normaltextrun"/>
          <w:rFonts w:asciiTheme="majorHAnsi" w:hAnsiTheme="majorHAnsi"/>
          <w:noProof/>
          <w:color w:val="000000"/>
          <w:shd w:val="clear" w:color="auto" w:fill="FFFFFF"/>
        </w:rPr>
        <w:t xml:space="preserve"> w</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kie</w:t>
      </w:r>
      <w:r>
        <w:rPr>
          <w:rStyle w:val="normaltextrun"/>
          <w:rFonts w:asciiTheme="majorHAnsi" w:hAnsiTheme="majorHAnsi"/>
          <w:noProof/>
          <w:color w:val="000000"/>
          <w:shd w:val="clear" w:color="auto" w:fill="FFFFFF"/>
        </w:rPr>
        <w:t>runku zrównoważonych odnawialnych źródeł energii. Ponadto rozdziały REPowerEU przedłożone przez Irlandię</w:t>
      </w:r>
      <w:r w:rsidR="00C56AFD">
        <w:rPr>
          <w:rStyle w:val="normaltextrun"/>
          <w:rFonts w:asciiTheme="majorHAnsi" w:hAnsiTheme="majorHAnsi"/>
          <w:noProof/>
          <w:color w:val="000000"/>
          <w:shd w:val="clear" w:color="auto" w:fill="FFFFFF"/>
        </w:rPr>
        <w:t xml:space="preserve"> i</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Nie</w:t>
      </w:r>
      <w:r>
        <w:rPr>
          <w:rStyle w:val="normaltextrun"/>
          <w:rFonts w:asciiTheme="majorHAnsi" w:hAnsiTheme="majorHAnsi"/>
          <w:noProof/>
          <w:color w:val="000000"/>
          <w:shd w:val="clear" w:color="auto" w:fill="FFFFFF"/>
        </w:rPr>
        <w:t>mcy są obecnie przedmiotem oceny Komisji, która ma zostać przyjęta</w:t>
      </w:r>
      <w:r w:rsidR="00C56AFD">
        <w:rPr>
          <w:rStyle w:val="normaltextrun"/>
          <w:rFonts w:asciiTheme="majorHAnsi" w:hAnsiTheme="majorHAnsi"/>
          <w:noProof/>
          <w:color w:val="000000"/>
          <w:shd w:val="clear" w:color="auto" w:fill="FFFFFF"/>
        </w:rPr>
        <w:t xml:space="preserve"> w</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kol</w:t>
      </w:r>
      <w:r>
        <w:rPr>
          <w:rStyle w:val="normaltextrun"/>
          <w:rFonts w:asciiTheme="majorHAnsi" w:hAnsiTheme="majorHAnsi"/>
          <w:noProof/>
          <w:color w:val="000000"/>
          <w:shd w:val="clear" w:color="auto" w:fill="FFFFFF"/>
        </w:rPr>
        <w:t xml:space="preserve">ejnych miesiącach. </w:t>
      </w:r>
      <w:r>
        <w:rPr>
          <w:rStyle w:val="normaltextrun"/>
          <w:noProof/>
          <w:color w:val="000000"/>
          <w:shd w:val="clear" w:color="auto" w:fill="FFFFFF"/>
        </w:rPr>
        <w:t>Ogółem wypłacono 232 mld EUR (148 mld EUR</w:t>
      </w:r>
      <w:r w:rsidR="00C56AFD">
        <w:rPr>
          <w:rStyle w:val="normaltextrun"/>
          <w:noProof/>
          <w:color w:val="000000"/>
          <w:shd w:val="clear" w:color="auto" w:fill="FFFFFF"/>
        </w:rPr>
        <w:t xml:space="preserve"> w</w:t>
      </w:r>
      <w:r w:rsidR="00C56AFD">
        <w:rPr>
          <w:rStyle w:val="normaltextrun"/>
          <w:rFonts w:ascii="Calibri" w:hAnsi="Calibri" w:cs="Calibri"/>
          <w:noProof/>
          <w:color w:val="000000"/>
          <w:shd w:val="clear" w:color="auto" w:fill="FFFFFF"/>
        </w:rPr>
        <w:t> </w:t>
      </w:r>
      <w:r w:rsidR="00C56AFD">
        <w:rPr>
          <w:rStyle w:val="normaltextrun"/>
          <w:noProof/>
          <w:color w:val="000000"/>
          <w:shd w:val="clear" w:color="auto" w:fill="FFFFFF"/>
        </w:rPr>
        <w:t>for</w:t>
      </w:r>
      <w:r>
        <w:rPr>
          <w:rStyle w:val="normaltextrun"/>
          <w:noProof/>
          <w:color w:val="000000"/>
          <w:shd w:val="clear" w:color="auto" w:fill="FFFFFF"/>
        </w:rPr>
        <w:t>mie bezzwrotnego wsparcia</w:t>
      </w:r>
      <w:r w:rsidR="00C56AFD">
        <w:rPr>
          <w:rStyle w:val="normaltextrun"/>
          <w:noProof/>
          <w:color w:val="000000"/>
          <w:shd w:val="clear" w:color="auto" w:fill="FFFFFF"/>
        </w:rPr>
        <w:t xml:space="preserve"> i</w:t>
      </w:r>
      <w:r w:rsidR="00C56AFD">
        <w:rPr>
          <w:rStyle w:val="normaltextrun"/>
          <w:rFonts w:ascii="Calibri" w:hAnsi="Calibri" w:cs="Calibri"/>
          <w:noProof/>
          <w:color w:val="000000"/>
          <w:shd w:val="clear" w:color="auto" w:fill="FFFFFF"/>
        </w:rPr>
        <w:t> </w:t>
      </w:r>
      <w:r w:rsidR="00C56AFD">
        <w:rPr>
          <w:rStyle w:val="normaltextrun"/>
          <w:noProof/>
          <w:color w:val="000000"/>
          <w:shd w:val="clear" w:color="auto" w:fill="FFFFFF"/>
        </w:rPr>
        <w:t>8</w:t>
      </w:r>
      <w:r>
        <w:rPr>
          <w:rStyle w:val="normaltextrun"/>
          <w:noProof/>
          <w:color w:val="000000"/>
          <w:shd w:val="clear" w:color="auto" w:fill="FFFFFF"/>
        </w:rPr>
        <w:t>4 mld EUR</w:t>
      </w:r>
      <w:r w:rsidR="00C56AFD">
        <w:rPr>
          <w:rStyle w:val="normaltextrun"/>
          <w:noProof/>
          <w:color w:val="000000"/>
          <w:shd w:val="clear" w:color="auto" w:fill="FFFFFF"/>
        </w:rPr>
        <w:t xml:space="preserve"> w</w:t>
      </w:r>
      <w:r w:rsidR="00C56AFD">
        <w:rPr>
          <w:rStyle w:val="normaltextrun"/>
          <w:rFonts w:ascii="Calibri" w:hAnsi="Calibri" w:cs="Calibri"/>
          <w:noProof/>
          <w:color w:val="000000"/>
          <w:shd w:val="clear" w:color="auto" w:fill="FFFFFF"/>
        </w:rPr>
        <w:t> </w:t>
      </w:r>
      <w:r w:rsidR="00C56AFD">
        <w:rPr>
          <w:rStyle w:val="normaltextrun"/>
          <w:noProof/>
          <w:color w:val="000000"/>
          <w:shd w:val="clear" w:color="auto" w:fill="FFFFFF"/>
        </w:rPr>
        <w:t>for</w:t>
      </w:r>
      <w:r>
        <w:rPr>
          <w:rStyle w:val="normaltextrun"/>
          <w:noProof/>
          <w:color w:val="000000"/>
          <w:shd w:val="clear" w:color="auto" w:fill="FFFFFF"/>
        </w:rPr>
        <w:t>mie pożyczek)</w:t>
      </w:r>
      <w:r w:rsidR="00C56AFD">
        <w:rPr>
          <w:rStyle w:val="normaltextrun"/>
          <w:noProof/>
          <w:color w:val="000000"/>
          <w:shd w:val="clear" w:color="auto" w:fill="FFFFFF"/>
        </w:rPr>
        <w:t xml:space="preserve"> z</w:t>
      </w:r>
      <w:r w:rsidR="00C56AFD">
        <w:rPr>
          <w:rStyle w:val="normaltextrun"/>
          <w:rFonts w:ascii="Calibri" w:hAnsi="Calibri" w:cs="Calibri"/>
          <w:noProof/>
          <w:color w:val="000000"/>
          <w:shd w:val="clear" w:color="auto" w:fill="FFFFFF"/>
        </w:rPr>
        <w:t> </w:t>
      </w:r>
      <w:r w:rsidR="00C56AFD">
        <w:rPr>
          <w:rStyle w:val="normaltextrun"/>
          <w:noProof/>
          <w:color w:val="000000"/>
          <w:shd w:val="clear" w:color="auto" w:fill="FFFFFF"/>
        </w:rPr>
        <w:t>oko</w:t>
      </w:r>
      <w:r>
        <w:rPr>
          <w:rStyle w:val="normaltextrun"/>
          <w:noProof/>
          <w:color w:val="000000"/>
          <w:shd w:val="clear" w:color="auto" w:fill="FFFFFF"/>
        </w:rPr>
        <w:t>ło 648 mld EUR</w:t>
      </w:r>
      <w:r w:rsidR="00C56AFD">
        <w:rPr>
          <w:rStyle w:val="normaltextrun"/>
          <w:noProof/>
          <w:color w:val="000000"/>
          <w:shd w:val="clear" w:color="auto" w:fill="FFFFFF"/>
        </w:rPr>
        <w:t xml:space="preserve"> w</w:t>
      </w:r>
      <w:r w:rsidR="00C56AFD">
        <w:rPr>
          <w:rStyle w:val="normaltextrun"/>
          <w:rFonts w:ascii="Calibri" w:hAnsi="Calibri" w:cs="Calibri"/>
          <w:noProof/>
          <w:color w:val="000000"/>
          <w:shd w:val="clear" w:color="auto" w:fill="FFFFFF"/>
        </w:rPr>
        <w:t> </w:t>
      </w:r>
      <w:r w:rsidR="00C56AFD">
        <w:rPr>
          <w:rStyle w:val="normaltextrun"/>
          <w:noProof/>
          <w:color w:val="000000"/>
          <w:shd w:val="clear" w:color="auto" w:fill="FFFFFF"/>
        </w:rPr>
        <w:t>for</w:t>
      </w:r>
      <w:r>
        <w:rPr>
          <w:rStyle w:val="normaltextrun"/>
          <w:noProof/>
          <w:color w:val="000000"/>
          <w:shd w:val="clear" w:color="auto" w:fill="FFFFFF"/>
        </w:rPr>
        <w:t>mie bezzwrotnego wsparcia</w:t>
      </w:r>
      <w:r w:rsidR="00C56AFD">
        <w:rPr>
          <w:rStyle w:val="normaltextrun"/>
          <w:noProof/>
          <w:color w:val="000000"/>
          <w:shd w:val="clear" w:color="auto" w:fill="FFFFFF"/>
        </w:rPr>
        <w:t xml:space="preserve"> w</w:t>
      </w:r>
      <w:r w:rsidR="00C56AFD">
        <w:rPr>
          <w:rStyle w:val="normaltextrun"/>
          <w:rFonts w:ascii="Calibri" w:hAnsi="Calibri" w:cs="Calibri"/>
          <w:noProof/>
          <w:color w:val="000000"/>
          <w:shd w:val="clear" w:color="auto" w:fill="FFFFFF"/>
        </w:rPr>
        <w:t> </w:t>
      </w:r>
      <w:r w:rsidR="00C56AFD">
        <w:rPr>
          <w:rStyle w:val="normaltextrun"/>
          <w:noProof/>
          <w:color w:val="000000"/>
          <w:shd w:val="clear" w:color="auto" w:fill="FFFFFF"/>
        </w:rPr>
        <w:t>ram</w:t>
      </w:r>
      <w:r>
        <w:rPr>
          <w:rStyle w:val="normaltextrun"/>
          <w:noProof/>
          <w:color w:val="000000"/>
          <w:shd w:val="clear" w:color="auto" w:fill="FFFFFF"/>
        </w:rPr>
        <w:t>ach RRF</w:t>
      </w:r>
      <w:r w:rsidR="00C56AFD">
        <w:rPr>
          <w:rStyle w:val="normaltextrun"/>
          <w:noProof/>
          <w:color w:val="000000"/>
          <w:shd w:val="clear" w:color="auto" w:fill="FFFFFF"/>
        </w:rPr>
        <w:t xml:space="preserve"> i</w:t>
      </w:r>
      <w:r w:rsidR="00C56AFD">
        <w:rPr>
          <w:rStyle w:val="normaltextrun"/>
          <w:rFonts w:ascii="Calibri" w:hAnsi="Calibri" w:cs="Calibri"/>
          <w:noProof/>
          <w:color w:val="000000"/>
          <w:shd w:val="clear" w:color="auto" w:fill="FFFFFF"/>
        </w:rPr>
        <w:t> </w:t>
      </w:r>
      <w:r w:rsidR="00C56AFD">
        <w:rPr>
          <w:rStyle w:val="normaltextrun"/>
          <w:noProof/>
          <w:color w:val="000000"/>
          <w:shd w:val="clear" w:color="auto" w:fill="FFFFFF"/>
        </w:rPr>
        <w:t>wsp</w:t>
      </w:r>
      <w:r>
        <w:rPr>
          <w:rStyle w:val="normaltextrun"/>
          <w:noProof/>
          <w:color w:val="000000"/>
          <w:shd w:val="clear" w:color="auto" w:fill="FFFFFF"/>
        </w:rPr>
        <w:t>arcia</w:t>
      </w:r>
      <w:r w:rsidR="00C56AFD">
        <w:rPr>
          <w:rStyle w:val="normaltextrun"/>
          <w:noProof/>
          <w:color w:val="000000"/>
          <w:shd w:val="clear" w:color="auto" w:fill="FFFFFF"/>
        </w:rPr>
        <w:t xml:space="preserve"> w</w:t>
      </w:r>
      <w:r w:rsidR="00C56AFD">
        <w:rPr>
          <w:rStyle w:val="normaltextrun"/>
          <w:rFonts w:ascii="Calibri" w:hAnsi="Calibri" w:cs="Calibri"/>
          <w:noProof/>
          <w:color w:val="000000"/>
          <w:shd w:val="clear" w:color="auto" w:fill="FFFFFF"/>
        </w:rPr>
        <w:t> </w:t>
      </w:r>
      <w:r w:rsidR="00C56AFD">
        <w:rPr>
          <w:rStyle w:val="normaltextrun"/>
          <w:noProof/>
          <w:color w:val="000000"/>
          <w:shd w:val="clear" w:color="auto" w:fill="FFFFFF"/>
        </w:rPr>
        <w:t>for</w:t>
      </w:r>
      <w:r>
        <w:rPr>
          <w:rStyle w:val="normaltextrun"/>
          <w:noProof/>
          <w:color w:val="000000"/>
          <w:shd w:val="clear" w:color="auto" w:fill="FFFFFF"/>
        </w:rPr>
        <w:t>mie pożyczek zarówno</w:t>
      </w:r>
      <w:r w:rsidR="00C56AFD">
        <w:rPr>
          <w:rStyle w:val="normaltextrun"/>
          <w:noProof/>
          <w:color w:val="000000"/>
          <w:shd w:val="clear" w:color="auto" w:fill="FFFFFF"/>
        </w:rPr>
        <w:t xml:space="preserve"> w</w:t>
      </w:r>
      <w:r w:rsidR="00C56AFD">
        <w:rPr>
          <w:rStyle w:val="normaltextrun"/>
          <w:rFonts w:ascii="Calibri" w:hAnsi="Calibri" w:cs="Calibri"/>
          <w:noProof/>
          <w:color w:val="000000"/>
          <w:shd w:val="clear" w:color="auto" w:fill="FFFFFF"/>
        </w:rPr>
        <w:t> </w:t>
      </w:r>
      <w:r w:rsidR="00C56AFD">
        <w:rPr>
          <w:rStyle w:val="normaltextrun"/>
          <w:noProof/>
          <w:color w:val="000000"/>
          <w:shd w:val="clear" w:color="auto" w:fill="FFFFFF"/>
        </w:rPr>
        <w:t>ram</w:t>
      </w:r>
      <w:r>
        <w:rPr>
          <w:rStyle w:val="normaltextrun"/>
          <w:noProof/>
          <w:color w:val="000000"/>
          <w:shd w:val="clear" w:color="auto" w:fill="FFFFFF"/>
        </w:rPr>
        <w:t>ach RRF, jak i REPowerEU.</w:t>
      </w:r>
      <w:r>
        <w:rPr>
          <w:rStyle w:val="normaltextrun"/>
          <w:rFonts w:asciiTheme="majorHAnsi" w:hAnsiTheme="majorHAnsi"/>
          <w:noProof/>
          <w:color w:val="000000"/>
          <w:shd w:val="clear" w:color="auto" w:fill="FFFFFF"/>
        </w:rPr>
        <w:t xml:space="preserve"> </w:t>
      </w:r>
      <w:r>
        <w:rPr>
          <w:rStyle w:val="normaltextrun"/>
          <w:noProof/>
          <w:color w:val="000000"/>
          <w:shd w:val="clear" w:color="auto" w:fill="FFFFFF"/>
        </w:rPr>
        <w:t xml:space="preserve">Obejmuje </w:t>
      </w:r>
      <w:r w:rsidRPr="00C56AFD">
        <w:rPr>
          <w:rStyle w:val="normaltextrun"/>
          <w:noProof/>
          <w:color w:val="000000"/>
          <w:shd w:val="clear" w:color="auto" w:fill="FFFFFF"/>
        </w:rPr>
        <w:t>to</w:t>
      </w:r>
      <w:r w:rsidR="00C56AFD" w:rsidRPr="00C56AFD">
        <w:rPr>
          <w:rStyle w:val="normaltextrun"/>
          <w:rFonts w:ascii="Calibri" w:hAnsi="Calibri" w:cs="Calibri"/>
          <w:noProof/>
          <w:color w:val="000000"/>
          <w:shd w:val="clear" w:color="auto" w:fill="FFFFFF"/>
        </w:rPr>
        <w:t> </w:t>
      </w:r>
      <w:r w:rsidRPr="00C56AFD">
        <w:rPr>
          <w:rStyle w:val="normaltextrun"/>
          <w:noProof/>
          <w:color w:val="000000"/>
          <w:shd w:val="clear" w:color="auto" w:fill="FFFFFF"/>
        </w:rPr>
        <w:t>5</w:t>
      </w:r>
      <w:r>
        <w:rPr>
          <w:rStyle w:val="normaltextrun"/>
          <w:noProof/>
          <w:color w:val="000000"/>
          <w:shd w:val="clear" w:color="auto" w:fill="FFFFFF"/>
        </w:rPr>
        <w:t>6,5 mld EUR płatności zaliczkowych na rzecz RRF oraz 10,5 mld EUR płatności zaliczkowych na rzecz REPowerEU (zarówno wsparcie zwrotne, jak</w:t>
      </w:r>
      <w:r w:rsidR="00C56AFD">
        <w:rPr>
          <w:rStyle w:val="normaltextrun"/>
          <w:noProof/>
          <w:color w:val="000000"/>
          <w:shd w:val="clear" w:color="auto" w:fill="FFFFFF"/>
        </w:rPr>
        <w:t xml:space="preserve"> i</w:t>
      </w:r>
      <w:r w:rsidR="00C56AFD">
        <w:rPr>
          <w:rStyle w:val="normaltextrun"/>
          <w:rFonts w:ascii="Calibri" w:hAnsi="Calibri" w:cs="Calibri"/>
          <w:noProof/>
          <w:color w:val="000000"/>
          <w:shd w:val="clear" w:color="auto" w:fill="FFFFFF"/>
        </w:rPr>
        <w:t> </w:t>
      </w:r>
      <w:r w:rsidR="00C56AFD">
        <w:rPr>
          <w:rStyle w:val="normaltextrun"/>
          <w:noProof/>
          <w:color w:val="000000"/>
          <w:shd w:val="clear" w:color="auto" w:fill="FFFFFF"/>
        </w:rPr>
        <w:t>bez</w:t>
      </w:r>
      <w:r>
        <w:rPr>
          <w:rStyle w:val="normaltextrun"/>
          <w:noProof/>
          <w:color w:val="000000"/>
          <w:shd w:val="clear" w:color="auto" w:fill="FFFFFF"/>
        </w:rPr>
        <w:t>zwrotne).</w:t>
      </w:r>
      <w:r>
        <w:rPr>
          <w:rStyle w:val="normaltextrun"/>
          <w:rFonts w:asciiTheme="majorHAnsi" w:hAnsiTheme="majorHAnsi"/>
          <w:noProof/>
          <w:color w:val="000000"/>
          <w:shd w:val="clear" w:color="auto" w:fill="FFFFFF"/>
        </w:rPr>
        <w:t xml:space="preserve"> </w:t>
      </w:r>
      <w:r>
        <w:rPr>
          <w:noProof/>
          <w:color w:val="000000" w:themeColor="text1"/>
        </w:rPr>
        <w:t>Niniejsza prognoza opiera się na planowaniu wypłat</w:t>
      </w:r>
      <w:r w:rsidR="00C56AFD">
        <w:rPr>
          <w:noProof/>
          <w:color w:val="000000" w:themeColor="text1"/>
        </w:rPr>
        <w:t xml:space="preserve"> w</w:t>
      </w:r>
      <w:r w:rsidR="00C56AFD">
        <w:rPr>
          <w:rFonts w:ascii="Calibri" w:hAnsi="Calibri" w:cs="Calibri"/>
          <w:noProof/>
          <w:color w:val="000000" w:themeColor="text1"/>
        </w:rPr>
        <w:t> </w:t>
      </w:r>
      <w:r w:rsidR="00C56AFD">
        <w:rPr>
          <w:noProof/>
          <w:color w:val="000000" w:themeColor="text1"/>
        </w:rPr>
        <w:t>ram</w:t>
      </w:r>
      <w:r>
        <w:rPr>
          <w:noProof/>
          <w:color w:val="000000" w:themeColor="text1"/>
        </w:rPr>
        <w:t>ach poszczególnych RRP,</w:t>
      </w:r>
      <w:r w:rsidR="00C56AFD">
        <w:rPr>
          <w:noProof/>
          <w:color w:val="000000" w:themeColor="text1"/>
        </w:rPr>
        <w:t xml:space="preserve"> z</w:t>
      </w:r>
      <w:r w:rsidR="00C56AFD">
        <w:rPr>
          <w:rFonts w:ascii="Calibri" w:hAnsi="Calibri" w:cs="Calibri"/>
          <w:noProof/>
          <w:color w:val="000000" w:themeColor="text1"/>
        </w:rPr>
        <w:t> </w:t>
      </w:r>
      <w:r w:rsidR="00C56AFD">
        <w:rPr>
          <w:noProof/>
          <w:color w:val="000000" w:themeColor="text1"/>
        </w:rPr>
        <w:t>uwz</w:t>
      </w:r>
      <w:r>
        <w:rPr>
          <w:noProof/>
          <w:color w:val="000000" w:themeColor="text1"/>
        </w:rPr>
        <w:t>ględnieniem już zatwierdzonych zmian</w:t>
      </w:r>
      <w:r w:rsidR="00C56AFD">
        <w:rPr>
          <w:noProof/>
          <w:color w:val="000000" w:themeColor="text1"/>
        </w:rPr>
        <w:t>.</w:t>
      </w:r>
      <w:r w:rsidR="00C56AFD">
        <w:rPr>
          <w:noProof/>
        </w:rPr>
        <w:t xml:space="preserve"> </w:t>
      </w:r>
      <w:r w:rsidR="00C56AFD">
        <w:rPr>
          <w:rStyle w:val="normaltextrun"/>
          <w:noProof/>
          <w:color w:val="000000" w:themeColor="text1"/>
        </w:rPr>
        <w:t>W</w:t>
      </w:r>
      <w:r w:rsidR="00C56AFD">
        <w:rPr>
          <w:rFonts w:ascii="Calibri" w:hAnsi="Calibri" w:cs="Calibri"/>
          <w:noProof/>
          <w:color w:val="000000" w:themeColor="text1"/>
        </w:rPr>
        <w:t> </w:t>
      </w:r>
      <w:r w:rsidR="00C56AFD">
        <w:rPr>
          <w:noProof/>
          <w:color w:val="000000" w:themeColor="text1"/>
        </w:rPr>
        <w:t>zal</w:t>
      </w:r>
      <w:r>
        <w:rPr>
          <w:noProof/>
          <w:color w:val="000000" w:themeColor="text1"/>
        </w:rPr>
        <w:t>eżności od postępów we wdrażaniu krajowych RRP oczekuje się, że roczne bezzwrotne wsparcie</w:t>
      </w:r>
      <w:r w:rsidR="00C56AFD">
        <w:rPr>
          <w:noProof/>
          <w:color w:val="000000" w:themeColor="text1"/>
        </w:rPr>
        <w:t xml:space="preserve"> w</w:t>
      </w:r>
      <w:r w:rsidR="00C56AFD">
        <w:rPr>
          <w:rFonts w:ascii="Calibri" w:hAnsi="Calibri" w:cs="Calibri"/>
          <w:noProof/>
          <w:color w:val="000000" w:themeColor="text1"/>
        </w:rPr>
        <w:t> </w:t>
      </w:r>
      <w:r w:rsidR="00C56AFD">
        <w:rPr>
          <w:noProof/>
          <w:color w:val="000000" w:themeColor="text1"/>
        </w:rPr>
        <w:t>ram</w:t>
      </w:r>
      <w:r>
        <w:rPr>
          <w:noProof/>
          <w:color w:val="000000" w:themeColor="text1"/>
        </w:rPr>
        <w:t>ach RRF osiągnie poziom 65 mld EUR</w:t>
      </w:r>
      <w:r w:rsidR="00C56AFD">
        <w:rPr>
          <w:noProof/>
          <w:color w:val="000000" w:themeColor="text1"/>
        </w:rPr>
        <w:t xml:space="preserve"> w</w:t>
      </w:r>
      <w:r w:rsidR="00C56AFD">
        <w:rPr>
          <w:rFonts w:ascii="Calibri" w:hAnsi="Calibri" w:cs="Calibri"/>
          <w:noProof/>
          <w:color w:val="000000" w:themeColor="text1"/>
        </w:rPr>
        <w:t> </w:t>
      </w:r>
      <w:r w:rsidR="00C56AFD">
        <w:rPr>
          <w:noProof/>
          <w:color w:val="000000" w:themeColor="text1"/>
        </w:rPr>
        <w:t>2</w:t>
      </w:r>
      <w:r>
        <w:rPr>
          <w:noProof/>
          <w:color w:val="000000" w:themeColor="text1"/>
        </w:rPr>
        <w:t>0</w:t>
      </w:r>
      <w:r w:rsidRPr="00C56AFD">
        <w:rPr>
          <w:noProof/>
          <w:color w:val="000000" w:themeColor="text1"/>
        </w:rPr>
        <w:t>25</w:t>
      </w:r>
      <w:r w:rsidR="00C56AFD" w:rsidRPr="00C56AFD">
        <w:rPr>
          <w:rFonts w:ascii="Calibri" w:hAnsi="Calibri" w:cs="Calibri"/>
          <w:noProof/>
          <w:color w:val="000000" w:themeColor="text1"/>
        </w:rPr>
        <w:t> </w:t>
      </w:r>
      <w:r w:rsidRPr="00C56AFD">
        <w:rPr>
          <w:noProof/>
          <w:color w:val="000000" w:themeColor="text1"/>
        </w:rPr>
        <w:t>r.</w:t>
      </w:r>
      <w:r w:rsidR="00C56AFD">
        <w:rPr>
          <w:noProof/>
          <w:color w:val="000000" w:themeColor="text1"/>
        </w:rPr>
        <w:t xml:space="preserve"> i</w:t>
      </w:r>
      <w:r w:rsidR="00C56AFD">
        <w:rPr>
          <w:rFonts w:ascii="Calibri" w:hAnsi="Calibri" w:cs="Calibri"/>
          <w:noProof/>
          <w:color w:val="000000" w:themeColor="text1"/>
        </w:rPr>
        <w:t> </w:t>
      </w:r>
      <w:r w:rsidR="00C56AFD">
        <w:rPr>
          <w:noProof/>
          <w:color w:val="000000" w:themeColor="text1"/>
        </w:rPr>
        <w:t>oko</w:t>
      </w:r>
      <w:r>
        <w:rPr>
          <w:noProof/>
          <w:color w:val="000000" w:themeColor="text1"/>
        </w:rPr>
        <w:t>ło 70 mld EUR</w:t>
      </w:r>
      <w:r w:rsidR="00C56AFD">
        <w:rPr>
          <w:noProof/>
          <w:color w:val="000000" w:themeColor="text1"/>
        </w:rPr>
        <w:t xml:space="preserve"> w</w:t>
      </w:r>
      <w:r w:rsidR="00C56AFD">
        <w:rPr>
          <w:rFonts w:ascii="Calibri" w:hAnsi="Calibri" w:cs="Calibri"/>
          <w:noProof/>
          <w:color w:val="000000" w:themeColor="text1"/>
        </w:rPr>
        <w:t> </w:t>
      </w:r>
      <w:r w:rsidR="00C56AFD">
        <w:rPr>
          <w:noProof/>
          <w:color w:val="000000" w:themeColor="text1"/>
        </w:rPr>
        <w:t>2</w:t>
      </w:r>
      <w:r>
        <w:rPr>
          <w:noProof/>
          <w:color w:val="000000" w:themeColor="text1"/>
        </w:rPr>
        <w:t>0</w:t>
      </w:r>
      <w:r w:rsidRPr="00C56AFD">
        <w:rPr>
          <w:noProof/>
          <w:color w:val="000000" w:themeColor="text1"/>
        </w:rPr>
        <w:t>26</w:t>
      </w:r>
      <w:r w:rsidR="00C56AFD" w:rsidRPr="00C56AFD">
        <w:rPr>
          <w:rFonts w:ascii="Calibri" w:hAnsi="Calibri" w:cs="Calibri"/>
          <w:noProof/>
          <w:color w:val="000000" w:themeColor="text1"/>
        </w:rPr>
        <w:t> </w:t>
      </w:r>
      <w:r w:rsidRPr="00C56AFD">
        <w:rPr>
          <w:noProof/>
          <w:color w:val="000000" w:themeColor="text1"/>
        </w:rPr>
        <w:t>r.</w:t>
      </w:r>
      <w:r w:rsidR="00560CA4">
        <w:rPr>
          <w:rStyle w:val="EndnoteReference"/>
          <w:rFonts w:eastAsia="EC Square Sans Pro" w:cs="EC Square Sans Pro"/>
          <w:noProof/>
          <w:color w:val="000000" w:themeColor="text1"/>
        </w:rPr>
        <w:endnoteReference w:id="26"/>
      </w:r>
      <w:r>
        <w:rPr>
          <w:rFonts w:asciiTheme="majorHAnsi" w:hAnsiTheme="majorHAnsi"/>
          <w:noProof/>
          <w:color w:val="000000" w:themeColor="text1"/>
        </w:rPr>
        <w:t xml:space="preserve"> W porównaniu</w:t>
      </w:r>
      <w:r w:rsidR="00C56AFD">
        <w:rPr>
          <w:rFonts w:asciiTheme="majorHAnsi" w:hAnsiTheme="majorHAnsi"/>
          <w:noProof/>
          <w:color w:val="000000" w:themeColor="text1"/>
        </w:rPr>
        <w:t xml:space="preserve"> z</w:t>
      </w:r>
      <w:r w:rsidR="00C56AFD">
        <w:rPr>
          <w:rFonts w:ascii="Calibri" w:hAnsi="Calibri" w:cs="Calibri"/>
          <w:noProof/>
          <w:color w:val="000000" w:themeColor="text1"/>
        </w:rPr>
        <w:t> </w:t>
      </w:r>
      <w:r w:rsidR="00C56AFD">
        <w:rPr>
          <w:rFonts w:asciiTheme="majorHAnsi" w:hAnsiTheme="majorHAnsi"/>
          <w:noProof/>
          <w:color w:val="000000" w:themeColor="text1"/>
        </w:rPr>
        <w:t>ubi</w:t>
      </w:r>
      <w:r>
        <w:rPr>
          <w:rFonts w:asciiTheme="majorHAnsi" w:hAnsiTheme="majorHAnsi"/>
          <w:noProof/>
          <w:color w:val="000000" w:themeColor="text1"/>
        </w:rPr>
        <w:t>egłoroczną prognozą profil wypłat jest nieco skoncentrowany na późniejszym etapie, na podstawie zaktualizowanych RRP. Na podstawie obecnych planów państw członkowskich</w:t>
      </w:r>
      <w:r w:rsidR="00C56AFD">
        <w:rPr>
          <w:rFonts w:asciiTheme="majorHAnsi" w:hAnsiTheme="majorHAnsi"/>
          <w:noProof/>
          <w:color w:val="000000" w:themeColor="text1"/>
        </w:rPr>
        <w:t xml:space="preserve"> w</w:t>
      </w:r>
      <w:r w:rsidR="00C56AFD">
        <w:rPr>
          <w:rFonts w:ascii="Calibri" w:hAnsi="Calibri" w:cs="Calibri"/>
          <w:noProof/>
          <w:color w:val="000000" w:themeColor="text1"/>
        </w:rPr>
        <w:t> </w:t>
      </w:r>
      <w:r w:rsidR="00C56AFD">
        <w:rPr>
          <w:rFonts w:asciiTheme="majorHAnsi" w:hAnsiTheme="majorHAnsi"/>
          <w:noProof/>
          <w:color w:val="000000" w:themeColor="text1"/>
        </w:rPr>
        <w:t>nin</w:t>
      </w:r>
      <w:r>
        <w:rPr>
          <w:rFonts w:asciiTheme="majorHAnsi" w:hAnsiTheme="majorHAnsi"/>
          <w:noProof/>
          <w:color w:val="000000" w:themeColor="text1"/>
        </w:rPr>
        <w:t>iejszej prognozie nie oszacowano żadnych umorzeń.</w:t>
      </w:r>
    </w:p>
    <w:p w14:paraId="7EF4D438" w14:textId="3879F788" w:rsidR="00861C1C" w:rsidRPr="00390EB1" w:rsidRDefault="2A67BF04" w:rsidP="23B06DA2">
      <w:pPr>
        <w:spacing w:after="120" w:line="276" w:lineRule="auto"/>
        <w:jc w:val="both"/>
        <w:rPr>
          <w:rStyle w:val="normaltextrun"/>
          <w:rFonts w:asciiTheme="majorHAnsi" w:hAnsiTheme="majorHAnsi" w:cs="Calibri"/>
          <w:noProof/>
          <w:color w:val="000000"/>
          <w:shd w:val="clear" w:color="auto" w:fill="FFFFFF"/>
        </w:rPr>
      </w:pPr>
      <w:r>
        <w:rPr>
          <w:rStyle w:val="normaltextrun"/>
          <w:rFonts w:asciiTheme="majorHAnsi" w:hAnsiTheme="majorHAnsi"/>
          <w:noProof/>
          <w:color w:val="000000"/>
          <w:shd w:val="clear" w:color="auto" w:fill="FFFFFF"/>
        </w:rPr>
        <w:t>Państwa członkowskie zdecydowanie</w:t>
      </w:r>
      <w:r w:rsidR="00C56AFD">
        <w:rPr>
          <w:rStyle w:val="normaltextrun"/>
          <w:rFonts w:asciiTheme="majorHAnsi" w:hAnsiTheme="majorHAnsi"/>
          <w:noProof/>
          <w:color w:val="000000"/>
          <w:shd w:val="clear" w:color="auto" w:fill="FFFFFF"/>
        </w:rPr>
        <w:t xml:space="preserve"> i</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w</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duż</w:t>
      </w:r>
      <w:r>
        <w:rPr>
          <w:rStyle w:val="normaltextrun"/>
          <w:rFonts w:asciiTheme="majorHAnsi" w:hAnsiTheme="majorHAnsi"/>
          <w:noProof/>
          <w:color w:val="000000"/>
          <w:shd w:val="clear" w:color="auto" w:fill="FFFFFF"/>
        </w:rPr>
        <w:t>ej mierze priorytetowo potraktowały wykorzystanie bezzwrotnego wsparcia</w:t>
      </w:r>
      <w:r w:rsidR="00C56AFD">
        <w:rPr>
          <w:rStyle w:val="normaltextrun"/>
          <w:rFonts w:asciiTheme="majorHAnsi" w:hAnsiTheme="majorHAnsi"/>
          <w:noProof/>
          <w:color w:val="000000"/>
          <w:shd w:val="clear" w:color="auto" w:fill="FFFFFF"/>
        </w:rPr>
        <w:t xml:space="preserve"> w</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cel</w:t>
      </w:r>
      <w:r>
        <w:rPr>
          <w:rStyle w:val="normaltextrun"/>
          <w:rFonts w:asciiTheme="majorHAnsi" w:hAnsiTheme="majorHAnsi"/>
          <w:noProof/>
          <w:color w:val="000000"/>
          <w:shd w:val="clear" w:color="auto" w:fill="FFFFFF"/>
        </w:rPr>
        <w:t>u finansowania inwestycji</w:t>
      </w:r>
      <w:r w:rsidR="00C56AFD">
        <w:rPr>
          <w:rStyle w:val="normaltextrun"/>
          <w:rFonts w:asciiTheme="majorHAnsi" w:hAnsiTheme="majorHAnsi"/>
          <w:noProof/>
          <w:color w:val="000000"/>
          <w:shd w:val="clear" w:color="auto" w:fill="FFFFFF"/>
        </w:rPr>
        <w:t xml:space="preserve"> i</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ref</w:t>
      </w:r>
      <w:r>
        <w:rPr>
          <w:rStyle w:val="normaltextrun"/>
          <w:rFonts w:asciiTheme="majorHAnsi" w:hAnsiTheme="majorHAnsi"/>
          <w:noProof/>
          <w:color w:val="000000"/>
          <w:shd w:val="clear" w:color="auto" w:fill="FFFFFF"/>
        </w:rPr>
        <w:t>orm,</w:t>
      </w:r>
      <w:r w:rsidR="00C56AFD">
        <w:rPr>
          <w:rStyle w:val="normaltextrun"/>
          <w:rFonts w:asciiTheme="majorHAnsi" w:hAnsiTheme="majorHAnsi"/>
          <w:noProof/>
          <w:color w:val="000000"/>
          <w:shd w:val="clear" w:color="auto" w:fill="FFFFFF"/>
        </w:rPr>
        <w:t xml:space="preserve"> a</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nie</w:t>
      </w:r>
      <w:r>
        <w:rPr>
          <w:rStyle w:val="normaltextrun"/>
          <w:rFonts w:asciiTheme="majorHAnsi" w:hAnsiTheme="majorHAnsi"/>
          <w:noProof/>
          <w:color w:val="000000"/>
          <w:shd w:val="clear" w:color="auto" w:fill="FFFFFF"/>
        </w:rPr>
        <w:t xml:space="preserve"> wsparcia</w:t>
      </w:r>
      <w:r w:rsidR="00C56AFD">
        <w:rPr>
          <w:rStyle w:val="normaltextrun"/>
          <w:rFonts w:asciiTheme="majorHAnsi" w:hAnsiTheme="majorHAnsi"/>
          <w:noProof/>
          <w:color w:val="000000"/>
          <w:shd w:val="clear" w:color="auto" w:fill="FFFFFF"/>
        </w:rPr>
        <w:t xml:space="preserve"> w</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for</w:t>
      </w:r>
      <w:r>
        <w:rPr>
          <w:rStyle w:val="normaltextrun"/>
          <w:rFonts w:asciiTheme="majorHAnsi" w:hAnsiTheme="majorHAnsi"/>
          <w:noProof/>
          <w:color w:val="000000"/>
          <w:shd w:val="clear" w:color="auto" w:fill="FFFFFF"/>
        </w:rPr>
        <w:t xml:space="preserve">mie pożyczki. </w:t>
      </w:r>
      <w:r>
        <w:rPr>
          <w:rStyle w:val="normaltextrun"/>
          <w:noProof/>
          <w:color w:val="000000"/>
          <w:shd w:val="clear" w:color="auto" w:fill="FFFFFF"/>
        </w:rPr>
        <w:t>Zgodnie</w:t>
      </w:r>
      <w:r w:rsidR="00C56AFD">
        <w:rPr>
          <w:rStyle w:val="normaltextrun"/>
          <w:noProof/>
          <w:color w:val="000000"/>
          <w:shd w:val="clear" w:color="auto" w:fill="FFFFFF"/>
        </w:rPr>
        <w:t xml:space="preserve"> z</w:t>
      </w:r>
      <w:r w:rsidR="00C56AFD">
        <w:rPr>
          <w:rStyle w:val="normaltextrun"/>
          <w:rFonts w:ascii="Calibri" w:hAnsi="Calibri" w:cs="Calibri"/>
          <w:noProof/>
          <w:color w:val="000000"/>
          <w:shd w:val="clear" w:color="auto" w:fill="FFFFFF"/>
        </w:rPr>
        <w:t> </w:t>
      </w:r>
      <w:r w:rsidR="00C56AFD" w:rsidRPr="00C56AFD">
        <w:rPr>
          <w:rStyle w:val="normaltextrun"/>
          <w:noProof/>
          <w:color w:val="000000"/>
          <w:shd w:val="clear" w:color="auto" w:fill="FFFFFF"/>
        </w:rPr>
        <w:t>art</w:t>
      </w:r>
      <w:r w:rsidRPr="00C56AFD">
        <w:rPr>
          <w:rStyle w:val="normaltextrun"/>
          <w:noProof/>
          <w:color w:val="000000"/>
          <w:shd w:val="clear" w:color="auto" w:fill="FFFFFF"/>
        </w:rPr>
        <w:t>.</w:t>
      </w:r>
      <w:r w:rsidR="00C56AFD" w:rsidRPr="00C56AFD">
        <w:rPr>
          <w:rStyle w:val="normaltextrun"/>
          <w:rFonts w:ascii="Calibri" w:hAnsi="Calibri" w:cs="Calibri"/>
          <w:noProof/>
          <w:color w:val="000000"/>
          <w:shd w:val="clear" w:color="auto" w:fill="FFFFFF"/>
        </w:rPr>
        <w:t> </w:t>
      </w:r>
      <w:r w:rsidRPr="00C56AFD">
        <w:rPr>
          <w:rStyle w:val="normaltextrun"/>
          <w:noProof/>
          <w:color w:val="000000"/>
          <w:shd w:val="clear" w:color="auto" w:fill="FFFFFF"/>
        </w:rPr>
        <w:t>1</w:t>
      </w:r>
      <w:r>
        <w:rPr>
          <w:rStyle w:val="normaltextrun"/>
          <w:noProof/>
          <w:color w:val="000000"/>
          <w:shd w:val="clear" w:color="auto" w:fill="FFFFFF"/>
        </w:rPr>
        <w:t xml:space="preserve">4 </w:t>
      </w:r>
      <w:r w:rsidRPr="00C56AFD">
        <w:rPr>
          <w:rStyle w:val="normaltextrun"/>
          <w:noProof/>
          <w:color w:val="000000"/>
          <w:shd w:val="clear" w:color="auto" w:fill="FFFFFF"/>
        </w:rPr>
        <w:t>ust.</w:t>
      </w:r>
      <w:r w:rsidR="00C56AFD" w:rsidRPr="00C56AFD">
        <w:rPr>
          <w:rStyle w:val="normaltextrun"/>
          <w:rFonts w:ascii="Calibri" w:hAnsi="Calibri" w:cs="Calibri"/>
          <w:noProof/>
          <w:color w:val="000000"/>
          <w:shd w:val="clear" w:color="auto" w:fill="FFFFFF"/>
        </w:rPr>
        <w:t> </w:t>
      </w:r>
      <w:r w:rsidRPr="00C56AFD">
        <w:rPr>
          <w:rStyle w:val="normaltextrun"/>
          <w:noProof/>
          <w:color w:val="000000"/>
          <w:shd w:val="clear" w:color="auto" w:fill="FFFFFF"/>
        </w:rPr>
        <w:t>6</w:t>
      </w:r>
      <w:r>
        <w:rPr>
          <w:rStyle w:val="normaltextrun"/>
          <w:noProof/>
          <w:color w:val="000000"/>
          <w:shd w:val="clear" w:color="auto" w:fill="FFFFFF"/>
        </w:rPr>
        <w:t xml:space="preserve"> zmienionego rozporządzenia</w:t>
      </w:r>
      <w:r w:rsidR="00C56AFD">
        <w:rPr>
          <w:rStyle w:val="normaltextrun"/>
          <w:noProof/>
          <w:color w:val="000000"/>
          <w:shd w:val="clear" w:color="auto" w:fill="FFFFFF"/>
        </w:rPr>
        <w:t xml:space="preserve"> w</w:t>
      </w:r>
      <w:r w:rsidR="00C56AFD">
        <w:rPr>
          <w:rStyle w:val="normaltextrun"/>
          <w:rFonts w:ascii="Calibri" w:hAnsi="Calibri" w:cs="Calibri"/>
          <w:noProof/>
          <w:color w:val="000000"/>
          <w:shd w:val="clear" w:color="auto" w:fill="FFFFFF"/>
        </w:rPr>
        <w:t> </w:t>
      </w:r>
      <w:r w:rsidR="00C56AFD">
        <w:rPr>
          <w:rStyle w:val="normaltextrun"/>
          <w:noProof/>
          <w:color w:val="000000"/>
          <w:shd w:val="clear" w:color="auto" w:fill="FFFFFF"/>
        </w:rPr>
        <w:t>spr</w:t>
      </w:r>
      <w:r>
        <w:rPr>
          <w:rStyle w:val="normaltextrun"/>
          <w:noProof/>
          <w:color w:val="000000"/>
          <w:shd w:val="clear" w:color="auto" w:fill="FFFFFF"/>
        </w:rPr>
        <w:t>awie RRF łącznie 13 państw członkowskich wnioskowało</w:t>
      </w:r>
      <w:r w:rsidR="00C56AFD">
        <w:rPr>
          <w:rStyle w:val="normaltextrun"/>
          <w:noProof/>
          <w:color w:val="000000"/>
          <w:shd w:val="clear" w:color="auto" w:fill="FFFFFF"/>
        </w:rPr>
        <w:t xml:space="preserve"> o</w:t>
      </w:r>
      <w:r w:rsidR="00C56AFD">
        <w:rPr>
          <w:rStyle w:val="normaltextrun"/>
          <w:rFonts w:ascii="Calibri" w:hAnsi="Calibri" w:cs="Calibri"/>
          <w:noProof/>
          <w:color w:val="000000"/>
          <w:shd w:val="clear" w:color="auto" w:fill="FFFFFF"/>
        </w:rPr>
        <w:t> </w:t>
      </w:r>
      <w:r w:rsidR="00C56AFD">
        <w:rPr>
          <w:rStyle w:val="normaltextrun"/>
          <w:noProof/>
          <w:color w:val="000000"/>
          <w:shd w:val="clear" w:color="auto" w:fill="FFFFFF"/>
        </w:rPr>
        <w:t>poż</w:t>
      </w:r>
      <w:r>
        <w:rPr>
          <w:rStyle w:val="normaltextrun"/>
          <w:noProof/>
          <w:color w:val="000000"/>
          <w:shd w:val="clear" w:color="auto" w:fill="FFFFFF"/>
        </w:rPr>
        <w:t>yczki,</w:t>
      </w:r>
      <w:r w:rsidR="00C56AFD">
        <w:rPr>
          <w:rStyle w:val="normaltextrun"/>
          <w:noProof/>
          <w:color w:val="000000"/>
          <w:shd w:val="clear" w:color="auto" w:fill="FFFFFF"/>
        </w:rPr>
        <w:t xml:space="preserve"> a</w:t>
      </w:r>
      <w:r w:rsidR="00C56AFD">
        <w:rPr>
          <w:rStyle w:val="normaltextrun"/>
          <w:rFonts w:ascii="Calibri" w:hAnsi="Calibri" w:cs="Calibri"/>
          <w:noProof/>
          <w:color w:val="000000"/>
          <w:shd w:val="clear" w:color="auto" w:fill="FFFFFF"/>
        </w:rPr>
        <w:t> </w:t>
      </w:r>
      <w:r w:rsidR="00C56AFD">
        <w:rPr>
          <w:rStyle w:val="normaltextrun"/>
          <w:noProof/>
          <w:color w:val="000000"/>
          <w:shd w:val="clear" w:color="auto" w:fill="FFFFFF"/>
        </w:rPr>
        <w:t>dod</w:t>
      </w:r>
      <w:r>
        <w:rPr>
          <w:rStyle w:val="normaltextrun"/>
          <w:noProof/>
          <w:color w:val="000000"/>
          <w:shd w:val="clear" w:color="auto" w:fill="FFFFFF"/>
        </w:rPr>
        <w:t>atkowe wsparcie</w:t>
      </w:r>
      <w:r w:rsidR="00C56AFD">
        <w:rPr>
          <w:rStyle w:val="normaltextrun"/>
          <w:noProof/>
          <w:color w:val="000000"/>
          <w:shd w:val="clear" w:color="auto" w:fill="FFFFFF"/>
        </w:rPr>
        <w:t xml:space="preserve"> w</w:t>
      </w:r>
      <w:r w:rsidR="00C56AFD">
        <w:rPr>
          <w:rStyle w:val="normaltextrun"/>
          <w:rFonts w:ascii="Calibri" w:hAnsi="Calibri" w:cs="Calibri"/>
          <w:noProof/>
          <w:color w:val="000000"/>
          <w:shd w:val="clear" w:color="auto" w:fill="FFFFFF"/>
        </w:rPr>
        <w:t> </w:t>
      </w:r>
      <w:r w:rsidR="00C56AFD">
        <w:rPr>
          <w:rStyle w:val="normaltextrun"/>
          <w:noProof/>
          <w:color w:val="000000"/>
          <w:shd w:val="clear" w:color="auto" w:fill="FFFFFF"/>
        </w:rPr>
        <w:t>for</w:t>
      </w:r>
      <w:r>
        <w:rPr>
          <w:rStyle w:val="normaltextrun"/>
          <w:noProof/>
          <w:color w:val="000000"/>
          <w:shd w:val="clear" w:color="auto" w:fill="FFFFFF"/>
        </w:rPr>
        <w:t>mie pożyczki zatwierdzono na łączną kwotę 291 mld EUR.</w:t>
      </w:r>
    </w:p>
    <w:bookmarkEnd w:id="68"/>
    <w:p w14:paraId="39CE10FC" w14:textId="55679D59" w:rsidR="00861C1C" w:rsidRPr="00390EB1" w:rsidRDefault="003B6DC2">
      <w:pPr>
        <w:spacing w:after="120" w:line="276" w:lineRule="auto"/>
        <w:jc w:val="both"/>
        <w:rPr>
          <w:rStyle w:val="normaltextrun"/>
          <w:rFonts w:asciiTheme="majorHAnsi" w:hAnsiTheme="majorHAnsi" w:cs="Calibri"/>
          <w:noProof/>
          <w:color w:val="000000"/>
          <w:shd w:val="clear" w:color="auto" w:fill="FFFFFF"/>
        </w:rPr>
      </w:pPr>
      <w:r>
        <w:rPr>
          <w:rStyle w:val="Strong"/>
          <w:b w:val="0"/>
          <w:noProof/>
        </w:rPr>
        <w:t>REACT-EU</w:t>
      </w:r>
      <w:r>
        <w:rPr>
          <w:rStyle w:val="normaltextrun"/>
          <w:rFonts w:asciiTheme="majorHAnsi" w:hAnsiTheme="majorHAnsi"/>
          <w:noProof/>
          <w:color w:val="245F95" w:themeColor="text2"/>
          <w:shd w:val="clear" w:color="auto" w:fill="FFFFFF"/>
        </w:rPr>
        <w:t xml:space="preserve"> </w:t>
      </w:r>
      <w:r>
        <w:rPr>
          <w:rStyle w:val="normaltextrun"/>
          <w:rFonts w:asciiTheme="majorHAnsi" w:hAnsiTheme="majorHAnsi"/>
          <w:noProof/>
          <w:shd w:val="clear" w:color="auto" w:fill="FFFFFF"/>
        </w:rPr>
        <w:t>stanowi drugi co do wielkości instrument NextGenerationEU, na który przypada 1</w:t>
      </w:r>
      <w:r w:rsidRPr="00C56AFD">
        <w:rPr>
          <w:rStyle w:val="normaltextrun"/>
          <w:rFonts w:asciiTheme="majorHAnsi" w:hAnsiTheme="majorHAnsi"/>
          <w:noProof/>
          <w:shd w:val="clear" w:color="auto" w:fill="FFFFFF"/>
        </w:rPr>
        <w:t>2</w:t>
      </w:r>
      <w:r w:rsidR="00C56AFD" w:rsidRPr="00C56AFD">
        <w:rPr>
          <w:rStyle w:val="normaltextrun"/>
          <w:rFonts w:ascii="Calibri" w:hAnsi="Calibri" w:cs="Calibri"/>
          <w:noProof/>
          <w:shd w:val="clear" w:color="auto" w:fill="FFFFFF"/>
        </w:rPr>
        <w:t> </w:t>
      </w:r>
      <w:r w:rsidRPr="00C56AFD">
        <w:rPr>
          <w:rStyle w:val="normaltextrun"/>
          <w:rFonts w:asciiTheme="majorHAnsi" w:hAnsiTheme="majorHAnsi"/>
          <w:noProof/>
          <w:shd w:val="clear" w:color="auto" w:fill="FFFFFF"/>
        </w:rPr>
        <w:t>%</w:t>
      </w:r>
      <w:r>
        <w:rPr>
          <w:rStyle w:val="normaltextrun"/>
          <w:rFonts w:asciiTheme="majorHAnsi" w:hAnsiTheme="majorHAnsi"/>
          <w:noProof/>
          <w:shd w:val="clear" w:color="auto" w:fill="FFFFFF"/>
        </w:rPr>
        <w:t xml:space="preserve"> bezzwrotnego wsparcia</w:t>
      </w:r>
      <w:r w:rsidR="00C56AFD">
        <w:rPr>
          <w:rStyle w:val="normaltextrun"/>
          <w:rFonts w:asciiTheme="majorHAnsi" w:hAnsiTheme="majorHAnsi"/>
          <w:noProof/>
          <w:shd w:val="clear" w:color="auto" w:fill="FFFFFF"/>
        </w:rPr>
        <w:t xml:space="preserve"> i</w:t>
      </w:r>
      <w:r w:rsidR="00C56AFD">
        <w:rPr>
          <w:rStyle w:val="normaltextrun"/>
          <w:rFonts w:ascii="Calibri" w:hAnsi="Calibri" w:cs="Calibri"/>
          <w:noProof/>
          <w:shd w:val="clear" w:color="auto" w:fill="FFFFFF"/>
        </w:rPr>
        <w:t> </w:t>
      </w:r>
      <w:r w:rsidR="00C56AFD">
        <w:rPr>
          <w:rStyle w:val="normaltextrun"/>
          <w:rFonts w:asciiTheme="majorHAnsi" w:hAnsiTheme="majorHAnsi"/>
          <w:noProof/>
          <w:shd w:val="clear" w:color="auto" w:fill="FFFFFF"/>
        </w:rPr>
        <w:t>w</w:t>
      </w:r>
      <w:r w:rsidR="00C56AFD">
        <w:rPr>
          <w:rStyle w:val="normaltextrun"/>
          <w:rFonts w:ascii="Calibri" w:hAnsi="Calibri" w:cs="Calibri"/>
          <w:noProof/>
          <w:shd w:val="clear" w:color="auto" w:fill="FFFFFF"/>
        </w:rPr>
        <w:t> </w:t>
      </w:r>
      <w:r w:rsidR="00C56AFD">
        <w:rPr>
          <w:rStyle w:val="normaltextrun"/>
          <w:rFonts w:asciiTheme="majorHAnsi" w:hAnsiTheme="majorHAnsi"/>
          <w:noProof/>
          <w:shd w:val="clear" w:color="auto" w:fill="FFFFFF"/>
        </w:rPr>
        <w:t>ram</w:t>
      </w:r>
      <w:r>
        <w:rPr>
          <w:rStyle w:val="normaltextrun"/>
          <w:rFonts w:asciiTheme="majorHAnsi" w:hAnsiTheme="majorHAnsi"/>
          <w:noProof/>
          <w:shd w:val="clear" w:color="auto" w:fill="FFFFFF"/>
        </w:rPr>
        <w:t>ach którego zapewniono przydzielanie dodatkowych środków</w:t>
      </w:r>
      <w:r w:rsidR="00C56AFD">
        <w:rPr>
          <w:rStyle w:val="normaltextrun"/>
          <w:rFonts w:asciiTheme="majorHAnsi" w:hAnsiTheme="majorHAnsi"/>
          <w:noProof/>
          <w:shd w:val="clear" w:color="auto" w:fill="FFFFFF"/>
        </w:rPr>
        <w:t xml:space="preserve"> w</w:t>
      </w:r>
      <w:r w:rsidR="00C56AFD">
        <w:rPr>
          <w:rStyle w:val="normaltextrun"/>
          <w:rFonts w:ascii="Calibri" w:hAnsi="Calibri" w:cs="Calibri"/>
          <w:noProof/>
          <w:shd w:val="clear" w:color="auto" w:fill="FFFFFF"/>
        </w:rPr>
        <w:t> </w:t>
      </w:r>
      <w:r w:rsidR="00C56AFD">
        <w:rPr>
          <w:rStyle w:val="normaltextrun"/>
          <w:rFonts w:asciiTheme="majorHAnsi" w:hAnsiTheme="majorHAnsi"/>
          <w:noProof/>
          <w:shd w:val="clear" w:color="auto" w:fill="FFFFFF"/>
        </w:rPr>
        <w:t>lat</w:t>
      </w:r>
      <w:r>
        <w:rPr>
          <w:rStyle w:val="normaltextrun"/>
          <w:rFonts w:asciiTheme="majorHAnsi" w:hAnsiTheme="majorHAnsi"/>
          <w:noProof/>
          <w:shd w:val="clear" w:color="auto" w:fill="FFFFFF"/>
        </w:rPr>
        <w:t>ach 2021</w:t>
      </w:r>
      <w:r w:rsidR="00C56AFD">
        <w:rPr>
          <w:rStyle w:val="normaltextrun"/>
          <w:rFonts w:asciiTheme="majorHAnsi" w:hAnsiTheme="majorHAnsi"/>
          <w:noProof/>
          <w:shd w:val="clear" w:color="auto" w:fill="FFFFFF"/>
        </w:rPr>
        <w:t xml:space="preserve"> i</w:t>
      </w:r>
      <w:r w:rsidR="00C56AFD">
        <w:rPr>
          <w:rStyle w:val="normaltextrun"/>
          <w:rFonts w:ascii="Calibri" w:hAnsi="Calibri" w:cs="Calibri"/>
          <w:noProof/>
          <w:shd w:val="clear" w:color="auto" w:fill="FFFFFF"/>
        </w:rPr>
        <w:t> </w:t>
      </w:r>
      <w:r w:rsidR="00C56AFD">
        <w:rPr>
          <w:rStyle w:val="normaltextrun"/>
          <w:rFonts w:asciiTheme="majorHAnsi" w:hAnsiTheme="majorHAnsi"/>
          <w:noProof/>
          <w:shd w:val="clear" w:color="auto" w:fill="FFFFFF"/>
        </w:rPr>
        <w:t>2</w:t>
      </w:r>
      <w:r>
        <w:rPr>
          <w:rStyle w:val="normaltextrun"/>
          <w:rFonts w:asciiTheme="majorHAnsi" w:hAnsiTheme="majorHAnsi"/>
          <w:noProof/>
          <w:shd w:val="clear" w:color="auto" w:fill="FFFFFF"/>
        </w:rPr>
        <w:t>022 za pośrednictwem niektórych istniejących funduszy polityki spójności (EFRR, EFS i FEAD).</w:t>
      </w:r>
      <w:r>
        <w:rPr>
          <w:rStyle w:val="normaltextrun"/>
          <w:rFonts w:asciiTheme="majorHAnsi" w:hAnsiTheme="majorHAnsi"/>
          <w:noProof/>
          <w:color w:val="000000"/>
          <w:shd w:val="clear" w:color="auto" w:fill="FFFFFF"/>
        </w:rPr>
        <w:t xml:space="preserve"> Zobowiązania</w:t>
      </w:r>
      <w:r w:rsidR="00C56AFD">
        <w:rPr>
          <w:rStyle w:val="normaltextrun"/>
          <w:rFonts w:asciiTheme="majorHAnsi" w:hAnsiTheme="majorHAnsi"/>
          <w:noProof/>
          <w:color w:val="000000"/>
          <w:shd w:val="clear" w:color="auto" w:fill="FFFFFF"/>
        </w:rPr>
        <w:t xml:space="preserve"> w</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ram</w:t>
      </w:r>
      <w:r>
        <w:rPr>
          <w:rStyle w:val="normaltextrun"/>
          <w:rFonts w:asciiTheme="majorHAnsi" w:hAnsiTheme="majorHAnsi"/>
          <w:noProof/>
          <w:color w:val="000000"/>
          <w:shd w:val="clear" w:color="auto" w:fill="FFFFFF"/>
        </w:rPr>
        <w:t>ach REACT-EU były realizowane</w:t>
      </w:r>
      <w:r w:rsidR="00C56AFD">
        <w:rPr>
          <w:rStyle w:val="normaltextrun"/>
          <w:rFonts w:asciiTheme="majorHAnsi" w:hAnsiTheme="majorHAnsi"/>
          <w:noProof/>
          <w:color w:val="000000"/>
          <w:shd w:val="clear" w:color="auto" w:fill="FFFFFF"/>
        </w:rPr>
        <w:t xml:space="preserve"> w</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lat</w:t>
      </w:r>
      <w:r>
        <w:rPr>
          <w:rStyle w:val="normaltextrun"/>
          <w:rFonts w:asciiTheme="majorHAnsi" w:hAnsiTheme="majorHAnsi"/>
          <w:noProof/>
          <w:color w:val="000000"/>
          <w:shd w:val="clear" w:color="auto" w:fill="FFFFFF"/>
        </w:rPr>
        <w:t>ach 2021–2022. Państwa członkowskie mogą wykorzystać finansowanie</w:t>
      </w:r>
      <w:r w:rsidR="00C56AFD">
        <w:rPr>
          <w:rStyle w:val="normaltextrun"/>
          <w:rFonts w:asciiTheme="majorHAnsi" w:hAnsiTheme="majorHAnsi"/>
          <w:noProof/>
          <w:color w:val="000000"/>
          <w:shd w:val="clear" w:color="auto" w:fill="FFFFFF"/>
        </w:rPr>
        <w:t xml:space="preserve"> w</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ram</w:t>
      </w:r>
      <w:r>
        <w:rPr>
          <w:rStyle w:val="normaltextrun"/>
          <w:rFonts w:asciiTheme="majorHAnsi" w:hAnsiTheme="majorHAnsi"/>
          <w:noProof/>
          <w:color w:val="000000"/>
          <w:shd w:val="clear" w:color="auto" w:fill="FFFFFF"/>
        </w:rPr>
        <w:t>ach REACT-EU, aby podjąć działania wobec napływu uchodźców</w:t>
      </w:r>
      <w:r w:rsidR="00C56AFD">
        <w:rPr>
          <w:rStyle w:val="normaltextrun"/>
          <w:rFonts w:asciiTheme="majorHAnsi" w:hAnsiTheme="majorHAnsi"/>
          <w:noProof/>
          <w:color w:val="000000"/>
          <w:shd w:val="clear" w:color="auto" w:fill="FFFFFF"/>
        </w:rPr>
        <w:t xml:space="preserve"> w</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nas</w:t>
      </w:r>
      <w:r>
        <w:rPr>
          <w:rStyle w:val="normaltextrun"/>
          <w:rFonts w:asciiTheme="majorHAnsi" w:hAnsiTheme="majorHAnsi"/>
          <w:noProof/>
          <w:color w:val="000000"/>
          <w:shd w:val="clear" w:color="auto" w:fill="FFFFFF"/>
        </w:rPr>
        <w:t>tępstwie wszczętej przez Rosję wojny napastniczej przeciwko Ukrainie. Aby zmniejszyć presję na budżety państw</w:t>
      </w:r>
      <w:r w:rsidR="00C56AFD">
        <w:rPr>
          <w:rStyle w:val="normaltextrun"/>
          <w:rFonts w:asciiTheme="majorHAnsi" w:hAnsiTheme="majorHAnsi"/>
          <w:noProof/>
          <w:color w:val="000000"/>
          <w:shd w:val="clear" w:color="auto" w:fill="FFFFFF"/>
        </w:rPr>
        <w:t xml:space="preserve"> i</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umo</w:t>
      </w:r>
      <w:r>
        <w:rPr>
          <w:rStyle w:val="normaltextrun"/>
          <w:rFonts w:asciiTheme="majorHAnsi" w:hAnsiTheme="majorHAnsi"/>
          <w:noProof/>
          <w:color w:val="000000"/>
          <w:shd w:val="clear" w:color="auto" w:fill="FFFFFF"/>
        </w:rPr>
        <w:t>żliwić szybsze</w:t>
      </w:r>
      <w:r w:rsidR="00C56AFD">
        <w:rPr>
          <w:rStyle w:val="normaltextrun"/>
          <w:rFonts w:asciiTheme="majorHAnsi" w:hAnsiTheme="majorHAnsi"/>
          <w:noProof/>
          <w:color w:val="000000"/>
          <w:shd w:val="clear" w:color="auto" w:fill="FFFFFF"/>
        </w:rPr>
        <w:t xml:space="preserve"> i</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łat</w:t>
      </w:r>
      <w:r>
        <w:rPr>
          <w:rStyle w:val="normaltextrun"/>
          <w:rFonts w:asciiTheme="majorHAnsi" w:hAnsiTheme="majorHAnsi"/>
          <w:noProof/>
          <w:color w:val="000000"/>
          <w:shd w:val="clear" w:color="auto" w:fill="FFFFFF"/>
        </w:rPr>
        <w:t>wiejsze wdrażanie środków związanych</w:t>
      </w:r>
      <w:r w:rsidR="00C56AFD">
        <w:rPr>
          <w:rStyle w:val="normaltextrun"/>
          <w:rFonts w:asciiTheme="majorHAnsi" w:hAnsiTheme="majorHAnsi"/>
          <w:noProof/>
          <w:color w:val="000000"/>
          <w:shd w:val="clear" w:color="auto" w:fill="FFFFFF"/>
        </w:rPr>
        <w:t xml:space="preserve"> z</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int</w:t>
      </w:r>
      <w:r>
        <w:rPr>
          <w:rStyle w:val="normaltextrun"/>
          <w:rFonts w:asciiTheme="majorHAnsi" w:hAnsiTheme="majorHAnsi"/>
          <w:noProof/>
          <w:color w:val="000000"/>
          <w:shd w:val="clear" w:color="auto" w:fill="FFFFFF"/>
        </w:rPr>
        <w:t>egracją obywateli państw trzecich, Komisja zaproponowała</w:t>
      </w:r>
      <w:r w:rsidR="00C56AFD">
        <w:rPr>
          <w:rStyle w:val="normaltextrun"/>
          <w:rFonts w:asciiTheme="majorHAnsi" w:hAnsiTheme="majorHAnsi"/>
          <w:noProof/>
          <w:color w:val="000000"/>
          <w:shd w:val="clear" w:color="auto" w:fill="FFFFFF"/>
        </w:rPr>
        <w:t xml:space="preserve"> w</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2</w:t>
      </w:r>
      <w:r>
        <w:rPr>
          <w:rStyle w:val="normaltextrun"/>
          <w:rFonts w:asciiTheme="majorHAnsi" w:hAnsiTheme="majorHAnsi"/>
          <w:noProof/>
          <w:color w:val="000000"/>
          <w:shd w:val="clear" w:color="auto" w:fill="FFFFFF"/>
        </w:rPr>
        <w:t>0</w:t>
      </w:r>
      <w:r w:rsidRPr="00C56AFD">
        <w:rPr>
          <w:rStyle w:val="normaltextrun"/>
          <w:rFonts w:asciiTheme="majorHAnsi" w:hAnsiTheme="majorHAnsi"/>
          <w:noProof/>
          <w:color w:val="000000"/>
          <w:shd w:val="clear" w:color="auto" w:fill="FFFFFF"/>
        </w:rPr>
        <w:t>22</w:t>
      </w:r>
      <w:r w:rsidR="00C56AFD" w:rsidRPr="00C56AFD">
        <w:rPr>
          <w:rStyle w:val="normaltextrun"/>
          <w:rFonts w:ascii="Calibri" w:hAnsi="Calibri" w:cs="Calibri"/>
          <w:noProof/>
          <w:color w:val="000000"/>
          <w:shd w:val="clear" w:color="auto" w:fill="FFFFFF"/>
        </w:rPr>
        <w:t> </w:t>
      </w:r>
      <w:r w:rsidRPr="00C56AFD">
        <w:rPr>
          <w:rStyle w:val="normaltextrun"/>
          <w:rFonts w:asciiTheme="majorHAnsi" w:hAnsiTheme="majorHAnsi"/>
          <w:noProof/>
          <w:color w:val="000000"/>
          <w:shd w:val="clear" w:color="auto" w:fill="FFFFFF"/>
        </w:rPr>
        <w:t>r.</w:t>
      </w:r>
      <w:r>
        <w:rPr>
          <w:rStyle w:val="normaltextrun"/>
          <w:rFonts w:asciiTheme="majorHAnsi" w:hAnsiTheme="majorHAnsi"/>
          <w:noProof/>
          <w:color w:val="000000"/>
          <w:shd w:val="clear" w:color="auto" w:fill="FFFFFF"/>
        </w:rPr>
        <w:t xml:space="preserve"> zwiększone płatności zaliczkowe</w:t>
      </w:r>
      <w:r w:rsidR="00C56AFD">
        <w:rPr>
          <w:rStyle w:val="normaltextrun"/>
          <w:rFonts w:asciiTheme="majorHAnsi" w:hAnsiTheme="majorHAnsi"/>
          <w:noProof/>
          <w:color w:val="000000"/>
          <w:shd w:val="clear" w:color="auto" w:fill="FFFFFF"/>
        </w:rPr>
        <w:t xml:space="preserve"> i</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upr</w:t>
      </w:r>
      <w:r>
        <w:rPr>
          <w:rStyle w:val="normaltextrun"/>
          <w:rFonts w:asciiTheme="majorHAnsi" w:hAnsiTheme="majorHAnsi"/>
          <w:noProof/>
          <w:color w:val="000000"/>
          <w:shd w:val="clear" w:color="auto" w:fill="FFFFFF"/>
        </w:rPr>
        <w:t>oszczone metody rozliczania kosztów</w:t>
      </w:r>
      <w:r w:rsidR="00E43629">
        <w:rPr>
          <w:rStyle w:val="EndnoteReference"/>
          <w:rFonts w:cs="Calibri"/>
          <w:noProof/>
          <w:color w:val="000000"/>
          <w:shd w:val="clear" w:color="auto" w:fill="FFFFFF"/>
        </w:rPr>
        <w:endnoteReference w:id="27"/>
      </w:r>
      <w:r>
        <w:rPr>
          <w:rStyle w:val="normaltextrun"/>
          <w:rFonts w:asciiTheme="majorHAnsi" w:hAnsiTheme="majorHAnsi"/>
          <w:noProof/>
          <w:color w:val="000000"/>
          <w:shd w:val="clear" w:color="auto" w:fill="FFFFFF"/>
        </w:rPr>
        <w:t>. Płatności okresowe</w:t>
      </w:r>
      <w:r w:rsidR="00C56AFD">
        <w:rPr>
          <w:rStyle w:val="normaltextrun"/>
          <w:rFonts w:asciiTheme="majorHAnsi" w:hAnsiTheme="majorHAnsi"/>
          <w:noProof/>
          <w:color w:val="000000"/>
          <w:shd w:val="clear" w:color="auto" w:fill="FFFFFF"/>
        </w:rPr>
        <w:t xml:space="preserve"> i</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koń</w:t>
      </w:r>
      <w:r>
        <w:rPr>
          <w:rStyle w:val="normaltextrun"/>
          <w:rFonts w:asciiTheme="majorHAnsi" w:hAnsiTheme="majorHAnsi"/>
          <w:noProof/>
          <w:color w:val="000000"/>
          <w:shd w:val="clear" w:color="auto" w:fill="FFFFFF"/>
        </w:rPr>
        <w:t>cowe</w:t>
      </w:r>
      <w:r w:rsidR="00C56AFD">
        <w:rPr>
          <w:rStyle w:val="normaltextrun"/>
          <w:rFonts w:asciiTheme="majorHAnsi" w:hAnsiTheme="majorHAnsi"/>
          <w:noProof/>
          <w:color w:val="000000"/>
          <w:shd w:val="clear" w:color="auto" w:fill="FFFFFF"/>
        </w:rPr>
        <w:t xml:space="preserve"> w</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bie</w:t>
      </w:r>
      <w:r>
        <w:rPr>
          <w:rStyle w:val="normaltextrun"/>
          <w:rFonts w:asciiTheme="majorHAnsi" w:hAnsiTheme="majorHAnsi"/>
          <w:noProof/>
          <w:color w:val="000000"/>
          <w:shd w:val="clear" w:color="auto" w:fill="FFFFFF"/>
        </w:rPr>
        <w:t>żącej prognozie są skoncentrowane</w:t>
      </w:r>
      <w:r w:rsidR="00C56AFD">
        <w:rPr>
          <w:rStyle w:val="normaltextrun"/>
          <w:rFonts w:asciiTheme="majorHAnsi" w:hAnsiTheme="majorHAnsi"/>
          <w:noProof/>
          <w:color w:val="000000"/>
          <w:shd w:val="clear" w:color="auto" w:fill="FFFFFF"/>
        </w:rPr>
        <w:t xml:space="preserve"> w</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lat</w:t>
      </w:r>
      <w:r>
        <w:rPr>
          <w:rStyle w:val="normaltextrun"/>
          <w:rFonts w:asciiTheme="majorHAnsi" w:hAnsiTheme="majorHAnsi"/>
          <w:noProof/>
          <w:color w:val="000000"/>
          <w:shd w:val="clear" w:color="auto" w:fill="FFFFFF"/>
        </w:rPr>
        <w:t>ach 2022–2024 zgodnie</w:t>
      </w:r>
      <w:r w:rsidR="00C56AFD">
        <w:rPr>
          <w:rStyle w:val="normaltextrun"/>
          <w:rFonts w:asciiTheme="majorHAnsi" w:hAnsiTheme="majorHAnsi"/>
          <w:noProof/>
          <w:color w:val="000000"/>
          <w:shd w:val="clear" w:color="auto" w:fill="FFFFFF"/>
        </w:rPr>
        <w:t xml:space="preserve"> z</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cel</w:t>
      </w:r>
      <w:r>
        <w:rPr>
          <w:rStyle w:val="normaltextrun"/>
          <w:rFonts w:asciiTheme="majorHAnsi" w:hAnsiTheme="majorHAnsi"/>
          <w:noProof/>
          <w:color w:val="000000"/>
          <w:shd w:val="clear" w:color="auto" w:fill="FFFFFF"/>
        </w:rPr>
        <w:t>ami REACT-EU dotyczącymi przyspieszenia wdrożenia przez wykorzystanie już istniejących programów</w:t>
      </w:r>
      <w:r w:rsidR="00C56AFD">
        <w:rPr>
          <w:rStyle w:val="normaltextrun"/>
          <w:rFonts w:asciiTheme="majorHAnsi" w:hAnsiTheme="majorHAnsi"/>
          <w:noProof/>
          <w:color w:val="000000"/>
          <w:shd w:val="clear" w:color="auto" w:fill="FFFFFF"/>
        </w:rPr>
        <w:t xml:space="preserve"> i</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zap</w:t>
      </w:r>
      <w:r>
        <w:rPr>
          <w:rStyle w:val="normaltextrun"/>
          <w:rFonts w:asciiTheme="majorHAnsi" w:hAnsiTheme="majorHAnsi"/>
          <w:noProof/>
          <w:color w:val="000000"/>
          <w:shd w:val="clear" w:color="auto" w:fill="FFFFFF"/>
        </w:rPr>
        <w:t>ewnienie pełnej elastyczności zasad wdrażania</w:t>
      </w:r>
      <w:r w:rsidR="00C56AFD">
        <w:rPr>
          <w:rStyle w:val="normaltextrun"/>
          <w:rFonts w:asciiTheme="majorHAnsi" w:hAnsiTheme="majorHAnsi"/>
          <w:noProof/>
          <w:color w:val="000000"/>
          <w:shd w:val="clear" w:color="auto" w:fill="FFFFFF"/>
        </w:rPr>
        <w:t>. W</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por</w:t>
      </w:r>
      <w:r>
        <w:rPr>
          <w:rStyle w:val="normaltextrun"/>
          <w:rFonts w:asciiTheme="majorHAnsi" w:hAnsiTheme="majorHAnsi"/>
          <w:noProof/>
          <w:color w:val="000000"/>
          <w:shd w:val="clear" w:color="auto" w:fill="FFFFFF"/>
        </w:rPr>
        <w:t>ównaniu</w:t>
      </w:r>
      <w:r w:rsidR="00C56AFD">
        <w:rPr>
          <w:rStyle w:val="normaltextrun"/>
          <w:rFonts w:asciiTheme="majorHAnsi" w:hAnsiTheme="majorHAnsi"/>
          <w:noProof/>
          <w:color w:val="000000"/>
          <w:shd w:val="clear" w:color="auto" w:fill="FFFFFF"/>
        </w:rPr>
        <w:t xml:space="preserve"> z</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ubi</w:t>
      </w:r>
      <w:r>
        <w:rPr>
          <w:rStyle w:val="normaltextrun"/>
          <w:rFonts w:asciiTheme="majorHAnsi" w:hAnsiTheme="majorHAnsi"/>
          <w:noProof/>
          <w:color w:val="000000"/>
          <w:shd w:val="clear" w:color="auto" w:fill="FFFFFF"/>
        </w:rPr>
        <w:t>egłoroczną prognozą oczekuje się, że płatności</w:t>
      </w:r>
      <w:r w:rsidR="00C56AFD">
        <w:rPr>
          <w:rStyle w:val="normaltextrun"/>
          <w:rFonts w:asciiTheme="majorHAnsi" w:hAnsiTheme="majorHAnsi"/>
          <w:noProof/>
          <w:color w:val="000000"/>
          <w:shd w:val="clear" w:color="auto" w:fill="FFFFFF"/>
        </w:rPr>
        <w:t xml:space="preserve"> w</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ram</w:t>
      </w:r>
      <w:r>
        <w:rPr>
          <w:rStyle w:val="normaltextrun"/>
          <w:rFonts w:asciiTheme="majorHAnsi" w:hAnsiTheme="majorHAnsi"/>
          <w:noProof/>
          <w:color w:val="000000"/>
          <w:shd w:val="clear" w:color="auto" w:fill="FFFFFF"/>
        </w:rPr>
        <w:t>ach REACT-EU wzrosną</w:t>
      </w:r>
      <w:r w:rsidR="00C56AFD">
        <w:rPr>
          <w:rStyle w:val="normaltextrun"/>
          <w:rFonts w:asciiTheme="majorHAnsi" w:hAnsiTheme="majorHAnsi"/>
          <w:noProof/>
          <w:color w:val="000000"/>
          <w:shd w:val="clear" w:color="auto" w:fill="FFFFFF"/>
        </w:rPr>
        <w:t xml:space="preserve"> w</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2</w:t>
      </w:r>
      <w:r>
        <w:rPr>
          <w:rStyle w:val="normaltextrun"/>
          <w:rFonts w:asciiTheme="majorHAnsi" w:hAnsiTheme="majorHAnsi"/>
          <w:noProof/>
          <w:color w:val="000000"/>
          <w:shd w:val="clear" w:color="auto" w:fill="FFFFFF"/>
        </w:rPr>
        <w:t>0</w:t>
      </w:r>
      <w:r w:rsidRPr="00C56AFD">
        <w:rPr>
          <w:rStyle w:val="normaltextrun"/>
          <w:rFonts w:asciiTheme="majorHAnsi" w:hAnsiTheme="majorHAnsi"/>
          <w:noProof/>
          <w:color w:val="000000"/>
          <w:shd w:val="clear" w:color="auto" w:fill="FFFFFF"/>
        </w:rPr>
        <w:t>24</w:t>
      </w:r>
      <w:r w:rsidR="00C56AFD" w:rsidRPr="00C56AFD">
        <w:rPr>
          <w:rStyle w:val="normaltextrun"/>
          <w:rFonts w:ascii="Calibri" w:hAnsi="Calibri" w:cs="Calibri"/>
          <w:noProof/>
          <w:color w:val="000000"/>
          <w:shd w:val="clear" w:color="auto" w:fill="FFFFFF"/>
        </w:rPr>
        <w:t> </w:t>
      </w:r>
      <w:r w:rsidRPr="00C56AFD">
        <w:rPr>
          <w:rStyle w:val="normaltextrun"/>
          <w:rFonts w:asciiTheme="majorHAnsi" w:hAnsiTheme="majorHAnsi"/>
          <w:noProof/>
          <w:color w:val="000000"/>
          <w:shd w:val="clear" w:color="auto" w:fill="FFFFFF"/>
        </w:rPr>
        <w:t>r.</w:t>
      </w:r>
      <w:r w:rsidR="00C56AFD">
        <w:rPr>
          <w:rStyle w:val="normaltextrun"/>
          <w:rFonts w:asciiTheme="majorHAnsi" w:hAnsiTheme="majorHAnsi"/>
          <w:noProof/>
          <w:color w:val="000000"/>
          <w:shd w:val="clear" w:color="auto" w:fill="FFFFFF"/>
        </w:rPr>
        <w:t xml:space="preserve"> w</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zwi</w:t>
      </w:r>
      <w:r>
        <w:rPr>
          <w:rStyle w:val="normaltextrun"/>
          <w:rFonts w:asciiTheme="majorHAnsi" w:hAnsiTheme="majorHAnsi"/>
          <w:noProof/>
          <w:color w:val="000000"/>
          <w:shd w:val="clear" w:color="auto" w:fill="FFFFFF"/>
        </w:rPr>
        <w:t>ązku</w:t>
      </w:r>
      <w:r w:rsidR="00C56AFD">
        <w:rPr>
          <w:rStyle w:val="normaltextrun"/>
          <w:rFonts w:asciiTheme="majorHAnsi" w:hAnsiTheme="majorHAnsi"/>
          <w:noProof/>
          <w:color w:val="000000"/>
          <w:shd w:val="clear" w:color="auto" w:fill="FFFFFF"/>
        </w:rPr>
        <w:t xml:space="preserve"> z</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prz</w:t>
      </w:r>
      <w:r>
        <w:rPr>
          <w:rStyle w:val="normaltextrun"/>
          <w:rFonts w:asciiTheme="majorHAnsi" w:hAnsiTheme="majorHAnsi"/>
          <w:noProof/>
          <w:color w:val="000000"/>
          <w:shd w:val="clear" w:color="auto" w:fill="FFFFFF"/>
        </w:rPr>
        <w:t>edłużeniem terminu składania wniosków</w:t>
      </w:r>
      <w:r w:rsidR="00C56AFD">
        <w:rPr>
          <w:rStyle w:val="normaltextrun"/>
          <w:rFonts w:asciiTheme="majorHAnsi" w:hAnsiTheme="majorHAnsi"/>
          <w:noProof/>
          <w:color w:val="000000"/>
          <w:shd w:val="clear" w:color="auto" w:fill="FFFFFF"/>
        </w:rPr>
        <w:t xml:space="preserve"> o</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pła</w:t>
      </w:r>
      <w:r>
        <w:rPr>
          <w:rStyle w:val="normaltextrun"/>
          <w:rFonts w:asciiTheme="majorHAnsi" w:hAnsiTheme="majorHAnsi"/>
          <w:noProof/>
          <w:color w:val="000000"/>
          <w:shd w:val="clear" w:color="auto" w:fill="FFFFFF"/>
        </w:rPr>
        <w:t>tność, jak uzgodniono</w:t>
      </w:r>
      <w:r w:rsidR="00C56AFD">
        <w:rPr>
          <w:rStyle w:val="normaltextrun"/>
          <w:rFonts w:asciiTheme="majorHAnsi" w:hAnsiTheme="majorHAnsi"/>
          <w:noProof/>
          <w:color w:val="000000"/>
          <w:shd w:val="clear" w:color="auto" w:fill="FFFFFF"/>
        </w:rPr>
        <w:t xml:space="preserve"> w</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roz</w:t>
      </w:r>
      <w:r>
        <w:rPr>
          <w:rStyle w:val="normaltextrun"/>
          <w:rFonts w:asciiTheme="majorHAnsi" w:hAnsiTheme="majorHAnsi"/>
          <w:noProof/>
          <w:color w:val="000000"/>
          <w:shd w:val="clear" w:color="auto" w:fill="FFFFFF"/>
        </w:rPr>
        <w:t>porządzeniu</w:t>
      </w:r>
      <w:r w:rsidR="00C56AFD">
        <w:rPr>
          <w:rStyle w:val="normaltextrun"/>
          <w:rFonts w:asciiTheme="majorHAnsi" w:hAnsiTheme="majorHAnsi"/>
          <w:noProof/>
          <w:color w:val="000000"/>
          <w:shd w:val="clear" w:color="auto" w:fill="FFFFFF"/>
        </w:rPr>
        <w:t xml:space="preserve"> w</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spr</w:t>
      </w:r>
      <w:r>
        <w:rPr>
          <w:rStyle w:val="normaltextrun"/>
          <w:rFonts w:asciiTheme="majorHAnsi" w:hAnsiTheme="majorHAnsi"/>
          <w:noProof/>
          <w:color w:val="000000"/>
          <w:shd w:val="clear" w:color="auto" w:fill="FFFFFF"/>
        </w:rPr>
        <w:t>awie STEP. Pewne ostateczne płatności końcowe – zarówno</w:t>
      </w:r>
      <w:r w:rsidR="00C56AFD">
        <w:rPr>
          <w:rStyle w:val="normaltextrun"/>
          <w:rFonts w:asciiTheme="majorHAnsi" w:hAnsiTheme="majorHAnsi"/>
          <w:noProof/>
          <w:color w:val="000000"/>
          <w:shd w:val="clear" w:color="auto" w:fill="FFFFFF"/>
        </w:rPr>
        <w:t xml:space="preserve"> w</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ram</w:t>
      </w:r>
      <w:r>
        <w:rPr>
          <w:rStyle w:val="normaltextrun"/>
          <w:rFonts w:asciiTheme="majorHAnsi" w:hAnsiTheme="majorHAnsi"/>
          <w:noProof/>
          <w:color w:val="000000"/>
          <w:shd w:val="clear" w:color="auto" w:fill="FFFFFF"/>
        </w:rPr>
        <w:t>ach EFS, jak i EFRR – spodziewane są do końca 20</w:t>
      </w:r>
      <w:r w:rsidRPr="00C56AFD">
        <w:rPr>
          <w:rStyle w:val="normaltextrun"/>
          <w:rFonts w:asciiTheme="majorHAnsi" w:hAnsiTheme="majorHAnsi"/>
          <w:noProof/>
          <w:color w:val="000000"/>
          <w:shd w:val="clear" w:color="auto" w:fill="FFFFFF"/>
        </w:rPr>
        <w:t>25</w:t>
      </w:r>
      <w:r w:rsidR="00C56AFD" w:rsidRPr="00C56AFD">
        <w:rPr>
          <w:rStyle w:val="normaltextrun"/>
          <w:rFonts w:ascii="Calibri" w:hAnsi="Calibri" w:cs="Calibri"/>
          <w:noProof/>
          <w:color w:val="000000"/>
          <w:shd w:val="clear" w:color="auto" w:fill="FFFFFF"/>
        </w:rPr>
        <w:t> </w:t>
      </w:r>
      <w:r w:rsidRPr="00C56AFD">
        <w:rPr>
          <w:rStyle w:val="normaltextrun"/>
          <w:rFonts w:asciiTheme="majorHAnsi" w:hAnsiTheme="majorHAnsi"/>
          <w:noProof/>
          <w:color w:val="000000"/>
          <w:shd w:val="clear" w:color="auto" w:fill="FFFFFF"/>
        </w:rPr>
        <w:t>r.</w:t>
      </w:r>
    </w:p>
    <w:p w14:paraId="316E739B" w14:textId="3883EF12" w:rsidR="00861C1C" w:rsidRDefault="003B6DC2">
      <w:pPr>
        <w:spacing w:after="120" w:line="276" w:lineRule="auto"/>
        <w:jc w:val="both"/>
        <w:rPr>
          <w:rStyle w:val="normaltextrun"/>
          <w:rFonts w:asciiTheme="majorHAnsi" w:hAnsiTheme="majorHAnsi" w:cs="Calibri"/>
          <w:noProof/>
          <w:color w:val="000000"/>
          <w:shd w:val="clear" w:color="auto" w:fill="FFFFFF"/>
        </w:rPr>
      </w:pPr>
      <w:r>
        <w:rPr>
          <w:rStyle w:val="normaltextrun"/>
          <w:rFonts w:asciiTheme="majorHAnsi" w:hAnsiTheme="majorHAnsi"/>
          <w:noProof/>
          <w:color w:val="000000"/>
          <w:shd w:val="clear" w:color="auto" w:fill="FFFFFF"/>
        </w:rPr>
        <w:t>Na pozostałych pięć programów wspieranych</w:t>
      </w:r>
      <w:r w:rsidR="00C56AFD">
        <w:rPr>
          <w:rStyle w:val="normaltextrun"/>
          <w:rFonts w:asciiTheme="majorHAnsi" w:hAnsiTheme="majorHAnsi"/>
          <w:noProof/>
          <w:color w:val="000000"/>
          <w:shd w:val="clear" w:color="auto" w:fill="FFFFFF"/>
        </w:rPr>
        <w:t xml:space="preserve"> w</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ram</w:t>
      </w:r>
      <w:r>
        <w:rPr>
          <w:rStyle w:val="normaltextrun"/>
          <w:rFonts w:asciiTheme="majorHAnsi" w:hAnsiTheme="majorHAnsi"/>
          <w:noProof/>
          <w:color w:val="000000"/>
          <w:shd w:val="clear" w:color="auto" w:fill="FFFFFF"/>
        </w:rPr>
        <w:t xml:space="preserve">ach NextGenerationEU przypada pozostałe </w:t>
      </w:r>
      <w:r w:rsidRPr="00C56AFD">
        <w:rPr>
          <w:rStyle w:val="normaltextrun"/>
          <w:rFonts w:asciiTheme="majorHAnsi" w:hAnsiTheme="majorHAnsi"/>
          <w:noProof/>
          <w:color w:val="000000"/>
          <w:shd w:val="clear" w:color="auto" w:fill="FFFFFF"/>
        </w:rPr>
        <w:t>8</w:t>
      </w:r>
      <w:r w:rsidR="00C56AFD" w:rsidRPr="00C56AFD">
        <w:rPr>
          <w:rStyle w:val="normaltextrun"/>
          <w:rFonts w:ascii="Calibri" w:hAnsi="Calibri" w:cs="Calibri"/>
          <w:noProof/>
          <w:color w:val="000000"/>
          <w:shd w:val="clear" w:color="auto" w:fill="FFFFFF"/>
        </w:rPr>
        <w:t> </w:t>
      </w:r>
      <w:r w:rsidRPr="00C56AFD">
        <w:rPr>
          <w:rStyle w:val="normaltextrun"/>
          <w:rFonts w:asciiTheme="majorHAnsi" w:hAnsiTheme="majorHAnsi"/>
          <w:noProof/>
          <w:color w:val="000000"/>
          <w:shd w:val="clear" w:color="auto" w:fill="FFFFFF"/>
        </w:rPr>
        <w:t>%</w:t>
      </w:r>
      <w:r>
        <w:rPr>
          <w:rStyle w:val="normaltextrun"/>
          <w:rFonts w:asciiTheme="majorHAnsi" w:hAnsiTheme="majorHAnsi"/>
          <w:noProof/>
          <w:color w:val="000000"/>
          <w:shd w:val="clear" w:color="auto" w:fill="FFFFFF"/>
        </w:rPr>
        <w:t xml:space="preserve"> bezzwrotnego przydziału środków</w:t>
      </w:r>
      <w:r w:rsidR="00C56AFD" w:rsidRPr="00C56AFD">
        <w:rPr>
          <w:rStyle w:val="normaltextrun"/>
          <w:rFonts w:asciiTheme="majorHAnsi" w:hAnsiTheme="majorHAnsi"/>
          <w:noProof/>
          <w:color w:val="000000"/>
          <w:shd w:val="clear" w:color="auto" w:fill="FFFFFF"/>
        </w:rPr>
        <w:t>. W</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pro</w:t>
      </w:r>
      <w:r>
        <w:rPr>
          <w:rStyle w:val="normaltextrun"/>
          <w:rFonts w:asciiTheme="majorHAnsi" w:hAnsiTheme="majorHAnsi"/>
          <w:noProof/>
          <w:color w:val="000000"/>
          <w:shd w:val="clear" w:color="auto" w:fill="FFFFFF"/>
        </w:rPr>
        <w:t>gnozie płatności uwzględniono doświadczenia</w:t>
      </w:r>
      <w:r w:rsidR="00C56AFD">
        <w:rPr>
          <w:rStyle w:val="normaltextrun"/>
          <w:rFonts w:asciiTheme="majorHAnsi" w:hAnsiTheme="majorHAnsi"/>
          <w:noProof/>
          <w:color w:val="000000"/>
          <w:shd w:val="clear" w:color="auto" w:fill="FFFFFF"/>
        </w:rPr>
        <w:t xml:space="preserve"> z</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pop</w:t>
      </w:r>
      <w:r>
        <w:rPr>
          <w:rStyle w:val="normaltextrun"/>
          <w:rFonts w:asciiTheme="majorHAnsi" w:hAnsiTheme="majorHAnsi"/>
          <w:noProof/>
          <w:color w:val="000000"/>
          <w:shd w:val="clear" w:color="auto" w:fill="FFFFFF"/>
        </w:rPr>
        <w:t>rzednich programów, biorąc pod uwagę krótszy cykl zobowiązań</w:t>
      </w:r>
      <w:r w:rsidR="00C56AFD">
        <w:rPr>
          <w:rStyle w:val="normaltextrun"/>
          <w:rFonts w:asciiTheme="majorHAnsi" w:hAnsiTheme="majorHAnsi"/>
          <w:noProof/>
          <w:color w:val="000000"/>
          <w:shd w:val="clear" w:color="auto" w:fill="FFFFFF"/>
        </w:rPr>
        <w:t xml:space="preserve"> i</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uki</w:t>
      </w:r>
      <w:r>
        <w:rPr>
          <w:rStyle w:val="normaltextrun"/>
          <w:rFonts w:asciiTheme="majorHAnsi" w:hAnsiTheme="majorHAnsi"/>
          <w:noProof/>
          <w:color w:val="000000"/>
          <w:shd w:val="clear" w:color="auto" w:fill="FFFFFF"/>
        </w:rPr>
        <w:t>erunkowanie na natychmiastowe potrzeby</w:t>
      </w:r>
      <w:r w:rsidR="00C56AFD">
        <w:rPr>
          <w:rStyle w:val="normaltextrun"/>
          <w:rFonts w:asciiTheme="majorHAnsi" w:hAnsiTheme="majorHAnsi"/>
          <w:noProof/>
          <w:color w:val="000000"/>
          <w:shd w:val="clear" w:color="auto" w:fill="FFFFFF"/>
        </w:rPr>
        <w:t xml:space="preserve"> w</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zak</w:t>
      </w:r>
      <w:r>
        <w:rPr>
          <w:rStyle w:val="normaltextrun"/>
          <w:rFonts w:asciiTheme="majorHAnsi" w:hAnsiTheme="majorHAnsi"/>
          <w:noProof/>
          <w:color w:val="000000"/>
          <w:shd w:val="clear" w:color="auto" w:fill="FFFFFF"/>
        </w:rPr>
        <w:t>resie odbudowy</w:t>
      </w:r>
      <w:r w:rsidRPr="00C56AFD">
        <w:rPr>
          <w:rStyle w:val="normaltextrun"/>
          <w:rFonts w:asciiTheme="majorHAnsi" w:hAnsiTheme="majorHAnsi"/>
          <w:noProof/>
          <w:color w:val="000000"/>
          <w:shd w:val="clear" w:color="auto" w:fill="FFFFFF"/>
        </w:rPr>
        <w:t>.</w:t>
      </w:r>
      <w:r w:rsidR="00C56AFD" w:rsidRPr="00C56AFD">
        <w:rPr>
          <w:rStyle w:val="normaltextrun"/>
          <w:rFonts w:asciiTheme="majorHAnsi" w:hAnsiTheme="majorHAnsi"/>
          <w:noProof/>
          <w:color w:val="000000"/>
          <w:shd w:val="clear" w:color="auto" w:fill="FFFFFF"/>
        </w:rPr>
        <w:t xml:space="preserve"> </w:t>
      </w:r>
      <w:r w:rsidRPr="00C56AFD">
        <w:rPr>
          <w:rStyle w:val="normaltextrun"/>
          <w:rFonts w:asciiTheme="majorHAnsi" w:hAnsiTheme="majorHAnsi"/>
          <w:noProof/>
          <w:color w:val="000000"/>
          <w:shd w:val="clear" w:color="auto" w:fill="FFFFFF"/>
        </w:rPr>
        <w:t>O</w:t>
      </w:r>
      <w:r>
        <w:rPr>
          <w:rStyle w:val="normaltextrun"/>
          <w:rFonts w:asciiTheme="majorHAnsi" w:hAnsiTheme="majorHAnsi"/>
          <w:noProof/>
          <w:color w:val="000000"/>
          <w:shd w:val="clear" w:color="auto" w:fill="FFFFFF"/>
        </w:rPr>
        <w:t>późnienia</w:t>
      </w:r>
      <w:r w:rsidR="00C56AFD">
        <w:rPr>
          <w:rStyle w:val="normaltextrun"/>
          <w:rFonts w:asciiTheme="majorHAnsi" w:hAnsiTheme="majorHAnsi"/>
          <w:noProof/>
          <w:color w:val="000000"/>
          <w:shd w:val="clear" w:color="auto" w:fill="FFFFFF"/>
        </w:rPr>
        <w:t xml:space="preserve"> w</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prz</w:t>
      </w:r>
      <w:r>
        <w:rPr>
          <w:rStyle w:val="normaltextrun"/>
          <w:rFonts w:asciiTheme="majorHAnsi" w:hAnsiTheme="majorHAnsi"/>
          <w:noProof/>
          <w:color w:val="000000"/>
          <w:shd w:val="clear" w:color="auto" w:fill="FFFFFF"/>
        </w:rPr>
        <w:t>yjęciu WRF</w:t>
      </w:r>
      <w:r w:rsidR="00C56AFD">
        <w:rPr>
          <w:rStyle w:val="normaltextrun"/>
          <w:rFonts w:asciiTheme="majorHAnsi" w:hAnsiTheme="majorHAnsi"/>
          <w:noProof/>
          <w:color w:val="000000"/>
          <w:shd w:val="clear" w:color="auto" w:fill="FFFFFF"/>
        </w:rPr>
        <w:t xml:space="preserve"> i</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prz</w:t>
      </w:r>
      <w:r>
        <w:rPr>
          <w:rStyle w:val="normaltextrun"/>
          <w:rFonts w:asciiTheme="majorHAnsi" w:hAnsiTheme="majorHAnsi"/>
          <w:noProof/>
          <w:color w:val="000000"/>
          <w:shd w:val="clear" w:color="auto" w:fill="FFFFFF"/>
        </w:rPr>
        <w:t xml:space="preserve">episów dotyczących poszczególnych programów miały wpływ na </w:t>
      </w:r>
      <w:r>
        <w:rPr>
          <w:rStyle w:val="Strong"/>
          <w:b w:val="0"/>
          <w:noProof/>
        </w:rPr>
        <w:t>Fundusz na rzecz Sprawiedliwej Transformacji (FST)</w:t>
      </w:r>
      <w:r>
        <w:rPr>
          <w:rStyle w:val="normaltextrun"/>
          <w:rFonts w:asciiTheme="majorHAnsi" w:hAnsiTheme="majorHAnsi"/>
          <w:noProof/>
          <w:color w:val="000000"/>
          <w:shd w:val="clear" w:color="auto" w:fill="FFFFFF"/>
        </w:rPr>
        <w:t xml:space="preserve">. </w:t>
      </w:r>
      <w:r>
        <w:rPr>
          <w:rStyle w:val="normaltextrun"/>
          <w:rFonts w:asciiTheme="majorHAnsi" w:hAnsiTheme="majorHAnsi"/>
          <w:noProof/>
          <w:color w:val="000000" w:themeColor="text1"/>
        </w:rPr>
        <w:t>Wszystkie programy FST zostały przyjęte do końca 20</w:t>
      </w:r>
      <w:r w:rsidRPr="00C56AFD">
        <w:rPr>
          <w:rStyle w:val="normaltextrun"/>
          <w:rFonts w:asciiTheme="majorHAnsi" w:hAnsiTheme="majorHAnsi"/>
          <w:noProof/>
          <w:color w:val="000000" w:themeColor="text1"/>
        </w:rPr>
        <w:t>22</w:t>
      </w:r>
      <w:r w:rsidR="00C56AFD" w:rsidRPr="00C56AFD">
        <w:rPr>
          <w:rStyle w:val="normaltextrun"/>
          <w:rFonts w:ascii="Calibri" w:hAnsi="Calibri" w:cs="Calibri"/>
          <w:noProof/>
          <w:color w:val="000000" w:themeColor="text1"/>
        </w:rPr>
        <w:t> </w:t>
      </w:r>
      <w:r w:rsidRPr="00C56AFD">
        <w:rPr>
          <w:rStyle w:val="normaltextrun"/>
          <w:rFonts w:asciiTheme="majorHAnsi" w:hAnsiTheme="majorHAnsi"/>
          <w:noProof/>
          <w:color w:val="000000" w:themeColor="text1"/>
        </w:rPr>
        <w:t>r.</w:t>
      </w:r>
      <w:r>
        <w:rPr>
          <w:rStyle w:val="normaltextrun"/>
          <w:rFonts w:asciiTheme="majorHAnsi" w:hAnsiTheme="majorHAnsi"/>
          <w:noProof/>
          <w:color w:val="000000" w:themeColor="text1"/>
        </w:rPr>
        <w:t>,</w:t>
      </w:r>
      <w:r w:rsidR="00C56AFD">
        <w:rPr>
          <w:rStyle w:val="normaltextrun"/>
          <w:rFonts w:asciiTheme="majorHAnsi" w:hAnsiTheme="majorHAnsi"/>
          <w:noProof/>
          <w:color w:val="000000" w:themeColor="text1"/>
        </w:rPr>
        <w:t xml:space="preserve"> z</w:t>
      </w:r>
      <w:r w:rsidR="00C56AFD">
        <w:rPr>
          <w:rStyle w:val="normaltextrun"/>
          <w:rFonts w:ascii="Calibri" w:hAnsi="Calibri" w:cs="Calibri"/>
          <w:noProof/>
          <w:color w:val="000000" w:themeColor="text1"/>
        </w:rPr>
        <w:t> </w:t>
      </w:r>
      <w:r w:rsidR="00C56AFD">
        <w:rPr>
          <w:rStyle w:val="normaltextrun"/>
          <w:rFonts w:asciiTheme="majorHAnsi" w:hAnsiTheme="majorHAnsi"/>
          <w:noProof/>
          <w:color w:val="000000" w:themeColor="text1"/>
        </w:rPr>
        <w:t>wyj</w:t>
      </w:r>
      <w:r>
        <w:rPr>
          <w:rStyle w:val="normaltextrun"/>
          <w:rFonts w:asciiTheme="majorHAnsi" w:hAnsiTheme="majorHAnsi"/>
          <w:noProof/>
          <w:color w:val="000000" w:themeColor="text1"/>
        </w:rPr>
        <w:t>ątkiem programu dotyczącego Bułgarii, przyjętego</w:t>
      </w:r>
      <w:r w:rsidR="00C56AFD">
        <w:rPr>
          <w:rStyle w:val="normaltextrun"/>
          <w:rFonts w:asciiTheme="majorHAnsi" w:hAnsiTheme="majorHAnsi"/>
          <w:noProof/>
          <w:color w:val="000000" w:themeColor="text1"/>
        </w:rPr>
        <w:t xml:space="preserve"> w</w:t>
      </w:r>
      <w:r w:rsidR="00C56AFD">
        <w:rPr>
          <w:rStyle w:val="normaltextrun"/>
          <w:rFonts w:ascii="Calibri" w:hAnsi="Calibri" w:cs="Calibri"/>
          <w:noProof/>
          <w:color w:val="000000" w:themeColor="text1"/>
        </w:rPr>
        <w:t> </w:t>
      </w:r>
      <w:r w:rsidR="00C56AFD">
        <w:rPr>
          <w:rStyle w:val="normaltextrun"/>
          <w:rFonts w:asciiTheme="majorHAnsi" w:hAnsiTheme="majorHAnsi"/>
          <w:noProof/>
          <w:color w:val="000000" w:themeColor="text1"/>
        </w:rPr>
        <w:t>2</w:t>
      </w:r>
      <w:r>
        <w:rPr>
          <w:rStyle w:val="normaltextrun"/>
          <w:rFonts w:asciiTheme="majorHAnsi" w:hAnsiTheme="majorHAnsi"/>
          <w:noProof/>
          <w:color w:val="000000" w:themeColor="text1"/>
        </w:rPr>
        <w:t>0</w:t>
      </w:r>
      <w:r w:rsidRPr="00C56AFD">
        <w:rPr>
          <w:rStyle w:val="normaltextrun"/>
          <w:rFonts w:asciiTheme="majorHAnsi" w:hAnsiTheme="majorHAnsi"/>
          <w:noProof/>
          <w:color w:val="000000" w:themeColor="text1"/>
        </w:rPr>
        <w:t>23</w:t>
      </w:r>
      <w:r w:rsidR="00C56AFD" w:rsidRPr="00C56AFD">
        <w:rPr>
          <w:rStyle w:val="normaltextrun"/>
          <w:rFonts w:ascii="Calibri" w:hAnsi="Calibri" w:cs="Calibri"/>
          <w:noProof/>
          <w:color w:val="000000" w:themeColor="text1"/>
        </w:rPr>
        <w:t> </w:t>
      </w:r>
      <w:r w:rsidRPr="00C56AFD">
        <w:rPr>
          <w:rStyle w:val="normaltextrun"/>
          <w:rFonts w:asciiTheme="majorHAnsi" w:hAnsiTheme="majorHAnsi"/>
          <w:noProof/>
          <w:color w:val="000000" w:themeColor="text1"/>
        </w:rPr>
        <w:t>r.</w:t>
      </w:r>
      <w:r>
        <w:rPr>
          <w:rStyle w:val="normaltextrun"/>
          <w:rFonts w:asciiTheme="majorHAnsi" w:hAnsiTheme="majorHAnsi"/>
          <w:noProof/>
          <w:color w:val="000000" w:themeColor="text1"/>
        </w:rPr>
        <w:t xml:space="preserve"> </w:t>
      </w:r>
      <w:r>
        <w:rPr>
          <w:rStyle w:val="normaltextrun"/>
          <w:rFonts w:asciiTheme="majorHAnsi" w:hAnsiTheme="majorHAnsi"/>
          <w:noProof/>
        </w:rPr>
        <w:t>Faza wdrażania rozpoczęła się bezpośrednio po przyjęciu programów</w:t>
      </w:r>
      <w:r>
        <w:rPr>
          <w:rStyle w:val="normaltextrun"/>
          <w:rFonts w:asciiTheme="majorHAnsi" w:hAnsiTheme="majorHAnsi"/>
          <w:noProof/>
          <w:color w:val="000000"/>
          <w:shd w:val="clear" w:color="auto" w:fill="FFFFFF"/>
        </w:rPr>
        <w:t>,</w:t>
      </w:r>
      <w:r w:rsidR="00C56AFD">
        <w:rPr>
          <w:rStyle w:val="normaltextrun"/>
          <w:rFonts w:asciiTheme="majorHAnsi" w:hAnsiTheme="majorHAnsi"/>
          <w:noProof/>
          <w:color w:val="000000"/>
          <w:shd w:val="clear" w:color="auto" w:fill="FFFFFF"/>
        </w:rPr>
        <w:t xml:space="preserve"> a</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wsz</w:t>
      </w:r>
      <w:r>
        <w:rPr>
          <w:rStyle w:val="normaltextrun"/>
          <w:rFonts w:asciiTheme="majorHAnsi" w:hAnsiTheme="majorHAnsi"/>
          <w:noProof/>
          <w:color w:val="000000"/>
          <w:shd w:val="clear" w:color="auto" w:fill="FFFFFF"/>
        </w:rPr>
        <w:t>ystkie wypłaty przewidziano na lata 2023–2026</w:t>
      </w:r>
      <w:r w:rsidR="00C56AFD">
        <w:rPr>
          <w:rStyle w:val="normaltextrun"/>
          <w:rFonts w:asciiTheme="majorHAnsi" w:hAnsiTheme="majorHAnsi"/>
          <w:noProof/>
          <w:color w:val="000000"/>
          <w:shd w:val="clear" w:color="auto" w:fill="FFFFFF"/>
        </w:rPr>
        <w:t xml:space="preserve">. </w:t>
      </w:r>
      <w:r w:rsidR="00C56AFD">
        <w:rPr>
          <w:noProof/>
          <w:color w:val="000000"/>
          <w:shd w:val="clear" w:color="auto" w:fill="FFFFFF"/>
        </w:rPr>
        <w:t>W</w:t>
      </w:r>
      <w:r w:rsidR="00C56AFD">
        <w:rPr>
          <w:rStyle w:val="normaltextrun"/>
          <w:rFonts w:ascii="Calibri" w:hAnsi="Calibri" w:cs="Calibri"/>
          <w:noProof/>
          <w:color w:val="000000"/>
          <w:shd w:val="clear" w:color="auto" w:fill="FFFFFF"/>
        </w:rPr>
        <w:t> </w:t>
      </w:r>
      <w:r w:rsidR="00C56AFD">
        <w:rPr>
          <w:noProof/>
          <w:color w:val="000000"/>
          <w:shd w:val="clear" w:color="auto" w:fill="FFFFFF"/>
        </w:rPr>
        <w:t>prz</w:t>
      </w:r>
      <w:r>
        <w:rPr>
          <w:noProof/>
          <w:color w:val="000000"/>
          <w:shd w:val="clear" w:color="auto" w:fill="FFFFFF"/>
        </w:rPr>
        <w:t xml:space="preserve">ypadku </w:t>
      </w:r>
      <w:r>
        <w:rPr>
          <w:rStyle w:val="Strong"/>
          <w:b w:val="0"/>
          <w:noProof/>
        </w:rPr>
        <w:t>InvestEU</w:t>
      </w:r>
      <w:r>
        <w:rPr>
          <w:rStyle w:val="normaltextrun"/>
          <w:rFonts w:asciiTheme="majorHAnsi" w:hAnsiTheme="majorHAnsi"/>
          <w:noProof/>
          <w:color w:val="000000"/>
          <w:shd w:val="clear" w:color="auto" w:fill="FFFFFF"/>
        </w:rPr>
        <w:t xml:space="preserve"> prognoza odzwierciedla przewidywany harmonogram tworzenia rezerw na potrzeby gwarancji budżetowej, wydatki na centrum doradztwa oraz wydatki związane</w:t>
      </w:r>
      <w:r w:rsidR="00C56AFD">
        <w:rPr>
          <w:rStyle w:val="normaltextrun"/>
          <w:rFonts w:asciiTheme="majorHAnsi" w:hAnsiTheme="majorHAnsi"/>
          <w:noProof/>
          <w:color w:val="000000"/>
          <w:shd w:val="clear" w:color="auto" w:fill="FFFFFF"/>
        </w:rPr>
        <w:t xml:space="preserve"> z</w:t>
      </w:r>
      <w:r w:rsidR="00C56AFD">
        <w:rPr>
          <w:rStyle w:val="normaltextrun"/>
          <w:rFonts w:ascii="Calibri" w:hAnsi="Calibri" w:cs="Calibri"/>
          <w:noProof/>
          <w:color w:val="000000"/>
          <w:shd w:val="clear" w:color="auto" w:fill="FFFFFF"/>
        </w:rPr>
        <w:t> </w:t>
      </w:r>
      <w:r w:rsidR="00C56AFD">
        <w:rPr>
          <w:rStyle w:val="normaltextrun"/>
          <w:rFonts w:asciiTheme="majorHAnsi" w:hAnsiTheme="majorHAnsi"/>
          <w:noProof/>
          <w:color w:val="000000"/>
          <w:shd w:val="clear" w:color="auto" w:fill="FFFFFF"/>
        </w:rPr>
        <w:t>udz</w:t>
      </w:r>
      <w:r>
        <w:rPr>
          <w:rStyle w:val="normaltextrun"/>
          <w:rFonts w:asciiTheme="majorHAnsi" w:hAnsiTheme="majorHAnsi"/>
          <w:noProof/>
          <w:color w:val="000000"/>
          <w:shd w:val="clear" w:color="auto" w:fill="FFFFFF"/>
        </w:rPr>
        <w:t>ielaniem wsparcia.</w:t>
      </w:r>
    </w:p>
    <w:p w14:paraId="78FBDB87" w14:textId="21A19235" w:rsidR="00861C1C" w:rsidRPr="00390EB1" w:rsidRDefault="003B6DC2">
      <w:pPr>
        <w:pStyle w:val="amprH3Title2-Numbered-11"/>
        <w:rPr>
          <w:noProof/>
        </w:rPr>
      </w:pPr>
      <w:bookmarkStart w:id="69" w:name="_Toc524523064"/>
      <w:bookmarkEnd w:id="67"/>
      <w:r>
        <w:rPr>
          <w:noProof/>
        </w:rPr>
        <w:tab/>
      </w:r>
      <w:bookmarkStart w:id="70" w:name="_Toc170319522"/>
      <w:r>
        <w:rPr>
          <w:noProof/>
        </w:rPr>
        <w:t>Ewolucja poziomu zobowiązań pozostających do spłaty</w:t>
      </w:r>
      <w:bookmarkEnd w:id="69"/>
      <w:bookmarkEnd w:id="70"/>
    </w:p>
    <w:p w14:paraId="4E129A68" w14:textId="69E5D550" w:rsidR="00861C1C" w:rsidRPr="00390EB1" w:rsidRDefault="6375D7F3" w:rsidP="4F4E128F">
      <w:pPr>
        <w:spacing w:after="120" w:line="276" w:lineRule="auto"/>
        <w:jc w:val="both"/>
        <w:rPr>
          <w:noProof/>
        </w:rPr>
      </w:pPr>
      <w:r>
        <w:rPr>
          <w:noProof/>
        </w:rPr>
        <w:t>Oczekuje się, że łączna kwota RAL z WRF na lata 2021–2027</w:t>
      </w:r>
      <w:r w:rsidR="00C56AFD">
        <w:rPr>
          <w:noProof/>
        </w:rPr>
        <w:t xml:space="preserve"> i</w:t>
      </w:r>
      <w:r w:rsidR="00C56AFD">
        <w:rPr>
          <w:rFonts w:ascii="Calibri" w:hAnsi="Calibri" w:cs="Calibri"/>
          <w:noProof/>
        </w:rPr>
        <w:t> </w:t>
      </w:r>
      <w:r w:rsidR="00C56AFD">
        <w:rPr>
          <w:noProof/>
        </w:rPr>
        <w:t>pop</w:t>
      </w:r>
      <w:r>
        <w:rPr>
          <w:noProof/>
        </w:rPr>
        <w:t>rzednich WRF będzie stopniowo maleć</w:t>
      </w:r>
      <w:r w:rsidR="00C56AFD">
        <w:rPr>
          <w:noProof/>
        </w:rPr>
        <w:t xml:space="preserve"> w</w:t>
      </w:r>
      <w:r w:rsidR="00C56AFD">
        <w:rPr>
          <w:rFonts w:ascii="Calibri" w:hAnsi="Calibri" w:cs="Calibri"/>
          <w:noProof/>
        </w:rPr>
        <w:t> </w:t>
      </w:r>
      <w:r w:rsidR="00C56AFD">
        <w:rPr>
          <w:noProof/>
        </w:rPr>
        <w:t>lat</w:t>
      </w:r>
      <w:r>
        <w:rPr>
          <w:noProof/>
        </w:rPr>
        <w:t>ach 2025–2027,</w:t>
      </w:r>
      <w:r w:rsidR="00C56AFD">
        <w:rPr>
          <w:noProof/>
        </w:rPr>
        <w:t xml:space="preserve"> z</w:t>
      </w:r>
      <w:r w:rsidR="00C56AFD">
        <w:rPr>
          <w:rFonts w:ascii="Calibri" w:hAnsi="Calibri" w:cs="Calibri"/>
          <w:noProof/>
        </w:rPr>
        <w:t> </w:t>
      </w:r>
      <w:r w:rsidR="00C56AFD">
        <w:rPr>
          <w:noProof/>
        </w:rPr>
        <w:t>4</w:t>
      </w:r>
      <w:r>
        <w:rPr>
          <w:noProof/>
        </w:rPr>
        <w:t xml:space="preserve">74 mld EUR </w:t>
      </w:r>
      <w:r w:rsidRPr="00C56AFD">
        <w:rPr>
          <w:noProof/>
        </w:rPr>
        <w:t>do</w:t>
      </w:r>
      <w:r w:rsidR="00C56AFD" w:rsidRPr="00C56AFD">
        <w:rPr>
          <w:rFonts w:ascii="Calibri" w:hAnsi="Calibri" w:cs="Calibri"/>
          <w:noProof/>
        </w:rPr>
        <w:t> </w:t>
      </w:r>
      <w:r w:rsidRPr="00C56AFD">
        <w:rPr>
          <w:noProof/>
        </w:rPr>
        <w:t>3</w:t>
      </w:r>
      <w:r>
        <w:rPr>
          <w:noProof/>
        </w:rPr>
        <w:t>65 mld EUR</w:t>
      </w:r>
      <w:r w:rsidR="00C56AFD">
        <w:rPr>
          <w:noProof/>
        </w:rPr>
        <w:t>. W</w:t>
      </w:r>
      <w:r w:rsidR="00C56AFD">
        <w:rPr>
          <w:rFonts w:ascii="Calibri" w:hAnsi="Calibri" w:cs="Calibri"/>
          <w:noProof/>
        </w:rPr>
        <w:t> </w:t>
      </w:r>
      <w:r w:rsidR="00C56AFD">
        <w:rPr>
          <w:noProof/>
        </w:rPr>
        <w:t>por</w:t>
      </w:r>
      <w:r>
        <w:rPr>
          <w:noProof/>
        </w:rPr>
        <w:t>ównaniu</w:t>
      </w:r>
      <w:r w:rsidR="00C56AFD">
        <w:rPr>
          <w:noProof/>
        </w:rPr>
        <w:t xml:space="preserve"> z</w:t>
      </w:r>
      <w:r w:rsidR="00C56AFD">
        <w:rPr>
          <w:rFonts w:ascii="Calibri" w:hAnsi="Calibri" w:cs="Calibri"/>
          <w:noProof/>
        </w:rPr>
        <w:t> </w:t>
      </w:r>
      <w:r w:rsidR="00C56AFD">
        <w:rPr>
          <w:noProof/>
        </w:rPr>
        <w:t>ubi</w:t>
      </w:r>
      <w:r>
        <w:rPr>
          <w:noProof/>
        </w:rPr>
        <w:t>egłoroczną prognozą (322 mld EUR) oznacza to wzrost</w:t>
      </w:r>
      <w:r w:rsidR="00C56AFD">
        <w:rPr>
          <w:noProof/>
        </w:rPr>
        <w:t xml:space="preserve"> o</w:t>
      </w:r>
      <w:r w:rsidR="00C56AFD">
        <w:rPr>
          <w:rFonts w:ascii="Calibri" w:hAnsi="Calibri" w:cs="Calibri"/>
          <w:noProof/>
        </w:rPr>
        <w:t> </w:t>
      </w:r>
      <w:r w:rsidR="00C56AFD">
        <w:rPr>
          <w:noProof/>
        </w:rPr>
        <w:t>4</w:t>
      </w:r>
      <w:r>
        <w:rPr>
          <w:noProof/>
        </w:rPr>
        <w:t>3 mld EUR</w:t>
      </w:r>
      <w:r w:rsidR="00C56AFD">
        <w:rPr>
          <w:noProof/>
        </w:rPr>
        <w:t>. W</w:t>
      </w:r>
      <w:r w:rsidR="00C56AFD">
        <w:rPr>
          <w:rFonts w:ascii="Calibri" w:hAnsi="Calibri" w:cs="Calibri"/>
          <w:noProof/>
        </w:rPr>
        <w:t> </w:t>
      </w:r>
      <w:r w:rsidR="00C56AFD">
        <w:rPr>
          <w:noProof/>
        </w:rPr>
        <w:t>tym</w:t>
      </w:r>
      <w:r>
        <w:rPr>
          <w:noProof/>
        </w:rPr>
        <w:t xml:space="preserve"> roku zobowiązania pozostające do spłaty obejmują również Instrument na rzecz Ukrainy. Przy dużym udziale polityki spójności jej realizacja zgodnie</w:t>
      </w:r>
      <w:r w:rsidR="00C56AFD">
        <w:rPr>
          <w:noProof/>
        </w:rPr>
        <w:t xml:space="preserve"> z</w:t>
      </w:r>
      <w:r w:rsidR="00C56AFD">
        <w:rPr>
          <w:rFonts w:ascii="Calibri" w:hAnsi="Calibri" w:cs="Calibri"/>
          <w:noProof/>
        </w:rPr>
        <w:t> </w:t>
      </w:r>
      <w:r w:rsidR="00C56AFD">
        <w:rPr>
          <w:noProof/>
        </w:rPr>
        <w:t>zas</w:t>
      </w:r>
      <w:r>
        <w:rPr>
          <w:noProof/>
        </w:rPr>
        <w:t>adą umorzenia „N+3” będzie determinować ogólne zmiany stanu zobowiązań pozostających do spłaty,</w:t>
      </w:r>
      <w:r w:rsidR="00C56AFD">
        <w:rPr>
          <w:noProof/>
        </w:rPr>
        <w:t xml:space="preserve"> z</w:t>
      </w:r>
      <w:r w:rsidR="00C56AFD">
        <w:rPr>
          <w:rFonts w:ascii="Calibri" w:hAnsi="Calibri" w:cs="Calibri"/>
          <w:noProof/>
        </w:rPr>
        <w:t> </w:t>
      </w:r>
      <w:r w:rsidR="00C56AFD">
        <w:rPr>
          <w:noProof/>
        </w:rPr>
        <w:t>kon</w:t>
      </w:r>
      <w:r>
        <w:rPr>
          <w:noProof/>
        </w:rPr>
        <w:t xml:space="preserve">centracją płatności na etapie końcowym WRF i po ich zakończeniu (zob. </w:t>
      </w:r>
      <w:r w:rsidRPr="00C56AFD">
        <w:rPr>
          <w:noProof/>
        </w:rPr>
        <w:t>pkt</w:t>
      </w:r>
      <w:r w:rsidR="00C56AFD" w:rsidRPr="00C56AFD">
        <w:rPr>
          <w:rFonts w:ascii="Calibri" w:hAnsi="Calibri" w:cs="Calibri"/>
          <w:noProof/>
        </w:rPr>
        <w:t> </w:t>
      </w:r>
      <w:r w:rsidRPr="00C56AFD">
        <w:rPr>
          <w:noProof/>
        </w:rPr>
        <w:t>2</w:t>
      </w:r>
      <w:r>
        <w:rPr>
          <w:noProof/>
        </w:rPr>
        <w:t>.1). Jeżeli chodzi</w:t>
      </w:r>
      <w:r w:rsidR="00C56AFD">
        <w:rPr>
          <w:noProof/>
        </w:rPr>
        <w:t xml:space="preserve"> o</w:t>
      </w:r>
      <w:r w:rsidR="00C56AFD">
        <w:rPr>
          <w:rFonts w:ascii="Calibri" w:hAnsi="Calibri" w:cs="Calibri"/>
          <w:noProof/>
        </w:rPr>
        <w:t> </w:t>
      </w:r>
      <w:r w:rsidR="00C56AFD">
        <w:rPr>
          <w:noProof/>
        </w:rPr>
        <w:t>Nex</w:t>
      </w:r>
      <w:r>
        <w:rPr>
          <w:noProof/>
        </w:rPr>
        <w:t>tGenerationEU, RAL będą stopniowo rozliczane do końca 20</w:t>
      </w:r>
      <w:r w:rsidRPr="00C56AFD">
        <w:rPr>
          <w:noProof/>
        </w:rPr>
        <w:t>26</w:t>
      </w:r>
      <w:r w:rsidR="00C56AFD" w:rsidRPr="00C56AFD">
        <w:rPr>
          <w:rFonts w:ascii="Calibri" w:hAnsi="Calibri" w:cs="Calibri"/>
          <w:noProof/>
        </w:rPr>
        <w:t> </w:t>
      </w:r>
      <w:r w:rsidRPr="00C56AFD">
        <w:rPr>
          <w:noProof/>
        </w:rPr>
        <w:t>r.</w:t>
      </w:r>
      <w:r>
        <w:rPr>
          <w:noProof/>
        </w:rPr>
        <w:t>, kiedy to wszystkie płatności będą musiały zostać zakończone,</w:t>
      </w:r>
      <w:r w:rsidR="00C56AFD">
        <w:rPr>
          <w:noProof/>
        </w:rPr>
        <w:t xml:space="preserve"> z</w:t>
      </w:r>
      <w:r w:rsidR="00C56AFD">
        <w:rPr>
          <w:rFonts w:ascii="Calibri" w:hAnsi="Calibri" w:cs="Calibri"/>
          <w:noProof/>
        </w:rPr>
        <w:t> </w:t>
      </w:r>
      <w:r w:rsidR="00C56AFD">
        <w:rPr>
          <w:noProof/>
        </w:rPr>
        <w:t>wyj</w:t>
      </w:r>
      <w:r>
        <w:rPr>
          <w:noProof/>
        </w:rPr>
        <w:t>ątkiem bardzo małych kwot powiązanych</w:t>
      </w:r>
      <w:r w:rsidR="00C56AFD">
        <w:rPr>
          <w:noProof/>
        </w:rPr>
        <w:t xml:space="preserve"> z</w:t>
      </w:r>
      <w:r w:rsidR="00C56AFD">
        <w:rPr>
          <w:rFonts w:ascii="Calibri" w:hAnsi="Calibri" w:cs="Calibri"/>
          <w:noProof/>
        </w:rPr>
        <w:t> </w:t>
      </w:r>
      <w:r w:rsidR="00C56AFD">
        <w:rPr>
          <w:noProof/>
        </w:rPr>
        <w:t>wyd</w:t>
      </w:r>
      <w:r>
        <w:rPr>
          <w:noProof/>
        </w:rPr>
        <w:t>atkami administracyjnymi.</w:t>
      </w:r>
    </w:p>
    <w:p w14:paraId="47F666B2" w14:textId="4ED1B725" w:rsidR="00211E6F" w:rsidRDefault="618AA924" w:rsidP="62C6627F">
      <w:pPr>
        <w:spacing w:after="120" w:line="276" w:lineRule="auto"/>
        <w:jc w:val="both"/>
        <w:rPr>
          <w:noProof/>
        </w:rPr>
      </w:pPr>
      <w:r>
        <w:rPr>
          <w:noProof/>
        </w:rPr>
        <w:t>Prognoza dotycząca zmian RAL wynikających z WRF na lata 2021–2027</w:t>
      </w:r>
      <w:r w:rsidR="00C56AFD">
        <w:rPr>
          <w:noProof/>
        </w:rPr>
        <w:t xml:space="preserve"> i</w:t>
      </w:r>
      <w:r w:rsidR="00C56AFD">
        <w:rPr>
          <w:rFonts w:ascii="Calibri" w:hAnsi="Calibri" w:cs="Calibri"/>
          <w:noProof/>
        </w:rPr>
        <w:t> </w:t>
      </w:r>
      <w:r w:rsidR="00C56AFD">
        <w:rPr>
          <w:noProof/>
        </w:rPr>
        <w:t>pop</w:t>
      </w:r>
      <w:r>
        <w:rPr>
          <w:noProof/>
        </w:rPr>
        <w:t>rzednich WRF (z wyłączeniem NextGenerationEU) jako udziału w DNB UE-27 spadłaby</w:t>
      </w:r>
      <w:r w:rsidR="00C56AFD">
        <w:rPr>
          <w:noProof/>
        </w:rPr>
        <w:t xml:space="preserve"> z</w:t>
      </w:r>
      <w:r w:rsidR="00C56AFD">
        <w:rPr>
          <w:rFonts w:ascii="Calibri" w:hAnsi="Calibri" w:cs="Calibri"/>
          <w:noProof/>
        </w:rPr>
        <w:t> </w:t>
      </w:r>
      <w:r w:rsidR="00C56AFD">
        <w:rPr>
          <w:noProof/>
        </w:rPr>
        <w:t>2</w:t>
      </w:r>
      <w:r>
        <w:rPr>
          <w:noProof/>
        </w:rPr>
        <w:t>,</w:t>
      </w:r>
      <w:r w:rsidRPr="00C56AFD">
        <w:rPr>
          <w:noProof/>
        </w:rPr>
        <w:t>4</w:t>
      </w:r>
      <w:r w:rsidR="00C56AFD" w:rsidRPr="00C56AFD">
        <w:rPr>
          <w:rFonts w:ascii="Calibri" w:hAnsi="Calibri" w:cs="Calibri"/>
          <w:noProof/>
        </w:rPr>
        <w:t> </w:t>
      </w:r>
      <w:r w:rsidRPr="00C56AFD">
        <w:rPr>
          <w:noProof/>
        </w:rPr>
        <w:t>%</w:t>
      </w:r>
      <w:r>
        <w:rPr>
          <w:noProof/>
        </w:rPr>
        <w:t xml:space="preserve"> </w:t>
      </w:r>
      <w:r w:rsidRPr="00C56AFD">
        <w:rPr>
          <w:noProof/>
        </w:rPr>
        <w:t>do</w:t>
      </w:r>
      <w:r w:rsidR="00C56AFD" w:rsidRPr="00C56AFD">
        <w:rPr>
          <w:rFonts w:ascii="Calibri" w:hAnsi="Calibri" w:cs="Calibri"/>
          <w:noProof/>
        </w:rPr>
        <w:t> </w:t>
      </w:r>
      <w:r w:rsidRPr="00C56AFD">
        <w:rPr>
          <w:noProof/>
        </w:rPr>
        <w:t>1</w:t>
      </w:r>
      <w:r>
        <w:rPr>
          <w:noProof/>
        </w:rPr>
        <w:t>,8</w:t>
      </w:r>
      <w:r w:rsidRPr="00C56AFD">
        <w:rPr>
          <w:noProof/>
        </w:rPr>
        <w:t>5</w:t>
      </w:r>
      <w:r w:rsidR="00C56AFD" w:rsidRPr="00C56AFD">
        <w:rPr>
          <w:rFonts w:ascii="Calibri" w:hAnsi="Calibri" w:cs="Calibri"/>
          <w:noProof/>
        </w:rPr>
        <w:t> </w:t>
      </w:r>
      <w:r w:rsidRPr="00C56AFD">
        <w:rPr>
          <w:noProof/>
        </w:rPr>
        <w:t>%</w:t>
      </w:r>
      <w:r w:rsidR="00C56AFD">
        <w:rPr>
          <w:noProof/>
        </w:rPr>
        <w:t xml:space="preserve"> w</w:t>
      </w:r>
      <w:r w:rsidR="00C56AFD">
        <w:rPr>
          <w:rFonts w:ascii="Calibri" w:hAnsi="Calibri" w:cs="Calibri"/>
          <w:noProof/>
        </w:rPr>
        <w:t> </w:t>
      </w:r>
      <w:r w:rsidR="00C56AFD">
        <w:rPr>
          <w:noProof/>
        </w:rPr>
        <w:t>2</w:t>
      </w:r>
      <w:r>
        <w:rPr>
          <w:noProof/>
        </w:rPr>
        <w:t>0</w:t>
      </w:r>
      <w:r w:rsidRPr="00C56AFD">
        <w:rPr>
          <w:noProof/>
        </w:rPr>
        <w:t>27</w:t>
      </w:r>
      <w:r w:rsidR="00C56AFD" w:rsidRPr="00C56AFD">
        <w:rPr>
          <w:rFonts w:ascii="Calibri" w:hAnsi="Calibri" w:cs="Calibri"/>
          <w:noProof/>
        </w:rPr>
        <w:t> </w:t>
      </w:r>
      <w:r w:rsidRPr="00C56AFD">
        <w:rPr>
          <w:noProof/>
        </w:rPr>
        <w:t>r.</w:t>
      </w:r>
      <w:r>
        <w:rPr>
          <w:noProof/>
        </w:rPr>
        <w:t>, co tłumaczy się wzrostem RAL, który jest kompensowany wzrostem DNB UE-27. RAL odzwierciedlają dotychczasowy stan wykonania budżetu,</w:t>
      </w:r>
      <w:r w:rsidR="00C56AFD">
        <w:rPr>
          <w:noProof/>
        </w:rPr>
        <w:t xml:space="preserve"> w</w:t>
      </w:r>
      <w:r w:rsidR="00C56AFD">
        <w:rPr>
          <w:rFonts w:ascii="Calibri" w:hAnsi="Calibri" w:cs="Calibri"/>
          <w:noProof/>
        </w:rPr>
        <w:t> </w:t>
      </w:r>
      <w:r w:rsidR="00C56AFD">
        <w:rPr>
          <w:noProof/>
        </w:rPr>
        <w:t>tym</w:t>
      </w:r>
      <w:r>
        <w:rPr>
          <w:noProof/>
        </w:rPr>
        <w:t xml:space="preserve"> opóźnienia</w:t>
      </w:r>
      <w:r w:rsidR="00C56AFD">
        <w:rPr>
          <w:noProof/>
        </w:rPr>
        <w:t xml:space="preserve"> w</w:t>
      </w:r>
      <w:r w:rsidR="00C56AFD">
        <w:rPr>
          <w:rFonts w:ascii="Calibri" w:hAnsi="Calibri" w:cs="Calibri"/>
          <w:noProof/>
        </w:rPr>
        <w:t> </w:t>
      </w:r>
      <w:r w:rsidR="00C56AFD">
        <w:rPr>
          <w:noProof/>
        </w:rPr>
        <w:t>pol</w:t>
      </w:r>
      <w:r>
        <w:rPr>
          <w:noProof/>
        </w:rPr>
        <w:t>ityce spójności</w:t>
      </w:r>
      <w:r w:rsidR="00C56AFD">
        <w:rPr>
          <w:noProof/>
        </w:rPr>
        <w:t xml:space="preserve"> i</w:t>
      </w:r>
      <w:r w:rsidR="00C56AFD">
        <w:rPr>
          <w:rFonts w:ascii="Calibri" w:hAnsi="Calibri" w:cs="Calibri"/>
          <w:noProof/>
        </w:rPr>
        <w:t> </w:t>
      </w:r>
      <w:r w:rsidR="00C56AFD">
        <w:rPr>
          <w:noProof/>
        </w:rPr>
        <w:t>rol</w:t>
      </w:r>
      <w:r>
        <w:rPr>
          <w:noProof/>
        </w:rPr>
        <w:t>nictwie, które zgodnie</w:t>
      </w:r>
      <w:r w:rsidR="00C56AFD">
        <w:rPr>
          <w:noProof/>
        </w:rPr>
        <w:t xml:space="preserve"> z</w:t>
      </w:r>
      <w:r w:rsidR="00C56AFD">
        <w:rPr>
          <w:rFonts w:ascii="Calibri" w:hAnsi="Calibri" w:cs="Calibri"/>
          <w:noProof/>
        </w:rPr>
        <w:t> </w:t>
      </w:r>
      <w:r w:rsidR="00C56AFD">
        <w:rPr>
          <w:noProof/>
        </w:rPr>
        <w:t>sza</w:t>
      </w:r>
      <w:r>
        <w:rPr>
          <w:noProof/>
        </w:rPr>
        <w:t>cunkami będą utrzymywać się do końca okresu programowania.</w:t>
      </w:r>
    </w:p>
    <w:p w14:paraId="28691202" w14:textId="26F81C2F" w:rsidR="00861C1C" w:rsidRPr="00390EB1" w:rsidRDefault="07C2ABA8" w:rsidP="62C6627F">
      <w:pPr>
        <w:spacing w:after="120" w:line="276" w:lineRule="auto"/>
        <w:jc w:val="both"/>
        <w:rPr>
          <w:noProof/>
        </w:rPr>
      </w:pPr>
      <w:r>
        <w:rPr>
          <w:noProof/>
        </w:rPr>
        <w:t xml:space="preserve">Nie bierze się pod uwagę prognoz dotyczących WRF na okres </w:t>
      </w:r>
      <w:r w:rsidRPr="00C56AFD">
        <w:rPr>
          <w:noProof/>
        </w:rPr>
        <w:t>po</w:t>
      </w:r>
      <w:r w:rsidR="00C56AFD" w:rsidRPr="00C56AFD">
        <w:rPr>
          <w:rFonts w:ascii="Calibri" w:hAnsi="Calibri" w:cs="Calibri"/>
          <w:noProof/>
        </w:rPr>
        <w:t> </w:t>
      </w:r>
      <w:r w:rsidRPr="00C56AFD">
        <w:rPr>
          <w:noProof/>
        </w:rPr>
        <w:t>2</w:t>
      </w:r>
      <w:r>
        <w:rPr>
          <w:noProof/>
        </w:rPr>
        <w:t>0</w:t>
      </w:r>
      <w:r w:rsidRPr="00C56AFD">
        <w:rPr>
          <w:noProof/>
        </w:rPr>
        <w:t>27</w:t>
      </w:r>
      <w:r w:rsidR="00C56AFD" w:rsidRPr="00C56AFD">
        <w:rPr>
          <w:rFonts w:ascii="Calibri" w:hAnsi="Calibri" w:cs="Calibri"/>
          <w:noProof/>
        </w:rPr>
        <w:t> </w:t>
      </w:r>
      <w:r w:rsidRPr="00C56AFD">
        <w:rPr>
          <w:noProof/>
        </w:rPr>
        <w:t>r.</w:t>
      </w:r>
      <w:r>
        <w:rPr>
          <w:noProof/>
        </w:rPr>
        <w:t xml:space="preserve"> Ponieważ WRF na lata 2021–2027 zakończą się</w:t>
      </w:r>
      <w:r w:rsidR="00C56AFD">
        <w:rPr>
          <w:noProof/>
        </w:rPr>
        <w:t xml:space="preserve"> w</w:t>
      </w:r>
      <w:r w:rsidR="00C56AFD">
        <w:rPr>
          <w:rFonts w:ascii="Calibri" w:hAnsi="Calibri" w:cs="Calibri"/>
          <w:noProof/>
        </w:rPr>
        <w:t> </w:t>
      </w:r>
      <w:r w:rsidR="00C56AFD">
        <w:rPr>
          <w:noProof/>
        </w:rPr>
        <w:t>2</w:t>
      </w:r>
      <w:r>
        <w:rPr>
          <w:noProof/>
        </w:rPr>
        <w:t>0</w:t>
      </w:r>
      <w:r w:rsidRPr="00C56AFD">
        <w:rPr>
          <w:noProof/>
        </w:rPr>
        <w:t>27</w:t>
      </w:r>
      <w:r w:rsidR="00C56AFD" w:rsidRPr="00C56AFD">
        <w:rPr>
          <w:rFonts w:ascii="Calibri" w:hAnsi="Calibri" w:cs="Calibri"/>
          <w:noProof/>
        </w:rPr>
        <w:t> </w:t>
      </w:r>
      <w:r w:rsidRPr="00C56AFD">
        <w:rPr>
          <w:noProof/>
        </w:rPr>
        <w:t>r.</w:t>
      </w:r>
      <w:r>
        <w:rPr>
          <w:noProof/>
        </w:rPr>
        <w:t>, dane prognozowane na lata 2028–2029 odnoszą się wyłącznie do zobowiązań podjętych</w:t>
      </w:r>
      <w:r w:rsidR="00C56AFD">
        <w:rPr>
          <w:noProof/>
        </w:rPr>
        <w:t xml:space="preserve"> w</w:t>
      </w:r>
      <w:r w:rsidR="00C56AFD">
        <w:rPr>
          <w:rFonts w:ascii="Calibri" w:hAnsi="Calibri" w:cs="Calibri"/>
          <w:noProof/>
        </w:rPr>
        <w:t> </w:t>
      </w:r>
      <w:r w:rsidR="00C56AFD">
        <w:rPr>
          <w:noProof/>
        </w:rPr>
        <w:t>lat</w:t>
      </w:r>
      <w:r>
        <w:rPr>
          <w:noProof/>
        </w:rPr>
        <w:t>ach 2021–2027. Kolejne WRF miałyby wpływ na wskaźnik absorpcji RAL</w:t>
      </w:r>
      <w:r w:rsidR="00C56AFD">
        <w:rPr>
          <w:noProof/>
        </w:rPr>
        <w:t>. W</w:t>
      </w:r>
      <w:r w:rsidR="00C56AFD">
        <w:rPr>
          <w:rFonts w:ascii="Calibri" w:hAnsi="Calibri" w:cs="Calibri"/>
          <w:noProof/>
        </w:rPr>
        <w:t> </w:t>
      </w:r>
      <w:r w:rsidR="00C56AFD">
        <w:rPr>
          <w:noProof/>
        </w:rPr>
        <w:t>zwi</w:t>
      </w:r>
      <w:r>
        <w:rPr>
          <w:noProof/>
        </w:rPr>
        <w:t>ązku</w:t>
      </w:r>
      <w:r w:rsidR="00C56AFD">
        <w:rPr>
          <w:noProof/>
        </w:rPr>
        <w:t xml:space="preserve"> z</w:t>
      </w:r>
      <w:r w:rsidR="00C56AFD">
        <w:rPr>
          <w:rFonts w:ascii="Calibri" w:hAnsi="Calibri" w:cs="Calibri"/>
          <w:noProof/>
        </w:rPr>
        <w:t> </w:t>
      </w:r>
      <w:r w:rsidR="00C56AFD">
        <w:rPr>
          <w:noProof/>
        </w:rPr>
        <w:t>tym</w:t>
      </w:r>
      <w:r>
        <w:rPr>
          <w:noProof/>
        </w:rPr>
        <w:t xml:space="preserve"> prognoza dotycząca RAL jest sporządzana wyłącznie do końca 20</w:t>
      </w:r>
      <w:r w:rsidRPr="00C56AFD">
        <w:rPr>
          <w:noProof/>
        </w:rPr>
        <w:t>27</w:t>
      </w:r>
      <w:r w:rsidR="00C56AFD" w:rsidRPr="00C56AFD">
        <w:rPr>
          <w:rFonts w:ascii="Calibri" w:hAnsi="Calibri" w:cs="Calibri"/>
          <w:noProof/>
        </w:rPr>
        <w:t> </w:t>
      </w:r>
      <w:r w:rsidRPr="00C56AFD">
        <w:rPr>
          <w:noProof/>
        </w:rPr>
        <w:t>r.</w:t>
      </w:r>
    </w:p>
    <w:p w14:paraId="46EEBD7F" w14:textId="0BD7FF86" w:rsidR="00861C1C" w:rsidRDefault="2A67BF04">
      <w:pPr>
        <w:spacing w:after="120" w:line="276" w:lineRule="auto"/>
        <w:jc w:val="both"/>
        <w:rPr>
          <w:rStyle w:val="amprcharCharttitle"/>
          <w:noProof/>
        </w:rPr>
      </w:pPr>
      <w:r>
        <w:rPr>
          <w:rStyle w:val="amprcharCharttitle"/>
          <w:noProof/>
        </w:rPr>
        <w:t>Wykres 3 – Ewolucja poziomu zobowiązań pozostających do spłaty</w:t>
      </w:r>
      <w:r w:rsidR="00C56AFD">
        <w:rPr>
          <w:rStyle w:val="amprcharCharttitle"/>
          <w:noProof/>
        </w:rPr>
        <w:t xml:space="preserve"> w</w:t>
      </w:r>
      <w:r w:rsidR="00C56AFD">
        <w:rPr>
          <w:rStyle w:val="amprcharCharttitle"/>
          <w:rFonts w:ascii="Calibri" w:hAnsi="Calibri" w:cs="Calibri"/>
          <w:noProof/>
        </w:rPr>
        <w:t> </w:t>
      </w:r>
      <w:r w:rsidR="00C56AFD">
        <w:rPr>
          <w:rStyle w:val="amprcharCharttitle"/>
          <w:noProof/>
        </w:rPr>
        <w:t>lat</w:t>
      </w:r>
      <w:r>
        <w:rPr>
          <w:rStyle w:val="amprcharCharttitle"/>
          <w:noProof/>
        </w:rPr>
        <w:t>ach 2025–2027, mierzona jako procent dochodu narodowego brutto Unii Europejskiej</w:t>
      </w:r>
    </w:p>
    <w:p w14:paraId="71B526C0" w14:textId="0EFDBABE" w:rsidR="000F3138" w:rsidRDefault="000F3138" w:rsidP="008E678B">
      <w:pPr>
        <w:spacing w:after="120" w:line="276" w:lineRule="auto"/>
        <w:jc w:val="center"/>
        <w:rPr>
          <w:rStyle w:val="amprcharCharttitle"/>
          <w:noProof/>
        </w:rPr>
      </w:pPr>
      <w:r w:rsidRPr="000F3138">
        <w:rPr>
          <w:rStyle w:val="amprcharCharttitle"/>
          <w:noProof/>
          <w:lang w:val="en-GB" w:eastAsia="en-GB"/>
        </w:rPr>
        <w:drawing>
          <wp:inline distT="0" distB="0" distL="0" distR="0" wp14:anchorId="36F1D6DA" wp14:editId="794FAC5D">
            <wp:extent cx="4242015" cy="2894965"/>
            <wp:effectExtent l="0" t="0" r="635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265161" cy="2910761"/>
                    </a:xfrm>
                    <a:prstGeom prst="rect">
                      <a:avLst/>
                    </a:prstGeom>
                  </pic:spPr>
                </pic:pic>
              </a:graphicData>
            </a:graphic>
          </wp:inline>
        </w:drawing>
      </w:r>
    </w:p>
    <w:p w14:paraId="09245D91" w14:textId="77777777" w:rsidR="000F3138" w:rsidRDefault="000F3138">
      <w:pPr>
        <w:spacing w:after="120" w:line="276" w:lineRule="auto"/>
        <w:jc w:val="both"/>
        <w:rPr>
          <w:rStyle w:val="amprcharCharttitle"/>
          <w:noProof/>
        </w:rPr>
      </w:pPr>
    </w:p>
    <w:p w14:paraId="7BB4499F" w14:textId="77777777" w:rsidR="000F3138" w:rsidRDefault="000F3138">
      <w:pPr>
        <w:spacing w:after="120" w:line="276" w:lineRule="auto"/>
        <w:jc w:val="both"/>
        <w:rPr>
          <w:rStyle w:val="amprcharCharttitle"/>
          <w:noProof/>
        </w:rPr>
      </w:pPr>
    </w:p>
    <w:p w14:paraId="20202FDD" w14:textId="77777777" w:rsidR="000F3138" w:rsidRPr="008C2F97" w:rsidRDefault="000F3138">
      <w:pPr>
        <w:spacing w:after="120" w:line="276" w:lineRule="auto"/>
        <w:jc w:val="both"/>
        <w:rPr>
          <w:rStyle w:val="amprcharCharttitle"/>
          <w:noProof/>
        </w:rPr>
      </w:pPr>
    </w:p>
    <w:p w14:paraId="19C7EBC1" w14:textId="000B349A" w:rsidR="00861C1C" w:rsidRPr="00390EB1" w:rsidRDefault="00861C1C" w:rsidP="00EE7256">
      <w:pPr>
        <w:spacing w:after="120" w:line="276" w:lineRule="auto"/>
        <w:jc w:val="center"/>
        <w:rPr>
          <w:noProof/>
        </w:rPr>
      </w:pPr>
    </w:p>
    <w:p w14:paraId="25AC0004" w14:textId="68B3A063" w:rsidR="00861C1C" w:rsidRPr="00390EB1" w:rsidRDefault="6375D7F3">
      <w:pPr>
        <w:pStyle w:val="amprH2TITLE1-Numbered-1"/>
        <w:rPr>
          <w:noProof/>
        </w:rPr>
      </w:pPr>
      <w:bookmarkStart w:id="71" w:name="_Toc170319523"/>
      <w:r>
        <w:rPr>
          <w:noProof/>
        </w:rPr>
        <w:t xml:space="preserve">Prognoza wpływów do budżetu UE na lata </w:t>
      </w:r>
      <w:r>
        <w:rPr>
          <w:noProof/>
        </w:rPr>
        <w:br/>
        <w:t>2025–2029</w:t>
      </w:r>
      <w:bookmarkEnd w:id="71"/>
    </w:p>
    <w:p w14:paraId="52895612" w14:textId="4FB80FDA" w:rsidR="00861C1C" w:rsidRPr="00390EB1" w:rsidRDefault="55E43B5C" w:rsidP="0050317D">
      <w:pPr>
        <w:spacing w:before="180" w:after="120" w:line="276" w:lineRule="auto"/>
        <w:jc w:val="both"/>
        <w:rPr>
          <w:noProof/>
        </w:rPr>
      </w:pPr>
      <w:r>
        <w:rPr>
          <w:noProof/>
        </w:rPr>
        <w:t>Budżet UE jest finansowany</w:t>
      </w:r>
      <w:r w:rsidR="00C56AFD">
        <w:rPr>
          <w:noProof/>
        </w:rPr>
        <w:t xml:space="preserve"> z</w:t>
      </w:r>
      <w:r w:rsidR="00C56AFD">
        <w:rPr>
          <w:rFonts w:ascii="Calibri" w:hAnsi="Calibri" w:cs="Calibri"/>
          <w:noProof/>
        </w:rPr>
        <w:t> </w:t>
      </w:r>
      <w:r w:rsidR="00C56AFD">
        <w:rPr>
          <w:noProof/>
        </w:rPr>
        <w:t>zas</w:t>
      </w:r>
      <w:r>
        <w:rPr>
          <w:noProof/>
        </w:rPr>
        <w:t>obów własnych</w:t>
      </w:r>
      <w:r w:rsidR="00C56AFD">
        <w:rPr>
          <w:noProof/>
        </w:rPr>
        <w:t xml:space="preserve"> i</w:t>
      </w:r>
      <w:r w:rsidR="00C56AFD">
        <w:rPr>
          <w:rFonts w:ascii="Calibri" w:hAnsi="Calibri" w:cs="Calibri"/>
          <w:noProof/>
        </w:rPr>
        <w:t> </w:t>
      </w:r>
      <w:r w:rsidR="00C56AFD">
        <w:rPr>
          <w:noProof/>
        </w:rPr>
        <w:t>inn</w:t>
      </w:r>
      <w:r>
        <w:rPr>
          <w:noProof/>
        </w:rPr>
        <w:t>ych dochodów. Ponadto Unia jest uprawniona do zaciągania pożyczek na finansowanie NextGenerationEU, które są przekazywane do budżetu</w:t>
      </w:r>
      <w:r w:rsidR="00C56AFD">
        <w:rPr>
          <w:noProof/>
        </w:rPr>
        <w:t xml:space="preserve"> z</w:t>
      </w:r>
      <w:r w:rsidR="00C56AFD">
        <w:rPr>
          <w:rFonts w:ascii="Calibri" w:hAnsi="Calibri" w:cs="Calibri"/>
          <w:noProof/>
        </w:rPr>
        <w:t> </w:t>
      </w:r>
      <w:r w:rsidR="00C56AFD">
        <w:rPr>
          <w:noProof/>
        </w:rPr>
        <w:t>zew</w:t>
      </w:r>
      <w:r>
        <w:rPr>
          <w:noProof/>
        </w:rPr>
        <w:t>nętrznych dochodów przeznaczonych na określony cel. Komisja uruchamia środki</w:t>
      </w:r>
      <w:r w:rsidR="00C56AFD">
        <w:rPr>
          <w:noProof/>
        </w:rPr>
        <w:t xml:space="preserve"> w</w:t>
      </w:r>
      <w:r w:rsidR="00C56AFD">
        <w:rPr>
          <w:rFonts w:ascii="Calibri" w:hAnsi="Calibri" w:cs="Calibri"/>
          <w:noProof/>
        </w:rPr>
        <w:t> </w:t>
      </w:r>
      <w:r w:rsidR="00C56AFD">
        <w:rPr>
          <w:noProof/>
        </w:rPr>
        <w:t>dro</w:t>
      </w:r>
      <w:r>
        <w:rPr>
          <w:noProof/>
        </w:rPr>
        <w:t>dze operacji na międzynarodowych rynkach kapitałowych</w:t>
      </w:r>
      <w:r w:rsidR="00C56AFD">
        <w:rPr>
          <w:noProof/>
        </w:rPr>
        <w:t xml:space="preserve"> w</w:t>
      </w:r>
      <w:r w:rsidR="00C56AFD">
        <w:rPr>
          <w:rFonts w:ascii="Calibri" w:hAnsi="Calibri" w:cs="Calibri"/>
          <w:noProof/>
        </w:rPr>
        <w:t> </w:t>
      </w:r>
      <w:r w:rsidR="00C56AFD">
        <w:rPr>
          <w:noProof/>
        </w:rPr>
        <w:t>zal</w:t>
      </w:r>
      <w:r>
        <w:rPr>
          <w:noProof/>
        </w:rPr>
        <w:t>eżności od potrzeb finansowych programów wydatków</w:t>
      </w:r>
      <w:r w:rsidR="00C56AFD">
        <w:rPr>
          <w:noProof/>
        </w:rPr>
        <w:t xml:space="preserve"> w</w:t>
      </w:r>
      <w:r w:rsidR="00C56AFD">
        <w:rPr>
          <w:rFonts w:ascii="Calibri" w:hAnsi="Calibri" w:cs="Calibri"/>
          <w:noProof/>
        </w:rPr>
        <w:t> </w:t>
      </w:r>
      <w:r w:rsidR="00C56AFD">
        <w:rPr>
          <w:noProof/>
        </w:rPr>
        <w:t>ram</w:t>
      </w:r>
      <w:r>
        <w:rPr>
          <w:noProof/>
        </w:rPr>
        <w:t xml:space="preserve">ach NextGenerationEU (zob. </w:t>
      </w:r>
      <w:r w:rsidRPr="00C56AFD">
        <w:rPr>
          <w:noProof/>
        </w:rPr>
        <w:t>pkt</w:t>
      </w:r>
      <w:r w:rsidR="00C56AFD" w:rsidRPr="00C56AFD">
        <w:rPr>
          <w:rFonts w:ascii="Calibri" w:hAnsi="Calibri" w:cs="Calibri"/>
          <w:noProof/>
        </w:rPr>
        <w:t> </w:t>
      </w:r>
      <w:r w:rsidRPr="00C56AFD">
        <w:rPr>
          <w:noProof/>
        </w:rPr>
        <w:t>2</w:t>
      </w:r>
      <w:r>
        <w:rPr>
          <w:noProof/>
        </w:rPr>
        <w:t>.4)</w:t>
      </w:r>
      <w:r w:rsidR="00C56AFD">
        <w:rPr>
          <w:noProof/>
        </w:rPr>
        <w:t>. W</w:t>
      </w:r>
      <w:r w:rsidR="00C56AFD">
        <w:rPr>
          <w:rFonts w:ascii="Calibri" w:hAnsi="Calibri" w:cs="Calibri"/>
          <w:noProof/>
        </w:rPr>
        <w:t> </w:t>
      </w:r>
      <w:r w:rsidR="00C56AFD">
        <w:rPr>
          <w:noProof/>
        </w:rPr>
        <w:t>tym</w:t>
      </w:r>
      <w:r>
        <w:rPr>
          <w:noProof/>
        </w:rPr>
        <w:t xml:space="preserve"> celu Komisja stosuje zróżnicowaną strategię finansowania</w:t>
      </w:r>
      <w:r w:rsidR="003B6DC2" w:rsidRPr="00390EB1">
        <w:rPr>
          <w:rStyle w:val="EndnoteReference"/>
          <w:noProof/>
        </w:rPr>
        <w:endnoteReference w:id="28"/>
      </w:r>
      <w:r w:rsidR="00C56AFD">
        <w:rPr>
          <w:noProof/>
        </w:rPr>
        <w:t xml:space="preserve"> i</w:t>
      </w:r>
      <w:r w:rsidR="00C56AFD">
        <w:rPr>
          <w:rFonts w:ascii="Calibri" w:hAnsi="Calibri" w:cs="Calibri"/>
          <w:noProof/>
        </w:rPr>
        <w:t> </w:t>
      </w:r>
      <w:r w:rsidR="00C56AFD">
        <w:rPr>
          <w:noProof/>
        </w:rPr>
        <w:t>w</w:t>
      </w:r>
      <w:r w:rsidR="00C56AFD">
        <w:rPr>
          <w:rFonts w:ascii="Calibri" w:hAnsi="Calibri" w:cs="Calibri"/>
          <w:noProof/>
        </w:rPr>
        <w:t> </w:t>
      </w:r>
      <w:r w:rsidR="00C56AFD">
        <w:rPr>
          <w:noProof/>
        </w:rPr>
        <w:t>ram</w:t>
      </w:r>
      <w:r>
        <w:rPr>
          <w:noProof/>
        </w:rPr>
        <w:t>ach tej strategii publikuje coroczne decyzje</w:t>
      </w:r>
      <w:r w:rsidR="00C56AFD">
        <w:rPr>
          <w:noProof/>
        </w:rPr>
        <w:t xml:space="preserve"> w</w:t>
      </w:r>
      <w:r w:rsidR="00C56AFD">
        <w:rPr>
          <w:rFonts w:ascii="Calibri" w:hAnsi="Calibri" w:cs="Calibri"/>
          <w:noProof/>
        </w:rPr>
        <w:t> </w:t>
      </w:r>
      <w:r w:rsidR="00C56AFD">
        <w:rPr>
          <w:noProof/>
        </w:rPr>
        <w:t>spr</w:t>
      </w:r>
      <w:r>
        <w:rPr>
          <w:noProof/>
        </w:rPr>
        <w:t>awie zaciągania pożyczek oraz sześciomiesięczne plany finansowania. Niniejsza prognoza koncentruje się na dochodach niezbędnych do sfinansowania wydatków budżetowych</w:t>
      </w:r>
      <w:r w:rsidR="00C56AFD">
        <w:rPr>
          <w:noProof/>
        </w:rPr>
        <w:t xml:space="preserve"> w</w:t>
      </w:r>
      <w:r w:rsidR="00C56AFD">
        <w:rPr>
          <w:rFonts w:ascii="Calibri" w:hAnsi="Calibri" w:cs="Calibri"/>
          <w:noProof/>
        </w:rPr>
        <w:t> </w:t>
      </w:r>
      <w:r w:rsidR="00C56AFD">
        <w:rPr>
          <w:noProof/>
        </w:rPr>
        <w:t>ram</w:t>
      </w:r>
      <w:r>
        <w:rPr>
          <w:noProof/>
        </w:rPr>
        <w:t>ach WRF (z wyłączeniem bezzwrotnego wsparcia</w:t>
      </w:r>
      <w:r w:rsidR="00C56AFD">
        <w:rPr>
          <w:noProof/>
        </w:rPr>
        <w:t xml:space="preserve"> w</w:t>
      </w:r>
      <w:r w:rsidR="00C56AFD">
        <w:rPr>
          <w:rFonts w:ascii="Calibri" w:hAnsi="Calibri" w:cs="Calibri"/>
          <w:noProof/>
        </w:rPr>
        <w:t> </w:t>
      </w:r>
      <w:r w:rsidR="00C56AFD">
        <w:rPr>
          <w:noProof/>
        </w:rPr>
        <w:t>ram</w:t>
      </w:r>
      <w:r>
        <w:rPr>
          <w:noProof/>
        </w:rPr>
        <w:t>ach NextGenerationEU).</w:t>
      </w:r>
    </w:p>
    <w:p w14:paraId="79B7C85A" w14:textId="1E4955B3" w:rsidR="00861C1C" w:rsidRPr="00390EB1" w:rsidRDefault="55E43B5C" w:rsidP="0050317D">
      <w:pPr>
        <w:spacing w:before="180" w:after="120" w:line="276" w:lineRule="auto"/>
        <w:jc w:val="both"/>
        <w:rPr>
          <w:noProof/>
        </w:rPr>
      </w:pPr>
      <w:r>
        <w:rPr>
          <w:noProof/>
        </w:rPr>
        <w:t>Kwota zasobów własnych niezbędna do sfinansowania budżetu jest uwarunkowana łączną kwotą wydatków pomniejszoną</w:t>
      </w:r>
      <w:r w:rsidR="00C56AFD">
        <w:rPr>
          <w:noProof/>
        </w:rPr>
        <w:t xml:space="preserve"> o</w:t>
      </w:r>
      <w:r w:rsidR="00C56AFD">
        <w:rPr>
          <w:rFonts w:ascii="Calibri" w:hAnsi="Calibri" w:cs="Calibri"/>
          <w:noProof/>
        </w:rPr>
        <w:t> </w:t>
      </w:r>
      <w:r w:rsidR="00C56AFD">
        <w:rPr>
          <w:noProof/>
        </w:rPr>
        <w:t>poz</w:t>
      </w:r>
      <w:r>
        <w:rPr>
          <w:noProof/>
        </w:rPr>
        <w:t>ostałe dochody</w:t>
      </w:r>
      <w:r w:rsidR="00C56AFD">
        <w:rPr>
          <w:noProof/>
        </w:rPr>
        <w:t>. W</w:t>
      </w:r>
      <w:r w:rsidR="00C56AFD">
        <w:rPr>
          <w:rFonts w:ascii="Calibri" w:hAnsi="Calibri" w:cs="Calibri"/>
          <w:noProof/>
        </w:rPr>
        <w:t> </w:t>
      </w:r>
      <w:r w:rsidR="00C56AFD">
        <w:rPr>
          <w:noProof/>
        </w:rPr>
        <w:t>zwi</w:t>
      </w:r>
      <w:r>
        <w:rPr>
          <w:noProof/>
        </w:rPr>
        <w:t>ązku</w:t>
      </w:r>
      <w:r w:rsidR="00C56AFD">
        <w:rPr>
          <w:noProof/>
        </w:rPr>
        <w:t xml:space="preserve"> z</w:t>
      </w:r>
      <w:r w:rsidR="00C56AFD">
        <w:rPr>
          <w:rFonts w:ascii="Calibri" w:hAnsi="Calibri" w:cs="Calibri"/>
          <w:noProof/>
        </w:rPr>
        <w:t> </w:t>
      </w:r>
      <w:r w:rsidR="00C56AFD">
        <w:rPr>
          <w:noProof/>
        </w:rPr>
        <w:t>tym</w:t>
      </w:r>
      <w:r>
        <w:rPr>
          <w:noProof/>
        </w:rPr>
        <w:t xml:space="preserve"> prognoza dochodów budżetu UE na lata 2025–2029 opiera się na zasadzie, zgodnie</w:t>
      </w:r>
      <w:r w:rsidR="00C56AFD">
        <w:rPr>
          <w:noProof/>
        </w:rPr>
        <w:t xml:space="preserve"> z</w:t>
      </w:r>
      <w:r w:rsidR="00C56AFD">
        <w:rPr>
          <w:rFonts w:ascii="Calibri" w:hAnsi="Calibri" w:cs="Calibri"/>
          <w:noProof/>
        </w:rPr>
        <w:t> </w:t>
      </w:r>
      <w:r w:rsidR="00C56AFD">
        <w:rPr>
          <w:noProof/>
        </w:rPr>
        <w:t>któ</w:t>
      </w:r>
      <w:r>
        <w:rPr>
          <w:noProof/>
        </w:rPr>
        <w:t>rą wydatki muszą odpowiadać dochodom,</w:t>
      </w:r>
      <w:r w:rsidR="00C56AFD">
        <w:rPr>
          <w:noProof/>
        </w:rPr>
        <w:t xml:space="preserve"> a</w:t>
      </w:r>
      <w:r w:rsidR="00C56AFD">
        <w:rPr>
          <w:rFonts w:ascii="Calibri" w:hAnsi="Calibri" w:cs="Calibri"/>
          <w:noProof/>
        </w:rPr>
        <w:t> </w:t>
      </w:r>
      <w:r w:rsidR="00C56AFD">
        <w:rPr>
          <w:noProof/>
        </w:rPr>
        <w:t>zat</w:t>
      </w:r>
      <w:r>
        <w:rPr>
          <w:noProof/>
        </w:rPr>
        <w:t>em całkowita wartość dochodów jest równa całkowitej wartości wydatków.</w:t>
      </w:r>
    </w:p>
    <w:p w14:paraId="1A8E2068" w14:textId="57D561E8" w:rsidR="00861C1C" w:rsidRPr="00390EB1" w:rsidRDefault="55E43B5C" w:rsidP="0050317D">
      <w:pPr>
        <w:spacing w:before="180" w:after="120" w:line="276" w:lineRule="auto"/>
        <w:jc w:val="both"/>
        <w:rPr>
          <w:noProof/>
        </w:rPr>
      </w:pPr>
      <w:r>
        <w:rPr>
          <w:noProof/>
        </w:rPr>
        <w:t>Zgodnie</w:t>
      </w:r>
      <w:r w:rsidR="00C56AFD">
        <w:rPr>
          <w:noProof/>
        </w:rPr>
        <w:t xml:space="preserve"> z</w:t>
      </w:r>
      <w:r w:rsidR="00C56AFD">
        <w:rPr>
          <w:rFonts w:ascii="Calibri" w:hAnsi="Calibri" w:cs="Calibri"/>
          <w:noProof/>
        </w:rPr>
        <w:t> </w:t>
      </w:r>
      <w:r w:rsidR="00C56AFD">
        <w:rPr>
          <w:noProof/>
        </w:rPr>
        <w:t>umo</w:t>
      </w:r>
      <w:r>
        <w:rPr>
          <w:noProof/>
        </w:rPr>
        <w:t>wą</w:t>
      </w:r>
      <w:r w:rsidR="00C56AFD">
        <w:rPr>
          <w:noProof/>
        </w:rPr>
        <w:t xml:space="preserve"> o</w:t>
      </w:r>
      <w:r w:rsidR="00C56AFD">
        <w:rPr>
          <w:rFonts w:ascii="Calibri" w:hAnsi="Calibri" w:cs="Calibri"/>
          <w:noProof/>
        </w:rPr>
        <w:t> </w:t>
      </w:r>
      <w:r w:rsidR="00C56AFD">
        <w:rPr>
          <w:noProof/>
        </w:rPr>
        <w:t>wys</w:t>
      </w:r>
      <w:r>
        <w:rPr>
          <w:noProof/>
        </w:rPr>
        <w:t xml:space="preserve">tąpieniu (część V) </w:t>
      </w:r>
      <w:r w:rsidRPr="00C56AFD">
        <w:rPr>
          <w:noProof/>
        </w:rPr>
        <w:t>od</w:t>
      </w:r>
      <w:r w:rsidR="00C56AFD" w:rsidRPr="00C56AFD">
        <w:rPr>
          <w:rFonts w:ascii="Calibri" w:hAnsi="Calibri" w:cs="Calibri"/>
          <w:noProof/>
        </w:rPr>
        <w:t> </w:t>
      </w:r>
      <w:r w:rsidRPr="00C56AFD">
        <w:rPr>
          <w:noProof/>
        </w:rPr>
        <w:t>2</w:t>
      </w:r>
      <w:r>
        <w:rPr>
          <w:noProof/>
        </w:rPr>
        <w:t>0</w:t>
      </w:r>
      <w:r w:rsidRPr="00C56AFD">
        <w:rPr>
          <w:noProof/>
        </w:rPr>
        <w:t>21</w:t>
      </w:r>
      <w:r w:rsidR="00C56AFD" w:rsidRPr="00C56AFD">
        <w:rPr>
          <w:rFonts w:ascii="Calibri" w:hAnsi="Calibri" w:cs="Calibri"/>
          <w:noProof/>
        </w:rPr>
        <w:t> </w:t>
      </w:r>
      <w:r w:rsidRPr="00C56AFD">
        <w:rPr>
          <w:noProof/>
        </w:rPr>
        <w:t>r.</w:t>
      </w:r>
      <w:r>
        <w:rPr>
          <w:noProof/>
        </w:rPr>
        <w:t xml:space="preserve"> Zjednoczone Królestwo wnosi wkład do budżetu UE</w:t>
      </w:r>
      <w:r w:rsidR="00C56AFD">
        <w:rPr>
          <w:noProof/>
        </w:rPr>
        <w:t xml:space="preserve"> w</w:t>
      </w:r>
      <w:r w:rsidR="00C56AFD">
        <w:rPr>
          <w:rFonts w:ascii="Calibri" w:hAnsi="Calibri" w:cs="Calibri"/>
          <w:noProof/>
        </w:rPr>
        <w:t> </w:t>
      </w:r>
      <w:r w:rsidR="00C56AFD">
        <w:rPr>
          <w:noProof/>
        </w:rPr>
        <w:t>odn</w:t>
      </w:r>
      <w:r>
        <w:rPr>
          <w:noProof/>
        </w:rPr>
        <w:t>iesieniu do zobowiązań pozostających do spłaty</w:t>
      </w:r>
      <w:r w:rsidR="00C56AFD">
        <w:rPr>
          <w:noProof/>
        </w:rPr>
        <w:t xml:space="preserve"> z</w:t>
      </w:r>
      <w:r w:rsidR="00C56AFD">
        <w:rPr>
          <w:rFonts w:ascii="Calibri" w:hAnsi="Calibri" w:cs="Calibri"/>
          <w:noProof/>
        </w:rPr>
        <w:t> </w:t>
      </w:r>
      <w:r w:rsidR="00C56AFD">
        <w:rPr>
          <w:noProof/>
        </w:rPr>
        <w:t>pop</w:t>
      </w:r>
      <w:r>
        <w:rPr>
          <w:noProof/>
        </w:rPr>
        <w:t>rzednich ram finansowych. Obejmuje to zobowiązania pozostające do spłaty na koniec 20</w:t>
      </w:r>
      <w:r w:rsidRPr="00C56AFD">
        <w:rPr>
          <w:noProof/>
        </w:rPr>
        <w:t>20</w:t>
      </w:r>
      <w:r w:rsidR="00C56AFD" w:rsidRPr="00C56AFD">
        <w:rPr>
          <w:rFonts w:ascii="Calibri" w:hAnsi="Calibri" w:cs="Calibri"/>
          <w:noProof/>
        </w:rPr>
        <w:t> </w:t>
      </w:r>
      <w:r w:rsidRPr="00C56AFD">
        <w:rPr>
          <w:noProof/>
        </w:rPr>
        <w:t>r.</w:t>
      </w:r>
      <w:r>
        <w:rPr>
          <w:noProof/>
        </w:rPr>
        <w:t>,</w:t>
      </w:r>
      <w:r w:rsidR="00C56AFD">
        <w:rPr>
          <w:noProof/>
        </w:rPr>
        <w:t xml:space="preserve"> a</w:t>
      </w:r>
      <w:r w:rsidR="00C56AFD">
        <w:rPr>
          <w:rFonts w:ascii="Calibri" w:hAnsi="Calibri" w:cs="Calibri"/>
          <w:noProof/>
        </w:rPr>
        <w:t> </w:t>
      </w:r>
      <w:r w:rsidR="00C56AFD">
        <w:rPr>
          <w:noProof/>
        </w:rPr>
        <w:t>tak</w:t>
      </w:r>
      <w:r>
        <w:rPr>
          <w:noProof/>
        </w:rPr>
        <w:t>że świadczenia emerytalne</w:t>
      </w:r>
      <w:r w:rsidR="00C56AFD">
        <w:rPr>
          <w:noProof/>
        </w:rPr>
        <w:t xml:space="preserve"> i</w:t>
      </w:r>
      <w:r w:rsidR="00C56AFD">
        <w:rPr>
          <w:rFonts w:ascii="Calibri" w:hAnsi="Calibri" w:cs="Calibri"/>
          <w:noProof/>
        </w:rPr>
        <w:t> </w:t>
      </w:r>
      <w:r w:rsidR="00C56AFD">
        <w:rPr>
          <w:noProof/>
        </w:rPr>
        <w:t>inn</w:t>
      </w:r>
      <w:r>
        <w:rPr>
          <w:noProof/>
        </w:rPr>
        <w:t>e zobowiązania określone</w:t>
      </w:r>
      <w:r w:rsidR="00C56AFD">
        <w:rPr>
          <w:noProof/>
        </w:rPr>
        <w:t xml:space="preserve"> w</w:t>
      </w:r>
      <w:r w:rsidR="00C56AFD">
        <w:rPr>
          <w:rFonts w:ascii="Calibri" w:hAnsi="Calibri" w:cs="Calibri"/>
          <w:noProof/>
        </w:rPr>
        <w:t> </w:t>
      </w:r>
      <w:r w:rsidR="00C56AFD">
        <w:rPr>
          <w:noProof/>
        </w:rPr>
        <w:t>por</w:t>
      </w:r>
      <w:r>
        <w:rPr>
          <w:noProof/>
        </w:rPr>
        <w:t>ozumieniu finansowym. Wkład Zjednoczonego Królestwa stanowi „inne dochody” budżetu UE</w:t>
      </w:r>
      <w:r w:rsidR="00C56AFD">
        <w:rPr>
          <w:noProof/>
        </w:rPr>
        <w:t xml:space="preserve"> i</w:t>
      </w:r>
      <w:r w:rsidR="00C56AFD">
        <w:rPr>
          <w:rFonts w:ascii="Calibri" w:hAnsi="Calibri" w:cs="Calibri"/>
          <w:noProof/>
        </w:rPr>
        <w:t> </w:t>
      </w:r>
      <w:r w:rsidR="00C56AFD">
        <w:rPr>
          <w:noProof/>
        </w:rPr>
        <w:t>nie</w:t>
      </w:r>
      <w:r>
        <w:rPr>
          <w:noProof/>
        </w:rPr>
        <w:t xml:space="preserve"> jest częścią zasobów własnych Unii. Będzie on stopniowo wycofywany</w:t>
      </w:r>
      <w:r w:rsidR="00C56AFD">
        <w:rPr>
          <w:noProof/>
        </w:rPr>
        <w:t xml:space="preserve"> w</w:t>
      </w:r>
      <w:r w:rsidR="00C56AFD">
        <w:rPr>
          <w:rFonts w:ascii="Calibri" w:hAnsi="Calibri" w:cs="Calibri"/>
          <w:noProof/>
        </w:rPr>
        <w:t> </w:t>
      </w:r>
      <w:r w:rsidR="00C56AFD">
        <w:rPr>
          <w:noProof/>
        </w:rPr>
        <w:t>mia</w:t>
      </w:r>
      <w:r>
        <w:rPr>
          <w:noProof/>
        </w:rPr>
        <w:t>rę regulowania zobowiązań pozostających do spłaty.</w:t>
      </w:r>
    </w:p>
    <w:p w14:paraId="597DE50F" w14:textId="1BC83242" w:rsidR="00861C1C" w:rsidRPr="00390EB1" w:rsidRDefault="55E43B5C" w:rsidP="0050317D">
      <w:pPr>
        <w:spacing w:before="180" w:after="120" w:line="276" w:lineRule="auto"/>
        <w:jc w:val="both"/>
        <w:rPr>
          <w:noProof/>
        </w:rPr>
      </w:pPr>
      <w:r>
        <w:rPr>
          <w:noProof/>
        </w:rPr>
        <w:t xml:space="preserve">Zakłada się, że inne dochody różne, które nie stanowią części zasobów własnych Unii, pozostaną nominalnie niezmienne na poziomie projektu budżetu </w:t>
      </w:r>
      <w:r w:rsidRPr="00C56AFD">
        <w:rPr>
          <w:noProof/>
        </w:rPr>
        <w:t>na</w:t>
      </w:r>
      <w:r w:rsidR="00C56AFD" w:rsidRPr="00C56AFD">
        <w:rPr>
          <w:rFonts w:ascii="Calibri" w:hAnsi="Calibri" w:cs="Calibri"/>
          <w:noProof/>
        </w:rPr>
        <w:t> </w:t>
      </w:r>
      <w:r w:rsidRPr="00C56AFD">
        <w:rPr>
          <w:noProof/>
        </w:rPr>
        <w:t>2</w:t>
      </w:r>
      <w:r>
        <w:rPr>
          <w:noProof/>
        </w:rPr>
        <w:t>0</w:t>
      </w:r>
      <w:r w:rsidRPr="00C56AFD">
        <w:rPr>
          <w:noProof/>
        </w:rPr>
        <w:t>25</w:t>
      </w:r>
      <w:r w:rsidR="00C56AFD" w:rsidRPr="00C56AFD">
        <w:rPr>
          <w:rFonts w:ascii="Calibri" w:hAnsi="Calibri" w:cs="Calibri"/>
          <w:noProof/>
        </w:rPr>
        <w:t> </w:t>
      </w:r>
      <w:r w:rsidRPr="00C56AFD">
        <w:rPr>
          <w:noProof/>
        </w:rPr>
        <w:t>r.</w:t>
      </w:r>
    </w:p>
    <w:p w14:paraId="15B7448A" w14:textId="4EF01700" w:rsidR="003D5E93" w:rsidRDefault="6F6CB59C" w:rsidP="0050317D">
      <w:pPr>
        <w:spacing w:before="180" w:after="120" w:line="276" w:lineRule="auto"/>
        <w:jc w:val="both"/>
        <w:rPr>
          <w:noProof/>
        </w:rPr>
      </w:pPr>
      <w:r>
        <w:rPr>
          <w:noProof/>
        </w:rPr>
        <w:t>Zasoby własne – wkłady krajowe</w:t>
      </w:r>
      <w:r w:rsidR="00C56AFD">
        <w:rPr>
          <w:noProof/>
        </w:rPr>
        <w:t xml:space="preserve"> i</w:t>
      </w:r>
      <w:r w:rsidR="00C56AFD">
        <w:rPr>
          <w:rFonts w:ascii="Calibri" w:hAnsi="Calibri" w:cs="Calibri"/>
          <w:noProof/>
        </w:rPr>
        <w:t> </w:t>
      </w:r>
      <w:r w:rsidR="00C56AFD">
        <w:rPr>
          <w:noProof/>
        </w:rPr>
        <w:t>cła</w:t>
      </w:r>
      <w:r>
        <w:rPr>
          <w:noProof/>
        </w:rPr>
        <w:t xml:space="preserve"> – stanowią większość dochodów niezbędnych do sfinansowania wydatków budżetowych. Prognozy oparto na obowiązującej decyzji</w:t>
      </w:r>
      <w:r w:rsidR="00C56AFD">
        <w:rPr>
          <w:noProof/>
        </w:rPr>
        <w:t xml:space="preserve"> w</w:t>
      </w:r>
      <w:r w:rsidR="00C56AFD">
        <w:rPr>
          <w:rFonts w:ascii="Calibri" w:hAnsi="Calibri" w:cs="Calibri"/>
          <w:noProof/>
        </w:rPr>
        <w:t> </w:t>
      </w:r>
      <w:r w:rsidR="00C56AFD">
        <w:rPr>
          <w:noProof/>
        </w:rPr>
        <w:t>spr</w:t>
      </w:r>
      <w:r>
        <w:rPr>
          <w:noProof/>
        </w:rPr>
        <w:t>awie zasobów własnych</w:t>
      </w:r>
      <w:r w:rsidR="003B6DC2" w:rsidRPr="00390EB1">
        <w:rPr>
          <w:rStyle w:val="EndnoteReference"/>
          <w:noProof/>
        </w:rPr>
        <w:endnoteReference w:id="29"/>
      </w:r>
      <w:r>
        <w:rPr>
          <w:noProof/>
        </w:rPr>
        <w:t>. Nie uwzględniają one wniosków Komisji</w:t>
      </w:r>
      <w:r w:rsidR="00C56AFD">
        <w:rPr>
          <w:noProof/>
        </w:rPr>
        <w:t xml:space="preserve"> w</w:t>
      </w:r>
      <w:r w:rsidR="00C56AFD">
        <w:rPr>
          <w:rFonts w:ascii="Calibri" w:hAnsi="Calibri" w:cs="Calibri"/>
          <w:noProof/>
        </w:rPr>
        <w:t> </w:t>
      </w:r>
      <w:r w:rsidR="00C56AFD">
        <w:rPr>
          <w:noProof/>
        </w:rPr>
        <w:t>spr</w:t>
      </w:r>
      <w:r>
        <w:rPr>
          <w:noProof/>
        </w:rPr>
        <w:t>awie nowych zasobów własnych</w:t>
      </w:r>
      <w:r w:rsidR="00C56AFD">
        <w:rPr>
          <w:noProof/>
        </w:rPr>
        <w:t xml:space="preserve"> z</w:t>
      </w:r>
      <w:r w:rsidR="00C56AFD">
        <w:rPr>
          <w:rFonts w:ascii="Calibri" w:hAnsi="Calibri" w:cs="Calibri"/>
          <w:noProof/>
        </w:rPr>
        <w:t> </w:t>
      </w:r>
      <w:r w:rsidR="00C56AFD">
        <w:rPr>
          <w:noProof/>
        </w:rPr>
        <w:t>2</w:t>
      </w:r>
      <w:r>
        <w:rPr>
          <w:noProof/>
        </w:rPr>
        <w:t>0 czerwca 20</w:t>
      </w:r>
      <w:r w:rsidRPr="00C56AFD">
        <w:rPr>
          <w:noProof/>
        </w:rPr>
        <w:t>23</w:t>
      </w:r>
      <w:r w:rsidR="00C56AFD" w:rsidRPr="00C56AFD">
        <w:rPr>
          <w:rFonts w:ascii="Calibri" w:hAnsi="Calibri" w:cs="Calibri"/>
          <w:noProof/>
        </w:rPr>
        <w:t> </w:t>
      </w:r>
      <w:r w:rsidRPr="00C56AFD">
        <w:rPr>
          <w:noProof/>
        </w:rPr>
        <w:t>r.</w:t>
      </w:r>
      <w:r w:rsidR="003B6DC2" w:rsidRPr="00390EB1">
        <w:rPr>
          <w:rStyle w:val="EndnoteReference"/>
          <w:noProof/>
          <w:lang w:eastAsia="ko-KR"/>
        </w:rPr>
        <w:endnoteReference w:id="30"/>
      </w:r>
      <w:r>
        <w:rPr>
          <w:noProof/>
        </w:rPr>
        <w:t xml:space="preserve"> Rozwój wkładów krajowych</w:t>
      </w:r>
      <w:r w:rsidR="00C56AFD">
        <w:rPr>
          <w:noProof/>
        </w:rPr>
        <w:t xml:space="preserve"> w</w:t>
      </w:r>
      <w:r w:rsidR="00C56AFD">
        <w:rPr>
          <w:rFonts w:ascii="Calibri" w:hAnsi="Calibri" w:cs="Calibri"/>
          <w:noProof/>
        </w:rPr>
        <w:t> </w:t>
      </w:r>
      <w:r w:rsidR="00C56AFD">
        <w:rPr>
          <w:noProof/>
        </w:rPr>
        <w:t>okr</w:t>
      </w:r>
      <w:r>
        <w:rPr>
          <w:noProof/>
        </w:rPr>
        <w:t>esie objętym prognozą zależy głównie od cyklu wydatkowania. Po powolnym rozpoczęciu ważnych programów wydatków wzrost wydatków ze względu na przyspieszoną realizację programów doprowadzi do zwiększenia wkładów krajowych</w:t>
      </w:r>
      <w:r w:rsidR="00C56AFD">
        <w:rPr>
          <w:noProof/>
        </w:rPr>
        <w:t xml:space="preserve"> w</w:t>
      </w:r>
      <w:r w:rsidR="00C56AFD">
        <w:rPr>
          <w:rFonts w:ascii="Calibri" w:hAnsi="Calibri" w:cs="Calibri"/>
          <w:noProof/>
        </w:rPr>
        <w:t> </w:t>
      </w:r>
      <w:r w:rsidR="00C56AFD">
        <w:rPr>
          <w:noProof/>
        </w:rPr>
        <w:t>lat</w:t>
      </w:r>
      <w:r>
        <w:rPr>
          <w:noProof/>
        </w:rPr>
        <w:t>ach 2025–2027. Przewiduje się, że</w:t>
      </w:r>
      <w:r w:rsidR="00C56AFD">
        <w:rPr>
          <w:noProof/>
        </w:rPr>
        <w:t xml:space="preserve"> w</w:t>
      </w:r>
      <w:r w:rsidR="00C56AFD">
        <w:rPr>
          <w:rFonts w:ascii="Calibri" w:hAnsi="Calibri" w:cs="Calibri"/>
          <w:noProof/>
        </w:rPr>
        <w:t> </w:t>
      </w:r>
      <w:r w:rsidR="00C56AFD">
        <w:rPr>
          <w:noProof/>
        </w:rPr>
        <w:t>uję</w:t>
      </w:r>
      <w:r>
        <w:rPr>
          <w:noProof/>
        </w:rPr>
        <w:t>ciu średnim</w:t>
      </w:r>
      <w:r w:rsidR="00C56AFD">
        <w:rPr>
          <w:noProof/>
        </w:rPr>
        <w:t xml:space="preserve"> w</w:t>
      </w:r>
      <w:r w:rsidR="00C56AFD">
        <w:rPr>
          <w:rFonts w:ascii="Calibri" w:hAnsi="Calibri" w:cs="Calibri"/>
          <w:noProof/>
        </w:rPr>
        <w:t> </w:t>
      </w:r>
      <w:r w:rsidR="00C56AFD">
        <w:rPr>
          <w:noProof/>
        </w:rPr>
        <w:t>lat</w:t>
      </w:r>
      <w:r>
        <w:rPr>
          <w:noProof/>
        </w:rPr>
        <w:t>ach 2025–2027 wkłady krajowe wyniosą</w:t>
      </w:r>
      <w:r>
        <w:rPr>
          <w:rFonts w:ascii="Calibri" w:hAnsi="Calibri"/>
          <w:noProof/>
        </w:rPr>
        <w:t xml:space="preserve"> </w:t>
      </w:r>
      <w:r>
        <w:rPr>
          <w:noProof/>
        </w:rPr>
        <w:t>153</w:t>
      </w:r>
      <w:r>
        <w:rPr>
          <w:rFonts w:ascii="Calibri" w:hAnsi="Calibri"/>
          <w:noProof/>
        </w:rPr>
        <w:t xml:space="preserve"> </w:t>
      </w:r>
      <w:r>
        <w:rPr>
          <w:noProof/>
        </w:rPr>
        <w:t xml:space="preserve">mld EUR rocznie </w:t>
      </w:r>
      <w:r w:rsidRPr="00C56AFD">
        <w:rPr>
          <w:noProof/>
        </w:rPr>
        <w:t>lub</w:t>
      </w:r>
      <w:r w:rsidR="00C56AFD" w:rsidRPr="00C56AFD">
        <w:rPr>
          <w:rFonts w:ascii="Calibri" w:hAnsi="Calibri" w:cs="Calibri"/>
          <w:noProof/>
        </w:rPr>
        <w:t> </w:t>
      </w:r>
      <w:r w:rsidRPr="00C56AFD">
        <w:rPr>
          <w:noProof/>
        </w:rPr>
        <w:t>0</w:t>
      </w:r>
      <w:r>
        <w:rPr>
          <w:noProof/>
        </w:rPr>
        <w:t>,80 % dochodu narodowego brutto UE.</w:t>
      </w:r>
    </w:p>
    <w:p w14:paraId="355924A7" w14:textId="1E9AC253" w:rsidR="003D5E93" w:rsidRDefault="00D45DE9" w:rsidP="0050317D">
      <w:pPr>
        <w:spacing w:before="180" w:after="120" w:line="276" w:lineRule="auto"/>
        <w:jc w:val="both"/>
        <w:rPr>
          <w:noProof/>
        </w:rPr>
      </w:pPr>
      <w:r>
        <w:rPr>
          <w:noProof/>
        </w:rPr>
        <w:t>Na lata 2028</w:t>
      </w:r>
      <w:r w:rsidR="00C56AFD">
        <w:rPr>
          <w:noProof/>
        </w:rPr>
        <w:t xml:space="preserve"> i</w:t>
      </w:r>
      <w:r w:rsidR="00C56AFD">
        <w:rPr>
          <w:rFonts w:ascii="Calibri" w:hAnsi="Calibri" w:cs="Calibri"/>
          <w:noProof/>
        </w:rPr>
        <w:t> </w:t>
      </w:r>
      <w:r w:rsidR="00C56AFD">
        <w:rPr>
          <w:noProof/>
        </w:rPr>
        <w:t>2</w:t>
      </w:r>
      <w:r>
        <w:rPr>
          <w:noProof/>
        </w:rPr>
        <w:t>029 prognoza ogranicza się do wydatków wynikających</w:t>
      </w:r>
      <w:r w:rsidR="00C56AFD">
        <w:rPr>
          <w:noProof/>
        </w:rPr>
        <w:t xml:space="preserve"> z</w:t>
      </w:r>
      <w:r w:rsidR="00C56AFD">
        <w:rPr>
          <w:rFonts w:ascii="Calibri" w:hAnsi="Calibri" w:cs="Calibri"/>
          <w:noProof/>
        </w:rPr>
        <w:t> </w:t>
      </w:r>
      <w:r w:rsidR="00C56AFD">
        <w:rPr>
          <w:noProof/>
        </w:rPr>
        <w:t>obe</w:t>
      </w:r>
      <w:r>
        <w:rPr>
          <w:noProof/>
        </w:rPr>
        <w:t>cnych WRF</w:t>
      </w:r>
      <w:r w:rsidR="00C56AFD">
        <w:rPr>
          <w:noProof/>
        </w:rPr>
        <w:t xml:space="preserve"> i</w:t>
      </w:r>
      <w:r w:rsidR="00C56AFD">
        <w:rPr>
          <w:rFonts w:ascii="Calibri" w:hAnsi="Calibri" w:cs="Calibri"/>
          <w:noProof/>
        </w:rPr>
        <w:t> </w:t>
      </w:r>
      <w:r w:rsidR="00C56AFD">
        <w:rPr>
          <w:noProof/>
        </w:rPr>
        <w:t>nie</w:t>
      </w:r>
      <w:r>
        <w:rPr>
          <w:noProof/>
        </w:rPr>
        <w:t xml:space="preserve"> obejmuje wydatków</w:t>
      </w:r>
      <w:r w:rsidR="00C56AFD">
        <w:rPr>
          <w:noProof/>
        </w:rPr>
        <w:t xml:space="preserve"> w</w:t>
      </w:r>
      <w:r w:rsidR="00C56AFD">
        <w:rPr>
          <w:rFonts w:ascii="Calibri" w:hAnsi="Calibri" w:cs="Calibri"/>
          <w:noProof/>
        </w:rPr>
        <w:t> </w:t>
      </w:r>
      <w:r w:rsidR="00C56AFD">
        <w:rPr>
          <w:noProof/>
        </w:rPr>
        <w:t>nas</w:t>
      </w:r>
      <w:r>
        <w:rPr>
          <w:noProof/>
        </w:rPr>
        <w:t>tępnych WRF</w:t>
      </w:r>
      <w:r w:rsidR="00C56AFD">
        <w:rPr>
          <w:noProof/>
        </w:rPr>
        <w:t>. W</w:t>
      </w:r>
      <w:r w:rsidR="00C56AFD">
        <w:rPr>
          <w:rFonts w:ascii="Calibri" w:hAnsi="Calibri" w:cs="Calibri"/>
          <w:noProof/>
        </w:rPr>
        <w:t> </w:t>
      </w:r>
      <w:r w:rsidR="00C56AFD">
        <w:rPr>
          <w:noProof/>
        </w:rPr>
        <w:t>zwi</w:t>
      </w:r>
      <w:r>
        <w:rPr>
          <w:noProof/>
        </w:rPr>
        <w:t>ązku</w:t>
      </w:r>
      <w:r w:rsidR="00C56AFD">
        <w:rPr>
          <w:noProof/>
        </w:rPr>
        <w:t xml:space="preserve"> z</w:t>
      </w:r>
      <w:r w:rsidR="00C56AFD">
        <w:rPr>
          <w:rFonts w:ascii="Calibri" w:hAnsi="Calibri" w:cs="Calibri"/>
          <w:noProof/>
        </w:rPr>
        <w:t> </w:t>
      </w:r>
      <w:r w:rsidR="00C56AFD">
        <w:rPr>
          <w:noProof/>
        </w:rPr>
        <w:t>tym</w:t>
      </w:r>
      <w:r>
        <w:rPr>
          <w:noProof/>
        </w:rPr>
        <w:t xml:space="preserve"> odpowiednia prognoza potrzeb</w:t>
      </w:r>
      <w:r w:rsidR="00C56AFD">
        <w:rPr>
          <w:noProof/>
        </w:rPr>
        <w:t xml:space="preserve"> w</w:t>
      </w:r>
      <w:r w:rsidR="00C56AFD">
        <w:rPr>
          <w:rFonts w:ascii="Calibri" w:hAnsi="Calibri" w:cs="Calibri"/>
          <w:noProof/>
        </w:rPr>
        <w:t> </w:t>
      </w:r>
      <w:r w:rsidR="00C56AFD">
        <w:rPr>
          <w:noProof/>
        </w:rPr>
        <w:t>zak</w:t>
      </w:r>
      <w:r>
        <w:rPr>
          <w:noProof/>
        </w:rPr>
        <w:t>resie dochodów,</w:t>
      </w:r>
      <w:r w:rsidR="00C56AFD">
        <w:rPr>
          <w:noProof/>
        </w:rPr>
        <w:t xml:space="preserve"> w</w:t>
      </w:r>
      <w:r w:rsidR="00C56AFD">
        <w:rPr>
          <w:rFonts w:ascii="Calibri" w:hAnsi="Calibri" w:cs="Calibri"/>
          <w:noProof/>
        </w:rPr>
        <w:t> </w:t>
      </w:r>
      <w:r w:rsidR="00C56AFD">
        <w:rPr>
          <w:noProof/>
        </w:rPr>
        <w:t>szc</w:t>
      </w:r>
      <w:r>
        <w:rPr>
          <w:noProof/>
        </w:rPr>
        <w:t>zególności zasobów własnych opartych na DNB, jest niekompletna.</w:t>
      </w:r>
    </w:p>
    <w:p w14:paraId="12345436" w14:textId="40E8DF41" w:rsidR="0026049A" w:rsidRDefault="0026049A" w:rsidP="003569B0">
      <w:pPr>
        <w:spacing w:before="180" w:after="120" w:line="276" w:lineRule="auto"/>
        <w:jc w:val="both"/>
        <w:rPr>
          <w:rStyle w:val="amprcharCharttitle"/>
          <w:noProof/>
        </w:rPr>
      </w:pPr>
      <w:r>
        <w:rPr>
          <w:noProof/>
        </w:rPr>
        <w:br w:type="page"/>
      </w:r>
    </w:p>
    <w:p w14:paraId="5F0A2EEA" w14:textId="5D9E050B" w:rsidR="00861C1C" w:rsidRPr="008C2F97" w:rsidRDefault="6375D7F3" w:rsidP="0050317D">
      <w:pPr>
        <w:spacing w:before="180" w:after="120" w:line="276" w:lineRule="auto"/>
        <w:jc w:val="both"/>
        <w:rPr>
          <w:rStyle w:val="amprcharCharttitle"/>
          <w:noProof/>
        </w:rPr>
      </w:pPr>
      <w:r>
        <w:rPr>
          <w:rStyle w:val="amprcharCharttitle"/>
          <w:noProof/>
        </w:rPr>
        <w:t>Wykres 4 – Prognoza dochodów do celów finansowania WRF na lata 2025–2029</w:t>
      </w:r>
    </w:p>
    <w:p w14:paraId="5CBC742D" w14:textId="77777777" w:rsidR="008E678B" w:rsidRDefault="000F3138" w:rsidP="008E678B">
      <w:pPr>
        <w:spacing w:after="120" w:line="276" w:lineRule="auto"/>
        <w:jc w:val="center"/>
        <w:rPr>
          <w:noProof/>
        </w:rPr>
      </w:pPr>
      <w:r w:rsidRPr="000F3138">
        <w:rPr>
          <w:noProof/>
          <w:lang w:val="en-GB" w:eastAsia="en-GB"/>
        </w:rPr>
        <w:drawing>
          <wp:inline distT="0" distB="0" distL="0" distR="0" wp14:anchorId="25FAAB8E" wp14:editId="2088F007">
            <wp:extent cx="4993640" cy="2469262"/>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006366" cy="2475555"/>
                    </a:xfrm>
                    <a:prstGeom prst="rect">
                      <a:avLst/>
                    </a:prstGeom>
                  </pic:spPr>
                </pic:pic>
              </a:graphicData>
            </a:graphic>
          </wp:inline>
        </w:drawing>
      </w:r>
    </w:p>
    <w:p w14:paraId="53D1DA20" w14:textId="699F30F1" w:rsidR="00861C1C" w:rsidRPr="00390EB1" w:rsidRDefault="008E678B" w:rsidP="23B06DA2">
      <w:pPr>
        <w:spacing w:after="120" w:line="276" w:lineRule="auto"/>
        <w:jc w:val="both"/>
        <w:rPr>
          <w:noProof/>
        </w:rPr>
      </w:pPr>
      <w:r>
        <w:rPr>
          <w:noProof/>
        </w:rPr>
        <w:t xml:space="preserve">W </w:t>
      </w:r>
      <w:r w:rsidR="6375D7F3">
        <w:rPr>
          <w:noProof/>
        </w:rPr>
        <w:t>danym roku łączna kwota zasobów własnych zgromadzonych przez Unię nie może przekroczyć pułapu zasobów własnych określonego</w:t>
      </w:r>
      <w:r w:rsidR="00C56AFD">
        <w:rPr>
          <w:noProof/>
        </w:rPr>
        <w:t xml:space="preserve"> w</w:t>
      </w:r>
      <w:r w:rsidR="00C56AFD">
        <w:rPr>
          <w:rFonts w:ascii="Calibri" w:hAnsi="Calibri" w:cs="Calibri"/>
          <w:noProof/>
        </w:rPr>
        <w:t> </w:t>
      </w:r>
      <w:r w:rsidR="00C56AFD">
        <w:rPr>
          <w:noProof/>
        </w:rPr>
        <w:t>dec</w:t>
      </w:r>
      <w:r w:rsidR="6375D7F3">
        <w:rPr>
          <w:noProof/>
        </w:rPr>
        <w:t>yzji</w:t>
      </w:r>
      <w:r w:rsidR="00C56AFD">
        <w:rPr>
          <w:noProof/>
        </w:rPr>
        <w:t xml:space="preserve"> w</w:t>
      </w:r>
      <w:r w:rsidR="00C56AFD">
        <w:rPr>
          <w:rFonts w:ascii="Calibri" w:hAnsi="Calibri" w:cs="Calibri"/>
          <w:noProof/>
        </w:rPr>
        <w:t> </w:t>
      </w:r>
      <w:r w:rsidR="00C56AFD">
        <w:rPr>
          <w:noProof/>
        </w:rPr>
        <w:t>spr</w:t>
      </w:r>
      <w:r w:rsidR="6375D7F3">
        <w:rPr>
          <w:noProof/>
        </w:rPr>
        <w:t>awie zasobów własnych, wynoszącego 1,</w:t>
      </w:r>
      <w:r w:rsidR="6375D7F3" w:rsidRPr="00C56AFD">
        <w:rPr>
          <w:noProof/>
        </w:rPr>
        <w:t>4</w:t>
      </w:r>
      <w:r w:rsidR="00C56AFD" w:rsidRPr="00C56AFD">
        <w:rPr>
          <w:rFonts w:ascii="Calibri" w:hAnsi="Calibri" w:cs="Calibri"/>
          <w:noProof/>
        </w:rPr>
        <w:t> </w:t>
      </w:r>
      <w:r w:rsidR="6375D7F3" w:rsidRPr="00C56AFD">
        <w:rPr>
          <w:noProof/>
        </w:rPr>
        <w:t>%</w:t>
      </w:r>
      <w:r w:rsidR="6375D7F3">
        <w:rPr>
          <w:noProof/>
        </w:rPr>
        <w:t xml:space="preserve"> dochodu narodowego brutto państw członkowskich UE, przy dodatkowym tymczasowym podwyższeniu</w:t>
      </w:r>
      <w:r w:rsidR="00C56AFD">
        <w:rPr>
          <w:noProof/>
        </w:rPr>
        <w:t xml:space="preserve"> o</w:t>
      </w:r>
      <w:r w:rsidR="00C56AFD">
        <w:rPr>
          <w:rFonts w:ascii="Calibri" w:hAnsi="Calibri" w:cs="Calibri"/>
          <w:noProof/>
        </w:rPr>
        <w:t> </w:t>
      </w:r>
      <w:r w:rsidR="00C56AFD">
        <w:rPr>
          <w:noProof/>
        </w:rPr>
        <w:t>0</w:t>
      </w:r>
      <w:r w:rsidR="6375D7F3">
        <w:rPr>
          <w:noProof/>
        </w:rPr>
        <w:t>,</w:t>
      </w:r>
      <w:r w:rsidR="6375D7F3" w:rsidRPr="00C56AFD">
        <w:rPr>
          <w:noProof/>
        </w:rPr>
        <w:t>6</w:t>
      </w:r>
      <w:r w:rsidR="00C56AFD" w:rsidRPr="00C56AFD">
        <w:rPr>
          <w:rFonts w:ascii="Calibri" w:hAnsi="Calibri" w:cs="Calibri"/>
          <w:noProof/>
        </w:rPr>
        <w:t> </w:t>
      </w:r>
      <w:r w:rsidR="6375D7F3" w:rsidRPr="00C56AFD">
        <w:rPr>
          <w:noProof/>
        </w:rPr>
        <w:t>%</w:t>
      </w:r>
      <w:r w:rsidR="6375D7F3">
        <w:rPr>
          <w:noProof/>
        </w:rPr>
        <w:t xml:space="preserve"> DNB UE na pokrycie wszystkich zobowiązań Unii</w:t>
      </w:r>
      <w:r w:rsidR="00C56AFD">
        <w:rPr>
          <w:noProof/>
        </w:rPr>
        <w:t xml:space="preserve"> z</w:t>
      </w:r>
      <w:r w:rsidR="00C56AFD">
        <w:rPr>
          <w:rFonts w:ascii="Calibri" w:hAnsi="Calibri" w:cs="Calibri"/>
          <w:noProof/>
        </w:rPr>
        <w:t> </w:t>
      </w:r>
      <w:r w:rsidR="00C56AFD">
        <w:rPr>
          <w:noProof/>
        </w:rPr>
        <w:t>tyt</w:t>
      </w:r>
      <w:r w:rsidR="6375D7F3">
        <w:rPr>
          <w:noProof/>
        </w:rPr>
        <w:t>ułu pożyczek zaciągniętych na rynkach kapitałowych</w:t>
      </w:r>
      <w:r w:rsidR="00C56AFD">
        <w:rPr>
          <w:noProof/>
        </w:rPr>
        <w:t xml:space="preserve"> w</w:t>
      </w:r>
      <w:r w:rsidR="00C56AFD">
        <w:rPr>
          <w:rFonts w:ascii="Calibri" w:hAnsi="Calibri" w:cs="Calibri"/>
          <w:noProof/>
        </w:rPr>
        <w:t> </w:t>
      </w:r>
      <w:r w:rsidR="00C56AFD">
        <w:rPr>
          <w:noProof/>
        </w:rPr>
        <w:t>cel</w:t>
      </w:r>
      <w:r w:rsidR="6375D7F3">
        <w:rPr>
          <w:noProof/>
        </w:rPr>
        <w:t>u sfinansowania NextGenerationEU. Chociaż przewiduje się, że zasoby własne będą rosły</w:t>
      </w:r>
      <w:r w:rsidR="00C56AFD">
        <w:rPr>
          <w:noProof/>
        </w:rPr>
        <w:t xml:space="preserve"> w</w:t>
      </w:r>
      <w:r w:rsidR="00C56AFD">
        <w:rPr>
          <w:rFonts w:ascii="Calibri" w:hAnsi="Calibri" w:cs="Calibri"/>
          <w:noProof/>
        </w:rPr>
        <w:t> </w:t>
      </w:r>
      <w:r w:rsidR="00C56AFD">
        <w:rPr>
          <w:noProof/>
        </w:rPr>
        <w:t>lat</w:t>
      </w:r>
      <w:r w:rsidR="6375D7F3">
        <w:rPr>
          <w:noProof/>
        </w:rPr>
        <w:t>ach 2026</w:t>
      </w:r>
      <w:r w:rsidR="00C56AFD">
        <w:rPr>
          <w:noProof/>
        </w:rPr>
        <w:t xml:space="preserve"> i</w:t>
      </w:r>
      <w:r w:rsidR="00C56AFD">
        <w:rPr>
          <w:rFonts w:ascii="Calibri" w:hAnsi="Calibri" w:cs="Calibri"/>
          <w:noProof/>
        </w:rPr>
        <w:t> </w:t>
      </w:r>
      <w:r w:rsidR="00C56AFD">
        <w:rPr>
          <w:noProof/>
        </w:rPr>
        <w:t>2</w:t>
      </w:r>
      <w:r w:rsidR="6375D7F3">
        <w:rPr>
          <w:noProof/>
        </w:rPr>
        <w:t>027, oczekuje się, że dostępny margines</w:t>
      </w:r>
      <w:r w:rsidR="00C56AFD">
        <w:rPr>
          <w:noProof/>
        </w:rPr>
        <w:t xml:space="preserve"> w</w:t>
      </w:r>
      <w:r w:rsidR="00C56AFD">
        <w:rPr>
          <w:rFonts w:ascii="Calibri" w:hAnsi="Calibri" w:cs="Calibri"/>
          <w:noProof/>
        </w:rPr>
        <w:t> </w:t>
      </w:r>
      <w:r w:rsidR="00C56AFD">
        <w:rPr>
          <w:noProof/>
        </w:rPr>
        <w:t>ram</w:t>
      </w:r>
      <w:r w:rsidR="6375D7F3">
        <w:rPr>
          <w:noProof/>
        </w:rPr>
        <w:t>ach tworzenia zasobów własnych (tzw. margines elastyczności) zmaleje, ponieważ płatności</w:t>
      </w:r>
      <w:r w:rsidR="00C56AFD">
        <w:rPr>
          <w:noProof/>
        </w:rPr>
        <w:t xml:space="preserve"> i</w:t>
      </w:r>
      <w:r w:rsidR="00C56AFD">
        <w:rPr>
          <w:rFonts w:ascii="Calibri" w:hAnsi="Calibri" w:cs="Calibri"/>
          <w:noProof/>
        </w:rPr>
        <w:t> </w:t>
      </w:r>
      <w:r w:rsidR="00C56AFD">
        <w:rPr>
          <w:noProof/>
        </w:rPr>
        <w:t>doc</w:t>
      </w:r>
      <w:r w:rsidR="6375D7F3">
        <w:rPr>
          <w:noProof/>
        </w:rPr>
        <w:t>hody mają wzrosnąć</w:t>
      </w:r>
      <w:r w:rsidR="00C56AFD">
        <w:rPr>
          <w:noProof/>
        </w:rPr>
        <w:t xml:space="preserve"> w</w:t>
      </w:r>
      <w:r w:rsidR="00C56AFD">
        <w:rPr>
          <w:rFonts w:ascii="Calibri" w:hAnsi="Calibri" w:cs="Calibri"/>
          <w:noProof/>
        </w:rPr>
        <w:t> </w:t>
      </w:r>
      <w:r w:rsidR="00C56AFD">
        <w:rPr>
          <w:noProof/>
        </w:rPr>
        <w:t>2</w:t>
      </w:r>
      <w:r w:rsidR="6375D7F3">
        <w:rPr>
          <w:noProof/>
        </w:rPr>
        <w:t>025</w:t>
      </w:r>
      <w:r w:rsidR="00C56AFD">
        <w:rPr>
          <w:noProof/>
        </w:rPr>
        <w:t xml:space="preserve"> i</w:t>
      </w:r>
      <w:r w:rsidR="00C56AFD">
        <w:rPr>
          <w:rFonts w:ascii="Calibri" w:hAnsi="Calibri" w:cs="Calibri"/>
          <w:noProof/>
        </w:rPr>
        <w:t> </w:t>
      </w:r>
      <w:r w:rsidR="00C56AFD">
        <w:rPr>
          <w:noProof/>
        </w:rPr>
        <w:t>2</w:t>
      </w:r>
      <w:r w:rsidR="6375D7F3">
        <w:rPr>
          <w:noProof/>
        </w:rPr>
        <w:t>0</w:t>
      </w:r>
      <w:r w:rsidR="6375D7F3" w:rsidRPr="00C56AFD">
        <w:rPr>
          <w:noProof/>
        </w:rPr>
        <w:t>26</w:t>
      </w:r>
      <w:r w:rsidR="00C56AFD" w:rsidRPr="00C56AFD">
        <w:rPr>
          <w:rFonts w:ascii="Calibri" w:hAnsi="Calibri" w:cs="Calibri"/>
          <w:noProof/>
        </w:rPr>
        <w:t> </w:t>
      </w:r>
      <w:r w:rsidR="6375D7F3" w:rsidRPr="00C56AFD">
        <w:rPr>
          <w:noProof/>
        </w:rPr>
        <w:t>r.</w:t>
      </w:r>
      <w:r w:rsidR="00C56AFD">
        <w:rPr>
          <w:noProof/>
        </w:rPr>
        <w:t xml:space="preserve"> w</w:t>
      </w:r>
      <w:r w:rsidR="00C56AFD">
        <w:rPr>
          <w:rFonts w:ascii="Calibri" w:hAnsi="Calibri" w:cs="Calibri"/>
          <w:noProof/>
        </w:rPr>
        <w:t> </w:t>
      </w:r>
      <w:r w:rsidR="00C56AFD">
        <w:rPr>
          <w:noProof/>
        </w:rPr>
        <w:t>por</w:t>
      </w:r>
      <w:r w:rsidR="6375D7F3">
        <w:rPr>
          <w:noProof/>
        </w:rPr>
        <w:t>ównaniu</w:t>
      </w:r>
      <w:r w:rsidR="00C56AFD">
        <w:rPr>
          <w:noProof/>
        </w:rPr>
        <w:t xml:space="preserve"> z</w:t>
      </w:r>
      <w:r w:rsidR="00C56AFD">
        <w:rPr>
          <w:rFonts w:ascii="Calibri" w:hAnsi="Calibri" w:cs="Calibri"/>
          <w:noProof/>
        </w:rPr>
        <w:t> </w:t>
      </w:r>
      <w:r w:rsidR="00C56AFD">
        <w:rPr>
          <w:noProof/>
        </w:rPr>
        <w:t>2</w:t>
      </w:r>
      <w:r w:rsidR="6375D7F3">
        <w:rPr>
          <w:noProof/>
        </w:rPr>
        <w:t>0</w:t>
      </w:r>
      <w:r w:rsidR="6375D7F3" w:rsidRPr="00C56AFD">
        <w:rPr>
          <w:noProof/>
        </w:rPr>
        <w:t>24</w:t>
      </w:r>
      <w:r w:rsidR="00C56AFD" w:rsidRPr="00C56AFD">
        <w:rPr>
          <w:rFonts w:ascii="Calibri" w:hAnsi="Calibri" w:cs="Calibri"/>
          <w:noProof/>
        </w:rPr>
        <w:t> </w:t>
      </w:r>
      <w:r w:rsidR="6375D7F3" w:rsidRPr="00C56AFD">
        <w:rPr>
          <w:noProof/>
        </w:rPr>
        <w:t>r.</w:t>
      </w:r>
      <w:r w:rsidR="6375D7F3">
        <w:rPr>
          <w:noProof/>
        </w:rPr>
        <w:t>, natomiast dochód narodowy brutto Unii ma rosnąć jedynie stopniowo</w:t>
      </w:r>
      <w:r w:rsidR="00C56AFD">
        <w:rPr>
          <w:noProof/>
        </w:rPr>
        <w:t xml:space="preserve"> w</w:t>
      </w:r>
      <w:r w:rsidR="00C56AFD">
        <w:rPr>
          <w:rFonts w:ascii="Calibri" w:hAnsi="Calibri" w:cs="Calibri"/>
          <w:noProof/>
        </w:rPr>
        <w:t> </w:t>
      </w:r>
      <w:r w:rsidR="00C56AFD">
        <w:rPr>
          <w:noProof/>
        </w:rPr>
        <w:t>tyc</w:t>
      </w:r>
      <w:r w:rsidR="6375D7F3">
        <w:rPr>
          <w:noProof/>
        </w:rPr>
        <w:t>h samych latach</w:t>
      </w:r>
      <w:r w:rsidR="003B6DC2" w:rsidRPr="008C2F97">
        <w:rPr>
          <w:noProof/>
          <w:vertAlign w:val="superscript"/>
        </w:rPr>
        <w:endnoteReference w:id="31"/>
      </w:r>
      <w:r w:rsidR="6375D7F3">
        <w:rPr>
          <w:noProof/>
        </w:rPr>
        <w:t>. Margines</w:t>
      </w:r>
      <w:r w:rsidR="00C56AFD">
        <w:rPr>
          <w:noProof/>
        </w:rPr>
        <w:t xml:space="preserve"> w</w:t>
      </w:r>
      <w:r w:rsidR="00C56AFD">
        <w:rPr>
          <w:rFonts w:ascii="Calibri" w:hAnsi="Calibri" w:cs="Calibri"/>
          <w:noProof/>
        </w:rPr>
        <w:t> </w:t>
      </w:r>
      <w:r w:rsidR="00C56AFD">
        <w:rPr>
          <w:noProof/>
        </w:rPr>
        <w:t>ram</w:t>
      </w:r>
      <w:r w:rsidR="6375D7F3">
        <w:rPr>
          <w:noProof/>
        </w:rPr>
        <w:t>ach stałego pułapu ma zmniejszyć się</w:t>
      </w:r>
      <w:r w:rsidR="00C56AFD">
        <w:rPr>
          <w:noProof/>
        </w:rPr>
        <w:t xml:space="preserve"> z</w:t>
      </w:r>
      <w:r w:rsidR="00C56AFD">
        <w:rPr>
          <w:rFonts w:ascii="Calibri" w:hAnsi="Calibri" w:cs="Calibri"/>
          <w:noProof/>
        </w:rPr>
        <w:t> </w:t>
      </w:r>
      <w:r w:rsidR="00C56AFD">
        <w:rPr>
          <w:noProof/>
        </w:rPr>
        <w:t>oko</w:t>
      </w:r>
      <w:r w:rsidR="6375D7F3">
        <w:rPr>
          <w:noProof/>
        </w:rPr>
        <w:t>ło 115 mld EUR</w:t>
      </w:r>
      <w:r w:rsidR="00C56AFD">
        <w:rPr>
          <w:noProof/>
        </w:rPr>
        <w:t xml:space="preserve"> w</w:t>
      </w:r>
      <w:r w:rsidR="00C56AFD">
        <w:rPr>
          <w:rFonts w:ascii="Calibri" w:hAnsi="Calibri" w:cs="Calibri"/>
          <w:noProof/>
        </w:rPr>
        <w:t> </w:t>
      </w:r>
      <w:r w:rsidR="00C56AFD">
        <w:rPr>
          <w:noProof/>
        </w:rPr>
        <w:t>2</w:t>
      </w:r>
      <w:r w:rsidR="6375D7F3">
        <w:rPr>
          <w:noProof/>
        </w:rPr>
        <w:t>0</w:t>
      </w:r>
      <w:r w:rsidR="6375D7F3" w:rsidRPr="00C56AFD">
        <w:rPr>
          <w:noProof/>
        </w:rPr>
        <w:t>25</w:t>
      </w:r>
      <w:r w:rsidR="00C56AFD" w:rsidRPr="00C56AFD">
        <w:rPr>
          <w:rFonts w:ascii="Calibri" w:hAnsi="Calibri" w:cs="Calibri"/>
          <w:noProof/>
        </w:rPr>
        <w:t> </w:t>
      </w:r>
      <w:r w:rsidR="6375D7F3" w:rsidRPr="00C56AFD">
        <w:rPr>
          <w:noProof/>
        </w:rPr>
        <w:t>r.</w:t>
      </w:r>
      <w:r w:rsidR="6375D7F3">
        <w:rPr>
          <w:noProof/>
        </w:rPr>
        <w:t xml:space="preserve"> do około 88 mld EUR</w:t>
      </w:r>
      <w:r w:rsidR="00C56AFD">
        <w:rPr>
          <w:noProof/>
        </w:rPr>
        <w:t xml:space="preserve"> w</w:t>
      </w:r>
      <w:r w:rsidR="00C56AFD">
        <w:rPr>
          <w:rFonts w:ascii="Calibri" w:hAnsi="Calibri" w:cs="Calibri"/>
          <w:noProof/>
        </w:rPr>
        <w:t> </w:t>
      </w:r>
      <w:r w:rsidR="00C56AFD">
        <w:rPr>
          <w:noProof/>
        </w:rPr>
        <w:t>2</w:t>
      </w:r>
      <w:r w:rsidR="6375D7F3">
        <w:rPr>
          <w:noProof/>
        </w:rPr>
        <w:t>0</w:t>
      </w:r>
      <w:r w:rsidR="6375D7F3" w:rsidRPr="00C56AFD">
        <w:rPr>
          <w:noProof/>
        </w:rPr>
        <w:t>27</w:t>
      </w:r>
      <w:r w:rsidR="00C56AFD" w:rsidRPr="00C56AFD">
        <w:rPr>
          <w:rFonts w:ascii="Calibri" w:hAnsi="Calibri" w:cs="Calibri"/>
          <w:noProof/>
        </w:rPr>
        <w:t> </w:t>
      </w:r>
      <w:r w:rsidR="6375D7F3" w:rsidRPr="00C56AFD">
        <w:rPr>
          <w:noProof/>
        </w:rPr>
        <w:t>r.</w:t>
      </w:r>
      <w:r w:rsidR="6375D7F3">
        <w:rPr>
          <w:noProof/>
        </w:rPr>
        <w:t>; margines</w:t>
      </w:r>
      <w:r w:rsidR="00C56AFD">
        <w:rPr>
          <w:noProof/>
        </w:rPr>
        <w:t xml:space="preserve"> w</w:t>
      </w:r>
      <w:r w:rsidR="00C56AFD">
        <w:rPr>
          <w:rFonts w:ascii="Calibri" w:hAnsi="Calibri" w:cs="Calibri"/>
          <w:noProof/>
        </w:rPr>
        <w:t> </w:t>
      </w:r>
      <w:r w:rsidR="00C56AFD">
        <w:rPr>
          <w:noProof/>
        </w:rPr>
        <w:t>ram</w:t>
      </w:r>
      <w:r w:rsidR="6375D7F3">
        <w:rPr>
          <w:noProof/>
        </w:rPr>
        <w:t xml:space="preserve">ach tymczasowego pułapu dla NextGenerationEU wzrasta </w:t>
      </w:r>
      <w:r w:rsidR="6375D7F3" w:rsidRPr="00C56AFD">
        <w:rPr>
          <w:noProof/>
        </w:rPr>
        <w:t>ze</w:t>
      </w:r>
      <w:r w:rsidR="00C56AFD" w:rsidRPr="00C56AFD">
        <w:rPr>
          <w:rFonts w:ascii="Calibri" w:hAnsi="Calibri" w:cs="Calibri"/>
          <w:noProof/>
        </w:rPr>
        <w:t> </w:t>
      </w:r>
      <w:r w:rsidR="6375D7F3" w:rsidRPr="00C56AFD">
        <w:rPr>
          <w:noProof/>
        </w:rPr>
        <w:t>1</w:t>
      </w:r>
      <w:r w:rsidR="6375D7F3">
        <w:rPr>
          <w:noProof/>
        </w:rPr>
        <w:t xml:space="preserve">05,4 mld EUR </w:t>
      </w:r>
      <w:r w:rsidR="6375D7F3" w:rsidRPr="00C56AFD">
        <w:rPr>
          <w:noProof/>
        </w:rPr>
        <w:t>do</w:t>
      </w:r>
      <w:r w:rsidR="00C56AFD" w:rsidRPr="00C56AFD">
        <w:rPr>
          <w:rFonts w:ascii="Calibri" w:hAnsi="Calibri" w:cs="Calibri"/>
          <w:noProof/>
        </w:rPr>
        <w:t> </w:t>
      </w:r>
      <w:r w:rsidR="6375D7F3" w:rsidRPr="00C56AFD">
        <w:rPr>
          <w:noProof/>
        </w:rPr>
        <w:t>1</w:t>
      </w:r>
      <w:r w:rsidR="6375D7F3">
        <w:rPr>
          <w:noProof/>
        </w:rPr>
        <w:t>13,3 mld EUR</w:t>
      </w:r>
      <w:r w:rsidR="00C56AFD">
        <w:rPr>
          <w:noProof/>
        </w:rPr>
        <w:t xml:space="preserve"> w</w:t>
      </w:r>
      <w:r w:rsidR="00C56AFD">
        <w:rPr>
          <w:rFonts w:ascii="Calibri" w:hAnsi="Calibri" w:cs="Calibri"/>
          <w:noProof/>
        </w:rPr>
        <w:t> </w:t>
      </w:r>
      <w:r w:rsidR="00C56AFD">
        <w:rPr>
          <w:noProof/>
        </w:rPr>
        <w:t>opa</w:t>
      </w:r>
      <w:r w:rsidR="6375D7F3">
        <w:rPr>
          <w:noProof/>
        </w:rPr>
        <w:t>rciu</w:t>
      </w:r>
      <w:r w:rsidR="00C56AFD">
        <w:rPr>
          <w:noProof/>
        </w:rPr>
        <w:t xml:space="preserve"> o</w:t>
      </w:r>
      <w:r w:rsidR="00C56AFD">
        <w:rPr>
          <w:rFonts w:ascii="Calibri" w:hAnsi="Calibri" w:cs="Calibri"/>
          <w:noProof/>
        </w:rPr>
        <w:t> </w:t>
      </w:r>
      <w:r w:rsidR="00C56AFD">
        <w:rPr>
          <w:noProof/>
        </w:rPr>
        <w:t>kwo</w:t>
      </w:r>
      <w:r w:rsidR="6375D7F3">
        <w:rPr>
          <w:noProof/>
        </w:rPr>
        <w:t>ty przewidziane na koszty finansowania zewnętrznego</w:t>
      </w:r>
      <w:r w:rsidR="00C56AFD">
        <w:rPr>
          <w:noProof/>
        </w:rPr>
        <w:t xml:space="preserve"> w</w:t>
      </w:r>
      <w:r w:rsidR="00C56AFD">
        <w:rPr>
          <w:rFonts w:ascii="Calibri" w:hAnsi="Calibri" w:cs="Calibri"/>
          <w:noProof/>
        </w:rPr>
        <w:t> </w:t>
      </w:r>
      <w:r w:rsidR="00C56AFD">
        <w:rPr>
          <w:noProof/>
        </w:rPr>
        <w:t>ram</w:t>
      </w:r>
      <w:r w:rsidR="6375D7F3">
        <w:rPr>
          <w:noProof/>
        </w:rPr>
        <w:t>ach NGEU. Niepewność związana z tą prognozą pozostaje duża, ponieważ faktyczne kwoty zależą zarówno od tempa wypłat</w:t>
      </w:r>
      <w:r w:rsidR="00C56AFD">
        <w:rPr>
          <w:noProof/>
        </w:rPr>
        <w:t xml:space="preserve"> w</w:t>
      </w:r>
      <w:r w:rsidR="00C56AFD">
        <w:rPr>
          <w:rFonts w:ascii="Calibri" w:hAnsi="Calibri" w:cs="Calibri"/>
          <w:noProof/>
        </w:rPr>
        <w:t> </w:t>
      </w:r>
      <w:r w:rsidR="00C56AFD">
        <w:rPr>
          <w:noProof/>
        </w:rPr>
        <w:t>ram</w:t>
      </w:r>
      <w:r w:rsidR="6375D7F3">
        <w:rPr>
          <w:noProof/>
        </w:rPr>
        <w:t>ach NGEU</w:t>
      </w:r>
      <w:r w:rsidR="00C56AFD">
        <w:rPr>
          <w:noProof/>
        </w:rPr>
        <w:t xml:space="preserve"> i</w:t>
      </w:r>
      <w:r w:rsidR="00C56AFD">
        <w:rPr>
          <w:rFonts w:ascii="Calibri" w:hAnsi="Calibri" w:cs="Calibri"/>
          <w:noProof/>
        </w:rPr>
        <w:t> </w:t>
      </w:r>
      <w:r w:rsidR="00C56AFD">
        <w:rPr>
          <w:noProof/>
        </w:rPr>
        <w:t>pow</w:t>
      </w:r>
      <w:r w:rsidR="6375D7F3">
        <w:rPr>
          <w:noProof/>
        </w:rPr>
        <w:t>iązanych operacji zaciągania pożyczek, jak i od zmian stóp procentowych.</w:t>
      </w:r>
      <w:bookmarkStart w:id="72" w:name="_Toc71745280"/>
      <w:bookmarkStart w:id="73" w:name="_Toc524523073"/>
      <w:bookmarkEnd w:id="72"/>
    </w:p>
    <w:p w14:paraId="34A9E241" w14:textId="5B44E176" w:rsidR="00861C1C" w:rsidRPr="00390EB1" w:rsidRDefault="003B6DC2">
      <w:pPr>
        <w:pStyle w:val="amprH2TITLE1-Numbered-1"/>
        <w:rPr>
          <w:noProof/>
        </w:rPr>
      </w:pPr>
      <w:bookmarkStart w:id="74" w:name="_Toc170319524"/>
      <w:r>
        <w:rPr>
          <w:noProof/>
        </w:rPr>
        <w:t>Wnioski</w:t>
      </w:r>
      <w:bookmarkEnd w:id="73"/>
      <w:bookmarkEnd w:id="74"/>
    </w:p>
    <w:p w14:paraId="142ED7A7" w14:textId="526440B2" w:rsidR="00E77670" w:rsidRPr="00390EB1" w:rsidRDefault="2A67BF04">
      <w:pPr>
        <w:spacing w:after="120" w:line="276" w:lineRule="auto"/>
        <w:jc w:val="both"/>
        <w:rPr>
          <w:noProof/>
        </w:rPr>
      </w:pPr>
      <w:r>
        <w:rPr>
          <w:noProof/>
        </w:rPr>
        <w:t>Niniejsza prognoza jest sporządzana</w:t>
      </w:r>
      <w:r w:rsidR="00C56AFD">
        <w:rPr>
          <w:noProof/>
        </w:rPr>
        <w:t xml:space="preserve"> w</w:t>
      </w:r>
      <w:r w:rsidR="00C56AFD">
        <w:rPr>
          <w:rFonts w:ascii="Calibri" w:hAnsi="Calibri" w:cs="Calibri"/>
          <w:noProof/>
        </w:rPr>
        <w:t> </w:t>
      </w:r>
      <w:r w:rsidR="00C56AFD">
        <w:rPr>
          <w:noProof/>
        </w:rPr>
        <w:t>kon</w:t>
      </w:r>
      <w:r>
        <w:rPr>
          <w:noProof/>
        </w:rPr>
        <w:t>tekście dużej niepewności. Inicjatywy przedstawione</w:t>
      </w:r>
      <w:r w:rsidR="00C56AFD">
        <w:rPr>
          <w:noProof/>
        </w:rPr>
        <w:t xml:space="preserve"> w</w:t>
      </w:r>
      <w:r w:rsidR="00C56AFD">
        <w:rPr>
          <w:rFonts w:ascii="Calibri" w:hAnsi="Calibri" w:cs="Calibri"/>
          <w:noProof/>
        </w:rPr>
        <w:t> </w:t>
      </w:r>
      <w:r w:rsidR="00C56AFD">
        <w:rPr>
          <w:noProof/>
        </w:rPr>
        <w:t>cel</w:t>
      </w:r>
      <w:r>
        <w:rPr>
          <w:noProof/>
        </w:rPr>
        <w:t>u wsparcia państw członkowskich, państw trzecich</w:t>
      </w:r>
      <w:r w:rsidR="00C56AFD">
        <w:rPr>
          <w:noProof/>
        </w:rPr>
        <w:t xml:space="preserve"> i</w:t>
      </w:r>
      <w:r w:rsidR="00C56AFD">
        <w:rPr>
          <w:rFonts w:ascii="Calibri" w:hAnsi="Calibri" w:cs="Calibri"/>
          <w:noProof/>
        </w:rPr>
        <w:t> </w:t>
      </w:r>
      <w:r w:rsidR="00C56AFD">
        <w:rPr>
          <w:noProof/>
        </w:rPr>
        <w:t>kon</w:t>
      </w:r>
      <w:r>
        <w:rPr>
          <w:noProof/>
        </w:rPr>
        <w:t>kretnych sektorów spowodowały przyspieszenie płatności</w:t>
      </w:r>
      <w:r w:rsidR="00C56AFD">
        <w:rPr>
          <w:noProof/>
        </w:rPr>
        <w:t xml:space="preserve"> w</w:t>
      </w:r>
      <w:r w:rsidR="00C56AFD">
        <w:rPr>
          <w:rFonts w:ascii="Calibri" w:hAnsi="Calibri" w:cs="Calibri"/>
          <w:noProof/>
        </w:rPr>
        <w:t> </w:t>
      </w:r>
      <w:r w:rsidR="00C56AFD">
        <w:rPr>
          <w:noProof/>
        </w:rPr>
        <w:t>odn</w:t>
      </w:r>
      <w:r>
        <w:rPr>
          <w:noProof/>
        </w:rPr>
        <w:t>iesieniu do zaległych</w:t>
      </w:r>
      <w:r w:rsidR="00C56AFD">
        <w:rPr>
          <w:noProof/>
        </w:rPr>
        <w:t xml:space="preserve"> i</w:t>
      </w:r>
      <w:r w:rsidR="00C56AFD">
        <w:rPr>
          <w:rFonts w:ascii="Calibri" w:hAnsi="Calibri" w:cs="Calibri"/>
          <w:noProof/>
        </w:rPr>
        <w:t> </w:t>
      </w:r>
      <w:r w:rsidR="00C56AFD">
        <w:rPr>
          <w:noProof/>
        </w:rPr>
        <w:t>now</w:t>
      </w:r>
      <w:r>
        <w:rPr>
          <w:noProof/>
        </w:rPr>
        <w:t>ych programów. Po historycznym śródokresowym przeglądzie WRF</w:t>
      </w:r>
      <w:r w:rsidR="00C56AFD">
        <w:rPr>
          <w:noProof/>
        </w:rPr>
        <w:t xml:space="preserve"> i</w:t>
      </w:r>
      <w:r w:rsidR="00C56AFD">
        <w:rPr>
          <w:rFonts w:ascii="Calibri" w:hAnsi="Calibri" w:cs="Calibri"/>
          <w:noProof/>
        </w:rPr>
        <w:t> </w:t>
      </w:r>
      <w:r w:rsidR="00C56AFD">
        <w:rPr>
          <w:noProof/>
        </w:rPr>
        <w:t>ins</w:t>
      </w:r>
      <w:r>
        <w:rPr>
          <w:noProof/>
        </w:rPr>
        <w:t>trumentów finansowania zewnętrznego więcej środków finansowych dostępnych jest na rzecz Ukrainy</w:t>
      </w:r>
      <w:r w:rsidR="00C56AFD">
        <w:rPr>
          <w:noProof/>
        </w:rPr>
        <w:t xml:space="preserve"> i</w:t>
      </w:r>
      <w:r w:rsidR="00C56AFD">
        <w:rPr>
          <w:rFonts w:ascii="Calibri" w:hAnsi="Calibri" w:cs="Calibri"/>
          <w:noProof/>
        </w:rPr>
        <w:t> </w:t>
      </w:r>
      <w:r w:rsidR="00C56AFD">
        <w:rPr>
          <w:noProof/>
        </w:rPr>
        <w:t>sąs</w:t>
      </w:r>
      <w:r>
        <w:rPr>
          <w:noProof/>
        </w:rPr>
        <w:t>iadujących krajów partnerskich,</w:t>
      </w:r>
      <w:r w:rsidR="00C56AFD">
        <w:rPr>
          <w:noProof/>
        </w:rPr>
        <w:t xml:space="preserve"> a</w:t>
      </w:r>
      <w:r w:rsidR="00C56AFD">
        <w:rPr>
          <w:rFonts w:ascii="Calibri" w:hAnsi="Calibri" w:cs="Calibri"/>
          <w:noProof/>
        </w:rPr>
        <w:t> </w:t>
      </w:r>
      <w:r w:rsidR="00C56AFD">
        <w:rPr>
          <w:noProof/>
        </w:rPr>
        <w:t>tak</w:t>
      </w:r>
      <w:r>
        <w:rPr>
          <w:noProof/>
        </w:rPr>
        <w:t>że na rzecz migracji</w:t>
      </w:r>
      <w:r w:rsidR="00C56AFD">
        <w:rPr>
          <w:noProof/>
        </w:rPr>
        <w:t xml:space="preserve"> i</w:t>
      </w:r>
      <w:r w:rsidR="00C56AFD">
        <w:rPr>
          <w:rFonts w:ascii="Calibri" w:hAnsi="Calibri" w:cs="Calibri"/>
          <w:noProof/>
        </w:rPr>
        <w:t> </w:t>
      </w:r>
      <w:r w:rsidR="00C56AFD">
        <w:rPr>
          <w:noProof/>
        </w:rPr>
        <w:t>kon</w:t>
      </w:r>
      <w:r>
        <w:rPr>
          <w:noProof/>
        </w:rPr>
        <w:t xml:space="preserve">kurencyjności. </w:t>
      </w:r>
    </w:p>
    <w:p w14:paraId="2ED65641" w14:textId="0066929E" w:rsidR="00972003" w:rsidRPr="00390EB1" w:rsidRDefault="334DE64F" w:rsidP="00972003">
      <w:pPr>
        <w:spacing w:after="120" w:line="276" w:lineRule="auto"/>
        <w:jc w:val="both"/>
        <w:rPr>
          <w:noProof/>
        </w:rPr>
      </w:pPr>
      <w:r>
        <w:rPr>
          <w:noProof/>
        </w:rPr>
        <w:t>Opóźniona realizacja programów polityki spójności na lata 2021–2027 zwiększa ryzyko umorzeń. Do nagromadzenia opóźnień mogło również przyczynić się skupianie się organów krajowych na zakończeniu programów</w:t>
      </w:r>
      <w:r w:rsidR="00C56AFD">
        <w:rPr>
          <w:noProof/>
        </w:rPr>
        <w:t xml:space="preserve"> z</w:t>
      </w:r>
      <w:r w:rsidR="00C56AFD">
        <w:rPr>
          <w:rFonts w:ascii="Calibri" w:hAnsi="Calibri" w:cs="Calibri"/>
          <w:noProof/>
        </w:rPr>
        <w:t> </w:t>
      </w:r>
      <w:r w:rsidR="00C56AFD">
        <w:rPr>
          <w:noProof/>
        </w:rPr>
        <w:t>pop</w:t>
      </w:r>
      <w:r>
        <w:rPr>
          <w:noProof/>
        </w:rPr>
        <w:t>rzednich WRF</w:t>
      </w:r>
      <w:r w:rsidR="00C56AFD">
        <w:rPr>
          <w:noProof/>
        </w:rPr>
        <w:t xml:space="preserve"> i</w:t>
      </w:r>
      <w:r w:rsidR="00C56AFD">
        <w:rPr>
          <w:rFonts w:ascii="Calibri" w:hAnsi="Calibri" w:cs="Calibri"/>
          <w:noProof/>
        </w:rPr>
        <w:t> </w:t>
      </w:r>
      <w:r w:rsidR="00C56AFD">
        <w:rPr>
          <w:noProof/>
        </w:rPr>
        <w:t>Nex</w:t>
      </w:r>
      <w:r>
        <w:rPr>
          <w:noProof/>
        </w:rPr>
        <w:t>tGenerationEU, biorąc pod uwagę ich krótsze ramy czasowe, wraz</w:t>
      </w:r>
      <w:r w:rsidR="00C56AFD">
        <w:rPr>
          <w:noProof/>
        </w:rPr>
        <w:t xml:space="preserve"> z</w:t>
      </w:r>
      <w:r w:rsidR="00C56AFD">
        <w:rPr>
          <w:rFonts w:ascii="Calibri" w:hAnsi="Calibri" w:cs="Calibri"/>
          <w:noProof/>
        </w:rPr>
        <w:t> </w:t>
      </w:r>
      <w:r w:rsidR="00C56AFD">
        <w:rPr>
          <w:noProof/>
        </w:rPr>
        <w:t>póź</w:t>
      </w:r>
      <w:r>
        <w:rPr>
          <w:noProof/>
        </w:rPr>
        <w:t>nym przyjęciem odpowiednich podstawowych aktów prawnych. Aby uniknąć urzeczywistnienia się tych umorzeń, państwa członkowskie muszą przyspieszyć tempo wdrażania</w:t>
      </w:r>
      <w:r w:rsidR="00C56AFD">
        <w:rPr>
          <w:noProof/>
        </w:rPr>
        <w:t xml:space="preserve"> w</w:t>
      </w:r>
      <w:r w:rsidR="00C56AFD">
        <w:rPr>
          <w:rFonts w:ascii="Calibri" w:hAnsi="Calibri" w:cs="Calibri"/>
          <w:noProof/>
        </w:rPr>
        <w:t> </w:t>
      </w:r>
      <w:r w:rsidR="00C56AFD">
        <w:rPr>
          <w:noProof/>
        </w:rPr>
        <w:t>lat</w:t>
      </w:r>
      <w:r>
        <w:rPr>
          <w:noProof/>
        </w:rPr>
        <w:t>ach 2026</w:t>
      </w:r>
      <w:r w:rsidR="00C56AFD">
        <w:rPr>
          <w:noProof/>
        </w:rPr>
        <w:t xml:space="preserve"> i</w:t>
      </w:r>
      <w:r w:rsidR="00C56AFD">
        <w:rPr>
          <w:rFonts w:ascii="Calibri" w:hAnsi="Calibri" w:cs="Calibri"/>
          <w:noProof/>
        </w:rPr>
        <w:t> </w:t>
      </w:r>
      <w:r w:rsidR="00C56AFD">
        <w:rPr>
          <w:noProof/>
        </w:rPr>
        <w:t>2</w:t>
      </w:r>
      <w:r>
        <w:rPr>
          <w:noProof/>
        </w:rPr>
        <w:t>027</w:t>
      </w:r>
      <w:r w:rsidR="00C56AFD">
        <w:rPr>
          <w:noProof/>
        </w:rPr>
        <w:t xml:space="preserve"> w</w:t>
      </w:r>
      <w:r w:rsidR="00C56AFD">
        <w:rPr>
          <w:rFonts w:ascii="Calibri" w:hAnsi="Calibri" w:cs="Calibri"/>
          <w:noProof/>
        </w:rPr>
        <w:t> </w:t>
      </w:r>
      <w:r w:rsidR="00C56AFD">
        <w:rPr>
          <w:noProof/>
        </w:rPr>
        <w:t>cel</w:t>
      </w:r>
      <w:r>
        <w:rPr>
          <w:noProof/>
        </w:rPr>
        <w:t>u uniknięcia utraty środków</w:t>
      </w:r>
      <w:r w:rsidR="00C56AFD">
        <w:rPr>
          <w:noProof/>
        </w:rPr>
        <w:t xml:space="preserve"> w</w:t>
      </w:r>
      <w:r w:rsidR="00C56AFD">
        <w:rPr>
          <w:rFonts w:ascii="Calibri" w:hAnsi="Calibri" w:cs="Calibri"/>
          <w:noProof/>
        </w:rPr>
        <w:t> </w:t>
      </w:r>
      <w:r w:rsidR="00C56AFD">
        <w:rPr>
          <w:noProof/>
        </w:rPr>
        <w:t>zwi</w:t>
      </w:r>
      <w:r>
        <w:rPr>
          <w:noProof/>
        </w:rPr>
        <w:t>ązku</w:t>
      </w:r>
      <w:r w:rsidR="00C56AFD">
        <w:rPr>
          <w:noProof/>
        </w:rPr>
        <w:t xml:space="preserve"> z</w:t>
      </w:r>
      <w:r w:rsidR="00C56AFD">
        <w:rPr>
          <w:rFonts w:ascii="Calibri" w:hAnsi="Calibri" w:cs="Calibri"/>
          <w:noProof/>
        </w:rPr>
        <w:t> </w:t>
      </w:r>
      <w:r w:rsidR="00C56AFD">
        <w:rPr>
          <w:noProof/>
        </w:rPr>
        <w:t>prz</w:t>
      </w:r>
      <w:r>
        <w:rPr>
          <w:noProof/>
        </w:rPr>
        <w:t>episami dotyczącymi umorzeń</w:t>
      </w:r>
      <w:r w:rsidR="00C56AFD">
        <w:rPr>
          <w:noProof/>
        </w:rPr>
        <w:t>. W</w:t>
      </w:r>
      <w:r w:rsidR="00C56AFD">
        <w:rPr>
          <w:rFonts w:ascii="Calibri" w:hAnsi="Calibri" w:cs="Calibri"/>
          <w:noProof/>
        </w:rPr>
        <w:t> </w:t>
      </w:r>
      <w:r w:rsidR="00C56AFD">
        <w:rPr>
          <w:noProof/>
        </w:rPr>
        <w:t>zwi</w:t>
      </w:r>
      <w:r>
        <w:rPr>
          <w:noProof/>
        </w:rPr>
        <w:t>ązku</w:t>
      </w:r>
      <w:r w:rsidR="00C56AFD">
        <w:rPr>
          <w:noProof/>
        </w:rPr>
        <w:t xml:space="preserve"> z</w:t>
      </w:r>
      <w:r w:rsidR="00C56AFD">
        <w:rPr>
          <w:rFonts w:ascii="Calibri" w:hAnsi="Calibri" w:cs="Calibri"/>
          <w:noProof/>
        </w:rPr>
        <w:t> </w:t>
      </w:r>
      <w:r w:rsidR="00C56AFD">
        <w:rPr>
          <w:noProof/>
        </w:rPr>
        <w:t>zak</w:t>
      </w:r>
      <w:r>
        <w:rPr>
          <w:noProof/>
        </w:rPr>
        <w:t>ończeniem programów funduszy spójności na lata 2014–2020</w:t>
      </w:r>
      <w:r w:rsidR="00C56AFD">
        <w:rPr>
          <w:noProof/>
        </w:rPr>
        <w:t xml:space="preserve"> i</w:t>
      </w:r>
      <w:r w:rsidR="00C56AFD">
        <w:rPr>
          <w:rFonts w:ascii="Calibri" w:hAnsi="Calibri" w:cs="Calibri"/>
          <w:noProof/>
        </w:rPr>
        <w:t> </w:t>
      </w:r>
      <w:r w:rsidR="00C56AFD">
        <w:rPr>
          <w:noProof/>
        </w:rPr>
        <w:t>pro</w:t>
      </w:r>
      <w:r>
        <w:rPr>
          <w:noProof/>
        </w:rPr>
        <w:t>gramów EFRROW na lata 2014–2022 kwoty zagrożone umorzeniem wzrosły</w:t>
      </w:r>
      <w:r w:rsidR="00C56AFD">
        <w:rPr>
          <w:noProof/>
        </w:rPr>
        <w:t xml:space="preserve"> w</w:t>
      </w:r>
      <w:r w:rsidR="00C56AFD">
        <w:rPr>
          <w:rFonts w:ascii="Calibri" w:hAnsi="Calibri" w:cs="Calibri"/>
          <w:noProof/>
        </w:rPr>
        <w:t> </w:t>
      </w:r>
      <w:r w:rsidR="00C56AFD">
        <w:rPr>
          <w:noProof/>
        </w:rPr>
        <w:t>por</w:t>
      </w:r>
      <w:r>
        <w:rPr>
          <w:noProof/>
        </w:rPr>
        <w:t>ównaniu</w:t>
      </w:r>
      <w:r w:rsidR="00C56AFD">
        <w:rPr>
          <w:noProof/>
        </w:rPr>
        <w:t xml:space="preserve"> z</w:t>
      </w:r>
      <w:r w:rsidR="00C56AFD">
        <w:rPr>
          <w:rFonts w:ascii="Calibri" w:hAnsi="Calibri" w:cs="Calibri"/>
          <w:noProof/>
        </w:rPr>
        <w:t> </w:t>
      </w:r>
      <w:r w:rsidR="00C56AFD">
        <w:rPr>
          <w:noProof/>
        </w:rPr>
        <w:t>pop</w:t>
      </w:r>
      <w:r>
        <w:rPr>
          <w:noProof/>
        </w:rPr>
        <w:t>rzednią prognozą</w:t>
      </w:r>
      <w:r w:rsidR="00C56AFD">
        <w:rPr>
          <w:noProof/>
        </w:rPr>
        <w:t xml:space="preserve"> w</w:t>
      </w:r>
      <w:r w:rsidR="00C56AFD">
        <w:rPr>
          <w:rFonts w:ascii="Calibri" w:hAnsi="Calibri" w:cs="Calibri"/>
          <w:noProof/>
        </w:rPr>
        <w:t> </w:t>
      </w:r>
      <w:r w:rsidR="00C56AFD">
        <w:rPr>
          <w:noProof/>
        </w:rPr>
        <w:t>nas</w:t>
      </w:r>
      <w:r>
        <w:rPr>
          <w:noProof/>
        </w:rPr>
        <w:t>tępstwie analizy wdrażania</w:t>
      </w:r>
      <w:r w:rsidR="00C56AFD">
        <w:rPr>
          <w:noProof/>
        </w:rPr>
        <w:t xml:space="preserve"> i</w:t>
      </w:r>
      <w:r w:rsidR="00C56AFD">
        <w:rPr>
          <w:rFonts w:ascii="Calibri" w:hAnsi="Calibri" w:cs="Calibri"/>
          <w:noProof/>
        </w:rPr>
        <w:t> </w:t>
      </w:r>
      <w:r w:rsidR="00C56AFD">
        <w:rPr>
          <w:noProof/>
        </w:rPr>
        <w:t>naj</w:t>
      </w:r>
      <w:r>
        <w:rPr>
          <w:noProof/>
        </w:rPr>
        <w:t>nowszej prognozy państw członkowskich.</w:t>
      </w:r>
    </w:p>
    <w:p w14:paraId="6238291A" w14:textId="20FC5628" w:rsidR="00B276B4" w:rsidRPr="00390EB1" w:rsidRDefault="25DEB9F0" w:rsidP="00B276B4">
      <w:pPr>
        <w:spacing w:after="120" w:line="276" w:lineRule="auto"/>
        <w:jc w:val="both"/>
        <w:rPr>
          <w:noProof/>
        </w:rPr>
      </w:pPr>
      <w:r>
        <w:rPr>
          <w:noProof/>
        </w:rPr>
        <w:t xml:space="preserve">Pułap płatności WRF pozostaje wystarczający do pokrycia przewidywanych płatności do końca okresu obowiązywania WRF. </w:t>
      </w:r>
      <w:r>
        <w:rPr>
          <w:rStyle w:val="amprcharCharttitle"/>
          <w:b w:val="0"/>
          <w:noProof/>
          <w:color w:val="auto"/>
        </w:rPr>
        <w:t>Oczekuje się, że płatności będą kształtować się znacznie poniżej pułapu płatności WRF</w:t>
      </w:r>
      <w:r w:rsidR="00C56AFD">
        <w:rPr>
          <w:rStyle w:val="amprcharCharttitle"/>
          <w:b w:val="0"/>
          <w:noProof/>
          <w:color w:val="auto"/>
        </w:rPr>
        <w:t xml:space="preserve"> w</w:t>
      </w:r>
      <w:r w:rsidR="00C56AFD">
        <w:rPr>
          <w:rStyle w:val="amprcharCharttitle"/>
          <w:rFonts w:ascii="Calibri" w:hAnsi="Calibri" w:cs="Calibri"/>
          <w:b w:val="0"/>
          <w:noProof/>
          <w:color w:val="auto"/>
        </w:rPr>
        <w:t> </w:t>
      </w:r>
      <w:r w:rsidR="00C56AFD">
        <w:rPr>
          <w:rStyle w:val="amprcharCharttitle"/>
          <w:b w:val="0"/>
          <w:noProof/>
          <w:color w:val="auto"/>
        </w:rPr>
        <w:t>lat</w:t>
      </w:r>
      <w:r>
        <w:rPr>
          <w:rStyle w:val="amprcharCharttitle"/>
          <w:b w:val="0"/>
          <w:noProof/>
          <w:color w:val="auto"/>
        </w:rPr>
        <w:t>ach 2024</w:t>
      </w:r>
      <w:r w:rsidR="00C56AFD">
        <w:rPr>
          <w:rStyle w:val="amprcharCharttitle"/>
          <w:b w:val="0"/>
          <w:noProof/>
          <w:color w:val="auto"/>
        </w:rPr>
        <w:t xml:space="preserve"> i</w:t>
      </w:r>
      <w:r w:rsidR="00C56AFD">
        <w:rPr>
          <w:rStyle w:val="amprcharCharttitle"/>
          <w:rFonts w:ascii="Calibri" w:hAnsi="Calibri" w:cs="Calibri"/>
          <w:b w:val="0"/>
          <w:noProof/>
          <w:color w:val="auto"/>
        </w:rPr>
        <w:t> </w:t>
      </w:r>
      <w:r w:rsidR="00C56AFD">
        <w:rPr>
          <w:rStyle w:val="amprcharCharttitle"/>
          <w:b w:val="0"/>
          <w:noProof/>
          <w:color w:val="auto"/>
        </w:rPr>
        <w:t>2</w:t>
      </w:r>
      <w:r>
        <w:rPr>
          <w:rStyle w:val="amprcharCharttitle"/>
          <w:b w:val="0"/>
          <w:noProof/>
          <w:color w:val="auto"/>
        </w:rPr>
        <w:t xml:space="preserve">025, co pozwoli na przeniesienie </w:t>
      </w:r>
      <w:r>
        <w:rPr>
          <w:noProof/>
        </w:rPr>
        <w:t>niewykorzystanych kwot</w:t>
      </w:r>
      <w:r w:rsidR="00C56AFD">
        <w:rPr>
          <w:noProof/>
        </w:rPr>
        <w:t xml:space="preserve"> w</w:t>
      </w:r>
      <w:r w:rsidR="00C56AFD">
        <w:rPr>
          <w:rFonts w:ascii="Calibri" w:hAnsi="Calibri" w:cs="Calibri"/>
          <w:noProof/>
        </w:rPr>
        <w:t> </w:t>
      </w:r>
      <w:r w:rsidR="00C56AFD">
        <w:rPr>
          <w:noProof/>
        </w:rPr>
        <w:t>ram</w:t>
      </w:r>
      <w:r>
        <w:rPr>
          <w:noProof/>
        </w:rPr>
        <w:t>ach określonych limitów pod koniec okresu, kiedy potrzeby kredytowe będą wyższe</w:t>
      </w:r>
      <w:r w:rsidR="00C56AFD">
        <w:rPr>
          <w:noProof/>
        </w:rPr>
        <w:t>. W</w:t>
      </w:r>
      <w:r w:rsidR="00C56AFD">
        <w:rPr>
          <w:rFonts w:ascii="Calibri" w:hAnsi="Calibri" w:cs="Calibri"/>
          <w:noProof/>
        </w:rPr>
        <w:t> </w:t>
      </w:r>
      <w:r w:rsidR="00C56AFD">
        <w:rPr>
          <w:noProof/>
        </w:rPr>
        <w:t>szc</w:t>
      </w:r>
      <w:r>
        <w:rPr>
          <w:noProof/>
        </w:rPr>
        <w:t xml:space="preserve">zególności zmieniony </w:t>
      </w:r>
      <w:r w:rsidRPr="00C56AFD">
        <w:rPr>
          <w:noProof/>
        </w:rPr>
        <w:t>art.</w:t>
      </w:r>
      <w:r w:rsidR="00C56AFD" w:rsidRPr="00C56AFD">
        <w:rPr>
          <w:rFonts w:ascii="Calibri" w:hAnsi="Calibri" w:cs="Calibri"/>
          <w:noProof/>
        </w:rPr>
        <w:t> </w:t>
      </w:r>
      <w:r w:rsidRPr="00C56AFD">
        <w:rPr>
          <w:noProof/>
        </w:rPr>
        <w:t>1</w:t>
      </w:r>
      <w:r>
        <w:rPr>
          <w:noProof/>
        </w:rPr>
        <w:t xml:space="preserve">1 </w:t>
      </w:r>
      <w:r w:rsidRPr="00C56AFD">
        <w:rPr>
          <w:noProof/>
        </w:rPr>
        <w:t>ust.</w:t>
      </w:r>
      <w:r w:rsidR="00C56AFD" w:rsidRPr="00C56AFD">
        <w:rPr>
          <w:rFonts w:ascii="Calibri" w:hAnsi="Calibri" w:cs="Calibri"/>
          <w:noProof/>
        </w:rPr>
        <w:t> </w:t>
      </w:r>
      <w:r w:rsidRPr="00C56AFD">
        <w:rPr>
          <w:noProof/>
        </w:rPr>
        <w:t>3</w:t>
      </w:r>
      <w:r>
        <w:rPr>
          <w:noProof/>
        </w:rPr>
        <w:t>a rozporządzenia</w:t>
      </w:r>
      <w:r w:rsidR="00C56AFD">
        <w:rPr>
          <w:noProof/>
        </w:rPr>
        <w:t xml:space="preserve"> w</w:t>
      </w:r>
      <w:r w:rsidR="00C56AFD">
        <w:rPr>
          <w:rFonts w:ascii="Calibri" w:hAnsi="Calibri" w:cs="Calibri"/>
          <w:noProof/>
        </w:rPr>
        <w:t> </w:t>
      </w:r>
      <w:r w:rsidR="00C56AFD">
        <w:rPr>
          <w:noProof/>
        </w:rPr>
        <w:t>spr</w:t>
      </w:r>
      <w:r>
        <w:rPr>
          <w:noProof/>
        </w:rPr>
        <w:t>awie WRF umożliwi przesunięcie marginesu</w:t>
      </w:r>
      <w:r w:rsidR="00C56AFD">
        <w:rPr>
          <w:noProof/>
        </w:rPr>
        <w:t xml:space="preserve"> z</w:t>
      </w:r>
      <w:r w:rsidR="00C56AFD">
        <w:rPr>
          <w:rFonts w:ascii="Calibri" w:hAnsi="Calibri" w:cs="Calibri"/>
          <w:noProof/>
        </w:rPr>
        <w:t> </w:t>
      </w:r>
      <w:r w:rsidR="00C56AFD">
        <w:rPr>
          <w:noProof/>
        </w:rPr>
        <w:t>2</w:t>
      </w:r>
      <w:r>
        <w:rPr>
          <w:noProof/>
        </w:rPr>
        <w:t>0</w:t>
      </w:r>
      <w:r w:rsidRPr="00C56AFD">
        <w:rPr>
          <w:noProof/>
        </w:rPr>
        <w:t>25</w:t>
      </w:r>
      <w:r w:rsidR="00C56AFD" w:rsidRPr="00C56AFD">
        <w:rPr>
          <w:rFonts w:ascii="Calibri" w:hAnsi="Calibri" w:cs="Calibri"/>
          <w:noProof/>
        </w:rPr>
        <w:t> </w:t>
      </w:r>
      <w:r w:rsidRPr="00C56AFD">
        <w:rPr>
          <w:noProof/>
        </w:rPr>
        <w:t>r.</w:t>
      </w:r>
      <w:r>
        <w:rPr>
          <w:noProof/>
        </w:rPr>
        <w:t xml:space="preserve"> </w:t>
      </w:r>
      <w:r w:rsidRPr="00C56AFD">
        <w:rPr>
          <w:noProof/>
        </w:rPr>
        <w:t>na</w:t>
      </w:r>
      <w:r w:rsidR="00C56AFD" w:rsidRPr="00C56AFD">
        <w:rPr>
          <w:rFonts w:ascii="Calibri" w:hAnsi="Calibri" w:cs="Calibri"/>
          <w:noProof/>
        </w:rPr>
        <w:t> </w:t>
      </w:r>
      <w:r w:rsidRPr="00C56AFD">
        <w:rPr>
          <w:noProof/>
        </w:rPr>
        <w:t>2</w:t>
      </w:r>
      <w:r>
        <w:rPr>
          <w:noProof/>
        </w:rPr>
        <w:t>0</w:t>
      </w:r>
      <w:r w:rsidRPr="00C56AFD">
        <w:rPr>
          <w:noProof/>
        </w:rPr>
        <w:t>26</w:t>
      </w:r>
      <w:r w:rsidR="00C56AFD" w:rsidRPr="00C56AFD">
        <w:rPr>
          <w:rFonts w:ascii="Calibri" w:hAnsi="Calibri" w:cs="Calibri"/>
          <w:noProof/>
        </w:rPr>
        <w:t> </w:t>
      </w:r>
      <w:r w:rsidRPr="00C56AFD">
        <w:rPr>
          <w:noProof/>
        </w:rPr>
        <w:t>r.</w:t>
      </w:r>
      <w:r>
        <w:rPr>
          <w:noProof/>
        </w:rPr>
        <w:t xml:space="preserve"> Ogólnie rzecz biorąc, marża netto</w:t>
      </w:r>
      <w:r w:rsidR="00C56AFD">
        <w:rPr>
          <w:noProof/>
        </w:rPr>
        <w:t xml:space="preserve"> w</w:t>
      </w:r>
      <w:r w:rsidR="00C56AFD">
        <w:rPr>
          <w:rFonts w:ascii="Calibri" w:hAnsi="Calibri" w:cs="Calibri"/>
          <w:noProof/>
        </w:rPr>
        <w:t> </w:t>
      </w:r>
      <w:r w:rsidR="00C56AFD">
        <w:rPr>
          <w:noProof/>
        </w:rPr>
        <w:t>lat</w:t>
      </w:r>
      <w:r>
        <w:rPr>
          <w:noProof/>
        </w:rPr>
        <w:t>ach 2025–2027</w:t>
      </w:r>
      <w:r w:rsidR="00C56AFD">
        <w:rPr>
          <w:noProof/>
        </w:rPr>
        <w:t xml:space="preserve"> z</w:t>
      </w:r>
      <w:r w:rsidR="00C56AFD">
        <w:rPr>
          <w:rFonts w:ascii="Calibri" w:hAnsi="Calibri" w:cs="Calibri"/>
          <w:noProof/>
        </w:rPr>
        <w:t> </w:t>
      </w:r>
      <w:r w:rsidR="00C56AFD">
        <w:rPr>
          <w:noProof/>
        </w:rPr>
        <w:t>uwz</w:t>
      </w:r>
      <w:r>
        <w:rPr>
          <w:noProof/>
        </w:rPr>
        <w:t xml:space="preserve">ględnieniem dostosowań dotyczących poszczególnych programów szacowana jest </w:t>
      </w:r>
      <w:r w:rsidRPr="00C56AFD">
        <w:rPr>
          <w:noProof/>
        </w:rPr>
        <w:t>na</w:t>
      </w:r>
      <w:r w:rsidR="00C56AFD" w:rsidRPr="00C56AFD">
        <w:rPr>
          <w:rFonts w:ascii="Calibri" w:hAnsi="Calibri" w:cs="Calibri"/>
          <w:noProof/>
        </w:rPr>
        <w:t> </w:t>
      </w:r>
      <w:r w:rsidRPr="00C56AFD">
        <w:rPr>
          <w:noProof/>
        </w:rPr>
        <w:t>1</w:t>
      </w:r>
      <w:r>
        <w:rPr>
          <w:noProof/>
        </w:rPr>
        <w:t>7,6 mld EUR</w:t>
      </w:r>
      <w:r w:rsidR="00C56AFD">
        <w:rPr>
          <w:noProof/>
        </w:rPr>
        <w:t>. W</w:t>
      </w:r>
      <w:r w:rsidR="00C56AFD">
        <w:rPr>
          <w:rFonts w:ascii="Calibri" w:hAnsi="Calibri" w:cs="Calibri"/>
          <w:noProof/>
        </w:rPr>
        <w:t> </w:t>
      </w:r>
      <w:r w:rsidR="00C56AFD">
        <w:rPr>
          <w:noProof/>
        </w:rPr>
        <w:t>zwi</w:t>
      </w:r>
      <w:r>
        <w:rPr>
          <w:noProof/>
        </w:rPr>
        <w:t>ązku</w:t>
      </w:r>
      <w:r w:rsidR="00C56AFD">
        <w:rPr>
          <w:noProof/>
        </w:rPr>
        <w:t xml:space="preserve"> z</w:t>
      </w:r>
      <w:r w:rsidR="00C56AFD">
        <w:rPr>
          <w:rFonts w:ascii="Calibri" w:hAnsi="Calibri" w:cs="Calibri"/>
          <w:noProof/>
        </w:rPr>
        <w:t> </w:t>
      </w:r>
      <w:r w:rsidR="00C56AFD">
        <w:rPr>
          <w:noProof/>
        </w:rPr>
        <w:t>tym</w:t>
      </w:r>
      <w:r>
        <w:rPr>
          <w:noProof/>
        </w:rPr>
        <w:t xml:space="preserve"> możliwe jest większe przyspieszenie</w:t>
      </w:r>
      <w:r w:rsidR="00C56AFD">
        <w:rPr>
          <w:noProof/>
        </w:rPr>
        <w:t xml:space="preserve"> w</w:t>
      </w:r>
      <w:r w:rsidR="00C56AFD">
        <w:rPr>
          <w:rFonts w:ascii="Calibri" w:hAnsi="Calibri" w:cs="Calibri"/>
          <w:noProof/>
        </w:rPr>
        <w:t> </w:t>
      </w:r>
      <w:r w:rsidR="00C56AFD">
        <w:rPr>
          <w:noProof/>
        </w:rPr>
        <w:t>ram</w:t>
      </w:r>
      <w:r>
        <w:rPr>
          <w:noProof/>
        </w:rPr>
        <w:t>ach pułapów płatności. Jeżeli przyspieszenie nie nastąpi, istnieje ryzyko, że znaczne kwoty marginesów pozostaną niewykorzystane na koniec okresu.</w:t>
      </w:r>
    </w:p>
    <w:p w14:paraId="2A67703F" w14:textId="4C6DE099" w:rsidR="00861C1C" w:rsidRPr="00390EB1" w:rsidRDefault="2A67BF04" w:rsidP="23B06DA2">
      <w:pPr>
        <w:spacing w:after="120" w:line="276" w:lineRule="auto"/>
        <w:jc w:val="both"/>
        <w:rPr>
          <w:noProof/>
        </w:rPr>
      </w:pPr>
      <w:r>
        <w:rPr>
          <w:noProof/>
        </w:rPr>
        <w:t>Ukierunkowane inwestycje</w:t>
      </w:r>
      <w:r w:rsidR="00C56AFD">
        <w:rPr>
          <w:noProof/>
        </w:rPr>
        <w:t xml:space="preserve"> i</w:t>
      </w:r>
      <w:r w:rsidR="00C56AFD">
        <w:rPr>
          <w:rFonts w:ascii="Calibri" w:hAnsi="Calibri" w:cs="Calibri"/>
          <w:noProof/>
        </w:rPr>
        <w:t> </w:t>
      </w:r>
      <w:r w:rsidR="00C56AFD">
        <w:rPr>
          <w:noProof/>
        </w:rPr>
        <w:t>ref</w:t>
      </w:r>
      <w:r>
        <w:rPr>
          <w:noProof/>
        </w:rPr>
        <w:t>ormy</w:t>
      </w:r>
      <w:r w:rsidR="00C56AFD">
        <w:rPr>
          <w:noProof/>
        </w:rPr>
        <w:t xml:space="preserve"> w</w:t>
      </w:r>
      <w:r w:rsidR="00C56AFD">
        <w:rPr>
          <w:rFonts w:ascii="Calibri" w:hAnsi="Calibri" w:cs="Calibri"/>
          <w:noProof/>
        </w:rPr>
        <w:t> </w:t>
      </w:r>
      <w:r w:rsidR="00C56AFD">
        <w:rPr>
          <w:noProof/>
        </w:rPr>
        <w:t>ram</w:t>
      </w:r>
      <w:r>
        <w:rPr>
          <w:noProof/>
        </w:rPr>
        <w:t>ach NextGenerationEU nadal stanowią wsparcie dla gospodarki UE</w:t>
      </w:r>
      <w:r w:rsidR="00C56AFD">
        <w:rPr>
          <w:noProof/>
        </w:rPr>
        <w:t xml:space="preserve"> i</w:t>
      </w:r>
      <w:r w:rsidR="00C56AFD">
        <w:rPr>
          <w:rFonts w:ascii="Calibri" w:hAnsi="Calibri" w:cs="Calibri"/>
          <w:noProof/>
        </w:rPr>
        <w:t> </w:t>
      </w:r>
      <w:r w:rsidR="00C56AFD">
        <w:rPr>
          <w:noProof/>
        </w:rPr>
        <w:t>maj</w:t>
      </w:r>
      <w:r>
        <w:rPr>
          <w:noProof/>
        </w:rPr>
        <w:t>ą pomóc</w:t>
      </w:r>
      <w:r w:rsidR="00C56AFD">
        <w:rPr>
          <w:noProof/>
        </w:rPr>
        <w:t xml:space="preserve"> w</w:t>
      </w:r>
      <w:r w:rsidR="00C56AFD">
        <w:rPr>
          <w:rFonts w:ascii="Calibri" w:hAnsi="Calibri" w:cs="Calibri"/>
          <w:noProof/>
        </w:rPr>
        <w:t> </w:t>
      </w:r>
      <w:r w:rsidR="00C56AFD">
        <w:rPr>
          <w:noProof/>
        </w:rPr>
        <w:t>prz</w:t>
      </w:r>
      <w:r>
        <w:rPr>
          <w:noProof/>
        </w:rPr>
        <w:t>ejściu na czystą, zieloną energię</w:t>
      </w:r>
      <w:r w:rsidR="00C56AFD">
        <w:rPr>
          <w:b/>
          <w:noProof/>
        </w:rPr>
        <w:t xml:space="preserve">. </w:t>
      </w:r>
      <w:r w:rsidR="00C56AFD">
        <w:rPr>
          <w:noProof/>
        </w:rPr>
        <w:t>W</w:t>
      </w:r>
      <w:r w:rsidR="00C56AFD">
        <w:rPr>
          <w:rFonts w:ascii="Calibri" w:hAnsi="Calibri" w:cs="Calibri"/>
          <w:b/>
          <w:noProof/>
        </w:rPr>
        <w:t> </w:t>
      </w:r>
      <w:r w:rsidR="00C56AFD">
        <w:rPr>
          <w:noProof/>
        </w:rPr>
        <w:t>nad</w:t>
      </w:r>
      <w:r>
        <w:rPr>
          <w:noProof/>
        </w:rPr>
        <w:t>chodzących latach państwa członkowskie będą musiały wdrożyć fundusze NextGenerationEU</w:t>
      </w:r>
      <w:r w:rsidR="00C56AFD">
        <w:rPr>
          <w:noProof/>
        </w:rPr>
        <w:t xml:space="preserve"> z</w:t>
      </w:r>
      <w:r w:rsidR="00C56AFD">
        <w:rPr>
          <w:rFonts w:ascii="Calibri" w:hAnsi="Calibri" w:cs="Calibri"/>
          <w:noProof/>
        </w:rPr>
        <w:t> </w:t>
      </w:r>
      <w:r w:rsidR="00C56AFD">
        <w:rPr>
          <w:noProof/>
        </w:rPr>
        <w:t>zac</w:t>
      </w:r>
      <w:r>
        <w:rPr>
          <w:noProof/>
        </w:rPr>
        <w:t>howaniem terminu wypłat</w:t>
      </w:r>
      <w:r w:rsidR="00C56AFD">
        <w:rPr>
          <w:noProof/>
        </w:rPr>
        <w:t xml:space="preserve"> w</w:t>
      </w:r>
      <w:r w:rsidR="00C56AFD">
        <w:rPr>
          <w:rFonts w:ascii="Calibri" w:hAnsi="Calibri" w:cs="Calibri"/>
          <w:noProof/>
        </w:rPr>
        <w:t> </w:t>
      </w:r>
      <w:r w:rsidR="00C56AFD">
        <w:rPr>
          <w:noProof/>
        </w:rPr>
        <w:t>2</w:t>
      </w:r>
      <w:r>
        <w:rPr>
          <w:noProof/>
        </w:rPr>
        <w:t>0</w:t>
      </w:r>
      <w:r w:rsidRPr="00C56AFD">
        <w:rPr>
          <w:noProof/>
        </w:rPr>
        <w:t>26</w:t>
      </w:r>
      <w:r w:rsidR="00C56AFD" w:rsidRPr="00C56AFD">
        <w:rPr>
          <w:rFonts w:ascii="Calibri" w:hAnsi="Calibri" w:cs="Calibri"/>
          <w:noProof/>
        </w:rPr>
        <w:t> </w:t>
      </w:r>
      <w:r w:rsidRPr="00C56AFD">
        <w:rPr>
          <w:noProof/>
        </w:rPr>
        <w:t>r.</w:t>
      </w:r>
      <w:r>
        <w:rPr>
          <w:noProof/>
        </w:rPr>
        <w:t>,</w:t>
      </w:r>
      <w:r w:rsidR="00C56AFD">
        <w:rPr>
          <w:noProof/>
        </w:rPr>
        <w:t xml:space="preserve"> a</w:t>
      </w:r>
      <w:r w:rsidR="00C56AFD">
        <w:rPr>
          <w:rFonts w:ascii="Calibri" w:hAnsi="Calibri" w:cs="Calibri"/>
          <w:noProof/>
        </w:rPr>
        <w:t> </w:t>
      </w:r>
      <w:r w:rsidR="00C56AFD">
        <w:rPr>
          <w:noProof/>
        </w:rPr>
        <w:t>jed</w:t>
      </w:r>
      <w:r>
        <w:rPr>
          <w:noProof/>
        </w:rPr>
        <w:t>nocześnie przyspieszyć wdrażanie funduszy spójności</w:t>
      </w:r>
      <w:r w:rsidR="00C56AFD">
        <w:rPr>
          <w:noProof/>
        </w:rPr>
        <w:t xml:space="preserve"> w</w:t>
      </w:r>
      <w:r w:rsidR="00C56AFD">
        <w:rPr>
          <w:rFonts w:ascii="Calibri" w:hAnsi="Calibri" w:cs="Calibri"/>
          <w:noProof/>
        </w:rPr>
        <w:t> </w:t>
      </w:r>
      <w:r w:rsidR="00C56AFD">
        <w:rPr>
          <w:noProof/>
        </w:rPr>
        <w:t>cel</w:t>
      </w:r>
      <w:r>
        <w:rPr>
          <w:noProof/>
        </w:rPr>
        <w:t>u zmniejszenia ryzyka umorzeń.</w:t>
      </w:r>
    </w:p>
    <w:p w14:paraId="29C5E221" w14:textId="6DDFF488" w:rsidR="00861C1C" w:rsidRPr="00390EB1" w:rsidRDefault="3EEAF5F5">
      <w:pPr>
        <w:spacing w:after="120" w:line="276" w:lineRule="auto"/>
        <w:jc w:val="both"/>
        <w:rPr>
          <w:noProof/>
        </w:rPr>
      </w:pPr>
      <w:r>
        <w:rPr>
          <w:noProof/>
        </w:rPr>
        <w:t>Chociaż nominalnie RAL wzrastają pod koniec okresu WRF</w:t>
      </w:r>
      <w:r w:rsidR="00C56AFD">
        <w:rPr>
          <w:noProof/>
        </w:rPr>
        <w:t xml:space="preserve"> w</w:t>
      </w:r>
      <w:r w:rsidR="00C56AFD">
        <w:rPr>
          <w:rFonts w:ascii="Calibri" w:hAnsi="Calibri" w:cs="Calibri"/>
          <w:noProof/>
        </w:rPr>
        <w:t> </w:t>
      </w:r>
      <w:r w:rsidR="00C56AFD">
        <w:rPr>
          <w:noProof/>
        </w:rPr>
        <w:t>por</w:t>
      </w:r>
      <w:r>
        <w:rPr>
          <w:noProof/>
        </w:rPr>
        <w:t>ównaniu</w:t>
      </w:r>
      <w:r w:rsidR="00C56AFD">
        <w:rPr>
          <w:noProof/>
        </w:rPr>
        <w:t xml:space="preserve"> z</w:t>
      </w:r>
      <w:r w:rsidR="00C56AFD">
        <w:rPr>
          <w:rFonts w:ascii="Calibri" w:hAnsi="Calibri" w:cs="Calibri"/>
          <w:noProof/>
        </w:rPr>
        <w:t> </w:t>
      </w:r>
      <w:r w:rsidR="00C56AFD">
        <w:rPr>
          <w:noProof/>
        </w:rPr>
        <w:t>ubi</w:t>
      </w:r>
      <w:r>
        <w:rPr>
          <w:noProof/>
        </w:rPr>
        <w:t>egłym rokiem, to jednak zobowiązania te mierzone jako udział</w:t>
      </w:r>
      <w:r w:rsidR="00C56AFD">
        <w:rPr>
          <w:noProof/>
        </w:rPr>
        <w:t xml:space="preserve"> w</w:t>
      </w:r>
      <w:r w:rsidR="00C56AFD">
        <w:rPr>
          <w:rFonts w:ascii="Calibri" w:hAnsi="Calibri" w:cs="Calibri"/>
          <w:noProof/>
        </w:rPr>
        <w:t> </w:t>
      </w:r>
      <w:r w:rsidR="00C56AFD">
        <w:rPr>
          <w:noProof/>
        </w:rPr>
        <w:t>doc</w:t>
      </w:r>
      <w:r>
        <w:rPr>
          <w:noProof/>
        </w:rPr>
        <w:t>hodzie narodowym brutto UE ulegają zmniejszeniu, co pokazuje, że nominalny wzrost gospodarki UE przeważa nad nagromadzeniem zobowiązań pozostających do spłaty</w:t>
      </w:r>
      <w:r w:rsidR="00C56AFD">
        <w:rPr>
          <w:noProof/>
        </w:rPr>
        <w:t xml:space="preserve"> z</w:t>
      </w:r>
      <w:r w:rsidR="00C56AFD">
        <w:rPr>
          <w:rFonts w:ascii="Calibri" w:hAnsi="Calibri" w:cs="Calibri"/>
          <w:noProof/>
        </w:rPr>
        <w:t> </w:t>
      </w:r>
      <w:r w:rsidR="00C56AFD">
        <w:rPr>
          <w:noProof/>
        </w:rPr>
        <w:t>bud</w:t>
      </w:r>
      <w:r>
        <w:rPr>
          <w:noProof/>
        </w:rPr>
        <w:t>żetu UE. NextGenerationEU ma tymczasowy wpływ na poziom unijnych zobowiązań pozostających do spłaty. Jak wcześniej stwierdzono</w:t>
      </w:r>
      <w:r w:rsidR="00C56AFD">
        <w:rPr>
          <w:noProof/>
        </w:rPr>
        <w:t xml:space="preserve"> w</w:t>
      </w:r>
      <w:r w:rsidR="00C56AFD">
        <w:rPr>
          <w:rFonts w:ascii="Calibri" w:hAnsi="Calibri" w:cs="Calibri"/>
          <w:noProof/>
        </w:rPr>
        <w:t> </w:t>
      </w:r>
      <w:r w:rsidR="00C56AFD">
        <w:rPr>
          <w:noProof/>
        </w:rPr>
        <w:t>spr</w:t>
      </w:r>
      <w:r>
        <w:rPr>
          <w:noProof/>
        </w:rPr>
        <w:t>awozdaniu, poziom zobowiązań pozostających do spłaty był najwyższy na koniec 20</w:t>
      </w:r>
      <w:r w:rsidRPr="00C56AFD">
        <w:rPr>
          <w:noProof/>
        </w:rPr>
        <w:t>23</w:t>
      </w:r>
      <w:r w:rsidR="00C56AFD" w:rsidRPr="00C56AFD">
        <w:rPr>
          <w:rFonts w:ascii="Calibri" w:hAnsi="Calibri" w:cs="Calibri"/>
          <w:noProof/>
        </w:rPr>
        <w:t> </w:t>
      </w:r>
      <w:r w:rsidRPr="00C56AFD">
        <w:rPr>
          <w:noProof/>
        </w:rPr>
        <w:t>r.</w:t>
      </w:r>
      <w:r>
        <w:rPr>
          <w:noProof/>
        </w:rPr>
        <w:t>,</w:t>
      </w:r>
      <w:r w:rsidR="00C56AFD">
        <w:rPr>
          <w:noProof/>
        </w:rPr>
        <w:t xml:space="preserve"> a</w:t>
      </w:r>
      <w:r w:rsidR="00C56AFD">
        <w:rPr>
          <w:rFonts w:ascii="Calibri" w:hAnsi="Calibri" w:cs="Calibri"/>
          <w:noProof/>
        </w:rPr>
        <w:t> </w:t>
      </w:r>
      <w:r w:rsidR="00C56AFD">
        <w:rPr>
          <w:noProof/>
        </w:rPr>
        <w:t>ich</w:t>
      </w:r>
      <w:r>
        <w:rPr>
          <w:noProof/>
        </w:rPr>
        <w:t xml:space="preserve"> łączna wartość wyniosła 543 mld EUR, głównie ze względu na wpływ NextGenerationEU. Wykazano, że efekt ten stopniowo się zmniejsza</w:t>
      </w:r>
      <w:r w:rsidR="00C56AFD">
        <w:rPr>
          <w:noProof/>
        </w:rPr>
        <w:t xml:space="preserve"> i</w:t>
      </w:r>
      <w:r w:rsidR="00C56AFD">
        <w:rPr>
          <w:rFonts w:ascii="Calibri" w:hAnsi="Calibri" w:cs="Calibri"/>
          <w:noProof/>
        </w:rPr>
        <w:t> </w:t>
      </w:r>
      <w:r w:rsidR="00C56AFD">
        <w:rPr>
          <w:noProof/>
        </w:rPr>
        <w:t>pow</w:t>
      </w:r>
      <w:r>
        <w:rPr>
          <w:noProof/>
        </w:rPr>
        <w:t>róci do poziomów porównywalnych</w:t>
      </w:r>
      <w:r w:rsidR="00C56AFD">
        <w:rPr>
          <w:noProof/>
        </w:rPr>
        <w:t xml:space="preserve"> z</w:t>
      </w:r>
      <w:r w:rsidR="00C56AFD">
        <w:rPr>
          <w:rFonts w:ascii="Calibri" w:hAnsi="Calibri" w:cs="Calibri"/>
          <w:noProof/>
        </w:rPr>
        <w:t> </w:t>
      </w:r>
      <w:r w:rsidR="00C56AFD">
        <w:rPr>
          <w:noProof/>
        </w:rPr>
        <w:t>poc</w:t>
      </w:r>
      <w:r>
        <w:rPr>
          <w:noProof/>
        </w:rPr>
        <w:t>zątkiem okresu WRF do końca 20</w:t>
      </w:r>
      <w:r w:rsidRPr="00C56AFD">
        <w:rPr>
          <w:noProof/>
        </w:rPr>
        <w:t>27</w:t>
      </w:r>
      <w:r w:rsidR="00C56AFD" w:rsidRPr="00C56AFD">
        <w:rPr>
          <w:rFonts w:ascii="Calibri" w:hAnsi="Calibri" w:cs="Calibri"/>
          <w:noProof/>
        </w:rPr>
        <w:t> </w:t>
      </w:r>
      <w:r w:rsidRPr="00C56AFD">
        <w:rPr>
          <w:noProof/>
        </w:rPr>
        <w:t>r.</w:t>
      </w:r>
      <w:r>
        <w:rPr>
          <w:noProof/>
        </w:rPr>
        <w:t xml:space="preserve"> Odzwierciedla on jednak aktualny stan wykonania budżetu,</w:t>
      </w:r>
      <w:r w:rsidR="00C56AFD">
        <w:rPr>
          <w:noProof/>
        </w:rPr>
        <w:t xml:space="preserve"> w</w:t>
      </w:r>
      <w:r w:rsidR="00C56AFD">
        <w:rPr>
          <w:rFonts w:ascii="Calibri" w:hAnsi="Calibri" w:cs="Calibri"/>
          <w:noProof/>
        </w:rPr>
        <w:t> </w:t>
      </w:r>
      <w:r w:rsidR="00C56AFD">
        <w:rPr>
          <w:noProof/>
        </w:rPr>
        <w:t>tym</w:t>
      </w:r>
      <w:r>
        <w:rPr>
          <w:noProof/>
        </w:rPr>
        <w:t xml:space="preserve"> opóźnienia</w:t>
      </w:r>
      <w:r w:rsidR="00C56AFD">
        <w:rPr>
          <w:noProof/>
        </w:rPr>
        <w:t xml:space="preserve"> w</w:t>
      </w:r>
      <w:r w:rsidR="00C56AFD">
        <w:rPr>
          <w:rFonts w:ascii="Calibri" w:hAnsi="Calibri" w:cs="Calibri"/>
          <w:noProof/>
        </w:rPr>
        <w:t> </w:t>
      </w:r>
      <w:r w:rsidR="00C56AFD">
        <w:rPr>
          <w:noProof/>
        </w:rPr>
        <w:t>pol</w:t>
      </w:r>
      <w:r>
        <w:rPr>
          <w:noProof/>
        </w:rPr>
        <w:t>ityce spójności</w:t>
      </w:r>
      <w:r w:rsidR="00C56AFD">
        <w:rPr>
          <w:noProof/>
        </w:rPr>
        <w:t xml:space="preserve"> i</w:t>
      </w:r>
      <w:r w:rsidR="00C56AFD">
        <w:rPr>
          <w:rFonts w:ascii="Calibri" w:hAnsi="Calibri" w:cs="Calibri"/>
          <w:noProof/>
        </w:rPr>
        <w:t> </w:t>
      </w:r>
      <w:r w:rsidR="00C56AFD">
        <w:rPr>
          <w:noProof/>
        </w:rPr>
        <w:t>rol</w:t>
      </w:r>
      <w:r>
        <w:rPr>
          <w:noProof/>
        </w:rPr>
        <w:t>nictwie, które według szacunków będą utrzymywać się do końca okresu programowania.</w:t>
      </w:r>
    </w:p>
    <w:p w14:paraId="76D1A985" w14:textId="6B9F220A" w:rsidR="00861C1C" w:rsidRPr="00390EB1" w:rsidRDefault="2A67BF04">
      <w:pPr>
        <w:spacing w:after="120" w:line="276" w:lineRule="auto"/>
        <w:jc w:val="both"/>
        <w:rPr>
          <w:noProof/>
        </w:rPr>
      </w:pPr>
      <w:r>
        <w:rPr>
          <w:noProof/>
        </w:rPr>
        <w:t>Zasoby własne niezbędne do sfinansowania budżetu wraz</w:t>
      </w:r>
      <w:r w:rsidR="00C56AFD">
        <w:rPr>
          <w:noProof/>
        </w:rPr>
        <w:t xml:space="preserve"> z</w:t>
      </w:r>
      <w:r w:rsidR="00C56AFD">
        <w:rPr>
          <w:rFonts w:ascii="Calibri" w:hAnsi="Calibri" w:cs="Calibri"/>
          <w:noProof/>
        </w:rPr>
        <w:t> </w:t>
      </w:r>
      <w:r w:rsidR="00C56AFD">
        <w:rPr>
          <w:noProof/>
        </w:rPr>
        <w:t>inn</w:t>
      </w:r>
      <w:r>
        <w:rPr>
          <w:noProof/>
        </w:rPr>
        <w:t>ymi dochodami będą zgodne</w:t>
      </w:r>
      <w:r w:rsidR="00C56AFD">
        <w:rPr>
          <w:noProof/>
        </w:rPr>
        <w:t xml:space="preserve"> z</w:t>
      </w:r>
      <w:r w:rsidR="00C56AFD">
        <w:rPr>
          <w:rFonts w:ascii="Calibri" w:hAnsi="Calibri" w:cs="Calibri"/>
          <w:noProof/>
        </w:rPr>
        <w:t> </w:t>
      </w:r>
      <w:r w:rsidR="00C56AFD">
        <w:rPr>
          <w:noProof/>
        </w:rPr>
        <w:t>cyk</w:t>
      </w:r>
      <w:r>
        <w:rPr>
          <w:noProof/>
        </w:rPr>
        <w:t>lem wydatków</w:t>
      </w:r>
      <w:r w:rsidR="00C56AFD">
        <w:rPr>
          <w:noProof/>
        </w:rPr>
        <w:t xml:space="preserve"> w</w:t>
      </w:r>
      <w:r w:rsidR="00C56AFD">
        <w:rPr>
          <w:rFonts w:ascii="Calibri" w:hAnsi="Calibri" w:cs="Calibri"/>
          <w:noProof/>
        </w:rPr>
        <w:t> </w:t>
      </w:r>
      <w:r w:rsidR="00C56AFD">
        <w:rPr>
          <w:noProof/>
        </w:rPr>
        <w:t>ram</w:t>
      </w:r>
      <w:r>
        <w:rPr>
          <w:noProof/>
        </w:rPr>
        <w:t>ach WRF. Wielkość marginesu dostępnego</w:t>
      </w:r>
      <w:r w:rsidR="00C56AFD">
        <w:rPr>
          <w:noProof/>
        </w:rPr>
        <w:t xml:space="preserve"> w</w:t>
      </w:r>
      <w:r w:rsidR="00C56AFD">
        <w:rPr>
          <w:rFonts w:ascii="Calibri" w:hAnsi="Calibri" w:cs="Calibri"/>
          <w:noProof/>
        </w:rPr>
        <w:t> </w:t>
      </w:r>
      <w:r w:rsidR="00C56AFD">
        <w:rPr>
          <w:noProof/>
        </w:rPr>
        <w:t>ram</w:t>
      </w:r>
      <w:r>
        <w:rPr>
          <w:noProof/>
        </w:rPr>
        <w:t>ach pułapu zasobów własnych pozostanie jednak stosunkowo stabilna, ponieważ rosnące potrzeby</w:t>
      </w:r>
      <w:r w:rsidR="00C56AFD">
        <w:rPr>
          <w:noProof/>
        </w:rPr>
        <w:t xml:space="preserve"> w</w:t>
      </w:r>
      <w:r w:rsidR="00C56AFD">
        <w:rPr>
          <w:rFonts w:ascii="Calibri" w:hAnsi="Calibri" w:cs="Calibri"/>
          <w:noProof/>
        </w:rPr>
        <w:t> </w:t>
      </w:r>
      <w:r w:rsidR="00C56AFD">
        <w:rPr>
          <w:noProof/>
        </w:rPr>
        <w:t>zak</w:t>
      </w:r>
      <w:r>
        <w:rPr>
          <w:noProof/>
        </w:rPr>
        <w:t>resie dochodów odpowiadają prognozowanemu nominalnemu wzrostowi gospodarki UE.</w:t>
      </w:r>
    </w:p>
    <w:p w14:paraId="64614B46" w14:textId="77777777" w:rsidR="00861C1C" w:rsidRPr="00390EB1" w:rsidRDefault="00861C1C">
      <w:pPr>
        <w:spacing w:after="120" w:line="276" w:lineRule="auto"/>
        <w:jc w:val="both"/>
        <w:rPr>
          <w:noProof/>
        </w:rPr>
        <w:sectPr w:rsidR="00861C1C" w:rsidRPr="00390EB1">
          <w:headerReference w:type="even" r:id="rId29"/>
          <w:headerReference w:type="default" r:id="rId30"/>
          <w:footerReference w:type="even" r:id="rId31"/>
          <w:footerReference w:type="default" r:id="rId32"/>
          <w:headerReference w:type="first" r:id="rId33"/>
          <w:footerReference w:type="first" r:id="rId34"/>
          <w:pgSz w:w="11906" w:h="16838"/>
          <w:pgMar w:top="1321" w:right="1151" w:bottom="1440" w:left="1151" w:header="720" w:footer="720" w:gutter="0"/>
          <w:pgNumType w:start="1"/>
          <w:cols w:space="720"/>
          <w:docGrid w:linePitch="326"/>
        </w:sectPr>
      </w:pPr>
    </w:p>
    <w:p w14:paraId="4DF4B46E" w14:textId="1C7E6860" w:rsidR="00861C1C" w:rsidRPr="002A00F5" w:rsidRDefault="00391EE0" w:rsidP="002A00F5">
      <w:pPr>
        <w:pStyle w:val="amprH2TITLE1"/>
        <w:spacing w:after="480"/>
        <w:rPr>
          <w:noProof/>
        </w:rPr>
      </w:pPr>
      <w:bookmarkStart w:id="75" w:name="_Toc170319525"/>
      <w:bookmarkStart w:id="76" w:name="_Toc524523074"/>
      <w:bookmarkEnd w:id="65"/>
      <w:r>
        <w:rPr>
          <w:noProof/>
        </w:rPr>
        <w:t>Załącznik II – Wyniki prognozy</w:t>
      </w:r>
      <w:bookmarkEnd w:id="75"/>
    </w:p>
    <w:bookmarkEnd w:id="76"/>
    <w:p w14:paraId="1823CB20" w14:textId="73AC37AF" w:rsidR="00EB3BDB" w:rsidRPr="0040310C" w:rsidRDefault="009838C1" w:rsidP="00850C3E">
      <w:pPr>
        <w:pStyle w:val="amprBodyText"/>
        <w:rPr>
          <w:b/>
          <w:i/>
          <w:iCs/>
          <w:noProof/>
          <w:sz w:val="22"/>
          <w:szCs w:val="22"/>
        </w:rPr>
      </w:pPr>
      <w:r>
        <w:rPr>
          <w:i/>
          <w:noProof/>
          <w:sz w:val="22"/>
        </w:rPr>
        <w:t>O ile nie wskazano inaczej, wszystkie wartości podano</w:t>
      </w:r>
      <w:r w:rsidR="00C56AFD">
        <w:rPr>
          <w:i/>
          <w:noProof/>
          <w:sz w:val="22"/>
        </w:rPr>
        <w:t xml:space="preserve"> w</w:t>
      </w:r>
      <w:r w:rsidR="00C56AFD">
        <w:rPr>
          <w:rFonts w:ascii="Calibri" w:hAnsi="Calibri" w:cs="Calibri"/>
          <w:i/>
          <w:noProof/>
          <w:sz w:val="22"/>
        </w:rPr>
        <w:t> </w:t>
      </w:r>
      <w:r w:rsidR="00C56AFD">
        <w:rPr>
          <w:i/>
          <w:noProof/>
          <w:sz w:val="22"/>
        </w:rPr>
        <w:t>mld</w:t>
      </w:r>
      <w:r>
        <w:rPr>
          <w:i/>
          <w:noProof/>
          <w:sz w:val="22"/>
        </w:rPr>
        <w:t xml:space="preserve"> EUR,</w:t>
      </w:r>
      <w:r w:rsidR="00C56AFD">
        <w:rPr>
          <w:i/>
          <w:noProof/>
          <w:sz w:val="22"/>
        </w:rPr>
        <w:t xml:space="preserve"> w</w:t>
      </w:r>
      <w:r w:rsidR="00C56AFD">
        <w:rPr>
          <w:rFonts w:ascii="Calibri" w:hAnsi="Calibri" w:cs="Calibri"/>
          <w:i/>
          <w:noProof/>
          <w:sz w:val="22"/>
        </w:rPr>
        <w:t> </w:t>
      </w:r>
      <w:r w:rsidR="00C56AFD">
        <w:rPr>
          <w:i/>
          <w:noProof/>
          <w:sz w:val="22"/>
        </w:rPr>
        <w:t>cen</w:t>
      </w:r>
      <w:r>
        <w:rPr>
          <w:i/>
          <w:noProof/>
          <w:sz w:val="22"/>
        </w:rPr>
        <w:t>ach bieżących. Niektóre sumy poszczególnych kwot mogą nie być równe łącznej kwocie ze względu na zaokrąglenia.</w:t>
      </w:r>
    </w:p>
    <w:p w14:paraId="7CD51858" w14:textId="52178787" w:rsidR="00861C1C" w:rsidRPr="00390EB1" w:rsidRDefault="003B6DC2" w:rsidP="009C6708">
      <w:pPr>
        <w:pStyle w:val="Heading2"/>
        <w:rPr>
          <w:noProof/>
        </w:rPr>
      </w:pPr>
      <w:bookmarkStart w:id="77" w:name="_Toc170319526"/>
      <w:r>
        <w:rPr>
          <w:noProof/>
        </w:rPr>
        <w:t xml:space="preserve">Tabela </w:t>
      </w:r>
      <w:r w:rsidR="0074057C">
        <w:rPr>
          <w:noProof/>
        </w:rPr>
        <w:fldChar w:fldCharType="begin"/>
      </w:r>
      <w:r w:rsidR="0074057C">
        <w:rPr>
          <w:noProof/>
        </w:rPr>
        <w:instrText xml:space="preserve"> SEQ Table \* ARABIC </w:instrText>
      </w:r>
      <w:r w:rsidR="0074057C">
        <w:rPr>
          <w:noProof/>
        </w:rPr>
        <w:fldChar w:fldCharType="separate"/>
      </w:r>
      <w:r w:rsidR="00927C3F" w:rsidRPr="00390EB1">
        <w:rPr>
          <w:noProof/>
        </w:rPr>
        <w:t>1</w:t>
      </w:r>
      <w:r w:rsidR="0074057C">
        <w:rPr>
          <w:noProof/>
        </w:rPr>
        <w:fldChar w:fldCharType="end"/>
      </w:r>
      <w:r>
        <w:rPr>
          <w:noProof/>
        </w:rPr>
        <w:t>.1 – Prognoza długoterminowa przyszłych wypływów</w:t>
      </w:r>
      <w:r w:rsidR="00C56AFD">
        <w:rPr>
          <w:noProof/>
        </w:rPr>
        <w:t xml:space="preserve"> z</w:t>
      </w:r>
      <w:r w:rsidR="00C56AFD">
        <w:rPr>
          <w:rFonts w:ascii="Calibri" w:hAnsi="Calibri" w:cs="Calibri"/>
          <w:noProof/>
        </w:rPr>
        <w:t> </w:t>
      </w:r>
      <w:r w:rsidR="00C56AFD">
        <w:rPr>
          <w:noProof/>
        </w:rPr>
        <w:t>bud</w:t>
      </w:r>
      <w:r>
        <w:rPr>
          <w:noProof/>
        </w:rPr>
        <w:t>żetu na lata 2025–2029</w:t>
      </w:r>
      <w:r w:rsidR="00C56AFD">
        <w:rPr>
          <w:noProof/>
        </w:rPr>
        <w:t xml:space="preserve"> w</w:t>
      </w:r>
      <w:r w:rsidR="00C56AFD">
        <w:rPr>
          <w:rFonts w:ascii="Calibri" w:hAnsi="Calibri" w:cs="Calibri"/>
          <w:noProof/>
        </w:rPr>
        <w:t> </w:t>
      </w:r>
      <w:r w:rsidR="00C56AFD">
        <w:rPr>
          <w:noProof/>
        </w:rPr>
        <w:t>odn</w:t>
      </w:r>
      <w:r>
        <w:rPr>
          <w:noProof/>
        </w:rPr>
        <w:t>iesieniu do WRF</w:t>
      </w:r>
      <w:bookmarkEnd w:id="77"/>
    </w:p>
    <w:tbl>
      <w:tblPr>
        <w:tblStyle w:val="AMPR2021"/>
        <w:tblW w:w="9750" w:type="dxa"/>
        <w:tblBorders>
          <w:top w:val="none" w:sz="0" w:space="0" w:color="auto"/>
          <w:insideH w:val="single" w:sz="6" w:space="0" w:color="BFBFBF" w:themeColor="background1" w:themeShade="BF"/>
          <w:insideV w:val="single" w:sz="6" w:space="0" w:color="BFBFBF" w:themeColor="background1" w:themeShade="BF"/>
        </w:tblBorders>
        <w:tblLayout w:type="fixed"/>
        <w:tblLook w:val="06A0" w:firstRow="1" w:lastRow="0" w:firstColumn="1" w:lastColumn="0" w:noHBand="1" w:noVBand="1"/>
      </w:tblPr>
      <w:tblGrid>
        <w:gridCol w:w="3288"/>
        <w:gridCol w:w="1077"/>
        <w:gridCol w:w="1077"/>
        <w:gridCol w:w="1077"/>
        <w:gridCol w:w="1077"/>
        <w:gridCol w:w="1077"/>
        <w:gridCol w:w="1077"/>
      </w:tblGrid>
      <w:tr w:rsidR="0040310C" w:rsidRPr="0040310C" w14:paraId="25D4248E" w14:textId="77777777" w:rsidTr="00ED1BB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88" w:type="dxa"/>
          </w:tcPr>
          <w:p w14:paraId="1613DF08" w14:textId="77777777" w:rsidR="003539BF" w:rsidRPr="0040310C" w:rsidRDefault="003539BF" w:rsidP="003539BF">
            <w:pPr>
              <w:rPr>
                <w:rFonts w:asciiTheme="minorHAnsi" w:eastAsia="Calibri" w:hAnsiTheme="minorHAnsi"/>
                <w:noProof/>
                <w:sz w:val="22"/>
                <w:szCs w:val="22"/>
              </w:rPr>
            </w:pPr>
            <w:r>
              <w:rPr>
                <w:rFonts w:asciiTheme="minorHAnsi" w:hAnsiTheme="minorHAnsi"/>
                <w:noProof/>
                <w:sz w:val="22"/>
              </w:rPr>
              <w:t>Rok</w:t>
            </w:r>
          </w:p>
        </w:tc>
        <w:tc>
          <w:tcPr>
            <w:tcW w:w="1077" w:type="dxa"/>
          </w:tcPr>
          <w:p w14:paraId="6526BCA1" w14:textId="21E060BD" w:rsidR="003539BF" w:rsidRPr="0040310C" w:rsidRDefault="003539BF" w:rsidP="003539BF">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b w:val="0"/>
                <w:bCs/>
                <w:noProof/>
                <w:sz w:val="22"/>
                <w:szCs w:val="22"/>
              </w:rPr>
            </w:pPr>
            <w:r>
              <w:rPr>
                <w:rFonts w:asciiTheme="minorHAnsi" w:hAnsiTheme="minorHAnsi"/>
                <w:noProof/>
                <w:sz w:val="22"/>
              </w:rPr>
              <w:t>2025</w:t>
            </w:r>
          </w:p>
        </w:tc>
        <w:tc>
          <w:tcPr>
            <w:tcW w:w="1077" w:type="dxa"/>
          </w:tcPr>
          <w:p w14:paraId="1A1F559E" w14:textId="3B59E24E" w:rsidR="003539BF" w:rsidRPr="0040310C" w:rsidRDefault="003539BF" w:rsidP="003539BF">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b w:val="0"/>
                <w:bCs/>
                <w:noProof/>
                <w:sz w:val="22"/>
                <w:szCs w:val="22"/>
              </w:rPr>
            </w:pPr>
            <w:r>
              <w:rPr>
                <w:rFonts w:asciiTheme="minorHAnsi" w:hAnsiTheme="minorHAnsi"/>
                <w:noProof/>
                <w:sz w:val="22"/>
              </w:rPr>
              <w:t>2026</w:t>
            </w:r>
          </w:p>
        </w:tc>
        <w:tc>
          <w:tcPr>
            <w:tcW w:w="1077" w:type="dxa"/>
          </w:tcPr>
          <w:p w14:paraId="3F243BCE" w14:textId="024B8C81" w:rsidR="003539BF" w:rsidRPr="0040310C" w:rsidRDefault="003539BF" w:rsidP="003539BF">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b w:val="0"/>
                <w:bCs/>
                <w:noProof/>
                <w:sz w:val="22"/>
                <w:szCs w:val="22"/>
              </w:rPr>
            </w:pPr>
            <w:r>
              <w:rPr>
                <w:rFonts w:asciiTheme="minorHAnsi" w:hAnsiTheme="minorHAnsi"/>
                <w:noProof/>
                <w:sz w:val="22"/>
              </w:rPr>
              <w:t>2027</w:t>
            </w:r>
          </w:p>
        </w:tc>
        <w:tc>
          <w:tcPr>
            <w:tcW w:w="1077" w:type="dxa"/>
          </w:tcPr>
          <w:p w14:paraId="6C172A85" w14:textId="2759D85A" w:rsidR="003539BF" w:rsidRPr="0040310C" w:rsidRDefault="003539BF" w:rsidP="003539BF">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b w:val="0"/>
                <w:bCs/>
                <w:noProof/>
                <w:sz w:val="22"/>
                <w:szCs w:val="22"/>
              </w:rPr>
            </w:pPr>
            <w:r>
              <w:rPr>
                <w:rFonts w:asciiTheme="minorHAnsi" w:hAnsiTheme="minorHAnsi"/>
                <w:noProof/>
                <w:sz w:val="22"/>
              </w:rPr>
              <w:t>2028</w:t>
            </w:r>
          </w:p>
        </w:tc>
        <w:tc>
          <w:tcPr>
            <w:tcW w:w="1077" w:type="dxa"/>
          </w:tcPr>
          <w:p w14:paraId="64B49C82" w14:textId="3CCDC3F9" w:rsidR="003539BF" w:rsidRPr="0040310C" w:rsidRDefault="003539BF" w:rsidP="003539BF">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Pr>
                <w:rFonts w:asciiTheme="minorHAnsi" w:hAnsiTheme="minorHAnsi"/>
                <w:noProof/>
                <w:sz w:val="22"/>
              </w:rPr>
              <w:t>2029</w:t>
            </w:r>
          </w:p>
        </w:tc>
        <w:tc>
          <w:tcPr>
            <w:tcW w:w="1077" w:type="dxa"/>
          </w:tcPr>
          <w:p w14:paraId="4FC7249B" w14:textId="77777777" w:rsidR="003539BF" w:rsidRPr="0040310C" w:rsidRDefault="003539BF" w:rsidP="003539BF">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b w:val="0"/>
                <w:bCs/>
                <w:noProof/>
                <w:sz w:val="22"/>
                <w:szCs w:val="22"/>
              </w:rPr>
            </w:pPr>
            <w:r>
              <w:rPr>
                <w:rFonts w:asciiTheme="minorHAnsi" w:hAnsiTheme="minorHAnsi"/>
                <w:noProof/>
                <w:sz w:val="22"/>
              </w:rPr>
              <w:t>Ogółem</w:t>
            </w:r>
          </w:p>
        </w:tc>
      </w:tr>
      <w:tr w:rsidR="0040310C" w:rsidRPr="0040310C" w14:paraId="3822FE07" w14:textId="77777777" w:rsidTr="00ED1BB1">
        <w:trPr>
          <w:trHeight w:val="300"/>
        </w:trPr>
        <w:tc>
          <w:tcPr>
            <w:cnfStyle w:val="001000000000" w:firstRow="0" w:lastRow="0" w:firstColumn="1" w:lastColumn="0" w:oddVBand="0" w:evenVBand="0" w:oddHBand="0" w:evenHBand="0" w:firstRowFirstColumn="0" w:firstRowLastColumn="0" w:lastRowFirstColumn="0" w:lastRowLastColumn="0"/>
            <w:tcW w:w="3288" w:type="dxa"/>
          </w:tcPr>
          <w:p w14:paraId="568B11AF" w14:textId="77777777" w:rsidR="003539BF" w:rsidRPr="00ED1BB1" w:rsidRDefault="003539BF" w:rsidP="003539BF">
            <w:pPr>
              <w:spacing w:after="120"/>
              <w:rPr>
                <w:rFonts w:asciiTheme="minorHAnsi" w:eastAsia="Calibri" w:hAnsiTheme="minorHAnsi"/>
                <w:bCs/>
                <w:noProof/>
                <w:color w:val="245F95" w:themeColor="text2"/>
                <w:sz w:val="22"/>
                <w:szCs w:val="22"/>
              </w:rPr>
            </w:pPr>
            <w:r>
              <w:rPr>
                <w:rFonts w:asciiTheme="minorHAnsi" w:hAnsiTheme="minorHAnsi"/>
                <w:noProof/>
                <w:color w:val="245F95" w:themeColor="text2"/>
                <w:sz w:val="22"/>
              </w:rPr>
              <w:t>Pułap środków na zobowiązania</w:t>
            </w:r>
          </w:p>
        </w:tc>
        <w:tc>
          <w:tcPr>
            <w:tcW w:w="1077" w:type="dxa"/>
            <w:vAlign w:val="center"/>
          </w:tcPr>
          <w:p w14:paraId="13B2AA9D" w14:textId="4E009AC4" w:rsidR="003539BF" w:rsidRPr="0040310C" w:rsidRDefault="006F5F64"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noProof/>
                <w:color w:val="000000" w:themeColor="text1"/>
                <w:sz w:val="22"/>
                <w:szCs w:val="22"/>
              </w:rPr>
            </w:pPr>
            <w:r>
              <w:rPr>
                <w:rFonts w:asciiTheme="minorHAnsi" w:hAnsiTheme="minorHAnsi"/>
                <w:noProof/>
                <w:color w:val="000000" w:themeColor="text1"/>
                <w:sz w:val="22"/>
              </w:rPr>
              <w:t>190,5</w:t>
            </w:r>
          </w:p>
        </w:tc>
        <w:tc>
          <w:tcPr>
            <w:tcW w:w="1077" w:type="dxa"/>
            <w:vAlign w:val="center"/>
          </w:tcPr>
          <w:p w14:paraId="4847FE02" w14:textId="551CEA1F" w:rsidR="003539BF" w:rsidRPr="0040310C" w:rsidRDefault="003539BF"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noProof/>
                <w:color w:val="000000" w:themeColor="text1"/>
                <w:sz w:val="22"/>
                <w:szCs w:val="22"/>
              </w:rPr>
            </w:pPr>
            <w:r>
              <w:rPr>
                <w:rFonts w:asciiTheme="minorHAnsi" w:hAnsiTheme="minorHAnsi"/>
                <w:noProof/>
                <w:color w:val="000000" w:themeColor="text1"/>
                <w:sz w:val="22"/>
              </w:rPr>
              <w:t>180,5</w:t>
            </w:r>
          </w:p>
        </w:tc>
        <w:tc>
          <w:tcPr>
            <w:tcW w:w="1077" w:type="dxa"/>
            <w:vAlign w:val="center"/>
          </w:tcPr>
          <w:p w14:paraId="0CE87CAE" w14:textId="4F000E7C" w:rsidR="003539BF" w:rsidRPr="0040310C" w:rsidRDefault="003539BF"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noProof/>
                <w:color w:val="000000" w:themeColor="text1"/>
                <w:sz w:val="22"/>
                <w:szCs w:val="22"/>
              </w:rPr>
            </w:pPr>
            <w:r>
              <w:rPr>
                <w:rFonts w:asciiTheme="minorHAnsi" w:hAnsiTheme="minorHAnsi"/>
                <w:noProof/>
                <w:color w:val="000000" w:themeColor="text1"/>
                <w:sz w:val="22"/>
              </w:rPr>
              <w:t>186,2</w:t>
            </w:r>
          </w:p>
        </w:tc>
        <w:tc>
          <w:tcPr>
            <w:tcW w:w="1077" w:type="dxa"/>
            <w:vAlign w:val="center"/>
          </w:tcPr>
          <w:p w14:paraId="4E03CC8B" w14:textId="50387A78" w:rsidR="003539BF" w:rsidRPr="0040310C" w:rsidRDefault="003539BF"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noProof/>
                <w:color w:val="000000" w:themeColor="text1"/>
                <w:sz w:val="22"/>
                <w:szCs w:val="22"/>
              </w:rPr>
            </w:pPr>
          </w:p>
        </w:tc>
        <w:tc>
          <w:tcPr>
            <w:tcW w:w="1077" w:type="dxa"/>
            <w:vAlign w:val="center"/>
          </w:tcPr>
          <w:p w14:paraId="5B03D7CA" w14:textId="63CBCA74" w:rsidR="003539BF" w:rsidRPr="0040310C" w:rsidRDefault="003539BF"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noProof/>
                <w:color w:val="000000" w:themeColor="text1"/>
                <w:sz w:val="22"/>
                <w:szCs w:val="22"/>
              </w:rPr>
            </w:pPr>
          </w:p>
        </w:tc>
        <w:tc>
          <w:tcPr>
            <w:tcW w:w="1077" w:type="dxa"/>
            <w:vAlign w:val="center"/>
          </w:tcPr>
          <w:p w14:paraId="02CAC638" w14:textId="4071FB4D" w:rsidR="003539BF" w:rsidRPr="00ED1BB1" w:rsidRDefault="0084313E"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noProof/>
                <w:color w:val="245F95" w:themeColor="text2"/>
                <w:sz w:val="22"/>
                <w:szCs w:val="22"/>
              </w:rPr>
            </w:pPr>
            <w:r>
              <w:rPr>
                <w:rFonts w:asciiTheme="minorHAnsi" w:hAnsiTheme="minorHAnsi"/>
                <w:b/>
                <w:noProof/>
                <w:color w:val="245F95" w:themeColor="text2"/>
                <w:sz w:val="22"/>
              </w:rPr>
              <w:t>557,2</w:t>
            </w:r>
          </w:p>
        </w:tc>
      </w:tr>
      <w:tr w:rsidR="0040310C" w:rsidRPr="0040310C" w14:paraId="5F681BD4" w14:textId="77777777" w:rsidTr="00ED1BB1">
        <w:trPr>
          <w:trHeight w:val="300"/>
        </w:trPr>
        <w:tc>
          <w:tcPr>
            <w:cnfStyle w:val="001000000000" w:firstRow="0" w:lastRow="0" w:firstColumn="1" w:lastColumn="0" w:oddVBand="0" w:evenVBand="0" w:oddHBand="0" w:evenHBand="0" w:firstRowFirstColumn="0" w:firstRowLastColumn="0" w:lastRowFirstColumn="0" w:lastRowLastColumn="0"/>
            <w:tcW w:w="3288" w:type="dxa"/>
          </w:tcPr>
          <w:p w14:paraId="3178286A" w14:textId="77777777" w:rsidR="003539BF" w:rsidRPr="00ED1BB1" w:rsidRDefault="003539BF" w:rsidP="003539BF">
            <w:pPr>
              <w:spacing w:after="120"/>
              <w:rPr>
                <w:rFonts w:asciiTheme="minorHAnsi" w:eastAsia="Calibri" w:hAnsiTheme="minorHAnsi"/>
                <w:bCs/>
                <w:noProof/>
                <w:color w:val="245F95" w:themeColor="text2"/>
                <w:sz w:val="22"/>
                <w:szCs w:val="22"/>
              </w:rPr>
            </w:pPr>
            <w:r>
              <w:rPr>
                <w:rFonts w:asciiTheme="minorHAnsi" w:hAnsiTheme="minorHAnsi"/>
                <w:noProof/>
                <w:color w:val="245F95" w:themeColor="text2"/>
                <w:sz w:val="22"/>
              </w:rPr>
              <w:t>Pułap płatności</w:t>
            </w:r>
          </w:p>
        </w:tc>
        <w:tc>
          <w:tcPr>
            <w:tcW w:w="1077" w:type="dxa"/>
            <w:vAlign w:val="center"/>
          </w:tcPr>
          <w:p w14:paraId="1BF04BEA" w14:textId="187B30BC" w:rsidR="003539BF" w:rsidRPr="0040310C" w:rsidRDefault="00CD69CB"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noProof/>
                <w:color w:val="000000" w:themeColor="text1"/>
                <w:sz w:val="22"/>
                <w:szCs w:val="22"/>
              </w:rPr>
            </w:pPr>
            <w:r>
              <w:rPr>
                <w:rFonts w:asciiTheme="minorHAnsi" w:hAnsiTheme="minorHAnsi"/>
                <w:noProof/>
                <w:color w:val="000000" w:themeColor="text1"/>
                <w:sz w:val="22"/>
              </w:rPr>
              <w:t>175,4</w:t>
            </w:r>
          </w:p>
        </w:tc>
        <w:tc>
          <w:tcPr>
            <w:tcW w:w="1077" w:type="dxa"/>
            <w:vAlign w:val="center"/>
          </w:tcPr>
          <w:p w14:paraId="6C9D0B33" w14:textId="06FB1CF3" w:rsidR="003539BF" w:rsidRPr="0040310C" w:rsidRDefault="00401F60"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noProof/>
                <w:color w:val="000000" w:themeColor="text1"/>
                <w:sz w:val="22"/>
                <w:szCs w:val="22"/>
              </w:rPr>
            </w:pPr>
            <w:r>
              <w:rPr>
                <w:rFonts w:asciiTheme="minorHAnsi" w:hAnsiTheme="minorHAnsi"/>
                <w:noProof/>
                <w:color w:val="000000" w:themeColor="text1"/>
                <w:sz w:val="22"/>
              </w:rPr>
              <w:t>180,6</w:t>
            </w:r>
          </w:p>
        </w:tc>
        <w:tc>
          <w:tcPr>
            <w:tcW w:w="1077" w:type="dxa"/>
            <w:vAlign w:val="center"/>
          </w:tcPr>
          <w:p w14:paraId="5FC39066" w14:textId="5B46F96F" w:rsidR="003539BF" w:rsidRPr="0040310C" w:rsidRDefault="003539BF"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noProof/>
                <w:color w:val="000000" w:themeColor="text1"/>
                <w:sz w:val="22"/>
                <w:szCs w:val="22"/>
              </w:rPr>
            </w:pPr>
            <w:r>
              <w:rPr>
                <w:rFonts w:asciiTheme="minorHAnsi" w:hAnsiTheme="minorHAnsi"/>
                <w:noProof/>
                <w:color w:val="000000" w:themeColor="text1"/>
                <w:sz w:val="22"/>
              </w:rPr>
              <w:t>184,2</w:t>
            </w:r>
          </w:p>
        </w:tc>
        <w:tc>
          <w:tcPr>
            <w:tcW w:w="1077" w:type="dxa"/>
            <w:vAlign w:val="center"/>
          </w:tcPr>
          <w:p w14:paraId="6C87700B" w14:textId="65337137" w:rsidR="003539BF" w:rsidRPr="0040310C" w:rsidRDefault="003539BF"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noProof/>
                <w:color w:val="000000" w:themeColor="text1"/>
                <w:sz w:val="22"/>
                <w:szCs w:val="22"/>
              </w:rPr>
            </w:pPr>
          </w:p>
        </w:tc>
        <w:tc>
          <w:tcPr>
            <w:tcW w:w="1077" w:type="dxa"/>
            <w:vAlign w:val="center"/>
          </w:tcPr>
          <w:p w14:paraId="15A56518" w14:textId="2F216BEF" w:rsidR="003539BF" w:rsidRPr="0040310C" w:rsidRDefault="003539BF"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noProof/>
                <w:color w:val="000000" w:themeColor="text1"/>
                <w:sz w:val="22"/>
                <w:szCs w:val="22"/>
              </w:rPr>
            </w:pPr>
          </w:p>
        </w:tc>
        <w:tc>
          <w:tcPr>
            <w:tcW w:w="1077" w:type="dxa"/>
            <w:vAlign w:val="center"/>
          </w:tcPr>
          <w:p w14:paraId="22E251C8" w14:textId="563ACDFB" w:rsidR="003539BF" w:rsidRPr="00ED1BB1" w:rsidRDefault="00207BD6"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noProof/>
                <w:color w:val="245F95" w:themeColor="text2"/>
                <w:sz w:val="22"/>
                <w:szCs w:val="22"/>
              </w:rPr>
            </w:pPr>
            <w:r>
              <w:rPr>
                <w:rFonts w:asciiTheme="minorHAnsi" w:hAnsiTheme="minorHAnsi"/>
                <w:b/>
                <w:noProof/>
                <w:color w:val="245F95" w:themeColor="text2"/>
                <w:sz w:val="22"/>
              </w:rPr>
              <w:t>540,2</w:t>
            </w:r>
          </w:p>
        </w:tc>
      </w:tr>
      <w:tr w:rsidR="0040310C" w:rsidRPr="0040310C" w14:paraId="0B999388" w14:textId="77777777" w:rsidTr="00ED1BB1">
        <w:trPr>
          <w:trHeight w:val="300"/>
        </w:trPr>
        <w:tc>
          <w:tcPr>
            <w:cnfStyle w:val="001000000000" w:firstRow="0" w:lastRow="0" w:firstColumn="1" w:lastColumn="0" w:oddVBand="0" w:evenVBand="0" w:oddHBand="0" w:evenHBand="0" w:firstRowFirstColumn="0" w:firstRowLastColumn="0" w:lastRowFirstColumn="0" w:lastRowLastColumn="0"/>
            <w:tcW w:w="3288" w:type="dxa"/>
          </w:tcPr>
          <w:p w14:paraId="38007A5E" w14:textId="43905F88" w:rsidR="003539BF" w:rsidRPr="0040310C" w:rsidRDefault="003539BF" w:rsidP="003539BF">
            <w:pPr>
              <w:spacing w:after="120"/>
              <w:rPr>
                <w:rFonts w:asciiTheme="minorHAnsi" w:eastAsia="Calibri" w:hAnsiTheme="minorHAnsi"/>
                <w:b w:val="0"/>
                <w:bCs/>
                <w:i/>
                <w:iCs/>
                <w:noProof/>
                <w:color w:val="000000" w:themeColor="text1"/>
                <w:sz w:val="22"/>
                <w:szCs w:val="22"/>
              </w:rPr>
            </w:pPr>
            <w:r>
              <w:rPr>
                <w:rFonts w:asciiTheme="minorHAnsi" w:hAnsiTheme="minorHAnsi"/>
                <w:b w:val="0"/>
                <w:i/>
                <w:noProof/>
                <w:color w:val="000000" w:themeColor="text1"/>
                <w:sz w:val="22"/>
              </w:rPr>
              <w:t xml:space="preserve">Ponadto dostosowanie na potrzeby </w:t>
            </w:r>
            <w:r w:rsidRPr="00C56AFD">
              <w:rPr>
                <w:rFonts w:asciiTheme="minorHAnsi" w:hAnsiTheme="minorHAnsi"/>
                <w:b w:val="0"/>
                <w:i/>
                <w:noProof/>
                <w:color w:val="000000" w:themeColor="text1"/>
                <w:sz w:val="22"/>
              </w:rPr>
              <w:t>art.</w:t>
            </w:r>
            <w:r w:rsidR="00C56AFD" w:rsidRPr="00C56AFD">
              <w:rPr>
                <w:rFonts w:ascii="Calibri" w:hAnsi="Calibri" w:cs="Calibri"/>
                <w:b w:val="0"/>
                <w:i/>
                <w:noProof/>
                <w:color w:val="000000" w:themeColor="text1"/>
                <w:sz w:val="22"/>
              </w:rPr>
              <w:t> </w:t>
            </w:r>
            <w:r w:rsidRPr="00C56AFD">
              <w:rPr>
                <w:rFonts w:asciiTheme="minorHAnsi" w:hAnsiTheme="minorHAnsi"/>
                <w:b w:val="0"/>
                <w:i/>
                <w:noProof/>
                <w:color w:val="000000" w:themeColor="text1"/>
                <w:sz w:val="22"/>
              </w:rPr>
              <w:t>5</w:t>
            </w:r>
            <w:r>
              <w:rPr>
                <w:rFonts w:asciiTheme="minorHAnsi" w:hAnsiTheme="minorHAnsi"/>
                <w:b w:val="0"/>
                <w:i/>
                <w:noProof/>
                <w:color w:val="000000" w:themeColor="text1"/>
                <w:sz w:val="22"/>
              </w:rPr>
              <w:t xml:space="preserve"> WRF (szacunki na przyszłe lata)</w:t>
            </w:r>
          </w:p>
        </w:tc>
        <w:tc>
          <w:tcPr>
            <w:tcW w:w="1077" w:type="dxa"/>
            <w:vAlign w:val="center"/>
          </w:tcPr>
          <w:p w14:paraId="4C999090" w14:textId="335DFDB2" w:rsidR="003539BF" w:rsidRPr="0040310C" w:rsidRDefault="003539BF"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noProof/>
                <w:color w:val="000000" w:themeColor="text1"/>
                <w:sz w:val="22"/>
                <w:szCs w:val="22"/>
              </w:rPr>
            </w:pPr>
          </w:p>
        </w:tc>
        <w:tc>
          <w:tcPr>
            <w:tcW w:w="1077" w:type="dxa"/>
            <w:vAlign w:val="center"/>
          </w:tcPr>
          <w:p w14:paraId="3A4BCABD" w14:textId="28FCF532" w:rsidR="003539BF" w:rsidRPr="0040310C" w:rsidRDefault="003539BF"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noProof/>
                <w:color w:val="000000" w:themeColor="text1"/>
                <w:sz w:val="22"/>
                <w:szCs w:val="22"/>
              </w:rPr>
            </w:pPr>
            <w:r>
              <w:rPr>
                <w:rFonts w:asciiTheme="minorHAnsi" w:hAnsiTheme="minorHAnsi"/>
                <w:i/>
                <w:noProof/>
                <w:color w:val="000000" w:themeColor="text1"/>
                <w:sz w:val="22"/>
              </w:rPr>
              <w:t>1,8</w:t>
            </w:r>
          </w:p>
        </w:tc>
        <w:tc>
          <w:tcPr>
            <w:tcW w:w="1077" w:type="dxa"/>
            <w:vAlign w:val="center"/>
          </w:tcPr>
          <w:p w14:paraId="08AD9A1E" w14:textId="0B574A65" w:rsidR="003539BF" w:rsidRPr="0040310C" w:rsidRDefault="00E17975"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noProof/>
                <w:color w:val="000000" w:themeColor="text1"/>
                <w:sz w:val="22"/>
                <w:szCs w:val="22"/>
              </w:rPr>
            </w:pPr>
            <w:r>
              <w:rPr>
                <w:rFonts w:asciiTheme="minorHAnsi" w:hAnsiTheme="minorHAnsi"/>
                <w:i/>
                <w:noProof/>
                <w:color w:val="000000" w:themeColor="text1"/>
                <w:sz w:val="22"/>
              </w:rPr>
              <w:t>3,2</w:t>
            </w:r>
          </w:p>
        </w:tc>
        <w:tc>
          <w:tcPr>
            <w:tcW w:w="1077" w:type="dxa"/>
            <w:vAlign w:val="center"/>
          </w:tcPr>
          <w:p w14:paraId="06FE2221" w14:textId="3921117C" w:rsidR="003539BF" w:rsidRPr="0040310C" w:rsidRDefault="003539BF"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noProof/>
                <w:color w:val="000000" w:themeColor="text1"/>
                <w:sz w:val="22"/>
                <w:szCs w:val="22"/>
              </w:rPr>
            </w:pPr>
          </w:p>
        </w:tc>
        <w:tc>
          <w:tcPr>
            <w:tcW w:w="1077" w:type="dxa"/>
            <w:vAlign w:val="center"/>
          </w:tcPr>
          <w:p w14:paraId="01F123B3" w14:textId="37DA5F9E" w:rsidR="003539BF" w:rsidRPr="0040310C" w:rsidRDefault="003539BF"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i/>
                <w:iCs/>
                <w:noProof/>
                <w:color w:val="000000" w:themeColor="text1"/>
                <w:sz w:val="22"/>
                <w:szCs w:val="22"/>
              </w:rPr>
            </w:pPr>
          </w:p>
        </w:tc>
        <w:tc>
          <w:tcPr>
            <w:tcW w:w="1077" w:type="dxa"/>
            <w:vAlign w:val="center"/>
          </w:tcPr>
          <w:p w14:paraId="5E700C6D" w14:textId="10FBA176" w:rsidR="003539BF" w:rsidRPr="00ED1BB1" w:rsidRDefault="00E17975"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i/>
                <w:iCs/>
                <w:noProof/>
                <w:color w:val="245F95" w:themeColor="text2"/>
                <w:sz w:val="22"/>
                <w:szCs w:val="22"/>
              </w:rPr>
            </w:pPr>
            <w:r>
              <w:rPr>
                <w:rFonts w:asciiTheme="minorHAnsi" w:hAnsiTheme="minorHAnsi"/>
                <w:b/>
                <w:i/>
                <w:noProof/>
                <w:color w:val="245F95" w:themeColor="text2"/>
                <w:sz w:val="22"/>
              </w:rPr>
              <w:t>4,9</w:t>
            </w:r>
          </w:p>
        </w:tc>
      </w:tr>
      <w:tr w:rsidR="0040310C" w:rsidRPr="0040310C" w14:paraId="1862E808" w14:textId="77777777" w:rsidTr="00ED1BB1">
        <w:trPr>
          <w:trHeight w:val="300"/>
        </w:trPr>
        <w:tc>
          <w:tcPr>
            <w:cnfStyle w:val="001000000000" w:firstRow="0" w:lastRow="0" w:firstColumn="1" w:lastColumn="0" w:oddVBand="0" w:evenVBand="0" w:oddHBand="0" w:evenHBand="0" w:firstRowFirstColumn="0" w:firstRowLastColumn="0" w:lastRowFirstColumn="0" w:lastRowLastColumn="0"/>
            <w:tcW w:w="3288" w:type="dxa"/>
          </w:tcPr>
          <w:p w14:paraId="1DBD8B65" w14:textId="77777777" w:rsidR="003539BF" w:rsidRPr="0040310C" w:rsidRDefault="003539BF" w:rsidP="003539BF">
            <w:pPr>
              <w:spacing w:after="120"/>
              <w:rPr>
                <w:rFonts w:asciiTheme="minorHAnsi" w:eastAsia="Calibri" w:hAnsiTheme="minorHAnsi"/>
                <w:b w:val="0"/>
                <w:bCs/>
                <w:noProof/>
                <w:color w:val="000000" w:themeColor="text1"/>
                <w:sz w:val="22"/>
                <w:szCs w:val="22"/>
              </w:rPr>
            </w:pPr>
            <w:r>
              <w:rPr>
                <w:rFonts w:asciiTheme="minorHAnsi" w:hAnsiTheme="minorHAnsi"/>
                <w:b w:val="0"/>
                <w:noProof/>
                <w:color w:val="000000" w:themeColor="text1"/>
                <w:sz w:val="22"/>
              </w:rPr>
              <w:t>Zobowiązania (zaprogramowane)*</w:t>
            </w:r>
          </w:p>
        </w:tc>
        <w:tc>
          <w:tcPr>
            <w:tcW w:w="1077" w:type="dxa"/>
            <w:vAlign w:val="center"/>
          </w:tcPr>
          <w:p w14:paraId="169E4AB0" w14:textId="07A772FD" w:rsidR="003539BF" w:rsidRPr="0040310C" w:rsidRDefault="00C14D3F"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themeColor="text1"/>
                <w:sz w:val="22"/>
                <w:szCs w:val="22"/>
              </w:rPr>
            </w:pPr>
            <w:r>
              <w:rPr>
                <w:rFonts w:asciiTheme="minorHAnsi" w:hAnsiTheme="minorHAnsi"/>
                <w:noProof/>
                <w:color w:val="000000" w:themeColor="text1"/>
                <w:sz w:val="22"/>
              </w:rPr>
              <w:t>199,8</w:t>
            </w:r>
          </w:p>
        </w:tc>
        <w:tc>
          <w:tcPr>
            <w:tcW w:w="1077" w:type="dxa"/>
            <w:vAlign w:val="center"/>
          </w:tcPr>
          <w:p w14:paraId="51A410FC" w14:textId="0D7F0026" w:rsidR="003539BF" w:rsidRPr="0040310C" w:rsidRDefault="003539BF"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themeColor="text1"/>
                <w:sz w:val="22"/>
                <w:szCs w:val="22"/>
              </w:rPr>
            </w:pPr>
            <w:r>
              <w:rPr>
                <w:rFonts w:asciiTheme="minorHAnsi" w:hAnsiTheme="minorHAnsi"/>
                <w:noProof/>
                <w:color w:val="000000" w:themeColor="text1"/>
                <w:sz w:val="22"/>
              </w:rPr>
              <w:t>188,5</w:t>
            </w:r>
          </w:p>
        </w:tc>
        <w:tc>
          <w:tcPr>
            <w:tcW w:w="1077" w:type="dxa"/>
            <w:vAlign w:val="center"/>
          </w:tcPr>
          <w:p w14:paraId="1E2C8597" w14:textId="3DF2FAB9" w:rsidR="003539BF" w:rsidRPr="0040310C" w:rsidRDefault="003539BF"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themeColor="text1"/>
                <w:sz w:val="22"/>
                <w:szCs w:val="22"/>
              </w:rPr>
            </w:pPr>
            <w:r>
              <w:rPr>
                <w:rFonts w:asciiTheme="minorHAnsi" w:hAnsiTheme="minorHAnsi"/>
                <w:noProof/>
                <w:color w:val="000000" w:themeColor="text1"/>
                <w:sz w:val="22"/>
              </w:rPr>
              <w:t>195,3</w:t>
            </w:r>
          </w:p>
        </w:tc>
        <w:tc>
          <w:tcPr>
            <w:tcW w:w="1077" w:type="dxa"/>
            <w:vAlign w:val="center"/>
          </w:tcPr>
          <w:p w14:paraId="2D0DB6DE" w14:textId="40F3903C" w:rsidR="003539BF" w:rsidRPr="0040310C" w:rsidRDefault="003539BF"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themeColor="text1"/>
                <w:sz w:val="22"/>
                <w:szCs w:val="22"/>
              </w:rPr>
            </w:pPr>
          </w:p>
        </w:tc>
        <w:tc>
          <w:tcPr>
            <w:tcW w:w="1077" w:type="dxa"/>
            <w:vAlign w:val="center"/>
          </w:tcPr>
          <w:p w14:paraId="1EFBD65A" w14:textId="1F1D6FA3" w:rsidR="003539BF" w:rsidRPr="0040310C" w:rsidRDefault="003539BF"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noProof/>
                <w:color w:val="000000" w:themeColor="text1"/>
                <w:sz w:val="22"/>
                <w:szCs w:val="22"/>
              </w:rPr>
            </w:pPr>
          </w:p>
        </w:tc>
        <w:tc>
          <w:tcPr>
            <w:tcW w:w="1077" w:type="dxa"/>
            <w:vAlign w:val="center"/>
          </w:tcPr>
          <w:p w14:paraId="022D214B" w14:textId="2D89687F" w:rsidR="003539BF" w:rsidRPr="00ED1BB1" w:rsidRDefault="00F73B1B"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noProof/>
                <w:color w:val="245F95" w:themeColor="text2"/>
                <w:sz w:val="22"/>
                <w:szCs w:val="22"/>
              </w:rPr>
            </w:pPr>
            <w:r>
              <w:rPr>
                <w:rFonts w:asciiTheme="minorHAnsi" w:hAnsiTheme="minorHAnsi"/>
                <w:b/>
                <w:noProof/>
                <w:color w:val="245F95" w:themeColor="text2"/>
                <w:sz w:val="22"/>
              </w:rPr>
              <w:t>583,7</w:t>
            </w:r>
          </w:p>
        </w:tc>
      </w:tr>
      <w:tr w:rsidR="0040310C" w:rsidRPr="0040310C" w14:paraId="2775948F" w14:textId="77777777" w:rsidTr="00ED1BB1">
        <w:trPr>
          <w:trHeight w:val="300"/>
        </w:trPr>
        <w:tc>
          <w:tcPr>
            <w:cnfStyle w:val="001000000000" w:firstRow="0" w:lastRow="0" w:firstColumn="1" w:lastColumn="0" w:oddVBand="0" w:evenVBand="0" w:oddHBand="0" w:evenHBand="0" w:firstRowFirstColumn="0" w:firstRowLastColumn="0" w:lastRowFirstColumn="0" w:lastRowLastColumn="0"/>
            <w:tcW w:w="3288" w:type="dxa"/>
            <w:tcBorders>
              <w:bottom w:val="single" w:sz="6" w:space="0" w:color="BFBFBF" w:themeColor="background1" w:themeShade="BF"/>
            </w:tcBorders>
          </w:tcPr>
          <w:p w14:paraId="256C2DB6" w14:textId="1B373DC8" w:rsidR="003539BF" w:rsidRPr="0040310C" w:rsidRDefault="003539BF" w:rsidP="003539BF">
            <w:pPr>
              <w:spacing w:after="120"/>
              <w:rPr>
                <w:rFonts w:asciiTheme="minorHAnsi" w:eastAsia="Calibri" w:hAnsiTheme="minorHAnsi"/>
                <w:b w:val="0"/>
                <w:bCs/>
                <w:noProof/>
                <w:color w:val="000000" w:themeColor="text1"/>
                <w:sz w:val="22"/>
                <w:szCs w:val="22"/>
              </w:rPr>
            </w:pPr>
            <w:r>
              <w:rPr>
                <w:rFonts w:asciiTheme="minorHAnsi" w:hAnsiTheme="minorHAnsi"/>
                <w:b w:val="0"/>
                <w:noProof/>
                <w:color w:val="000000" w:themeColor="text1"/>
                <w:sz w:val="22"/>
              </w:rPr>
              <w:t>Prognozowane płatności**</w:t>
            </w:r>
          </w:p>
        </w:tc>
        <w:tc>
          <w:tcPr>
            <w:tcW w:w="1077" w:type="dxa"/>
            <w:tcBorders>
              <w:bottom w:val="single" w:sz="6" w:space="0" w:color="BFBFBF" w:themeColor="background1" w:themeShade="BF"/>
            </w:tcBorders>
            <w:vAlign w:val="center"/>
          </w:tcPr>
          <w:p w14:paraId="3E1A111A" w14:textId="1EB50FC8" w:rsidR="003539BF" w:rsidRPr="0040310C" w:rsidRDefault="001506F3"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themeColor="text1"/>
                <w:sz w:val="22"/>
                <w:szCs w:val="22"/>
              </w:rPr>
            </w:pPr>
            <w:r>
              <w:rPr>
                <w:rFonts w:asciiTheme="minorHAnsi" w:hAnsiTheme="minorHAnsi"/>
                <w:noProof/>
                <w:color w:val="000000" w:themeColor="text1"/>
                <w:sz w:val="22"/>
              </w:rPr>
              <w:t>152,7</w:t>
            </w:r>
          </w:p>
        </w:tc>
        <w:tc>
          <w:tcPr>
            <w:tcW w:w="1077" w:type="dxa"/>
            <w:tcBorders>
              <w:bottom w:val="single" w:sz="6" w:space="0" w:color="BFBFBF" w:themeColor="background1" w:themeShade="BF"/>
            </w:tcBorders>
            <w:vAlign w:val="center"/>
          </w:tcPr>
          <w:p w14:paraId="090EDE20" w14:textId="53032387" w:rsidR="003539BF" w:rsidRPr="0040310C" w:rsidRDefault="008F0319"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themeColor="text1"/>
                <w:sz w:val="22"/>
                <w:szCs w:val="22"/>
              </w:rPr>
            </w:pPr>
            <w:r>
              <w:rPr>
                <w:rFonts w:asciiTheme="minorHAnsi" w:hAnsiTheme="minorHAnsi"/>
                <w:noProof/>
                <w:color w:val="000000" w:themeColor="text1"/>
                <w:sz w:val="22"/>
              </w:rPr>
              <w:t>185,6</w:t>
            </w:r>
          </w:p>
        </w:tc>
        <w:tc>
          <w:tcPr>
            <w:tcW w:w="1077" w:type="dxa"/>
            <w:tcBorders>
              <w:bottom w:val="single" w:sz="6" w:space="0" w:color="BFBFBF" w:themeColor="background1" w:themeShade="BF"/>
            </w:tcBorders>
            <w:vAlign w:val="center"/>
          </w:tcPr>
          <w:p w14:paraId="1A6C36A3" w14:textId="7D808BDA" w:rsidR="003539BF" w:rsidRPr="0040310C" w:rsidRDefault="008F0319"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themeColor="text1"/>
                <w:sz w:val="22"/>
                <w:szCs w:val="22"/>
              </w:rPr>
            </w:pPr>
            <w:r>
              <w:rPr>
                <w:rFonts w:asciiTheme="minorHAnsi" w:hAnsiTheme="minorHAnsi"/>
                <w:noProof/>
                <w:color w:val="000000" w:themeColor="text1"/>
                <w:sz w:val="22"/>
              </w:rPr>
              <w:t>197,7</w:t>
            </w:r>
          </w:p>
        </w:tc>
        <w:tc>
          <w:tcPr>
            <w:tcW w:w="1077" w:type="dxa"/>
            <w:tcBorders>
              <w:bottom w:val="single" w:sz="6" w:space="0" w:color="BFBFBF" w:themeColor="background1" w:themeShade="BF"/>
            </w:tcBorders>
            <w:vAlign w:val="center"/>
          </w:tcPr>
          <w:p w14:paraId="4478C9DB" w14:textId="678A5DD5" w:rsidR="003539BF" w:rsidRPr="0040310C" w:rsidRDefault="003539BF"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000000" w:themeColor="text1"/>
                <w:sz w:val="22"/>
                <w:szCs w:val="22"/>
              </w:rPr>
            </w:pPr>
            <w:r>
              <w:rPr>
                <w:rFonts w:asciiTheme="minorHAnsi" w:hAnsiTheme="minorHAnsi"/>
                <w:noProof/>
                <w:color w:val="000000" w:themeColor="text1"/>
                <w:sz w:val="22"/>
              </w:rPr>
              <w:t>144,7</w:t>
            </w:r>
          </w:p>
        </w:tc>
        <w:tc>
          <w:tcPr>
            <w:tcW w:w="1077" w:type="dxa"/>
            <w:tcBorders>
              <w:bottom w:val="single" w:sz="6" w:space="0" w:color="BFBFBF" w:themeColor="background1" w:themeShade="BF"/>
            </w:tcBorders>
            <w:vAlign w:val="center"/>
          </w:tcPr>
          <w:p w14:paraId="1C4723C1" w14:textId="7ACDA7DC" w:rsidR="003539BF" w:rsidRPr="0040310C" w:rsidRDefault="0012367F"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noProof/>
                <w:color w:val="000000" w:themeColor="text1"/>
                <w:sz w:val="22"/>
                <w:szCs w:val="22"/>
              </w:rPr>
            </w:pPr>
            <w:r>
              <w:rPr>
                <w:rFonts w:asciiTheme="minorHAnsi" w:hAnsiTheme="minorHAnsi"/>
                <w:noProof/>
                <w:color w:val="000000" w:themeColor="text1"/>
                <w:sz w:val="22"/>
              </w:rPr>
              <w:t>123,3</w:t>
            </w:r>
          </w:p>
        </w:tc>
        <w:tc>
          <w:tcPr>
            <w:tcW w:w="1077" w:type="dxa"/>
            <w:tcBorders>
              <w:bottom w:val="single" w:sz="6" w:space="0" w:color="BFBFBF" w:themeColor="background1" w:themeShade="BF"/>
            </w:tcBorders>
            <w:vAlign w:val="center"/>
          </w:tcPr>
          <w:p w14:paraId="68E4AAB3" w14:textId="0E4A7A8C" w:rsidR="003539BF" w:rsidRPr="00ED1BB1" w:rsidRDefault="008C6001"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noProof/>
                <w:color w:val="245F95" w:themeColor="text2"/>
                <w:sz w:val="22"/>
                <w:szCs w:val="22"/>
              </w:rPr>
            </w:pPr>
            <w:r>
              <w:rPr>
                <w:rFonts w:asciiTheme="minorHAnsi" w:hAnsiTheme="minorHAnsi"/>
                <w:b/>
                <w:noProof/>
                <w:color w:val="245F95" w:themeColor="text2"/>
                <w:sz w:val="22"/>
              </w:rPr>
              <w:t>804,1</w:t>
            </w:r>
          </w:p>
        </w:tc>
      </w:tr>
      <w:tr w:rsidR="0040310C" w:rsidRPr="0040310C" w14:paraId="2026525A" w14:textId="77777777" w:rsidTr="00ED1BB1">
        <w:trPr>
          <w:trHeight w:val="300"/>
        </w:trPr>
        <w:tc>
          <w:tcPr>
            <w:cnfStyle w:val="001000000000" w:firstRow="0" w:lastRow="0" w:firstColumn="1" w:lastColumn="0" w:oddVBand="0" w:evenVBand="0" w:oddHBand="0" w:evenHBand="0" w:firstRowFirstColumn="0" w:firstRowLastColumn="0" w:lastRowFirstColumn="0" w:lastRowLastColumn="0"/>
            <w:tcW w:w="3288" w:type="dxa"/>
            <w:tcBorders>
              <w:top w:val="single" w:sz="6" w:space="0" w:color="BFBFBF" w:themeColor="background1" w:themeShade="BF"/>
              <w:bottom w:val="nil"/>
            </w:tcBorders>
          </w:tcPr>
          <w:p w14:paraId="64D0EB44" w14:textId="5C3D7C25" w:rsidR="003539BF" w:rsidRPr="0040310C" w:rsidRDefault="003539BF" w:rsidP="003539BF">
            <w:pPr>
              <w:spacing w:after="120"/>
              <w:rPr>
                <w:rFonts w:asciiTheme="minorHAnsi" w:eastAsia="Calibri" w:hAnsiTheme="minorHAnsi"/>
                <w:b w:val="0"/>
                <w:bCs/>
                <w:i/>
                <w:iCs/>
                <w:noProof/>
                <w:color w:val="000000" w:themeColor="text1"/>
                <w:sz w:val="22"/>
                <w:szCs w:val="22"/>
              </w:rPr>
            </w:pPr>
            <w:r>
              <w:rPr>
                <w:rFonts w:asciiTheme="minorHAnsi" w:hAnsiTheme="minorHAnsi"/>
                <w:b w:val="0"/>
                <w:i/>
                <w:noProof/>
                <w:color w:val="000000" w:themeColor="text1"/>
                <w:sz w:val="22"/>
              </w:rPr>
              <w:t>W tym instrumenty szczególne***</w:t>
            </w:r>
          </w:p>
        </w:tc>
        <w:tc>
          <w:tcPr>
            <w:tcW w:w="1077" w:type="dxa"/>
            <w:tcBorders>
              <w:top w:val="single" w:sz="6" w:space="0" w:color="BFBFBF" w:themeColor="background1" w:themeShade="BF"/>
              <w:bottom w:val="nil"/>
            </w:tcBorders>
            <w:vAlign w:val="center"/>
          </w:tcPr>
          <w:p w14:paraId="1E016BEE" w14:textId="73D02A45" w:rsidR="003539BF" w:rsidRPr="0040310C" w:rsidRDefault="00A824A7"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noProof/>
                <w:color w:val="000000" w:themeColor="text1"/>
                <w:sz w:val="22"/>
                <w:szCs w:val="22"/>
              </w:rPr>
            </w:pPr>
            <w:r>
              <w:rPr>
                <w:rFonts w:asciiTheme="minorHAnsi" w:hAnsiTheme="minorHAnsi"/>
                <w:i/>
                <w:noProof/>
                <w:color w:val="000000" w:themeColor="text1"/>
                <w:sz w:val="22"/>
              </w:rPr>
              <w:t>8,3</w:t>
            </w:r>
          </w:p>
        </w:tc>
        <w:tc>
          <w:tcPr>
            <w:tcW w:w="1077" w:type="dxa"/>
            <w:tcBorders>
              <w:top w:val="single" w:sz="6" w:space="0" w:color="BFBFBF" w:themeColor="background1" w:themeShade="BF"/>
              <w:bottom w:val="nil"/>
            </w:tcBorders>
            <w:vAlign w:val="center"/>
          </w:tcPr>
          <w:p w14:paraId="37964E8C" w14:textId="38254097" w:rsidR="003539BF" w:rsidRPr="0040310C" w:rsidRDefault="00F163FC"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noProof/>
                <w:color w:val="000000" w:themeColor="text1"/>
                <w:sz w:val="22"/>
                <w:szCs w:val="22"/>
              </w:rPr>
            </w:pPr>
            <w:r>
              <w:rPr>
                <w:rFonts w:asciiTheme="minorHAnsi" w:hAnsiTheme="minorHAnsi"/>
                <w:i/>
                <w:noProof/>
                <w:color w:val="000000" w:themeColor="text1"/>
                <w:sz w:val="22"/>
              </w:rPr>
              <w:t>0,2</w:t>
            </w:r>
          </w:p>
        </w:tc>
        <w:tc>
          <w:tcPr>
            <w:tcW w:w="1077" w:type="dxa"/>
            <w:tcBorders>
              <w:top w:val="single" w:sz="6" w:space="0" w:color="BFBFBF" w:themeColor="background1" w:themeShade="BF"/>
              <w:bottom w:val="nil"/>
            </w:tcBorders>
            <w:vAlign w:val="center"/>
          </w:tcPr>
          <w:p w14:paraId="1C501678" w14:textId="082BBD65" w:rsidR="003539BF" w:rsidRPr="0040310C" w:rsidRDefault="003539BF"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noProof/>
                <w:color w:val="000000" w:themeColor="text1"/>
                <w:sz w:val="22"/>
                <w:szCs w:val="22"/>
              </w:rPr>
            </w:pPr>
            <w:r>
              <w:rPr>
                <w:rFonts w:asciiTheme="minorHAnsi" w:hAnsiTheme="minorHAnsi"/>
                <w:i/>
                <w:noProof/>
                <w:color w:val="000000" w:themeColor="text1"/>
                <w:sz w:val="22"/>
              </w:rPr>
              <w:t>0,0</w:t>
            </w:r>
          </w:p>
        </w:tc>
        <w:tc>
          <w:tcPr>
            <w:tcW w:w="1077" w:type="dxa"/>
            <w:tcBorders>
              <w:top w:val="single" w:sz="6" w:space="0" w:color="BFBFBF" w:themeColor="background1" w:themeShade="BF"/>
              <w:bottom w:val="nil"/>
            </w:tcBorders>
            <w:vAlign w:val="center"/>
          </w:tcPr>
          <w:p w14:paraId="477AC99E" w14:textId="029D0FD3" w:rsidR="003539BF" w:rsidRPr="0040310C" w:rsidRDefault="003539BF"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i/>
                <w:iCs/>
                <w:noProof/>
                <w:color w:val="000000" w:themeColor="text1"/>
                <w:sz w:val="22"/>
                <w:szCs w:val="22"/>
              </w:rPr>
            </w:pPr>
          </w:p>
        </w:tc>
        <w:tc>
          <w:tcPr>
            <w:tcW w:w="1077" w:type="dxa"/>
            <w:tcBorders>
              <w:top w:val="single" w:sz="6" w:space="0" w:color="BFBFBF" w:themeColor="background1" w:themeShade="BF"/>
              <w:bottom w:val="nil"/>
            </w:tcBorders>
            <w:vAlign w:val="center"/>
          </w:tcPr>
          <w:p w14:paraId="129CCC55" w14:textId="39F059F9" w:rsidR="003539BF" w:rsidRPr="0040310C" w:rsidRDefault="003539BF"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i/>
                <w:iCs/>
                <w:noProof/>
                <w:color w:val="000000" w:themeColor="text1"/>
                <w:sz w:val="22"/>
                <w:szCs w:val="22"/>
              </w:rPr>
            </w:pPr>
          </w:p>
        </w:tc>
        <w:tc>
          <w:tcPr>
            <w:tcW w:w="1077" w:type="dxa"/>
            <w:tcBorders>
              <w:top w:val="single" w:sz="6" w:space="0" w:color="BFBFBF" w:themeColor="background1" w:themeShade="BF"/>
              <w:bottom w:val="nil"/>
            </w:tcBorders>
            <w:vAlign w:val="center"/>
          </w:tcPr>
          <w:p w14:paraId="4C958BF0" w14:textId="00836015" w:rsidR="003539BF" w:rsidRPr="00ED1BB1" w:rsidRDefault="00A824A7" w:rsidP="003539B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i/>
                <w:iCs/>
                <w:noProof/>
                <w:color w:val="245F95" w:themeColor="text2"/>
                <w:sz w:val="22"/>
                <w:szCs w:val="22"/>
              </w:rPr>
            </w:pPr>
            <w:r>
              <w:rPr>
                <w:rFonts w:asciiTheme="minorHAnsi" w:hAnsiTheme="minorHAnsi"/>
                <w:b/>
                <w:i/>
                <w:noProof/>
                <w:color w:val="245F95" w:themeColor="text2"/>
                <w:sz w:val="22"/>
              </w:rPr>
              <w:t>8,5</w:t>
            </w:r>
          </w:p>
        </w:tc>
      </w:tr>
    </w:tbl>
    <w:p w14:paraId="7DE43EE3" w14:textId="4C6B6F4B" w:rsidR="00E50A59" w:rsidRPr="00B41585" w:rsidRDefault="00E50A59" w:rsidP="00682537">
      <w:pPr>
        <w:rPr>
          <w:i/>
          <w:noProof/>
          <w:sz w:val="16"/>
          <w:szCs w:val="16"/>
        </w:rPr>
      </w:pPr>
      <w:r>
        <w:rPr>
          <w:i/>
          <w:noProof/>
          <w:sz w:val="16"/>
        </w:rPr>
        <w:t>* Zgodnie</w:t>
      </w:r>
      <w:r w:rsidR="00C56AFD">
        <w:rPr>
          <w:i/>
          <w:noProof/>
          <w:sz w:val="16"/>
        </w:rPr>
        <w:t xml:space="preserve"> z</w:t>
      </w:r>
      <w:r w:rsidR="00C56AFD">
        <w:rPr>
          <w:rFonts w:ascii="Calibri" w:hAnsi="Calibri" w:cs="Calibri"/>
          <w:i/>
          <w:noProof/>
          <w:sz w:val="16"/>
        </w:rPr>
        <w:t> </w:t>
      </w:r>
      <w:r w:rsidR="00C56AFD">
        <w:rPr>
          <w:i/>
          <w:noProof/>
          <w:sz w:val="16"/>
        </w:rPr>
        <w:t>pro</w:t>
      </w:r>
      <w:r>
        <w:rPr>
          <w:i/>
          <w:noProof/>
          <w:sz w:val="16"/>
        </w:rPr>
        <w:t xml:space="preserve">jektem budżetu </w:t>
      </w:r>
      <w:r w:rsidRPr="00C56AFD">
        <w:rPr>
          <w:i/>
          <w:noProof/>
          <w:sz w:val="16"/>
        </w:rPr>
        <w:t>na</w:t>
      </w:r>
      <w:r w:rsidR="00C56AFD" w:rsidRPr="00C56AFD">
        <w:rPr>
          <w:rFonts w:ascii="Calibri" w:hAnsi="Calibri" w:cs="Calibri"/>
          <w:i/>
          <w:noProof/>
          <w:sz w:val="16"/>
        </w:rPr>
        <w:t> </w:t>
      </w:r>
      <w:r w:rsidRPr="00C56AFD">
        <w:rPr>
          <w:i/>
          <w:noProof/>
          <w:sz w:val="16"/>
        </w:rPr>
        <w:t>2</w:t>
      </w:r>
      <w:r>
        <w:rPr>
          <w:i/>
          <w:noProof/>
          <w:sz w:val="16"/>
        </w:rPr>
        <w:t>0</w:t>
      </w:r>
      <w:r w:rsidRPr="00C56AFD">
        <w:rPr>
          <w:i/>
          <w:noProof/>
          <w:sz w:val="16"/>
        </w:rPr>
        <w:t>25</w:t>
      </w:r>
      <w:r w:rsidR="00C56AFD" w:rsidRPr="00C56AFD">
        <w:rPr>
          <w:rFonts w:ascii="Calibri" w:hAnsi="Calibri" w:cs="Calibri"/>
          <w:i/>
          <w:noProof/>
          <w:sz w:val="16"/>
        </w:rPr>
        <w:t> </w:t>
      </w:r>
      <w:r w:rsidRPr="00C56AFD">
        <w:rPr>
          <w:i/>
          <w:noProof/>
          <w:sz w:val="16"/>
        </w:rPr>
        <w:t>r.</w:t>
      </w:r>
      <w:r>
        <w:rPr>
          <w:i/>
          <w:noProof/>
          <w:sz w:val="16"/>
        </w:rPr>
        <w:t>,</w:t>
      </w:r>
      <w:r w:rsidR="00C56AFD">
        <w:rPr>
          <w:i/>
          <w:noProof/>
          <w:sz w:val="16"/>
        </w:rPr>
        <w:t xml:space="preserve"> w</w:t>
      </w:r>
      <w:r w:rsidR="00C56AFD">
        <w:rPr>
          <w:rFonts w:ascii="Calibri" w:hAnsi="Calibri" w:cs="Calibri"/>
          <w:i/>
          <w:noProof/>
          <w:sz w:val="16"/>
        </w:rPr>
        <w:t> </w:t>
      </w:r>
      <w:r w:rsidR="00C56AFD">
        <w:rPr>
          <w:i/>
          <w:noProof/>
          <w:sz w:val="16"/>
        </w:rPr>
        <w:t>tym</w:t>
      </w:r>
      <w:r>
        <w:rPr>
          <w:i/>
          <w:noProof/>
          <w:sz w:val="16"/>
        </w:rPr>
        <w:t xml:space="preserve"> alokacją</w:t>
      </w:r>
      <w:r w:rsidR="00C56AFD">
        <w:rPr>
          <w:i/>
          <w:noProof/>
          <w:sz w:val="16"/>
        </w:rPr>
        <w:t xml:space="preserve"> z</w:t>
      </w:r>
      <w:r w:rsidR="00C56AFD">
        <w:rPr>
          <w:rFonts w:ascii="Calibri" w:hAnsi="Calibri" w:cs="Calibri"/>
          <w:i/>
          <w:noProof/>
          <w:sz w:val="16"/>
        </w:rPr>
        <w:t> </w:t>
      </w:r>
      <w:r w:rsidR="00C56AFD">
        <w:rPr>
          <w:i/>
          <w:noProof/>
          <w:sz w:val="16"/>
        </w:rPr>
        <w:t>Rez</w:t>
      </w:r>
      <w:r>
        <w:rPr>
          <w:i/>
          <w:noProof/>
          <w:sz w:val="16"/>
        </w:rPr>
        <w:t>erwy na rzecz Ukrainy</w:t>
      </w:r>
      <w:r w:rsidR="00C56AFD">
        <w:rPr>
          <w:i/>
          <w:noProof/>
          <w:sz w:val="16"/>
        </w:rPr>
        <w:t xml:space="preserve"> i</w:t>
      </w:r>
      <w:r w:rsidR="00C56AFD">
        <w:rPr>
          <w:rFonts w:ascii="Calibri" w:hAnsi="Calibri" w:cs="Calibri"/>
          <w:i/>
          <w:noProof/>
          <w:sz w:val="16"/>
        </w:rPr>
        <w:t> </w:t>
      </w:r>
      <w:r w:rsidR="00C56AFD">
        <w:rPr>
          <w:i/>
          <w:noProof/>
          <w:sz w:val="16"/>
        </w:rPr>
        <w:t>śro</w:t>
      </w:r>
      <w:r>
        <w:rPr>
          <w:i/>
          <w:noProof/>
          <w:sz w:val="16"/>
        </w:rPr>
        <w:t>dkami wynikającymi</w:t>
      </w:r>
      <w:r w:rsidR="00C56AFD">
        <w:rPr>
          <w:i/>
          <w:noProof/>
          <w:sz w:val="16"/>
        </w:rPr>
        <w:t xml:space="preserve"> z</w:t>
      </w:r>
      <w:r w:rsidR="00C56AFD">
        <w:rPr>
          <w:rFonts w:ascii="Calibri" w:hAnsi="Calibri" w:cs="Calibri"/>
          <w:i/>
          <w:noProof/>
          <w:sz w:val="16"/>
        </w:rPr>
        <w:t> </w:t>
      </w:r>
      <w:r w:rsidR="00C56AFD" w:rsidRPr="00C56AFD">
        <w:rPr>
          <w:i/>
          <w:noProof/>
          <w:sz w:val="16"/>
        </w:rPr>
        <w:t>art</w:t>
      </w:r>
      <w:r w:rsidRPr="00C56AFD">
        <w:rPr>
          <w:i/>
          <w:noProof/>
          <w:sz w:val="16"/>
        </w:rPr>
        <w:t>.</w:t>
      </w:r>
      <w:r w:rsidR="00C56AFD" w:rsidRPr="00C56AFD">
        <w:rPr>
          <w:rFonts w:ascii="Calibri" w:hAnsi="Calibri" w:cs="Calibri"/>
          <w:i/>
          <w:noProof/>
          <w:sz w:val="16"/>
        </w:rPr>
        <w:t> </w:t>
      </w:r>
      <w:r w:rsidRPr="00C56AFD">
        <w:rPr>
          <w:i/>
          <w:noProof/>
          <w:sz w:val="16"/>
        </w:rPr>
        <w:t>5</w:t>
      </w:r>
      <w:r>
        <w:rPr>
          <w:i/>
          <w:noProof/>
          <w:sz w:val="16"/>
        </w:rPr>
        <w:t xml:space="preserve"> rozporządzenia</w:t>
      </w:r>
      <w:r w:rsidR="00C56AFD">
        <w:rPr>
          <w:i/>
          <w:noProof/>
          <w:sz w:val="16"/>
        </w:rPr>
        <w:t xml:space="preserve"> w</w:t>
      </w:r>
      <w:r w:rsidR="00C56AFD">
        <w:rPr>
          <w:rFonts w:ascii="Calibri" w:hAnsi="Calibri" w:cs="Calibri"/>
          <w:i/>
          <w:noProof/>
          <w:sz w:val="16"/>
        </w:rPr>
        <w:t> </w:t>
      </w:r>
      <w:r w:rsidR="00C56AFD">
        <w:rPr>
          <w:i/>
          <w:noProof/>
          <w:sz w:val="16"/>
        </w:rPr>
        <w:t>spr</w:t>
      </w:r>
      <w:r>
        <w:rPr>
          <w:i/>
          <w:noProof/>
          <w:sz w:val="16"/>
        </w:rPr>
        <w:t>awie WRF</w:t>
      </w:r>
      <w:r w:rsidR="00C56AFD">
        <w:rPr>
          <w:i/>
          <w:noProof/>
          <w:sz w:val="16"/>
        </w:rPr>
        <w:t xml:space="preserve"> i</w:t>
      </w:r>
      <w:r w:rsidR="00C56AFD">
        <w:rPr>
          <w:rFonts w:ascii="Calibri" w:hAnsi="Calibri" w:cs="Calibri"/>
          <w:i/>
          <w:noProof/>
          <w:sz w:val="16"/>
        </w:rPr>
        <w:t> </w:t>
      </w:r>
      <w:r w:rsidR="00C56AFD" w:rsidRPr="00C56AFD">
        <w:rPr>
          <w:i/>
          <w:noProof/>
          <w:sz w:val="16"/>
        </w:rPr>
        <w:t>art</w:t>
      </w:r>
      <w:r w:rsidRPr="00C56AFD">
        <w:rPr>
          <w:i/>
          <w:noProof/>
          <w:sz w:val="16"/>
        </w:rPr>
        <w:t>.</w:t>
      </w:r>
      <w:r w:rsidR="00C56AFD" w:rsidRPr="00C56AFD">
        <w:rPr>
          <w:rFonts w:ascii="Calibri" w:hAnsi="Calibri" w:cs="Calibri"/>
          <w:i/>
          <w:noProof/>
          <w:sz w:val="16"/>
        </w:rPr>
        <w:t> </w:t>
      </w:r>
      <w:r w:rsidRPr="00C56AFD">
        <w:rPr>
          <w:i/>
          <w:noProof/>
          <w:sz w:val="16"/>
        </w:rPr>
        <w:t>1</w:t>
      </w:r>
      <w:r>
        <w:rPr>
          <w:i/>
          <w:noProof/>
          <w:sz w:val="16"/>
        </w:rPr>
        <w:t xml:space="preserve">5 </w:t>
      </w:r>
      <w:r w:rsidRPr="00C56AFD">
        <w:rPr>
          <w:i/>
          <w:noProof/>
          <w:sz w:val="16"/>
        </w:rPr>
        <w:t>ust.</w:t>
      </w:r>
      <w:r w:rsidR="00C56AFD" w:rsidRPr="00C56AFD">
        <w:rPr>
          <w:rFonts w:ascii="Calibri" w:hAnsi="Calibri" w:cs="Calibri"/>
          <w:i/>
          <w:noProof/>
          <w:sz w:val="16"/>
        </w:rPr>
        <w:t> </w:t>
      </w:r>
      <w:r w:rsidRPr="00C56AFD">
        <w:rPr>
          <w:i/>
          <w:noProof/>
          <w:sz w:val="16"/>
        </w:rPr>
        <w:t>3</w:t>
      </w:r>
      <w:r>
        <w:rPr>
          <w:i/>
          <w:noProof/>
          <w:sz w:val="16"/>
        </w:rPr>
        <w:t xml:space="preserve"> rozporządzenia finansowego</w:t>
      </w:r>
      <w:r w:rsidR="00C56AFD">
        <w:rPr>
          <w:i/>
          <w:noProof/>
          <w:sz w:val="16"/>
        </w:rPr>
        <w:t xml:space="preserve"> i</w:t>
      </w:r>
      <w:r w:rsidR="00C56AFD">
        <w:rPr>
          <w:rFonts w:ascii="Calibri" w:hAnsi="Calibri" w:cs="Calibri"/>
          <w:i/>
          <w:noProof/>
          <w:sz w:val="16"/>
        </w:rPr>
        <w:t> </w:t>
      </w:r>
      <w:r w:rsidR="00C56AFD" w:rsidRPr="00C56AFD">
        <w:rPr>
          <w:i/>
          <w:noProof/>
          <w:sz w:val="16"/>
        </w:rPr>
        <w:t>art</w:t>
      </w:r>
      <w:r w:rsidRPr="00C56AFD">
        <w:rPr>
          <w:i/>
          <w:noProof/>
          <w:sz w:val="16"/>
        </w:rPr>
        <w:t>.</w:t>
      </w:r>
      <w:r w:rsidR="00C56AFD" w:rsidRPr="00C56AFD">
        <w:rPr>
          <w:rFonts w:ascii="Calibri" w:hAnsi="Calibri" w:cs="Calibri"/>
          <w:i/>
          <w:noProof/>
          <w:sz w:val="16"/>
        </w:rPr>
        <w:t> </w:t>
      </w:r>
      <w:r w:rsidRPr="00C56AFD">
        <w:rPr>
          <w:i/>
          <w:noProof/>
          <w:sz w:val="16"/>
        </w:rPr>
        <w:t>1</w:t>
      </w:r>
      <w:r>
        <w:rPr>
          <w:i/>
          <w:noProof/>
          <w:sz w:val="16"/>
        </w:rPr>
        <w:t xml:space="preserve">5 </w:t>
      </w:r>
      <w:r w:rsidRPr="00C56AFD">
        <w:rPr>
          <w:i/>
          <w:noProof/>
          <w:sz w:val="16"/>
        </w:rPr>
        <w:t>ust.</w:t>
      </w:r>
      <w:r w:rsidR="00C56AFD" w:rsidRPr="00C56AFD">
        <w:rPr>
          <w:rFonts w:ascii="Calibri" w:hAnsi="Calibri" w:cs="Calibri"/>
          <w:i/>
          <w:noProof/>
          <w:sz w:val="16"/>
        </w:rPr>
        <w:t> </w:t>
      </w:r>
      <w:r w:rsidRPr="00C56AFD">
        <w:rPr>
          <w:i/>
          <w:noProof/>
          <w:sz w:val="16"/>
        </w:rPr>
        <w:t>3</w:t>
      </w:r>
      <w:r>
        <w:rPr>
          <w:i/>
          <w:noProof/>
          <w:sz w:val="16"/>
        </w:rPr>
        <w:t xml:space="preserve"> rozporządzenia finansowego. Nie uwzględnia się nieprzydzielonych marginesów.</w:t>
      </w:r>
    </w:p>
    <w:p w14:paraId="4DAED337" w14:textId="47510EE5" w:rsidR="0036110D" w:rsidRPr="00B41585" w:rsidRDefault="0036110D" w:rsidP="00682537">
      <w:pPr>
        <w:rPr>
          <w:i/>
          <w:noProof/>
          <w:sz w:val="16"/>
          <w:szCs w:val="16"/>
        </w:rPr>
      </w:pPr>
      <w:r>
        <w:rPr>
          <w:i/>
          <w:noProof/>
          <w:sz w:val="16"/>
        </w:rPr>
        <w:t>** Obejmuje szacowany poziom płatności na poczet Rezerwy na rzecz Ukrainy wyłącznie</w:t>
      </w:r>
      <w:r w:rsidR="00C56AFD">
        <w:rPr>
          <w:i/>
          <w:noProof/>
          <w:sz w:val="16"/>
        </w:rPr>
        <w:t xml:space="preserve"> w</w:t>
      </w:r>
      <w:r w:rsidR="00C56AFD">
        <w:rPr>
          <w:rFonts w:ascii="Calibri" w:hAnsi="Calibri" w:cs="Calibri"/>
          <w:i/>
          <w:noProof/>
          <w:sz w:val="16"/>
        </w:rPr>
        <w:t> </w:t>
      </w:r>
      <w:r w:rsidR="00C56AFD">
        <w:rPr>
          <w:i/>
          <w:noProof/>
          <w:sz w:val="16"/>
        </w:rPr>
        <w:t>2</w:t>
      </w:r>
      <w:r>
        <w:rPr>
          <w:i/>
          <w:noProof/>
          <w:sz w:val="16"/>
        </w:rPr>
        <w:t>0</w:t>
      </w:r>
      <w:r w:rsidRPr="00C56AFD">
        <w:rPr>
          <w:i/>
          <w:noProof/>
          <w:sz w:val="16"/>
        </w:rPr>
        <w:t>25</w:t>
      </w:r>
      <w:r w:rsidR="00C56AFD" w:rsidRPr="00C56AFD">
        <w:rPr>
          <w:rFonts w:ascii="Calibri" w:hAnsi="Calibri" w:cs="Calibri"/>
          <w:i/>
          <w:noProof/>
          <w:sz w:val="16"/>
        </w:rPr>
        <w:t> </w:t>
      </w:r>
      <w:r w:rsidRPr="00C56AFD">
        <w:rPr>
          <w:i/>
          <w:noProof/>
          <w:sz w:val="16"/>
        </w:rPr>
        <w:t>r.</w:t>
      </w:r>
    </w:p>
    <w:p w14:paraId="1C8E939C" w14:textId="0ABA35B4" w:rsidR="0049492C" w:rsidRPr="00B41585" w:rsidRDefault="0049492C" w:rsidP="00682537">
      <w:pPr>
        <w:rPr>
          <w:i/>
          <w:noProof/>
          <w:sz w:val="16"/>
          <w:szCs w:val="16"/>
        </w:rPr>
      </w:pPr>
      <w:r>
        <w:rPr>
          <w:i/>
          <w:noProof/>
          <w:sz w:val="16"/>
        </w:rPr>
        <w:t>*** Kwoty przeznaczone na instrumenty szczególne obejmują rezerwę na rzecz solidarności</w:t>
      </w:r>
      <w:r w:rsidR="00C56AFD">
        <w:rPr>
          <w:i/>
          <w:noProof/>
          <w:sz w:val="16"/>
        </w:rPr>
        <w:t xml:space="preserve"> i</w:t>
      </w:r>
      <w:r w:rsidR="00C56AFD">
        <w:rPr>
          <w:rFonts w:ascii="Calibri" w:hAnsi="Calibri" w:cs="Calibri"/>
          <w:i/>
          <w:noProof/>
          <w:sz w:val="16"/>
        </w:rPr>
        <w:t> </w:t>
      </w:r>
      <w:r w:rsidR="00C56AFD">
        <w:rPr>
          <w:i/>
          <w:noProof/>
          <w:sz w:val="16"/>
        </w:rPr>
        <w:t>pom</w:t>
      </w:r>
      <w:r>
        <w:rPr>
          <w:i/>
          <w:noProof/>
          <w:sz w:val="16"/>
        </w:rPr>
        <w:t>ocy nadzwyczajnej, Europejski Fundusz Dostosowania do Globalizacji, pobrexitową rezerwę dostosowawczą, Rezerwę na rzecz Ukrainy, instrument EURI oraz instrument elastyczności</w:t>
      </w:r>
      <w:r w:rsidR="00C56AFD">
        <w:rPr>
          <w:i/>
          <w:noProof/>
          <w:sz w:val="16"/>
        </w:rPr>
        <w:t>. W</w:t>
      </w:r>
      <w:r w:rsidR="00C56AFD">
        <w:rPr>
          <w:rFonts w:ascii="Calibri" w:hAnsi="Calibri" w:cs="Calibri"/>
          <w:i/>
          <w:noProof/>
          <w:sz w:val="16"/>
        </w:rPr>
        <w:t> </w:t>
      </w:r>
      <w:r w:rsidR="00C56AFD">
        <w:rPr>
          <w:i/>
          <w:noProof/>
          <w:sz w:val="16"/>
        </w:rPr>
        <w:t>kol</w:t>
      </w:r>
      <w:r>
        <w:rPr>
          <w:i/>
          <w:noProof/>
          <w:sz w:val="16"/>
        </w:rPr>
        <w:t>ejnych tabelach płatności związane</w:t>
      </w:r>
      <w:r w:rsidR="00C56AFD">
        <w:rPr>
          <w:i/>
          <w:noProof/>
          <w:sz w:val="16"/>
        </w:rPr>
        <w:t xml:space="preserve"> z</w:t>
      </w:r>
      <w:r w:rsidR="00C56AFD">
        <w:rPr>
          <w:rFonts w:ascii="Calibri" w:hAnsi="Calibri" w:cs="Calibri"/>
          <w:i/>
          <w:noProof/>
          <w:sz w:val="16"/>
        </w:rPr>
        <w:t> </w:t>
      </w:r>
      <w:r w:rsidR="00C56AFD">
        <w:rPr>
          <w:i/>
          <w:noProof/>
          <w:sz w:val="16"/>
        </w:rPr>
        <w:t>uru</w:t>
      </w:r>
      <w:r>
        <w:rPr>
          <w:i/>
          <w:noProof/>
          <w:sz w:val="16"/>
        </w:rPr>
        <w:t>chamianiem środków</w:t>
      </w:r>
      <w:r w:rsidR="00C56AFD">
        <w:rPr>
          <w:i/>
          <w:noProof/>
          <w:sz w:val="16"/>
        </w:rPr>
        <w:t xml:space="preserve"> w</w:t>
      </w:r>
      <w:r w:rsidR="00C56AFD">
        <w:rPr>
          <w:rFonts w:ascii="Calibri" w:hAnsi="Calibri" w:cs="Calibri"/>
          <w:i/>
          <w:noProof/>
          <w:sz w:val="16"/>
        </w:rPr>
        <w:t> </w:t>
      </w:r>
      <w:r w:rsidR="00C56AFD">
        <w:rPr>
          <w:i/>
          <w:noProof/>
          <w:sz w:val="16"/>
        </w:rPr>
        <w:t>ram</w:t>
      </w:r>
      <w:r>
        <w:rPr>
          <w:i/>
          <w:noProof/>
          <w:sz w:val="16"/>
        </w:rPr>
        <w:t>ach instrumentu elastyczności oraz instrumentu EURI są uwzględnione</w:t>
      </w:r>
      <w:r w:rsidR="00C56AFD">
        <w:rPr>
          <w:i/>
          <w:noProof/>
          <w:sz w:val="16"/>
        </w:rPr>
        <w:t xml:space="preserve"> w</w:t>
      </w:r>
      <w:r w:rsidR="00C56AFD">
        <w:rPr>
          <w:rFonts w:ascii="Calibri" w:hAnsi="Calibri" w:cs="Calibri"/>
          <w:i/>
          <w:noProof/>
          <w:sz w:val="16"/>
        </w:rPr>
        <w:t> </w:t>
      </w:r>
      <w:r w:rsidR="00C56AFD">
        <w:rPr>
          <w:i/>
          <w:noProof/>
          <w:sz w:val="16"/>
        </w:rPr>
        <w:t>odp</w:t>
      </w:r>
      <w:r>
        <w:rPr>
          <w:i/>
          <w:noProof/>
          <w:sz w:val="16"/>
        </w:rPr>
        <w:t>owiednich działach.</w:t>
      </w:r>
    </w:p>
    <w:p w14:paraId="79320A34" w14:textId="25530B46" w:rsidR="00861C1C" w:rsidRPr="00682537" w:rsidRDefault="003B6DC2" w:rsidP="00682537">
      <w:pPr>
        <w:rPr>
          <w:noProof/>
        </w:rPr>
      </w:pPr>
      <w:r>
        <w:rPr>
          <w:noProof/>
        </w:rPr>
        <w:br w:type="page"/>
      </w:r>
    </w:p>
    <w:p w14:paraId="0FBE5FFC" w14:textId="51B887CB" w:rsidR="00861C1C" w:rsidRPr="009C6708" w:rsidRDefault="003B6DC2" w:rsidP="009C6708">
      <w:pPr>
        <w:pStyle w:val="Heading2"/>
        <w:rPr>
          <w:noProof/>
        </w:rPr>
      </w:pPr>
      <w:bookmarkStart w:id="78" w:name="_Toc170319527"/>
      <w:r>
        <w:rPr>
          <w:noProof/>
        </w:rPr>
        <w:t>Tabela 1.2 – Płatności związane</w:t>
      </w:r>
      <w:r w:rsidR="00C56AFD">
        <w:rPr>
          <w:noProof/>
        </w:rPr>
        <w:t xml:space="preserve"> z</w:t>
      </w:r>
      <w:r w:rsidR="00C56AFD">
        <w:rPr>
          <w:rFonts w:ascii="Calibri" w:hAnsi="Calibri" w:cs="Calibri"/>
          <w:noProof/>
        </w:rPr>
        <w:t> </w:t>
      </w:r>
      <w:r w:rsidR="00C56AFD">
        <w:rPr>
          <w:noProof/>
        </w:rPr>
        <w:t>zob</w:t>
      </w:r>
      <w:r>
        <w:rPr>
          <w:noProof/>
        </w:rPr>
        <w:t>owiązaniami</w:t>
      </w:r>
      <w:r w:rsidR="00C56AFD">
        <w:rPr>
          <w:noProof/>
        </w:rPr>
        <w:t xml:space="preserve"> w</w:t>
      </w:r>
      <w:r w:rsidR="00C56AFD">
        <w:rPr>
          <w:rFonts w:ascii="Calibri" w:hAnsi="Calibri" w:cs="Calibri"/>
          <w:noProof/>
        </w:rPr>
        <w:t> </w:t>
      </w:r>
      <w:r w:rsidR="00C56AFD">
        <w:rPr>
          <w:noProof/>
        </w:rPr>
        <w:t>ram</w:t>
      </w:r>
      <w:r>
        <w:rPr>
          <w:noProof/>
        </w:rPr>
        <w:t>ach WRF na lata 2021–2027</w:t>
      </w:r>
      <w:bookmarkEnd w:id="78"/>
    </w:p>
    <w:tbl>
      <w:tblPr>
        <w:tblStyle w:val="AMPR2021"/>
        <w:tblW w:w="5000" w:type="pct"/>
        <w:tblBorders>
          <w:top w:val="none" w:sz="0" w:space="0" w:color="auto"/>
          <w:bottom w:val="none" w:sz="0" w:space="0" w:color="auto"/>
          <w:insideH w:val="single" w:sz="6" w:space="0" w:color="BFBFBF" w:themeColor="background1" w:themeShade="BF"/>
          <w:insideV w:val="single" w:sz="6" w:space="0" w:color="BFBFBF" w:themeColor="background1" w:themeShade="BF"/>
        </w:tblBorders>
        <w:tblLayout w:type="fixed"/>
        <w:tblCellMar>
          <w:left w:w="85" w:type="dxa"/>
        </w:tblCellMar>
        <w:tblLook w:val="06A0" w:firstRow="1" w:lastRow="0" w:firstColumn="1" w:lastColumn="0" w:noHBand="1" w:noVBand="1"/>
      </w:tblPr>
      <w:tblGrid>
        <w:gridCol w:w="3062"/>
        <w:gridCol w:w="1122"/>
        <w:gridCol w:w="1123"/>
        <w:gridCol w:w="1123"/>
        <w:gridCol w:w="1123"/>
        <w:gridCol w:w="1123"/>
        <w:gridCol w:w="1121"/>
      </w:tblGrid>
      <w:tr w:rsidR="00A10B5A" w:rsidRPr="00A10B5A" w14:paraId="1CF6F3CB" w14:textId="77777777" w:rsidTr="004730C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3" w:type="pct"/>
          </w:tcPr>
          <w:p w14:paraId="1574FA07" w14:textId="77777777" w:rsidR="00B35585" w:rsidRPr="00A10B5A" w:rsidRDefault="00B35585" w:rsidP="00B35585">
            <w:pPr>
              <w:spacing w:after="120"/>
              <w:rPr>
                <w:rFonts w:eastAsia="Calibri"/>
                <w:b w:val="0"/>
                <w:bCs/>
                <w:noProof/>
                <w:sz w:val="22"/>
                <w:szCs w:val="22"/>
              </w:rPr>
            </w:pPr>
            <w:r>
              <w:rPr>
                <w:noProof/>
                <w:sz w:val="22"/>
              </w:rPr>
              <w:t>Dział WRF</w:t>
            </w:r>
          </w:p>
        </w:tc>
        <w:tc>
          <w:tcPr>
            <w:tcW w:w="573" w:type="pct"/>
          </w:tcPr>
          <w:p w14:paraId="33BD4996" w14:textId="5A60EEC7" w:rsidR="00B35585" w:rsidRPr="00A10B5A" w:rsidRDefault="00B35585" w:rsidP="00B35585">
            <w:pPr>
              <w:spacing w:after="120"/>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22"/>
              </w:rPr>
            </w:pPr>
            <w:r>
              <w:rPr>
                <w:noProof/>
                <w:sz w:val="22"/>
              </w:rPr>
              <w:t>2025</w:t>
            </w:r>
          </w:p>
        </w:tc>
        <w:tc>
          <w:tcPr>
            <w:tcW w:w="573" w:type="pct"/>
          </w:tcPr>
          <w:p w14:paraId="7FBCCDB7" w14:textId="53B537EF" w:rsidR="00B35585" w:rsidRPr="00A10B5A" w:rsidRDefault="00B35585" w:rsidP="00B35585">
            <w:pPr>
              <w:spacing w:after="120"/>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22"/>
              </w:rPr>
            </w:pPr>
            <w:r>
              <w:rPr>
                <w:noProof/>
                <w:sz w:val="22"/>
              </w:rPr>
              <w:t>2026</w:t>
            </w:r>
          </w:p>
        </w:tc>
        <w:tc>
          <w:tcPr>
            <w:tcW w:w="573" w:type="pct"/>
          </w:tcPr>
          <w:p w14:paraId="092CD79A" w14:textId="6A2FBE63" w:rsidR="00B35585" w:rsidRPr="00A10B5A" w:rsidRDefault="00B35585" w:rsidP="00B35585">
            <w:pPr>
              <w:spacing w:after="120"/>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22"/>
              </w:rPr>
            </w:pPr>
            <w:r>
              <w:rPr>
                <w:noProof/>
                <w:sz w:val="22"/>
              </w:rPr>
              <w:t>2027</w:t>
            </w:r>
          </w:p>
        </w:tc>
        <w:tc>
          <w:tcPr>
            <w:tcW w:w="573" w:type="pct"/>
          </w:tcPr>
          <w:p w14:paraId="1857D4A3" w14:textId="44A7D1C1" w:rsidR="00B35585" w:rsidRPr="00A10B5A" w:rsidRDefault="00B35585" w:rsidP="00B35585">
            <w:pPr>
              <w:spacing w:after="120"/>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22"/>
              </w:rPr>
            </w:pPr>
            <w:r>
              <w:rPr>
                <w:noProof/>
                <w:sz w:val="22"/>
              </w:rPr>
              <w:t>2028</w:t>
            </w:r>
          </w:p>
        </w:tc>
        <w:tc>
          <w:tcPr>
            <w:tcW w:w="573" w:type="pct"/>
          </w:tcPr>
          <w:p w14:paraId="156891D6" w14:textId="7526A144" w:rsidR="00B35585" w:rsidRPr="00A10B5A" w:rsidRDefault="00B35585" w:rsidP="00B35585">
            <w:pPr>
              <w:spacing w:after="120"/>
              <w:cnfStyle w:val="100000000000" w:firstRow="1" w:lastRow="0" w:firstColumn="0" w:lastColumn="0" w:oddVBand="0" w:evenVBand="0" w:oddHBand="0" w:evenHBand="0" w:firstRowFirstColumn="0" w:firstRowLastColumn="0" w:lastRowFirstColumn="0" w:lastRowLastColumn="0"/>
              <w:rPr>
                <w:rFonts w:eastAsia="Calibri"/>
                <w:noProof/>
                <w:sz w:val="22"/>
                <w:szCs w:val="22"/>
              </w:rPr>
            </w:pPr>
            <w:r>
              <w:rPr>
                <w:noProof/>
                <w:sz w:val="22"/>
              </w:rPr>
              <w:t>2029</w:t>
            </w:r>
          </w:p>
        </w:tc>
        <w:tc>
          <w:tcPr>
            <w:tcW w:w="573" w:type="pct"/>
          </w:tcPr>
          <w:p w14:paraId="7C8532B3" w14:textId="77777777" w:rsidR="00B35585" w:rsidRPr="00A10B5A" w:rsidRDefault="00B35585" w:rsidP="00B35585">
            <w:pPr>
              <w:spacing w:after="120"/>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22"/>
              </w:rPr>
            </w:pPr>
            <w:r>
              <w:rPr>
                <w:noProof/>
                <w:sz w:val="22"/>
              </w:rPr>
              <w:t>Ogółem</w:t>
            </w:r>
          </w:p>
        </w:tc>
      </w:tr>
      <w:tr w:rsidR="00A10B5A" w:rsidRPr="00A10B5A" w14:paraId="06E36101" w14:textId="77777777" w:rsidTr="004730C5">
        <w:trPr>
          <w:trHeight w:val="300"/>
        </w:trPr>
        <w:tc>
          <w:tcPr>
            <w:cnfStyle w:val="001000000000" w:firstRow="0" w:lastRow="0" w:firstColumn="1" w:lastColumn="0" w:oddVBand="0" w:evenVBand="0" w:oddHBand="0" w:evenHBand="0" w:firstRowFirstColumn="0" w:firstRowLastColumn="0" w:lastRowFirstColumn="0" w:lastRowLastColumn="0"/>
            <w:tcW w:w="1563" w:type="pct"/>
          </w:tcPr>
          <w:p w14:paraId="48F3627A" w14:textId="3BF8A59C" w:rsidR="00EE3626" w:rsidRPr="00A10B5A" w:rsidRDefault="00EE3626" w:rsidP="00EE3626">
            <w:pPr>
              <w:spacing w:after="120"/>
              <w:rPr>
                <w:rFonts w:eastAsia="Calibri"/>
                <w:bCs/>
                <w:noProof/>
                <w:color w:val="245F95" w:themeColor="text2"/>
                <w:sz w:val="22"/>
                <w:szCs w:val="22"/>
              </w:rPr>
            </w:pPr>
            <w:r>
              <w:rPr>
                <w:noProof/>
                <w:color w:val="245F95" w:themeColor="text2"/>
                <w:sz w:val="22"/>
              </w:rPr>
              <w:t>1 Jednolity rynek, innowacje</w:t>
            </w:r>
            <w:r w:rsidR="00C56AFD">
              <w:rPr>
                <w:noProof/>
                <w:color w:val="245F95" w:themeColor="text2"/>
                <w:sz w:val="22"/>
              </w:rPr>
              <w:t xml:space="preserve"> i</w:t>
            </w:r>
            <w:r w:rsidR="00C56AFD">
              <w:rPr>
                <w:rFonts w:ascii="Calibri" w:hAnsi="Calibri" w:cs="Calibri"/>
                <w:noProof/>
                <w:color w:val="245F95" w:themeColor="text2"/>
                <w:sz w:val="22"/>
              </w:rPr>
              <w:t> </w:t>
            </w:r>
            <w:r w:rsidR="00C56AFD">
              <w:rPr>
                <w:noProof/>
                <w:color w:val="245F95" w:themeColor="text2"/>
                <w:sz w:val="22"/>
              </w:rPr>
              <w:t>gos</w:t>
            </w:r>
            <w:r>
              <w:rPr>
                <w:noProof/>
                <w:color w:val="245F95" w:themeColor="text2"/>
                <w:sz w:val="22"/>
              </w:rPr>
              <w:t>podarka cyfrowa</w:t>
            </w:r>
          </w:p>
        </w:tc>
        <w:tc>
          <w:tcPr>
            <w:tcW w:w="573" w:type="pct"/>
            <w:vAlign w:val="center"/>
          </w:tcPr>
          <w:p w14:paraId="272E3619" w14:textId="4836C6FF" w:rsidR="00EE3626" w:rsidRPr="00A10B5A" w:rsidRDefault="0075355F"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17,7</w:t>
            </w:r>
          </w:p>
        </w:tc>
        <w:tc>
          <w:tcPr>
            <w:tcW w:w="573" w:type="pct"/>
            <w:vAlign w:val="center"/>
          </w:tcPr>
          <w:p w14:paraId="32DE1894" w14:textId="6A7D8BFA" w:rsidR="00EE3626" w:rsidRPr="00A10B5A" w:rsidRDefault="0075355F"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23,7</w:t>
            </w:r>
          </w:p>
        </w:tc>
        <w:tc>
          <w:tcPr>
            <w:tcW w:w="573" w:type="pct"/>
            <w:vAlign w:val="center"/>
          </w:tcPr>
          <w:p w14:paraId="0D61A1C9" w14:textId="789807B7" w:rsidR="00EE3626" w:rsidRPr="00A10B5A" w:rsidRDefault="00EE3626"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23,3</w:t>
            </w:r>
          </w:p>
        </w:tc>
        <w:tc>
          <w:tcPr>
            <w:tcW w:w="573" w:type="pct"/>
            <w:vAlign w:val="center"/>
          </w:tcPr>
          <w:p w14:paraId="75886273" w14:textId="7096EDA2" w:rsidR="00EE3626" w:rsidRPr="00A10B5A" w:rsidRDefault="00EE3626"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22,4</w:t>
            </w:r>
          </w:p>
        </w:tc>
        <w:tc>
          <w:tcPr>
            <w:tcW w:w="573" w:type="pct"/>
            <w:vAlign w:val="center"/>
          </w:tcPr>
          <w:p w14:paraId="4848F78B" w14:textId="09D4EFBA" w:rsidR="00EE3626" w:rsidRPr="00A10B5A" w:rsidRDefault="00EE3626"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noProof/>
                <w:color w:val="000000" w:themeColor="text1"/>
                <w:sz w:val="22"/>
                <w:szCs w:val="22"/>
              </w:rPr>
            </w:pPr>
            <w:r>
              <w:rPr>
                <w:noProof/>
                <w:color w:val="000000" w:themeColor="text1"/>
                <w:sz w:val="22"/>
              </w:rPr>
              <w:t>16,9</w:t>
            </w:r>
          </w:p>
        </w:tc>
        <w:tc>
          <w:tcPr>
            <w:tcW w:w="573" w:type="pct"/>
            <w:vAlign w:val="center"/>
          </w:tcPr>
          <w:p w14:paraId="0C35CC18" w14:textId="6FFD68A0" w:rsidR="00EE3626" w:rsidRPr="00A10B5A" w:rsidRDefault="00EE3626"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b/>
                <w:bCs/>
                <w:noProof/>
                <w:color w:val="245F95" w:themeColor="text2"/>
                <w:sz w:val="22"/>
                <w:szCs w:val="22"/>
              </w:rPr>
            </w:pPr>
            <w:r>
              <w:rPr>
                <w:b/>
                <w:noProof/>
                <w:color w:val="245F95" w:themeColor="text2"/>
                <w:sz w:val="22"/>
              </w:rPr>
              <w:t>104,0</w:t>
            </w:r>
          </w:p>
        </w:tc>
      </w:tr>
      <w:tr w:rsidR="00A10B5A" w:rsidRPr="00A10B5A" w14:paraId="47854F47" w14:textId="77777777" w:rsidTr="004730C5">
        <w:trPr>
          <w:trHeight w:val="300"/>
        </w:trPr>
        <w:tc>
          <w:tcPr>
            <w:cnfStyle w:val="001000000000" w:firstRow="0" w:lastRow="0" w:firstColumn="1" w:lastColumn="0" w:oddVBand="0" w:evenVBand="0" w:oddHBand="0" w:evenHBand="0" w:firstRowFirstColumn="0" w:firstRowLastColumn="0" w:lastRowFirstColumn="0" w:lastRowLastColumn="0"/>
            <w:tcW w:w="1563" w:type="pct"/>
          </w:tcPr>
          <w:p w14:paraId="5C0D2440" w14:textId="532D0842" w:rsidR="00D212B3" w:rsidRPr="00A10B5A" w:rsidRDefault="00D212B3" w:rsidP="00D212B3">
            <w:pPr>
              <w:spacing w:after="120"/>
              <w:rPr>
                <w:rFonts w:eastAsia="Calibri"/>
                <w:bCs/>
                <w:noProof/>
                <w:color w:val="245F95" w:themeColor="text2"/>
                <w:sz w:val="22"/>
                <w:szCs w:val="22"/>
              </w:rPr>
            </w:pPr>
            <w:r>
              <w:rPr>
                <w:noProof/>
                <w:color w:val="245F95" w:themeColor="text2"/>
                <w:sz w:val="22"/>
              </w:rPr>
              <w:t>2 Spójność, odporność</w:t>
            </w:r>
            <w:r w:rsidR="00C56AFD">
              <w:rPr>
                <w:noProof/>
                <w:color w:val="245F95" w:themeColor="text2"/>
                <w:sz w:val="22"/>
              </w:rPr>
              <w:t xml:space="preserve"> i</w:t>
            </w:r>
            <w:r w:rsidR="00C56AFD">
              <w:rPr>
                <w:rFonts w:ascii="Calibri" w:hAnsi="Calibri" w:cs="Calibri"/>
                <w:noProof/>
                <w:color w:val="245F95" w:themeColor="text2"/>
                <w:sz w:val="22"/>
              </w:rPr>
              <w:t> </w:t>
            </w:r>
            <w:r w:rsidR="00C56AFD">
              <w:rPr>
                <w:noProof/>
                <w:color w:val="245F95" w:themeColor="text2"/>
                <w:sz w:val="22"/>
              </w:rPr>
              <w:t>war</w:t>
            </w:r>
            <w:r>
              <w:rPr>
                <w:noProof/>
                <w:color w:val="245F95" w:themeColor="text2"/>
                <w:sz w:val="22"/>
              </w:rPr>
              <w:t>tości</w:t>
            </w:r>
          </w:p>
        </w:tc>
        <w:tc>
          <w:tcPr>
            <w:tcW w:w="573" w:type="pct"/>
            <w:vAlign w:val="center"/>
          </w:tcPr>
          <w:p w14:paraId="1E9D411D" w14:textId="2ADCE32E" w:rsidR="00D212B3" w:rsidRPr="00A10B5A" w:rsidRDefault="004A0C81"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40,9</w:t>
            </w:r>
          </w:p>
        </w:tc>
        <w:tc>
          <w:tcPr>
            <w:tcW w:w="573" w:type="pct"/>
            <w:vAlign w:val="center"/>
          </w:tcPr>
          <w:p w14:paraId="11D7BA19" w14:textId="094F0256" w:rsidR="00D212B3" w:rsidRPr="00A10B5A" w:rsidRDefault="00FC00AF"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56,8</w:t>
            </w:r>
          </w:p>
        </w:tc>
        <w:tc>
          <w:tcPr>
            <w:tcW w:w="573" w:type="pct"/>
            <w:vAlign w:val="center"/>
          </w:tcPr>
          <w:p w14:paraId="1C0B0C47" w14:textId="6006E25A" w:rsidR="00D212B3" w:rsidRPr="00A10B5A" w:rsidRDefault="0030205B"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70,9</w:t>
            </w:r>
          </w:p>
        </w:tc>
        <w:tc>
          <w:tcPr>
            <w:tcW w:w="573" w:type="pct"/>
            <w:vAlign w:val="center"/>
          </w:tcPr>
          <w:p w14:paraId="6EE2C64C" w14:textId="770421EA" w:rsidR="00D212B3" w:rsidRPr="00A10B5A" w:rsidRDefault="0004056F"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79,4</w:t>
            </w:r>
          </w:p>
        </w:tc>
        <w:tc>
          <w:tcPr>
            <w:tcW w:w="573" w:type="pct"/>
            <w:vAlign w:val="center"/>
          </w:tcPr>
          <w:p w14:paraId="137F418C" w14:textId="749615C6" w:rsidR="00D212B3" w:rsidRPr="00A10B5A" w:rsidRDefault="007B0AE7"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noProof/>
                <w:color w:val="000000" w:themeColor="text1"/>
                <w:sz w:val="22"/>
                <w:szCs w:val="22"/>
              </w:rPr>
            </w:pPr>
            <w:r>
              <w:rPr>
                <w:noProof/>
                <w:color w:val="000000" w:themeColor="text1"/>
                <w:sz w:val="22"/>
              </w:rPr>
              <w:t>74,6</w:t>
            </w:r>
          </w:p>
        </w:tc>
        <w:tc>
          <w:tcPr>
            <w:tcW w:w="573" w:type="pct"/>
            <w:vAlign w:val="center"/>
          </w:tcPr>
          <w:p w14:paraId="0CDE4EE5" w14:textId="3CCE523A" w:rsidR="00D212B3" w:rsidRPr="00A10B5A" w:rsidRDefault="00BF76ED"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b/>
                <w:bCs/>
                <w:noProof/>
                <w:color w:val="245F95" w:themeColor="text2"/>
                <w:sz w:val="22"/>
                <w:szCs w:val="22"/>
              </w:rPr>
            </w:pPr>
            <w:r>
              <w:rPr>
                <w:b/>
                <w:noProof/>
                <w:color w:val="245F95" w:themeColor="text2"/>
                <w:sz w:val="22"/>
              </w:rPr>
              <w:t>322,6</w:t>
            </w:r>
          </w:p>
        </w:tc>
      </w:tr>
      <w:tr w:rsidR="00A10B5A" w:rsidRPr="00A10B5A" w14:paraId="0D40747B" w14:textId="77777777" w:rsidTr="004730C5">
        <w:trPr>
          <w:trHeight w:val="300"/>
        </w:trPr>
        <w:tc>
          <w:tcPr>
            <w:cnfStyle w:val="001000000000" w:firstRow="0" w:lastRow="0" w:firstColumn="1" w:lastColumn="0" w:oddVBand="0" w:evenVBand="0" w:oddHBand="0" w:evenHBand="0" w:firstRowFirstColumn="0" w:firstRowLastColumn="0" w:lastRowFirstColumn="0" w:lastRowLastColumn="0"/>
            <w:tcW w:w="1563" w:type="pct"/>
          </w:tcPr>
          <w:p w14:paraId="603F3773" w14:textId="20FD2821" w:rsidR="0071559B" w:rsidRPr="00A10B5A" w:rsidRDefault="0071559B" w:rsidP="00D16649">
            <w:pPr>
              <w:spacing w:after="120"/>
              <w:ind w:left="170"/>
              <w:rPr>
                <w:rFonts w:eastAsia="Calibri"/>
                <w:b w:val="0"/>
                <w:bCs/>
                <w:noProof/>
                <w:color w:val="245F95" w:themeColor="text2"/>
                <w:sz w:val="22"/>
                <w:szCs w:val="22"/>
              </w:rPr>
            </w:pPr>
            <w:r>
              <w:rPr>
                <w:b w:val="0"/>
                <w:noProof/>
                <w:color w:val="245F95" w:themeColor="text2"/>
                <w:sz w:val="22"/>
              </w:rPr>
              <w:t>2.1 Spójność gospodarcza, społeczna</w:t>
            </w:r>
            <w:r w:rsidR="00C56AFD">
              <w:rPr>
                <w:b w:val="0"/>
                <w:noProof/>
                <w:color w:val="245F95" w:themeColor="text2"/>
                <w:sz w:val="22"/>
              </w:rPr>
              <w:t xml:space="preserve"> i</w:t>
            </w:r>
            <w:r w:rsidR="00C56AFD">
              <w:rPr>
                <w:rFonts w:ascii="Calibri" w:hAnsi="Calibri" w:cs="Calibri"/>
                <w:b w:val="0"/>
                <w:noProof/>
                <w:color w:val="245F95" w:themeColor="text2"/>
                <w:sz w:val="22"/>
              </w:rPr>
              <w:t> </w:t>
            </w:r>
            <w:r w:rsidR="00C56AFD">
              <w:rPr>
                <w:b w:val="0"/>
                <w:noProof/>
                <w:color w:val="245F95" w:themeColor="text2"/>
                <w:sz w:val="22"/>
              </w:rPr>
              <w:t>ter</w:t>
            </w:r>
            <w:r>
              <w:rPr>
                <w:b w:val="0"/>
                <w:noProof/>
                <w:color w:val="245F95" w:themeColor="text2"/>
                <w:sz w:val="22"/>
              </w:rPr>
              <w:t>ytorialna</w:t>
            </w:r>
          </w:p>
        </w:tc>
        <w:tc>
          <w:tcPr>
            <w:tcW w:w="573" w:type="pct"/>
            <w:vAlign w:val="center"/>
          </w:tcPr>
          <w:p w14:paraId="343EFA1F" w14:textId="23C975CE" w:rsidR="0071559B" w:rsidRPr="00A10B5A" w:rsidRDefault="004751BB" w:rsidP="0071559B">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29,6</w:t>
            </w:r>
          </w:p>
        </w:tc>
        <w:tc>
          <w:tcPr>
            <w:tcW w:w="573" w:type="pct"/>
            <w:vAlign w:val="center"/>
          </w:tcPr>
          <w:p w14:paraId="6F0E4137" w14:textId="4CBAC655" w:rsidR="0071559B" w:rsidRPr="00A10B5A" w:rsidRDefault="0032407C" w:rsidP="0071559B">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45,9</w:t>
            </w:r>
          </w:p>
        </w:tc>
        <w:tc>
          <w:tcPr>
            <w:tcW w:w="573" w:type="pct"/>
            <w:vAlign w:val="center"/>
          </w:tcPr>
          <w:p w14:paraId="10E8BF8A" w14:textId="792C8E5D" w:rsidR="0071559B" w:rsidRPr="00A10B5A" w:rsidRDefault="0071559B" w:rsidP="0071559B">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58,2</w:t>
            </w:r>
          </w:p>
        </w:tc>
        <w:tc>
          <w:tcPr>
            <w:tcW w:w="573" w:type="pct"/>
            <w:vAlign w:val="center"/>
          </w:tcPr>
          <w:p w14:paraId="4C08BB9E" w14:textId="02BCF499" w:rsidR="0071559B" w:rsidRPr="00A10B5A" w:rsidRDefault="009300C1" w:rsidP="0071559B">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71,8</w:t>
            </w:r>
          </w:p>
        </w:tc>
        <w:tc>
          <w:tcPr>
            <w:tcW w:w="573" w:type="pct"/>
            <w:vAlign w:val="center"/>
          </w:tcPr>
          <w:p w14:paraId="0952F2D8" w14:textId="1E6A784F" w:rsidR="0071559B" w:rsidRPr="00A10B5A" w:rsidRDefault="0071559B" w:rsidP="0071559B">
            <w:pPr>
              <w:spacing w:after="120" w:line="22" w:lineRule="atLeast"/>
              <w:jc w:val="right"/>
              <w:cnfStyle w:val="000000000000" w:firstRow="0" w:lastRow="0" w:firstColumn="0" w:lastColumn="0" w:oddVBand="0" w:evenVBand="0" w:oddHBand="0" w:evenHBand="0" w:firstRowFirstColumn="0" w:firstRowLastColumn="0" w:lastRowFirstColumn="0" w:lastRowLastColumn="0"/>
              <w:rPr>
                <w:noProof/>
                <w:color w:val="000000" w:themeColor="text1"/>
                <w:sz w:val="22"/>
                <w:szCs w:val="22"/>
              </w:rPr>
            </w:pPr>
            <w:r>
              <w:rPr>
                <w:noProof/>
                <w:color w:val="000000" w:themeColor="text1"/>
                <w:sz w:val="22"/>
              </w:rPr>
              <w:t>72,2</w:t>
            </w:r>
          </w:p>
        </w:tc>
        <w:tc>
          <w:tcPr>
            <w:tcW w:w="573" w:type="pct"/>
            <w:vAlign w:val="center"/>
          </w:tcPr>
          <w:p w14:paraId="061275DE" w14:textId="6D052E52" w:rsidR="0071559B" w:rsidRPr="00A10B5A" w:rsidRDefault="0071559B" w:rsidP="0071559B">
            <w:pPr>
              <w:spacing w:after="120" w:line="22" w:lineRule="atLeast"/>
              <w:jc w:val="right"/>
              <w:cnfStyle w:val="000000000000" w:firstRow="0" w:lastRow="0" w:firstColumn="0" w:lastColumn="0" w:oddVBand="0" w:evenVBand="0" w:oddHBand="0" w:evenHBand="0" w:firstRowFirstColumn="0" w:firstRowLastColumn="0" w:lastRowFirstColumn="0" w:lastRowLastColumn="0"/>
              <w:rPr>
                <w:b/>
                <w:bCs/>
                <w:noProof/>
                <w:color w:val="245F95" w:themeColor="text2"/>
                <w:sz w:val="22"/>
                <w:szCs w:val="22"/>
              </w:rPr>
            </w:pPr>
            <w:r>
              <w:rPr>
                <w:b/>
                <w:noProof/>
                <w:color w:val="245F95" w:themeColor="text2"/>
                <w:sz w:val="22"/>
              </w:rPr>
              <w:t>277,8</w:t>
            </w:r>
          </w:p>
        </w:tc>
      </w:tr>
      <w:tr w:rsidR="00A10B5A" w:rsidRPr="00A10B5A" w14:paraId="7CAF976F" w14:textId="77777777" w:rsidTr="004730C5">
        <w:trPr>
          <w:trHeight w:val="300"/>
        </w:trPr>
        <w:tc>
          <w:tcPr>
            <w:cnfStyle w:val="001000000000" w:firstRow="0" w:lastRow="0" w:firstColumn="1" w:lastColumn="0" w:oddVBand="0" w:evenVBand="0" w:oddHBand="0" w:evenHBand="0" w:firstRowFirstColumn="0" w:firstRowLastColumn="0" w:lastRowFirstColumn="0" w:lastRowLastColumn="0"/>
            <w:tcW w:w="1563" w:type="pct"/>
          </w:tcPr>
          <w:p w14:paraId="7CC15A50" w14:textId="21EB0C4E" w:rsidR="00B35585" w:rsidRPr="00A10B5A" w:rsidRDefault="00B35585" w:rsidP="00D16649">
            <w:pPr>
              <w:spacing w:after="120"/>
              <w:ind w:left="170"/>
              <w:rPr>
                <w:rFonts w:eastAsia="Calibri"/>
                <w:b w:val="0"/>
                <w:bCs/>
                <w:noProof/>
                <w:color w:val="245F95" w:themeColor="text2"/>
                <w:sz w:val="22"/>
                <w:szCs w:val="22"/>
              </w:rPr>
            </w:pPr>
            <w:r>
              <w:rPr>
                <w:b w:val="0"/>
                <w:noProof/>
                <w:color w:val="245F95" w:themeColor="text2"/>
                <w:sz w:val="22"/>
              </w:rPr>
              <w:t>2.2 Odporność</w:t>
            </w:r>
            <w:r w:rsidR="00C56AFD">
              <w:rPr>
                <w:b w:val="0"/>
                <w:noProof/>
                <w:color w:val="245F95" w:themeColor="text2"/>
                <w:sz w:val="22"/>
              </w:rPr>
              <w:t xml:space="preserve"> i</w:t>
            </w:r>
            <w:r w:rsidR="00C56AFD">
              <w:rPr>
                <w:rFonts w:ascii="Calibri" w:hAnsi="Calibri" w:cs="Calibri"/>
                <w:b w:val="0"/>
                <w:noProof/>
                <w:color w:val="245F95" w:themeColor="text2"/>
                <w:sz w:val="22"/>
              </w:rPr>
              <w:t> </w:t>
            </w:r>
            <w:r w:rsidR="00C56AFD">
              <w:rPr>
                <w:b w:val="0"/>
                <w:noProof/>
                <w:color w:val="245F95" w:themeColor="text2"/>
                <w:sz w:val="22"/>
              </w:rPr>
              <w:t>war</w:t>
            </w:r>
            <w:r>
              <w:rPr>
                <w:b w:val="0"/>
                <w:noProof/>
                <w:color w:val="245F95" w:themeColor="text2"/>
                <w:sz w:val="22"/>
              </w:rPr>
              <w:t>tości</w:t>
            </w:r>
          </w:p>
        </w:tc>
        <w:tc>
          <w:tcPr>
            <w:tcW w:w="573" w:type="pct"/>
            <w:vAlign w:val="center"/>
          </w:tcPr>
          <w:p w14:paraId="7FF52CBA" w14:textId="52355A4E" w:rsidR="00B35585" w:rsidRPr="00A10B5A" w:rsidRDefault="00EE2A88"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11,3</w:t>
            </w:r>
          </w:p>
        </w:tc>
        <w:tc>
          <w:tcPr>
            <w:tcW w:w="573" w:type="pct"/>
            <w:vAlign w:val="center"/>
          </w:tcPr>
          <w:p w14:paraId="7BC1C8D0" w14:textId="63D63701" w:rsidR="00B35585" w:rsidRPr="00A10B5A" w:rsidRDefault="00EE2A88"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10,9</w:t>
            </w:r>
          </w:p>
        </w:tc>
        <w:tc>
          <w:tcPr>
            <w:tcW w:w="573" w:type="pct"/>
            <w:vAlign w:val="center"/>
          </w:tcPr>
          <w:p w14:paraId="5441CD78" w14:textId="2C0904F2" w:rsidR="00B35585" w:rsidRPr="00A10B5A" w:rsidRDefault="00B35585"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12,6</w:t>
            </w:r>
          </w:p>
        </w:tc>
        <w:tc>
          <w:tcPr>
            <w:tcW w:w="573" w:type="pct"/>
            <w:vAlign w:val="center"/>
          </w:tcPr>
          <w:p w14:paraId="7B7462CF" w14:textId="710F7ABF" w:rsidR="00B35585" w:rsidRPr="00A10B5A" w:rsidRDefault="00BF4EBB"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7,6</w:t>
            </w:r>
          </w:p>
        </w:tc>
        <w:tc>
          <w:tcPr>
            <w:tcW w:w="573" w:type="pct"/>
            <w:vAlign w:val="center"/>
          </w:tcPr>
          <w:p w14:paraId="6D1BCE12" w14:textId="1EF3E012" w:rsidR="00B35585" w:rsidRPr="00A10B5A" w:rsidRDefault="00A34D98"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noProof/>
                <w:color w:val="000000" w:themeColor="text1"/>
                <w:sz w:val="22"/>
                <w:szCs w:val="22"/>
              </w:rPr>
            </w:pPr>
            <w:r>
              <w:rPr>
                <w:noProof/>
                <w:color w:val="000000" w:themeColor="text1"/>
                <w:sz w:val="22"/>
              </w:rPr>
              <w:t>2,4</w:t>
            </w:r>
          </w:p>
        </w:tc>
        <w:tc>
          <w:tcPr>
            <w:tcW w:w="573" w:type="pct"/>
            <w:vAlign w:val="center"/>
          </w:tcPr>
          <w:p w14:paraId="3AFFA6D2" w14:textId="79E4F27C" w:rsidR="00B35585" w:rsidRPr="00A10B5A" w:rsidRDefault="00B35585"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b/>
                <w:bCs/>
                <w:noProof/>
                <w:color w:val="245F95" w:themeColor="text2"/>
                <w:sz w:val="22"/>
                <w:szCs w:val="22"/>
              </w:rPr>
            </w:pPr>
            <w:r>
              <w:rPr>
                <w:b/>
                <w:noProof/>
                <w:color w:val="245F95" w:themeColor="text2"/>
                <w:sz w:val="22"/>
              </w:rPr>
              <w:t>44,8</w:t>
            </w:r>
          </w:p>
        </w:tc>
      </w:tr>
      <w:tr w:rsidR="00A10B5A" w:rsidRPr="00A10B5A" w14:paraId="668AF3D8" w14:textId="77777777" w:rsidTr="004730C5">
        <w:trPr>
          <w:trHeight w:val="300"/>
        </w:trPr>
        <w:tc>
          <w:tcPr>
            <w:cnfStyle w:val="001000000000" w:firstRow="0" w:lastRow="0" w:firstColumn="1" w:lastColumn="0" w:oddVBand="0" w:evenVBand="0" w:oddHBand="0" w:evenHBand="0" w:firstRowFirstColumn="0" w:firstRowLastColumn="0" w:lastRowFirstColumn="0" w:lastRowLastColumn="0"/>
            <w:tcW w:w="1563" w:type="pct"/>
          </w:tcPr>
          <w:p w14:paraId="775172A9" w14:textId="79144766" w:rsidR="00D212B3" w:rsidRPr="00A10B5A" w:rsidRDefault="00D212B3" w:rsidP="00D212B3">
            <w:pPr>
              <w:spacing w:after="120"/>
              <w:rPr>
                <w:rFonts w:eastAsia="Calibri"/>
                <w:bCs/>
                <w:noProof/>
                <w:color w:val="245F95" w:themeColor="text2"/>
                <w:sz w:val="22"/>
                <w:szCs w:val="22"/>
              </w:rPr>
            </w:pPr>
            <w:r>
              <w:rPr>
                <w:noProof/>
                <w:color w:val="245F95" w:themeColor="text2"/>
                <w:sz w:val="22"/>
              </w:rPr>
              <w:t>3 Zasoby naturalne</w:t>
            </w:r>
            <w:r w:rsidR="00C56AFD">
              <w:rPr>
                <w:noProof/>
                <w:color w:val="245F95" w:themeColor="text2"/>
                <w:sz w:val="22"/>
              </w:rPr>
              <w:t xml:space="preserve"> i</w:t>
            </w:r>
            <w:r w:rsidR="00C56AFD">
              <w:rPr>
                <w:rFonts w:ascii="Calibri" w:hAnsi="Calibri" w:cs="Calibri"/>
                <w:noProof/>
                <w:color w:val="245F95" w:themeColor="text2"/>
                <w:sz w:val="22"/>
              </w:rPr>
              <w:t> </w:t>
            </w:r>
            <w:r w:rsidR="00C56AFD">
              <w:rPr>
                <w:noProof/>
                <w:color w:val="245F95" w:themeColor="text2"/>
                <w:sz w:val="22"/>
              </w:rPr>
              <w:t>śro</w:t>
            </w:r>
            <w:r>
              <w:rPr>
                <w:noProof/>
                <w:color w:val="245F95" w:themeColor="text2"/>
                <w:sz w:val="22"/>
              </w:rPr>
              <w:t>dowisko</w:t>
            </w:r>
          </w:p>
        </w:tc>
        <w:tc>
          <w:tcPr>
            <w:tcW w:w="573" w:type="pct"/>
            <w:vAlign w:val="center"/>
          </w:tcPr>
          <w:p w14:paraId="03598C8B" w14:textId="231D41E3" w:rsidR="00D212B3" w:rsidRPr="00A10B5A" w:rsidRDefault="00CF544E"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52,5</w:t>
            </w:r>
          </w:p>
        </w:tc>
        <w:tc>
          <w:tcPr>
            <w:tcW w:w="573" w:type="pct"/>
            <w:vAlign w:val="center"/>
          </w:tcPr>
          <w:p w14:paraId="1D716D7D" w14:textId="423E5837" w:rsidR="00D212B3" w:rsidRPr="00A10B5A" w:rsidRDefault="00863E69"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55,7</w:t>
            </w:r>
          </w:p>
        </w:tc>
        <w:tc>
          <w:tcPr>
            <w:tcW w:w="573" w:type="pct"/>
            <w:vAlign w:val="center"/>
          </w:tcPr>
          <w:p w14:paraId="238228B5" w14:textId="557AB762" w:rsidR="00D212B3" w:rsidRPr="00A10B5A" w:rsidRDefault="005A2E41"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59,5</w:t>
            </w:r>
          </w:p>
        </w:tc>
        <w:tc>
          <w:tcPr>
            <w:tcW w:w="573" w:type="pct"/>
            <w:vAlign w:val="center"/>
          </w:tcPr>
          <w:p w14:paraId="5360687E" w14:textId="6BFEF034" w:rsidR="00D212B3" w:rsidRPr="00A10B5A" w:rsidRDefault="00863E69"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17,5</w:t>
            </w:r>
          </w:p>
        </w:tc>
        <w:tc>
          <w:tcPr>
            <w:tcW w:w="573" w:type="pct"/>
            <w:vAlign w:val="center"/>
          </w:tcPr>
          <w:p w14:paraId="4063E511" w14:textId="4CD4EE42" w:rsidR="00D212B3" w:rsidRPr="00A10B5A" w:rsidRDefault="00863E69"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noProof/>
                <w:color w:val="000000" w:themeColor="text1"/>
                <w:sz w:val="22"/>
                <w:szCs w:val="22"/>
              </w:rPr>
            </w:pPr>
            <w:r>
              <w:rPr>
                <w:noProof/>
                <w:color w:val="000000" w:themeColor="text1"/>
                <w:sz w:val="22"/>
              </w:rPr>
              <w:t>14,5</w:t>
            </w:r>
          </w:p>
        </w:tc>
        <w:tc>
          <w:tcPr>
            <w:tcW w:w="573" w:type="pct"/>
            <w:vAlign w:val="center"/>
          </w:tcPr>
          <w:p w14:paraId="34958137" w14:textId="42487854" w:rsidR="00D212B3" w:rsidRPr="00A10B5A" w:rsidRDefault="00652245"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b/>
                <w:bCs/>
                <w:noProof/>
                <w:color w:val="245F95" w:themeColor="text2"/>
                <w:sz w:val="22"/>
                <w:szCs w:val="22"/>
              </w:rPr>
            </w:pPr>
            <w:r>
              <w:rPr>
                <w:b/>
                <w:noProof/>
                <w:color w:val="245F95" w:themeColor="text2"/>
                <w:sz w:val="22"/>
              </w:rPr>
              <w:t>199,7</w:t>
            </w:r>
          </w:p>
        </w:tc>
      </w:tr>
      <w:tr w:rsidR="00A10B5A" w:rsidRPr="00A10B5A" w14:paraId="784A411F" w14:textId="77777777" w:rsidTr="004730C5">
        <w:trPr>
          <w:trHeight w:val="300"/>
        </w:trPr>
        <w:tc>
          <w:tcPr>
            <w:cnfStyle w:val="001000000000" w:firstRow="0" w:lastRow="0" w:firstColumn="1" w:lastColumn="0" w:oddVBand="0" w:evenVBand="0" w:oddHBand="0" w:evenHBand="0" w:firstRowFirstColumn="0" w:firstRowLastColumn="0" w:lastRowFirstColumn="0" w:lastRowLastColumn="0"/>
            <w:tcW w:w="1563" w:type="pct"/>
          </w:tcPr>
          <w:p w14:paraId="7BB98FA4" w14:textId="0C3697D5" w:rsidR="00BC65B0" w:rsidRPr="00A10B5A" w:rsidRDefault="00BC65B0" w:rsidP="00D16649">
            <w:pPr>
              <w:spacing w:after="120"/>
              <w:ind w:left="170"/>
              <w:rPr>
                <w:rFonts w:eastAsia="Calibri"/>
                <w:b w:val="0"/>
                <w:bCs/>
                <w:noProof/>
                <w:color w:val="245F95" w:themeColor="text2"/>
                <w:sz w:val="22"/>
                <w:szCs w:val="22"/>
              </w:rPr>
            </w:pPr>
            <w:r>
              <w:rPr>
                <w:b w:val="0"/>
                <w:noProof/>
                <w:color w:val="245F95" w:themeColor="text2"/>
                <w:sz w:val="22"/>
              </w:rPr>
              <w:t>3.1 Wydatki związane</w:t>
            </w:r>
            <w:r w:rsidR="00C56AFD">
              <w:rPr>
                <w:b w:val="0"/>
                <w:noProof/>
                <w:color w:val="245F95" w:themeColor="text2"/>
                <w:sz w:val="22"/>
              </w:rPr>
              <w:t xml:space="preserve"> z</w:t>
            </w:r>
            <w:r w:rsidR="00C56AFD">
              <w:rPr>
                <w:rFonts w:ascii="Calibri" w:hAnsi="Calibri" w:cs="Calibri"/>
                <w:b w:val="0"/>
                <w:noProof/>
                <w:color w:val="245F95" w:themeColor="text2"/>
                <w:sz w:val="22"/>
              </w:rPr>
              <w:t> </w:t>
            </w:r>
            <w:r w:rsidR="00C56AFD">
              <w:rPr>
                <w:b w:val="0"/>
                <w:noProof/>
                <w:color w:val="245F95" w:themeColor="text2"/>
                <w:sz w:val="22"/>
              </w:rPr>
              <w:t>ryn</w:t>
            </w:r>
            <w:r>
              <w:rPr>
                <w:b w:val="0"/>
                <w:noProof/>
                <w:color w:val="245F95" w:themeColor="text2"/>
                <w:sz w:val="22"/>
              </w:rPr>
              <w:t>kiem</w:t>
            </w:r>
            <w:r w:rsidR="00C56AFD">
              <w:rPr>
                <w:b w:val="0"/>
                <w:noProof/>
                <w:color w:val="245F95" w:themeColor="text2"/>
                <w:sz w:val="22"/>
              </w:rPr>
              <w:t xml:space="preserve"> i</w:t>
            </w:r>
            <w:r w:rsidR="00C56AFD">
              <w:rPr>
                <w:rFonts w:ascii="Calibri" w:hAnsi="Calibri" w:cs="Calibri"/>
                <w:b w:val="0"/>
                <w:noProof/>
                <w:color w:val="245F95" w:themeColor="text2"/>
                <w:sz w:val="22"/>
              </w:rPr>
              <w:t> </w:t>
            </w:r>
            <w:r w:rsidR="00C56AFD">
              <w:rPr>
                <w:b w:val="0"/>
                <w:noProof/>
                <w:color w:val="245F95" w:themeColor="text2"/>
                <w:sz w:val="22"/>
              </w:rPr>
              <w:t>pła</w:t>
            </w:r>
            <w:r>
              <w:rPr>
                <w:b w:val="0"/>
                <w:noProof/>
                <w:color w:val="245F95" w:themeColor="text2"/>
                <w:sz w:val="22"/>
              </w:rPr>
              <w:t>tności bezpośrednie</w:t>
            </w:r>
          </w:p>
        </w:tc>
        <w:tc>
          <w:tcPr>
            <w:tcW w:w="573" w:type="pct"/>
            <w:vAlign w:val="center"/>
          </w:tcPr>
          <w:p w14:paraId="5C5E0110" w14:textId="4014ED85" w:rsidR="00BC65B0" w:rsidRPr="00A10B5A" w:rsidRDefault="00510715"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40,6</w:t>
            </w:r>
          </w:p>
        </w:tc>
        <w:tc>
          <w:tcPr>
            <w:tcW w:w="573" w:type="pct"/>
            <w:vAlign w:val="center"/>
          </w:tcPr>
          <w:p w14:paraId="1D5BBC59" w14:textId="6B519ED8" w:rsidR="00BC65B0" w:rsidRPr="00A10B5A" w:rsidRDefault="00BC65B0"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40,5</w:t>
            </w:r>
          </w:p>
        </w:tc>
        <w:tc>
          <w:tcPr>
            <w:tcW w:w="573" w:type="pct"/>
            <w:vAlign w:val="center"/>
          </w:tcPr>
          <w:p w14:paraId="63556DA2" w14:textId="1DB287D6" w:rsidR="00BC65B0" w:rsidRPr="00A10B5A" w:rsidRDefault="00BC65B0"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40,5</w:t>
            </w:r>
          </w:p>
        </w:tc>
        <w:tc>
          <w:tcPr>
            <w:tcW w:w="573" w:type="pct"/>
            <w:vAlign w:val="center"/>
          </w:tcPr>
          <w:p w14:paraId="5F5BCEBE" w14:textId="4584FD7B" w:rsidR="00BC65B0" w:rsidRPr="00A10B5A" w:rsidRDefault="00BC65B0"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p>
        </w:tc>
        <w:tc>
          <w:tcPr>
            <w:tcW w:w="573" w:type="pct"/>
            <w:vAlign w:val="center"/>
          </w:tcPr>
          <w:p w14:paraId="621F0361" w14:textId="6C1B5BBB" w:rsidR="00BC65B0" w:rsidRPr="00A10B5A" w:rsidRDefault="00BC65B0"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noProof/>
                <w:color w:val="000000" w:themeColor="text1"/>
                <w:sz w:val="22"/>
                <w:szCs w:val="22"/>
              </w:rPr>
            </w:pPr>
          </w:p>
        </w:tc>
        <w:tc>
          <w:tcPr>
            <w:tcW w:w="573" w:type="pct"/>
            <w:vAlign w:val="center"/>
          </w:tcPr>
          <w:p w14:paraId="601748A1" w14:textId="62591293" w:rsidR="00BC65B0" w:rsidRPr="00A10B5A" w:rsidRDefault="00BC65B0"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b/>
                <w:bCs/>
                <w:noProof/>
                <w:color w:val="245F95" w:themeColor="text2"/>
                <w:sz w:val="22"/>
                <w:szCs w:val="22"/>
              </w:rPr>
            </w:pPr>
            <w:r>
              <w:rPr>
                <w:b/>
                <w:noProof/>
                <w:color w:val="245F95" w:themeColor="text2"/>
                <w:sz w:val="22"/>
              </w:rPr>
              <w:t>121,7</w:t>
            </w:r>
          </w:p>
        </w:tc>
      </w:tr>
      <w:tr w:rsidR="00A10B5A" w:rsidRPr="00A10B5A" w14:paraId="550EEA50" w14:textId="77777777" w:rsidTr="004730C5">
        <w:trPr>
          <w:trHeight w:val="300"/>
        </w:trPr>
        <w:tc>
          <w:tcPr>
            <w:cnfStyle w:val="001000000000" w:firstRow="0" w:lastRow="0" w:firstColumn="1" w:lastColumn="0" w:oddVBand="0" w:evenVBand="0" w:oddHBand="0" w:evenHBand="0" w:firstRowFirstColumn="0" w:firstRowLastColumn="0" w:lastRowFirstColumn="0" w:lastRowLastColumn="0"/>
            <w:tcW w:w="1563" w:type="pct"/>
          </w:tcPr>
          <w:p w14:paraId="53B12D09" w14:textId="08C99338" w:rsidR="00BC65B0" w:rsidRPr="00A10B5A" w:rsidRDefault="00BC65B0" w:rsidP="00D16649">
            <w:pPr>
              <w:spacing w:after="120"/>
              <w:ind w:left="170"/>
              <w:rPr>
                <w:rFonts w:eastAsia="Calibri"/>
                <w:b w:val="0"/>
                <w:bCs/>
                <w:noProof/>
                <w:color w:val="245F95" w:themeColor="text2"/>
                <w:sz w:val="22"/>
                <w:szCs w:val="22"/>
              </w:rPr>
            </w:pPr>
            <w:r>
              <w:rPr>
                <w:b w:val="0"/>
                <w:noProof/>
                <w:color w:val="245F95" w:themeColor="text2"/>
                <w:sz w:val="22"/>
              </w:rPr>
              <w:t>3.2 Inne programy</w:t>
            </w:r>
            <w:r w:rsidR="00C56AFD">
              <w:rPr>
                <w:b w:val="0"/>
                <w:noProof/>
                <w:color w:val="245F95" w:themeColor="text2"/>
                <w:sz w:val="22"/>
              </w:rPr>
              <w:t xml:space="preserve"> w</w:t>
            </w:r>
            <w:r w:rsidR="00C56AFD">
              <w:rPr>
                <w:rFonts w:ascii="Calibri" w:hAnsi="Calibri" w:cs="Calibri"/>
                <w:b w:val="0"/>
                <w:noProof/>
                <w:color w:val="245F95" w:themeColor="text2"/>
                <w:sz w:val="22"/>
              </w:rPr>
              <w:t> </w:t>
            </w:r>
            <w:r w:rsidR="00C56AFD">
              <w:rPr>
                <w:b w:val="0"/>
                <w:noProof/>
                <w:color w:val="245F95" w:themeColor="text2"/>
                <w:sz w:val="22"/>
              </w:rPr>
              <w:t>odn</w:t>
            </w:r>
            <w:r>
              <w:rPr>
                <w:b w:val="0"/>
                <w:noProof/>
                <w:color w:val="245F95" w:themeColor="text2"/>
                <w:sz w:val="22"/>
              </w:rPr>
              <w:t>iesieniu do zasobów naturalnych</w:t>
            </w:r>
            <w:r w:rsidR="00C56AFD">
              <w:rPr>
                <w:b w:val="0"/>
                <w:noProof/>
                <w:color w:val="245F95" w:themeColor="text2"/>
                <w:sz w:val="22"/>
              </w:rPr>
              <w:t xml:space="preserve"> i</w:t>
            </w:r>
            <w:r w:rsidR="00C56AFD">
              <w:rPr>
                <w:rFonts w:ascii="Calibri" w:hAnsi="Calibri" w:cs="Calibri"/>
                <w:b w:val="0"/>
                <w:noProof/>
                <w:color w:val="245F95" w:themeColor="text2"/>
                <w:sz w:val="22"/>
              </w:rPr>
              <w:t> </w:t>
            </w:r>
            <w:r w:rsidR="00C56AFD">
              <w:rPr>
                <w:b w:val="0"/>
                <w:noProof/>
                <w:color w:val="245F95" w:themeColor="text2"/>
                <w:sz w:val="22"/>
              </w:rPr>
              <w:t>śro</w:t>
            </w:r>
            <w:r>
              <w:rPr>
                <w:b w:val="0"/>
                <w:noProof/>
                <w:color w:val="245F95" w:themeColor="text2"/>
                <w:sz w:val="22"/>
              </w:rPr>
              <w:t>dowiska</w:t>
            </w:r>
          </w:p>
        </w:tc>
        <w:tc>
          <w:tcPr>
            <w:tcW w:w="573" w:type="pct"/>
            <w:vAlign w:val="center"/>
          </w:tcPr>
          <w:p w14:paraId="21352A73" w14:textId="4647DC81" w:rsidR="00BC65B0" w:rsidRPr="00A10B5A" w:rsidRDefault="004A6A5D"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11,9</w:t>
            </w:r>
          </w:p>
        </w:tc>
        <w:tc>
          <w:tcPr>
            <w:tcW w:w="573" w:type="pct"/>
            <w:vAlign w:val="center"/>
          </w:tcPr>
          <w:p w14:paraId="0FAA4FD4" w14:textId="30D85171" w:rsidR="00BC65B0" w:rsidRPr="00A10B5A" w:rsidRDefault="004A6A5D"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15,1</w:t>
            </w:r>
          </w:p>
        </w:tc>
        <w:tc>
          <w:tcPr>
            <w:tcW w:w="573" w:type="pct"/>
            <w:vAlign w:val="center"/>
          </w:tcPr>
          <w:p w14:paraId="13C52786" w14:textId="2006A074" w:rsidR="00BC65B0" w:rsidRPr="00A10B5A" w:rsidRDefault="00E106ED"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19,0</w:t>
            </w:r>
          </w:p>
        </w:tc>
        <w:tc>
          <w:tcPr>
            <w:tcW w:w="573" w:type="pct"/>
            <w:vAlign w:val="center"/>
          </w:tcPr>
          <w:p w14:paraId="0D89F94E" w14:textId="11FBD005" w:rsidR="00BC65B0" w:rsidRPr="00A10B5A" w:rsidRDefault="00005B30"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17,5</w:t>
            </w:r>
          </w:p>
        </w:tc>
        <w:tc>
          <w:tcPr>
            <w:tcW w:w="573" w:type="pct"/>
            <w:vAlign w:val="center"/>
          </w:tcPr>
          <w:p w14:paraId="6FCF0FD0" w14:textId="29AE8066" w:rsidR="00BC65B0" w:rsidRPr="00A10B5A" w:rsidRDefault="00005B30"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noProof/>
                <w:color w:val="000000" w:themeColor="text1"/>
                <w:sz w:val="22"/>
                <w:szCs w:val="22"/>
              </w:rPr>
            </w:pPr>
            <w:r>
              <w:rPr>
                <w:noProof/>
                <w:color w:val="000000" w:themeColor="text1"/>
                <w:sz w:val="22"/>
              </w:rPr>
              <w:t>14,5</w:t>
            </w:r>
          </w:p>
        </w:tc>
        <w:tc>
          <w:tcPr>
            <w:tcW w:w="573" w:type="pct"/>
            <w:vAlign w:val="center"/>
          </w:tcPr>
          <w:p w14:paraId="012DCC9A" w14:textId="62005DCF" w:rsidR="00BC65B0" w:rsidRPr="00A10B5A" w:rsidRDefault="00184813"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b/>
                <w:bCs/>
                <w:noProof/>
                <w:color w:val="245F95" w:themeColor="text2"/>
                <w:sz w:val="22"/>
                <w:szCs w:val="22"/>
              </w:rPr>
            </w:pPr>
            <w:r>
              <w:rPr>
                <w:b/>
                <w:noProof/>
                <w:color w:val="245F95" w:themeColor="text2"/>
                <w:sz w:val="22"/>
              </w:rPr>
              <w:t>78,1</w:t>
            </w:r>
          </w:p>
        </w:tc>
      </w:tr>
      <w:tr w:rsidR="00A10B5A" w:rsidRPr="00A10B5A" w14:paraId="71A05873" w14:textId="77777777" w:rsidTr="004730C5">
        <w:trPr>
          <w:trHeight w:val="300"/>
        </w:trPr>
        <w:tc>
          <w:tcPr>
            <w:cnfStyle w:val="001000000000" w:firstRow="0" w:lastRow="0" w:firstColumn="1" w:lastColumn="0" w:oddVBand="0" w:evenVBand="0" w:oddHBand="0" w:evenHBand="0" w:firstRowFirstColumn="0" w:firstRowLastColumn="0" w:lastRowFirstColumn="0" w:lastRowLastColumn="0"/>
            <w:tcW w:w="1563" w:type="pct"/>
          </w:tcPr>
          <w:p w14:paraId="383FEC03" w14:textId="3526EA59" w:rsidR="004C07C6" w:rsidRPr="00A10B5A" w:rsidRDefault="004C07C6" w:rsidP="004C07C6">
            <w:pPr>
              <w:spacing w:after="120"/>
              <w:rPr>
                <w:rFonts w:eastAsia="Calibri"/>
                <w:bCs/>
                <w:noProof/>
                <w:color w:val="245F95" w:themeColor="text2"/>
                <w:sz w:val="22"/>
                <w:szCs w:val="22"/>
              </w:rPr>
            </w:pPr>
            <w:r>
              <w:rPr>
                <w:noProof/>
                <w:color w:val="245F95" w:themeColor="text2"/>
                <w:sz w:val="22"/>
              </w:rPr>
              <w:t>4 Migracja</w:t>
            </w:r>
            <w:r w:rsidR="00C56AFD">
              <w:rPr>
                <w:noProof/>
                <w:color w:val="245F95" w:themeColor="text2"/>
                <w:sz w:val="22"/>
              </w:rPr>
              <w:t xml:space="preserve"> i</w:t>
            </w:r>
            <w:r w:rsidR="00C56AFD">
              <w:rPr>
                <w:rFonts w:ascii="Calibri" w:hAnsi="Calibri" w:cs="Calibri"/>
                <w:noProof/>
                <w:color w:val="245F95" w:themeColor="text2"/>
                <w:sz w:val="22"/>
              </w:rPr>
              <w:t> </w:t>
            </w:r>
            <w:r w:rsidR="00C56AFD">
              <w:rPr>
                <w:noProof/>
                <w:color w:val="245F95" w:themeColor="text2"/>
                <w:sz w:val="22"/>
              </w:rPr>
              <w:t>zar</w:t>
            </w:r>
            <w:r>
              <w:rPr>
                <w:noProof/>
                <w:color w:val="245F95" w:themeColor="text2"/>
                <w:sz w:val="22"/>
              </w:rPr>
              <w:t>ządzanie granicami</w:t>
            </w:r>
          </w:p>
        </w:tc>
        <w:tc>
          <w:tcPr>
            <w:tcW w:w="573" w:type="pct"/>
            <w:vAlign w:val="center"/>
          </w:tcPr>
          <w:p w14:paraId="544CAB94" w14:textId="5DB5F7BE" w:rsidR="004C07C6" w:rsidRPr="00A10B5A" w:rsidRDefault="000545C8"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3,0</w:t>
            </w:r>
          </w:p>
        </w:tc>
        <w:tc>
          <w:tcPr>
            <w:tcW w:w="573" w:type="pct"/>
            <w:vAlign w:val="center"/>
          </w:tcPr>
          <w:p w14:paraId="1C5F1D17" w14:textId="5555E6E2" w:rsidR="004C07C6" w:rsidRPr="00A10B5A" w:rsidRDefault="004C07C6"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3,5</w:t>
            </w:r>
          </w:p>
        </w:tc>
        <w:tc>
          <w:tcPr>
            <w:tcW w:w="573" w:type="pct"/>
            <w:vAlign w:val="center"/>
          </w:tcPr>
          <w:p w14:paraId="07EBCA69" w14:textId="6E2030E7" w:rsidR="004C07C6" w:rsidRPr="00A10B5A" w:rsidRDefault="004C07C6"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4,0</w:t>
            </w:r>
          </w:p>
        </w:tc>
        <w:tc>
          <w:tcPr>
            <w:tcW w:w="573" w:type="pct"/>
            <w:vAlign w:val="center"/>
          </w:tcPr>
          <w:p w14:paraId="7BC0C375" w14:textId="303AFA30" w:rsidR="004C07C6" w:rsidRPr="00A10B5A" w:rsidRDefault="00791ACC"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4,3</w:t>
            </w:r>
          </w:p>
        </w:tc>
        <w:tc>
          <w:tcPr>
            <w:tcW w:w="573" w:type="pct"/>
            <w:vAlign w:val="center"/>
          </w:tcPr>
          <w:p w14:paraId="535B5139" w14:textId="19A3CA3C" w:rsidR="004C07C6" w:rsidRPr="00A10B5A" w:rsidRDefault="004C07C6"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noProof/>
                <w:color w:val="000000" w:themeColor="text1"/>
                <w:sz w:val="22"/>
                <w:szCs w:val="22"/>
              </w:rPr>
            </w:pPr>
            <w:r>
              <w:rPr>
                <w:noProof/>
                <w:color w:val="000000" w:themeColor="text1"/>
                <w:sz w:val="22"/>
              </w:rPr>
              <w:t>3,5</w:t>
            </w:r>
          </w:p>
        </w:tc>
        <w:tc>
          <w:tcPr>
            <w:tcW w:w="573" w:type="pct"/>
            <w:vAlign w:val="center"/>
          </w:tcPr>
          <w:p w14:paraId="2D174AE1" w14:textId="160EDE0C" w:rsidR="004C07C6" w:rsidRPr="00A10B5A" w:rsidRDefault="004C07C6"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b/>
                <w:bCs/>
                <w:noProof/>
                <w:color w:val="245F95" w:themeColor="text2"/>
                <w:sz w:val="22"/>
                <w:szCs w:val="22"/>
              </w:rPr>
            </w:pPr>
            <w:r>
              <w:rPr>
                <w:b/>
                <w:noProof/>
                <w:color w:val="245F95" w:themeColor="text2"/>
                <w:sz w:val="22"/>
              </w:rPr>
              <w:t>18,2</w:t>
            </w:r>
          </w:p>
        </w:tc>
      </w:tr>
      <w:tr w:rsidR="00A10B5A" w:rsidRPr="00A10B5A" w14:paraId="6FDBB1E3" w14:textId="77777777" w:rsidTr="004730C5">
        <w:trPr>
          <w:trHeight w:val="300"/>
        </w:trPr>
        <w:tc>
          <w:tcPr>
            <w:cnfStyle w:val="001000000000" w:firstRow="0" w:lastRow="0" w:firstColumn="1" w:lastColumn="0" w:oddVBand="0" w:evenVBand="0" w:oddHBand="0" w:evenHBand="0" w:firstRowFirstColumn="0" w:firstRowLastColumn="0" w:lastRowFirstColumn="0" w:lastRowLastColumn="0"/>
            <w:tcW w:w="1563" w:type="pct"/>
          </w:tcPr>
          <w:p w14:paraId="2F6E3541" w14:textId="1678B521" w:rsidR="004C07C6" w:rsidRPr="00A10B5A" w:rsidRDefault="004C07C6" w:rsidP="004C07C6">
            <w:pPr>
              <w:spacing w:after="120"/>
              <w:rPr>
                <w:rFonts w:eastAsia="Calibri"/>
                <w:bCs/>
                <w:noProof/>
                <w:color w:val="245F95" w:themeColor="text2"/>
                <w:sz w:val="22"/>
                <w:szCs w:val="22"/>
              </w:rPr>
            </w:pPr>
            <w:r>
              <w:rPr>
                <w:noProof/>
                <w:color w:val="245F95" w:themeColor="text2"/>
                <w:sz w:val="22"/>
              </w:rPr>
              <w:t>5 Bezpieczeństwo</w:t>
            </w:r>
            <w:r w:rsidR="00C56AFD">
              <w:rPr>
                <w:noProof/>
                <w:color w:val="245F95" w:themeColor="text2"/>
                <w:sz w:val="22"/>
              </w:rPr>
              <w:t xml:space="preserve"> i</w:t>
            </w:r>
            <w:r w:rsidR="00C56AFD">
              <w:rPr>
                <w:rFonts w:ascii="Calibri" w:hAnsi="Calibri" w:cs="Calibri"/>
                <w:noProof/>
                <w:color w:val="245F95" w:themeColor="text2"/>
                <w:sz w:val="22"/>
              </w:rPr>
              <w:t> </w:t>
            </w:r>
            <w:r w:rsidR="00C56AFD">
              <w:rPr>
                <w:noProof/>
                <w:color w:val="245F95" w:themeColor="text2"/>
                <w:sz w:val="22"/>
              </w:rPr>
              <w:t>obr</w:t>
            </w:r>
            <w:r>
              <w:rPr>
                <w:noProof/>
                <w:color w:val="245F95" w:themeColor="text2"/>
                <w:sz w:val="22"/>
              </w:rPr>
              <w:t>ona</w:t>
            </w:r>
          </w:p>
        </w:tc>
        <w:tc>
          <w:tcPr>
            <w:tcW w:w="573" w:type="pct"/>
            <w:vAlign w:val="center"/>
          </w:tcPr>
          <w:p w14:paraId="71ADB416" w14:textId="03BA4738" w:rsidR="004C07C6" w:rsidRPr="00A10B5A" w:rsidRDefault="0081048B"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2,0</w:t>
            </w:r>
          </w:p>
        </w:tc>
        <w:tc>
          <w:tcPr>
            <w:tcW w:w="573" w:type="pct"/>
            <w:vAlign w:val="center"/>
          </w:tcPr>
          <w:p w14:paraId="2FE2AAF3" w14:textId="0FF23703" w:rsidR="004C07C6" w:rsidRPr="00A10B5A" w:rsidRDefault="0084453E"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2,7</w:t>
            </w:r>
          </w:p>
        </w:tc>
        <w:tc>
          <w:tcPr>
            <w:tcW w:w="573" w:type="pct"/>
            <w:vAlign w:val="center"/>
          </w:tcPr>
          <w:p w14:paraId="25C508F7" w14:textId="42B1B0B8" w:rsidR="004C07C6" w:rsidRPr="00A10B5A" w:rsidRDefault="004C07C6"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2,5</w:t>
            </w:r>
          </w:p>
        </w:tc>
        <w:tc>
          <w:tcPr>
            <w:tcW w:w="573" w:type="pct"/>
            <w:vAlign w:val="center"/>
          </w:tcPr>
          <w:p w14:paraId="12F5B9A9" w14:textId="72A7137E" w:rsidR="004C07C6" w:rsidRPr="00A10B5A" w:rsidRDefault="004C07C6"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2,5</w:t>
            </w:r>
          </w:p>
        </w:tc>
        <w:tc>
          <w:tcPr>
            <w:tcW w:w="573" w:type="pct"/>
            <w:vAlign w:val="center"/>
          </w:tcPr>
          <w:p w14:paraId="00E6733B" w14:textId="3AE3A1D8" w:rsidR="004C07C6" w:rsidRPr="00A10B5A" w:rsidRDefault="00D40708"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noProof/>
                <w:color w:val="000000" w:themeColor="text1"/>
                <w:sz w:val="22"/>
                <w:szCs w:val="22"/>
              </w:rPr>
            </w:pPr>
            <w:r>
              <w:rPr>
                <w:noProof/>
                <w:color w:val="000000" w:themeColor="text1"/>
                <w:sz w:val="22"/>
              </w:rPr>
              <w:t>1,8</w:t>
            </w:r>
          </w:p>
        </w:tc>
        <w:tc>
          <w:tcPr>
            <w:tcW w:w="573" w:type="pct"/>
            <w:vAlign w:val="center"/>
          </w:tcPr>
          <w:p w14:paraId="77E03845" w14:textId="5BD9A2F2" w:rsidR="004C07C6" w:rsidRPr="00A10B5A" w:rsidRDefault="004C07C6"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b/>
                <w:bCs/>
                <w:noProof/>
                <w:color w:val="245F95" w:themeColor="text2"/>
                <w:sz w:val="22"/>
                <w:szCs w:val="22"/>
              </w:rPr>
            </w:pPr>
            <w:r>
              <w:rPr>
                <w:b/>
                <w:noProof/>
                <w:color w:val="245F95" w:themeColor="text2"/>
                <w:sz w:val="22"/>
              </w:rPr>
              <w:t>11,5</w:t>
            </w:r>
          </w:p>
        </w:tc>
      </w:tr>
      <w:tr w:rsidR="00A10B5A" w:rsidRPr="00A10B5A" w14:paraId="52FABBBE" w14:textId="77777777" w:rsidTr="004730C5">
        <w:trPr>
          <w:trHeight w:val="300"/>
        </w:trPr>
        <w:tc>
          <w:tcPr>
            <w:cnfStyle w:val="001000000000" w:firstRow="0" w:lastRow="0" w:firstColumn="1" w:lastColumn="0" w:oddVBand="0" w:evenVBand="0" w:oddHBand="0" w:evenHBand="0" w:firstRowFirstColumn="0" w:firstRowLastColumn="0" w:lastRowFirstColumn="0" w:lastRowLastColumn="0"/>
            <w:tcW w:w="1563" w:type="pct"/>
          </w:tcPr>
          <w:p w14:paraId="5A44575C" w14:textId="6E01D866" w:rsidR="004C07C6" w:rsidRPr="00A10B5A" w:rsidRDefault="004C07C6" w:rsidP="004C07C6">
            <w:pPr>
              <w:spacing w:after="120"/>
              <w:rPr>
                <w:rFonts w:eastAsia="Calibri"/>
                <w:bCs/>
                <w:noProof/>
                <w:color w:val="245F95" w:themeColor="text2"/>
                <w:sz w:val="22"/>
                <w:szCs w:val="22"/>
              </w:rPr>
            </w:pPr>
            <w:r>
              <w:rPr>
                <w:noProof/>
                <w:color w:val="245F95" w:themeColor="text2"/>
                <w:sz w:val="22"/>
              </w:rPr>
              <w:t>6 Sąsiedztwo</w:t>
            </w:r>
            <w:r w:rsidR="00C56AFD">
              <w:rPr>
                <w:noProof/>
                <w:color w:val="245F95" w:themeColor="text2"/>
                <w:sz w:val="22"/>
              </w:rPr>
              <w:t xml:space="preserve"> i</w:t>
            </w:r>
            <w:r w:rsidR="00C56AFD">
              <w:rPr>
                <w:rFonts w:ascii="Calibri" w:hAnsi="Calibri" w:cs="Calibri"/>
                <w:noProof/>
                <w:color w:val="245F95" w:themeColor="text2"/>
                <w:sz w:val="22"/>
              </w:rPr>
              <w:t> </w:t>
            </w:r>
            <w:r w:rsidR="00C56AFD">
              <w:rPr>
                <w:noProof/>
                <w:color w:val="245F95" w:themeColor="text2"/>
                <w:sz w:val="22"/>
              </w:rPr>
              <w:t>świ</w:t>
            </w:r>
            <w:r>
              <w:rPr>
                <w:noProof/>
                <w:color w:val="245F95" w:themeColor="text2"/>
                <w:sz w:val="22"/>
              </w:rPr>
              <w:t>at</w:t>
            </w:r>
          </w:p>
        </w:tc>
        <w:tc>
          <w:tcPr>
            <w:tcW w:w="573" w:type="pct"/>
            <w:vAlign w:val="center"/>
          </w:tcPr>
          <w:p w14:paraId="28433AB3" w14:textId="5F793FE6" w:rsidR="004C07C6" w:rsidRPr="00A10B5A" w:rsidRDefault="00832251"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12,7</w:t>
            </w:r>
          </w:p>
        </w:tc>
        <w:tc>
          <w:tcPr>
            <w:tcW w:w="573" w:type="pct"/>
            <w:vAlign w:val="center"/>
          </w:tcPr>
          <w:p w14:paraId="362FA53E" w14:textId="303A1A7A" w:rsidR="004C07C6" w:rsidRPr="00A10B5A" w:rsidRDefault="000D4F3B"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17,6</w:t>
            </w:r>
          </w:p>
        </w:tc>
        <w:tc>
          <w:tcPr>
            <w:tcW w:w="573" w:type="pct"/>
            <w:vAlign w:val="center"/>
          </w:tcPr>
          <w:p w14:paraId="5CE3088C" w14:textId="3AFCF490" w:rsidR="004C07C6" w:rsidRPr="00A10B5A" w:rsidRDefault="000D4F3B"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19,8</w:t>
            </w:r>
          </w:p>
        </w:tc>
        <w:tc>
          <w:tcPr>
            <w:tcW w:w="573" w:type="pct"/>
            <w:vAlign w:val="center"/>
          </w:tcPr>
          <w:p w14:paraId="0CCBD893" w14:textId="17BBC3F2" w:rsidR="004C07C6" w:rsidRPr="00A10B5A" w:rsidRDefault="004C07C6"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17,3</w:t>
            </w:r>
          </w:p>
        </w:tc>
        <w:tc>
          <w:tcPr>
            <w:tcW w:w="573" w:type="pct"/>
            <w:vAlign w:val="center"/>
          </w:tcPr>
          <w:p w14:paraId="444AEF29" w14:textId="2D3E2FA5" w:rsidR="004C07C6" w:rsidRPr="00A10B5A" w:rsidRDefault="00141993"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noProof/>
                <w:color w:val="000000" w:themeColor="text1"/>
                <w:sz w:val="22"/>
                <w:szCs w:val="22"/>
              </w:rPr>
            </w:pPr>
            <w:r>
              <w:rPr>
                <w:noProof/>
                <w:color w:val="000000" w:themeColor="text1"/>
                <w:sz w:val="22"/>
              </w:rPr>
              <w:t>11,6</w:t>
            </w:r>
          </w:p>
        </w:tc>
        <w:tc>
          <w:tcPr>
            <w:tcW w:w="573" w:type="pct"/>
            <w:vAlign w:val="center"/>
          </w:tcPr>
          <w:p w14:paraId="03404098" w14:textId="49B4363A" w:rsidR="004C07C6" w:rsidRPr="00A10B5A" w:rsidRDefault="00FB6476"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b/>
                <w:bCs/>
                <w:noProof/>
                <w:color w:val="245F95" w:themeColor="text2"/>
                <w:sz w:val="22"/>
                <w:szCs w:val="22"/>
              </w:rPr>
            </w:pPr>
            <w:r>
              <w:rPr>
                <w:b/>
                <w:noProof/>
                <w:color w:val="245F95" w:themeColor="text2"/>
                <w:sz w:val="22"/>
              </w:rPr>
              <w:t>79,0</w:t>
            </w:r>
          </w:p>
        </w:tc>
      </w:tr>
      <w:tr w:rsidR="00A10B5A" w:rsidRPr="00A10B5A" w14:paraId="20E5E4C6" w14:textId="77777777" w:rsidTr="004730C5">
        <w:trPr>
          <w:trHeight w:val="300"/>
        </w:trPr>
        <w:tc>
          <w:tcPr>
            <w:cnfStyle w:val="001000000000" w:firstRow="0" w:lastRow="0" w:firstColumn="1" w:lastColumn="0" w:oddVBand="0" w:evenVBand="0" w:oddHBand="0" w:evenHBand="0" w:firstRowFirstColumn="0" w:firstRowLastColumn="0" w:lastRowFirstColumn="0" w:lastRowLastColumn="0"/>
            <w:tcW w:w="1563" w:type="pct"/>
          </w:tcPr>
          <w:p w14:paraId="78014E86" w14:textId="77777777" w:rsidR="00BC65B0" w:rsidRPr="00A10B5A" w:rsidRDefault="00BC65B0" w:rsidP="00BC65B0">
            <w:pPr>
              <w:spacing w:after="120"/>
              <w:rPr>
                <w:rFonts w:eastAsia="Calibri"/>
                <w:bCs/>
                <w:noProof/>
                <w:color w:val="245F95" w:themeColor="text2"/>
                <w:sz w:val="22"/>
                <w:szCs w:val="22"/>
              </w:rPr>
            </w:pPr>
            <w:r>
              <w:rPr>
                <w:noProof/>
                <w:color w:val="245F95" w:themeColor="text2"/>
                <w:sz w:val="22"/>
              </w:rPr>
              <w:t>7 Europejska administracja publiczna</w:t>
            </w:r>
          </w:p>
        </w:tc>
        <w:tc>
          <w:tcPr>
            <w:tcW w:w="573" w:type="pct"/>
            <w:vAlign w:val="center"/>
          </w:tcPr>
          <w:p w14:paraId="4142CC5D" w14:textId="149C6474" w:rsidR="00BC65B0" w:rsidRPr="00A10B5A" w:rsidRDefault="00BC4ADA"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12,6</w:t>
            </w:r>
          </w:p>
        </w:tc>
        <w:tc>
          <w:tcPr>
            <w:tcW w:w="573" w:type="pct"/>
            <w:vAlign w:val="center"/>
          </w:tcPr>
          <w:p w14:paraId="3AA6DB5C" w14:textId="17186DC7" w:rsidR="00BC65B0" w:rsidRPr="00A10B5A" w:rsidRDefault="00BC65B0"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13,1</w:t>
            </w:r>
          </w:p>
        </w:tc>
        <w:tc>
          <w:tcPr>
            <w:tcW w:w="573" w:type="pct"/>
            <w:vAlign w:val="center"/>
          </w:tcPr>
          <w:p w14:paraId="2E3A2E84" w14:textId="68E6DCEE" w:rsidR="00BC65B0" w:rsidRPr="00A10B5A" w:rsidRDefault="00BC65B0"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13,5</w:t>
            </w:r>
          </w:p>
        </w:tc>
        <w:tc>
          <w:tcPr>
            <w:tcW w:w="573" w:type="pct"/>
            <w:vAlign w:val="center"/>
          </w:tcPr>
          <w:p w14:paraId="09174C7B" w14:textId="5BAB7EA0" w:rsidR="00BC65B0" w:rsidRPr="00A10B5A" w:rsidRDefault="00BC65B0"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p>
        </w:tc>
        <w:tc>
          <w:tcPr>
            <w:tcW w:w="573" w:type="pct"/>
            <w:vAlign w:val="center"/>
          </w:tcPr>
          <w:p w14:paraId="6AEDD656" w14:textId="568D6604" w:rsidR="00BC65B0" w:rsidRPr="00A10B5A" w:rsidRDefault="00BC65B0"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noProof/>
                <w:color w:val="000000" w:themeColor="text1"/>
                <w:sz w:val="22"/>
                <w:szCs w:val="22"/>
              </w:rPr>
            </w:pPr>
          </w:p>
        </w:tc>
        <w:tc>
          <w:tcPr>
            <w:tcW w:w="573" w:type="pct"/>
            <w:vAlign w:val="center"/>
          </w:tcPr>
          <w:p w14:paraId="5DDDCBF2" w14:textId="0D2EF11F" w:rsidR="00BC65B0" w:rsidRPr="00A10B5A" w:rsidRDefault="0093005A"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b/>
                <w:bCs/>
                <w:noProof/>
                <w:color w:val="245F95" w:themeColor="text2"/>
                <w:sz w:val="22"/>
                <w:szCs w:val="22"/>
              </w:rPr>
            </w:pPr>
            <w:r>
              <w:rPr>
                <w:b/>
                <w:noProof/>
                <w:color w:val="245F95" w:themeColor="text2"/>
                <w:sz w:val="22"/>
              </w:rPr>
              <w:t>39,3</w:t>
            </w:r>
          </w:p>
        </w:tc>
      </w:tr>
      <w:tr w:rsidR="00A10B5A" w:rsidRPr="00A10B5A" w14:paraId="67BD657C" w14:textId="77777777" w:rsidTr="004730C5">
        <w:trPr>
          <w:trHeight w:val="300"/>
        </w:trPr>
        <w:tc>
          <w:tcPr>
            <w:cnfStyle w:val="001000000000" w:firstRow="0" w:lastRow="0" w:firstColumn="1" w:lastColumn="0" w:oddVBand="0" w:evenVBand="0" w:oddHBand="0" w:evenHBand="0" w:firstRowFirstColumn="0" w:firstRowLastColumn="0" w:lastRowFirstColumn="0" w:lastRowLastColumn="0"/>
            <w:tcW w:w="1563" w:type="pct"/>
          </w:tcPr>
          <w:p w14:paraId="2E863BF3" w14:textId="77777777" w:rsidR="00BC65B0" w:rsidRPr="00A10B5A" w:rsidRDefault="00BC65B0" w:rsidP="00BC65B0">
            <w:pPr>
              <w:spacing w:after="120"/>
              <w:rPr>
                <w:rFonts w:eastAsia="Calibri"/>
                <w:bCs/>
                <w:noProof/>
                <w:color w:val="245F95" w:themeColor="text2"/>
                <w:sz w:val="22"/>
                <w:szCs w:val="22"/>
              </w:rPr>
            </w:pPr>
            <w:r>
              <w:rPr>
                <w:noProof/>
                <w:color w:val="245F95" w:themeColor="text2"/>
                <w:sz w:val="22"/>
              </w:rPr>
              <w:t>Instrumenty szczególne</w:t>
            </w:r>
          </w:p>
        </w:tc>
        <w:tc>
          <w:tcPr>
            <w:tcW w:w="573" w:type="pct"/>
            <w:vAlign w:val="center"/>
          </w:tcPr>
          <w:p w14:paraId="6F19D910" w14:textId="5BF45CA3" w:rsidR="00BC65B0" w:rsidRPr="00A10B5A" w:rsidRDefault="004A3418"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5,6</w:t>
            </w:r>
          </w:p>
        </w:tc>
        <w:tc>
          <w:tcPr>
            <w:tcW w:w="573" w:type="pct"/>
            <w:vAlign w:val="center"/>
          </w:tcPr>
          <w:p w14:paraId="4DA933D2" w14:textId="21991EA6" w:rsidR="00BC65B0" w:rsidRPr="00A10B5A" w:rsidRDefault="00BC65B0"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p>
        </w:tc>
        <w:tc>
          <w:tcPr>
            <w:tcW w:w="573" w:type="pct"/>
            <w:vAlign w:val="center"/>
          </w:tcPr>
          <w:p w14:paraId="6F35E69D" w14:textId="77777777" w:rsidR="00BC65B0" w:rsidRPr="00A10B5A" w:rsidRDefault="00BC65B0"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p>
        </w:tc>
        <w:tc>
          <w:tcPr>
            <w:tcW w:w="573" w:type="pct"/>
            <w:vAlign w:val="center"/>
          </w:tcPr>
          <w:p w14:paraId="01DD0163" w14:textId="77777777" w:rsidR="00BC65B0" w:rsidRPr="00A10B5A" w:rsidRDefault="00BC65B0"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p>
        </w:tc>
        <w:tc>
          <w:tcPr>
            <w:tcW w:w="573" w:type="pct"/>
            <w:vAlign w:val="center"/>
          </w:tcPr>
          <w:p w14:paraId="5D734AF3" w14:textId="77777777" w:rsidR="00BC65B0" w:rsidRPr="00A10B5A" w:rsidRDefault="00BC65B0"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noProof/>
                <w:color w:val="000000" w:themeColor="text1"/>
                <w:sz w:val="22"/>
                <w:szCs w:val="22"/>
              </w:rPr>
            </w:pPr>
          </w:p>
        </w:tc>
        <w:tc>
          <w:tcPr>
            <w:tcW w:w="573" w:type="pct"/>
            <w:vAlign w:val="center"/>
          </w:tcPr>
          <w:p w14:paraId="168AD942" w14:textId="76BA7B31" w:rsidR="00BC65B0" w:rsidRPr="00A10B5A" w:rsidRDefault="00886068"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b/>
                <w:bCs/>
                <w:noProof/>
                <w:color w:val="245F95" w:themeColor="text2"/>
                <w:sz w:val="22"/>
                <w:szCs w:val="22"/>
              </w:rPr>
            </w:pPr>
            <w:r>
              <w:rPr>
                <w:b/>
                <w:noProof/>
                <w:color w:val="245F95" w:themeColor="text2"/>
                <w:sz w:val="22"/>
              </w:rPr>
              <w:t>5,6</w:t>
            </w:r>
          </w:p>
        </w:tc>
      </w:tr>
      <w:tr w:rsidR="0033502C" w:rsidRPr="0033502C" w14:paraId="6A0EBD92" w14:textId="77777777" w:rsidTr="004730C5">
        <w:trPr>
          <w:trHeight w:val="300"/>
        </w:trPr>
        <w:tc>
          <w:tcPr>
            <w:cnfStyle w:val="001000000000" w:firstRow="0" w:lastRow="0" w:firstColumn="1" w:lastColumn="0" w:oddVBand="0" w:evenVBand="0" w:oddHBand="0" w:evenHBand="0" w:firstRowFirstColumn="0" w:firstRowLastColumn="0" w:lastRowFirstColumn="0" w:lastRowLastColumn="0"/>
            <w:tcW w:w="1563" w:type="pct"/>
            <w:shd w:val="clear" w:color="auto" w:fill="FCE1D9" w:themeFill="accent2" w:themeFillTint="33"/>
          </w:tcPr>
          <w:p w14:paraId="67EB32D7" w14:textId="77777777" w:rsidR="00B35585" w:rsidRPr="0033502C" w:rsidRDefault="00B35585" w:rsidP="00B35585">
            <w:pPr>
              <w:spacing w:after="120"/>
              <w:rPr>
                <w:noProof/>
                <w:color w:val="245F95" w:themeColor="text2"/>
                <w:sz w:val="22"/>
                <w:szCs w:val="22"/>
              </w:rPr>
            </w:pPr>
            <w:r>
              <w:rPr>
                <w:noProof/>
                <w:color w:val="245F95" w:themeColor="text2"/>
                <w:sz w:val="22"/>
              </w:rPr>
              <w:t>Ogółem</w:t>
            </w:r>
          </w:p>
        </w:tc>
        <w:tc>
          <w:tcPr>
            <w:tcW w:w="573" w:type="pct"/>
            <w:shd w:val="clear" w:color="auto" w:fill="FCE1D9" w:themeFill="accent2" w:themeFillTint="33"/>
            <w:vAlign w:val="center"/>
          </w:tcPr>
          <w:p w14:paraId="38EED371" w14:textId="5CE4F4DF" w:rsidR="00B35585" w:rsidRPr="0033502C" w:rsidRDefault="002432C3"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b/>
                <w:noProof/>
                <w:color w:val="245F95" w:themeColor="text2"/>
                <w:sz w:val="22"/>
                <w:szCs w:val="22"/>
              </w:rPr>
            </w:pPr>
            <w:r>
              <w:rPr>
                <w:b/>
                <w:noProof/>
                <w:color w:val="245F95" w:themeColor="text2"/>
                <w:sz w:val="22"/>
              </w:rPr>
              <w:t>146,9</w:t>
            </w:r>
          </w:p>
        </w:tc>
        <w:tc>
          <w:tcPr>
            <w:tcW w:w="573" w:type="pct"/>
            <w:shd w:val="clear" w:color="auto" w:fill="FCE1D9" w:themeFill="accent2" w:themeFillTint="33"/>
            <w:vAlign w:val="center"/>
          </w:tcPr>
          <w:p w14:paraId="3D327656" w14:textId="570C7923" w:rsidR="00B35585" w:rsidRPr="0033502C" w:rsidRDefault="00733563"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b/>
                <w:noProof/>
                <w:color w:val="245F95" w:themeColor="text2"/>
                <w:sz w:val="22"/>
                <w:szCs w:val="22"/>
              </w:rPr>
            </w:pPr>
            <w:r>
              <w:rPr>
                <w:b/>
                <w:noProof/>
                <w:color w:val="245F95" w:themeColor="text2"/>
                <w:sz w:val="22"/>
              </w:rPr>
              <w:t>173,2</w:t>
            </w:r>
          </w:p>
        </w:tc>
        <w:tc>
          <w:tcPr>
            <w:tcW w:w="573" w:type="pct"/>
            <w:shd w:val="clear" w:color="auto" w:fill="FCE1D9" w:themeFill="accent2" w:themeFillTint="33"/>
            <w:vAlign w:val="center"/>
          </w:tcPr>
          <w:p w14:paraId="53F28461" w14:textId="77059F81" w:rsidR="00B35585" w:rsidRPr="0033502C" w:rsidRDefault="00733563"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b/>
                <w:noProof/>
                <w:color w:val="245F95" w:themeColor="text2"/>
                <w:sz w:val="22"/>
                <w:szCs w:val="22"/>
              </w:rPr>
            </w:pPr>
            <w:r>
              <w:rPr>
                <w:b/>
                <w:noProof/>
                <w:color w:val="245F95" w:themeColor="text2"/>
                <w:sz w:val="22"/>
              </w:rPr>
              <w:t>193,4</w:t>
            </w:r>
          </w:p>
        </w:tc>
        <w:tc>
          <w:tcPr>
            <w:tcW w:w="573" w:type="pct"/>
            <w:shd w:val="clear" w:color="auto" w:fill="FCE1D9" w:themeFill="accent2" w:themeFillTint="33"/>
            <w:vAlign w:val="center"/>
          </w:tcPr>
          <w:p w14:paraId="19CD4D7D" w14:textId="1D0C1207" w:rsidR="00B35585" w:rsidRPr="0033502C" w:rsidRDefault="00733563"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b/>
                <w:noProof/>
                <w:color w:val="245F95" w:themeColor="text2"/>
                <w:sz w:val="22"/>
                <w:szCs w:val="22"/>
              </w:rPr>
            </w:pPr>
            <w:r>
              <w:rPr>
                <w:b/>
                <w:noProof/>
                <w:color w:val="245F95" w:themeColor="text2"/>
                <w:sz w:val="22"/>
              </w:rPr>
              <w:t>143,4</w:t>
            </w:r>
          </w:p>
        </w:tc>
        <w:tc>
          <w:tcPr>
            <w:tcW w:w="573" w:type="pct"/>
            <w:shd w:val="clear" w:color="auto" w:fill="FCE1D9" w:themeFill="accent2" w:themeFillTint="33"/>
            <w:vAlign w:val="center"/>
          </w:tcPr>
          <w:p w14:paraId="70FD23B7" w14:textId="53A982D4" w:rsidR="00B35585" w:rsidRPr="0033502C" w:rsidRDefault="00527524"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b/>
                <w:noProof/>
                <w:color w:val="245F95" w:themeColor="text2"/>
                <w:sz w:val="22"/>
                <w:szCs w:val="22"/>
              </w:rPr>
            </w:pPr>
            <w:r>
              <w:rPr>
                <w:b/>
                <w:noProof/>
                <w:color w:val="245F95" w:themeColor="text2"/>
                <w:sz w:val="22"/>
              </w:rPr>
              <w:t>122,9</w:t>
            </w:r>
          </w:p>
        </w:tc>
        <w:tc>
          <w:tcPr>
            <w:tcW w:w="573" w:type="pct"/>
            <w:shd w:val="clear" w:color="auto" w:fill="FCE1D9" w:themeFill="accent2" w:themeFillTint="33"/>
            <w:vAlign w:val="center"/>
          </w:tcPr>
          <w:p w14:paraId="74227C7D" w14:textId="710542FE" w:rsidR="00B35585" w:rsidRPr="0033502C" w:rsidRDefault="00365A4C" w:rsidP="00B36060">
            <w:pPr>
              <w:spacing w:after="120" w:line="22" w:lineRule="atLeast"/>
              <w:jc w:val="right"/>
              <w:cnfStyle w:val="000000000000" w:firstRow="0" w:lastRow="0" w:firstColumn="0" w:lastColumn="0" w:oddVBand="0" w:evenVBand="0" w:oddHBand="0" w:evenHBand="0" w:firstRowFirstColumn="0" w:firstRowLastColumn="0" w:lastRowFirstColumn="0" w:lastRowLastColumn="0"/>
              <w:rPr>
                <w:b/>
                <w:noProof/>
                <w:color w:val="245F95" w:themeColor="text2"/>
                <w:sz w:val="22"/>
                <w:szCs w:val="22"/>
              </w:rPr>
            </w:pPr>
            <w:r>
              <w:rPr>
                <w:b/>
                <w:noProof/>
                <w:color w:val="245F95" w:themeColor="text2"/>
                <w:sz w:val="22"/>
              </w:rPr>
              <w:t>779,9</w:t>
            </w:r>
          </w:p>
        </w:tc>
      </w:tr>
    </w:tbl>
    <w:p w14:paraId="528B751C" w14:textId="77777777" w:rsidR="00861C1C" w:rsidRPr="00682537" w:rsidRDefault="003B6DC2" w:rsidP="00682537">
      <w:pPr>
        <w:rPr>
          <w:noProof/>
        </w:rPr>
      </w:pPr>
      <w:r>
        <w:rPr>
          <w:noProof/>
        </w:rPr>
        <w:br w:type="page"/>
      </w:r>
    </w:p>
    <w:p w14:paraId="4B18A2AA" w14:textId="6B4CC0FF" w:rsidR="00861C1C" w:rsidRPr="00390EB1" w:rsidRDefault="003B6DC2" w:rsidP="009C6708">
      <w:pPr>
        <w:pStyle w:val="Heading2"/>
        <w:rPr>
          <w:noProof/>
        </w:rPr>
      </w:pPr>
      <w:bookmarkStart w:id="79" w:name="_Toc170319528"/>
      <w:r>
        <w:rPr>
          <w:noProof/>
        </w:rPr>
        <w:t>Tabela .1.3 – Płatności</w:t>
      </w:r>
      <w:r w:rsidR="00C56AFD">
        <w:rPr>
          <w:noProof/>
        </w:rPr>
        <w:t xml:space="preserve"> z</w:t>
      </w:r>
      <w:r w:rsidR="00C56AFD">
        <w:rPr>
          <w:rFonts w:ascii="Calibri" w:hAnsi="Calibri" w:cs="Calibri"/>
          <w:noProof/>
        </w:rPr>
        <w:t> </w:t>
      </w:r>
      <w:r w:rsidR="00C56AFD">
        <w:rPr>
          <w:noProof/>
        </w:rPr>
        <w:t>tyt</w:t>
      </w:r>
      <w:r>
        <w:rPr>
          <w:noProof/>
        </w:rPr>
        <w:t>ułu wypełnienia zobowiązań sprzed 20</w:t>
      </w:r>
      <w:r w:rsidRPr="00C56AFD">
        <w:rPr>
          <w:noProof/>
        </w:rPr>
        <w:t>21</w:t>
      </w:r>
      <w:r w:rsidR="00C56AFD" w:rsidRPr="00C56AFD">
        <w:rPr>
          <w:rFonts w:ascii="Calibri" w:hAnsi="Calibri" w:cs="Calibri"/>
          <w:noProof/>
        </w:rPr>
        <w:t> </w:t>
      </w:r>
      <w:r w:rsidRPr="00C56AFD">
        <w:rPr>
          <w:noProof/>
        </w:rPr>
        <w:t>r.</w:t>
      </w:r>
      <w:bookmarkEnd w:id="79"/>
    </w:p>
    <w:tbl>
      <w:tblPr>
        <w:tblStyle w:val="AMPR2021"/>
        <w:tblW w:w="0" w:type="auto"/>
        <w:tblBorders>
          <w:top w:val="none" w:sz="0" w:space="0" w:color="auto"/>
          <w:bottom w:val="none" w:sz="0" w:space="0" w:color="auto"/>
          <w:insideH w:val="single" w:sz="6" w:space="0" w:color="BFBFBF" w:themeColor="background1" w:themeShade="BF"/>
          <w:insideV w:val="single" w:sz="6" w:space="0" w:color="BFBFBF" w:themeColor="background1" w:themeShade="BF"/>
        </w:tblBorders>
        <w:tblLook w:val="06A0" w:firstRow="1" w:lastRow="0" w:firstColumn="1" w:lastColumn="0" w:noHBand="1" w:noVBand="1"/>
      </w:tblPr>
      <w:tblGrid>
        <w:gridCol w:w="4016"/>
        <w:gridCol w:w="962"/>
        <w:gridCol w:w="964"/>
        <w:gridCol w:w="964"/>
        <w:gridCol w:w="963"/>
        <w:gridCol w:w="964"/>
        <w:gridCol w:w="987"/>
      </w:tblGrid>
      <w:tr w:rsidR="004B40E7" w:rsidRPr="00FA0773" w14:paraId="436066E2" w14:textId="77777777" w:rsidTr="00FA077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32" w:type="dxa"/>
          </w:tcPr>
          <w:p w14:paraId="0B253864" w14:textId="77777777" w:rsidR="004B40E7" w:rsidRPr="00FA0773" w:rsidRDefault="004B40E7">
            <w:pPr>
              <w:rPr>
                <w:rFonts w:eastAsia="Calibri"/>
                <w:b w:val="0"/>
                <w:bCs/>
                <w:noProof/>
                <w:sz w:val="22"/>
                <w:szCs w:val="18"/>
              </w:rPr>
            </w:pPr>
            <w:r>
              <w:rPr>
                <w:noProof/>
                <w:sz w:val="22"/>
              </w:rPr>
              <w:t>Dział WRF</w:t>
            </w:r>
          </w:p>
        </w:tc>
        <w:tc>
          <w:tcPr>
            <w:tcW w:w="964" w:type="dxa"/>
          </w:tcPr>
          <w:p w14:paraId="1271DF43" w14:textId="2DDC4F3C" w:rsidR="004B40E7" w:rsidRPr="00FA0773" w:rsidRDefault="004B40E7">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Pr>
                <w:noProof/>
                <w:sz w:val="22"/>
              </w:rPr>
              <w:t>2025</w:t>
            </w:r>
          </w:p>
        </w:tc>
        <w:tc>
          <w:tcPr>
            <w:tcW w:w="965" w:type="dxa"/>
          </w:tcPr>
          <w:p w14:paraId="358EC4CA" w14:textId="2D39A98F" w:rsidR="004B40E7" w:rsidRPr="00FA0773" w:rsidRDefault="004B40E7">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Pr>
                <w:noProof/>
                <w:sz w:val="22"/>
              </w:rPr>
              <w:t>2026</w:t>
            </w:r>
          </w:p>
        </w:tc>
        <w:tc>
          <w:tcPr>
            <w:tcW w:w="965" w:type="dxa"/>
          </w:tcPr>
          <w:p w14:paraId="41203CBE" w14:textId="182A8BAC" w:rsidR="004B40E7" w:rsidRPr="00FA0773" w:rsidRDefault="004B40E7">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Pr>
                <w:noProof/>
                <w:sz w:val="22"/>
              </w:rPr>
              <w:t>2027</w:t>
            </w:r>
          </w:p>
        </w:tc>
        <w:tc>
          <w:tcPr>
            <w:tcW w:w="964" w:type="dxa"/>
          </w:tcPr>
          <w:p w14:paraId="0CC72A2E" w14:textId="333D0C38" w:rsidR="004B40E7" w:rsidRPr="00FA0773" w:rsidRDefault="004B40E7">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Pr>
                <w:noProof/>
                <w:sz w:val="22"/>
              </w:rPr>
              <w:t>2028</w:t>
            </w:r>
          </w:p>
        </w:tc>
        <w:tc>
          <w:tcPr>
            <w:tcW w:w="965" w:type="dxa"/>
          </w:tcPr>
          <w:p w14:paraId="50B4787E" w14:textId="480A85CD" w:rsidR="004B40E7" w:rsidRPr="00FA0773" w:rsidRDefault="004B40E7">
            <w:pPr>
              <w:cnfStyle w:val="100000000000" w:firstRow="1" w:lastRow="0" w:firstColumn="0" w:lastColumn="0" w:oddVBand="0" w:evenVBand="0" w:oddHBand="0" w:evenHBand="0" w:firstRowFirstColumn="0" w:firstRowLastColumn="0" w:lastRowFirstColumn="0" w:lastRowLastColumn="0"/>
              <w:rPr>
                <w:rFonts w:eastAsia="Calibri"/>
                <w:noProof/>
                <w:sz w:val="22"/>
                <w:szCs w:val="18"/>
              </w:rPr>
            </w:pPr>
            <w:r>
              <w:rPr>
                <w:noProof/>
                <w:sz w:val="22"/>
              </w:rPr>
              <w:t>2029</w:t>
            </w:r>
          </w:p>
        </w:tc>
        <w:tc>
          <w:tcPr>
            <w:tcW w:w="965" w:type="dxa"/>
          </w:tcPr>
          <w:p w14:paraId="4FA9E26E" w14:textId="449985F2" w:rsidR="004B40E7" w:rsidRPr="00FA0773" w:rsidRDefault="004B40E7">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Pr>
                <w:noProof/>
                <w:sz w:val="22"/>
              </w:rPr>
              <w:t>Ogółem</w:t>
            </w:r>
          </w:p>
        </w:tc>
      </w:tr>
      <w:tr w:rsidR="00B91E21" w:rsidRPr="00FA0773" w14:paraId="7865842B" w14:textId="77777777" w:rsidTr="00FA0773">
        <w:trPr>
          <w:trHeight w:val="300"/>
        </w:trPr>
        <w:tc>
          <w:tcPr>
            <w:cnfStyle w:val="001000000000" w:firstRow="0" w:lastRow="0" w:firstColumn="1" w:lastColumn="0" w:oddVBand="0" w:evenVBand="0" w:oddHBand="0" w:evenHBand="0" w:firstRowFirstColumn="0" w:firstRowLastColumn="0" w:lastRowFirstColumn="0" w:lastRowLastColumn="0"/>
            <w:tcW w:w="4032" w:type="dxa"/>
          </w:tcPr>
          <w:p w14:paraId="6457CC88" w14:textId="77296976" w:rsidR="004B40E7" w:rsidRPr="00FA0773" w:rsidRDefault="004B40E7">
            <w:pPr>
              <w:spacing w:after="120"/>
              <w:rPr>
                <w:rFonts w:eastAsia="Calibri"/>
                <w:bCs/>
                <w:noProof/>
                <w:color w:val="245F95" w:themeColor="text2"/>
                <w:sz w:val="22"/>
                <w:szCs w:val="18"/>
              </w:rPr>
            </w:pPr>
            <w:r>
              <w:rPr>
                <w:noProof/>
                <w:color w:val="245F95" w:themeColor="text2"/>
                <w:sz w:val="22"/>
              </w:rPr>
              <w:t>1 Jednolity rynek, innowacje</w:t>
            </w:r>
            <w:r w:rsidR="00C56AFD">
              <w:rPr>
                <w:noProof/>
                <w:color w:val="245F95" w:themeColor="text2"/>
                <w:sz w:val="22"/>
              </w:rPr>
              <w:t xml:space="preserve"> i</w:t>
            </w:r>
            <w:r w:rsidR="00C56AFD">
              <w:rPr>
                <w:rFonts w:ascii="Calibri" w:hAnsi="Calibri" w:cs="Calibri"/>
                <w:noProof/>
                <w:color w:val="245F95" w:themeColor="text2"/>
                <w:sz w:val="22"/>
              </w:rPr>
              <w:t> </w:t>
            </w:r>
            <w:r w:rsidR="00C56AFD">
              <w:rPr>
                <w:noProof/>
                <w:color w:val="245F95" w:themeColor="text2"/>
                <w:sz w:val="22"/>
              </w:rPr>
              <w:t>gos</w:t>
            </w:r>
            <w:r>
              <w:rPr>
                <w:noProof/>
                <w:color w:val="245F95" w:themeColor="text2"/>
                <w:sz w:val="22"/>
              </w:rPr>
              <w:t>podarka cyfrowa</w:t>
            </w:r>
          </w:p>
        </w:tc>
        <w:tc>
          <w:tcPr>
            <w:tcW w:w="964" w:type="dxa"/>
            <w:shd w:val="clear" w:color="auto" w:fill="auto"/>
            <w:vAlign w:val="center"/>
          </w:tcPr>
          <w:p w14:paraId="37E54A7A" w14:textId="56BBF1EC" w:rsidR="004B40E7" w:rsidRPr="00FA0773" w:rsidRDefault="0023129E"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Pr>
                <w:noProof/>
                <w:sz w:val="22"/>
              </w:rPr>
              <w:t>2,7</w:t>
            </w:r>
          </w:p>
        </w:tc>
        <w:tc>
          <w:tcPr>
            <w:tcW w:w="965" w:type="dxa"/>
            <w:shd w:val="clear" w:color="auto" w:fill="auto"/>
            <w:vAlign w:val="center"/>
          </w:tcPr>
          <w:p w14:paraId="7266F326" w14:textId="4E7EBF5D" w:rsidR="004B40E7" w:rsidRPr="00FA0773" w:rsidRDefault="0023129E"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Pr>
                <w:noProof/>
                <w:sz w:val="22"/>
              </w:rPr>
              <w:t>2,2</w:t>
            </w:r>
          </w:p>
        </w:tc>
        <w:tc>
          <w:tcPr>
            <w:tcW w:w="965" w:type="dxa"/>
            <w:shd w:val="clear" w:color="auto" w:fill="auto"/>
            <w:vAlign w:val="center"/>
          </w:tcPr>
          <w:p w14:paraId="728AE7EC" w14:textId="26B236F8" w:rsidR="004B40E7" w:rsidRPr="00FA0773" w:rsidRDefault="0023129E"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Pr>
                <w:noProof/>
                <w:sz w:val="22"/>
              </w:rPr>
              <w:t>1,2</w:t>
            </w:r>
          </w:p>
        </w:tc>
        <w:tc>
          <w:tcPr>
            <w:tcW w:w="964" w:type="dxa"/>
            <w:shd w:val="clear" w:color="auto" w:fill="auto"/>
            <w:vAlign w:val="center"/>
          </w:tcPr>
          <w:p w14:paraId="55F030F5" w14:textId="24AF757C" w:rsidR="004B40E7" w:rsidRPr="00FA0773" w:rsidRDefault="0023129E"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Pr>
                <w:noProof/>
                <w:sz w:val="22"/>
              </w:rPr>
              <w:t>0,6</w:t>
            </w:r>
          </w:p>
        </w:tc>
        <w:tc>
          <w:tcPr>
            <w:tcW w:w="965" w:type="dxa"/>
            <w:vAlign w:val="center"/>
          </w:tcPr>
          <w:p w14:paraId="4A7FBF3C" w14:textId="7A3AD31C" w:rsidR="004B40E7" w:rsidRPr="00FA0773" w:rsidRDefault="007F2B1E"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Pr>
                <w:noProof/>
                <w:sz w:val="22"/>
              </w:rPr>
              <w:t>0,2</w:t>
            </w:r>
          </w:p>
        </w:tc>
        <w:tc>
          <w:tcPr>
            <w:tcW w:w="965" w:type="dxa"/>
            <w:shd w:val="clear" w:color="auto" w:fill="auto"/>
            <w:vAlign w:val="center"/>
          </w:tcPr>
          <w:p w14:paraId="7A931A51" w14:textId="718D58D6" w:rsidR="004B40E7" w:rsidRPr="00FA0773" w:rsidRDefault="00A90E90"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color w:val="245F95" w:themeColor="text2"/>
                <w:sz w:val="22"/>
                <w:szCs w:val="18"/>
              </w:rPr>
            </w:pPr>
            <w:r>
              <w:rPr>
                <w:b/>
                <w:noProof/>
                <w:color w:val="245F95" w:themeColor="text2"/>
                <w:sz w:val="22"/>
              </w:rPr>
              <w:t>7,0</w:t>
            </w:r>
          </w:p>
        </w:tc>
      </w:tr>
      <w:tr w:rsidR="004B40E7" w:rsidRPr="00FA0773" w14:paraId="44CDA9C9" w14:textId="77777777" w:rsidTr="00FA0773">
        <w:trPr>
          <w:trHeight w:val="300"/>
        </w:trPr>
        <w:tc>
          <w:tcPr>
            <w:cnfStyle w:val="001000000000" w:firstRow="0" w:lastRow="0" w:firstColumn="1" w:lastColumn="0" w:oddVBand="0" w:evenVBand="0" w:oddHBand="0" w:evenHBand="0" w:firstRowFirstColumn="0" w:firstRowLastColumn="0" w:lastRowFirstColumn="0" w:lastRowLastColumn="0"/>
            <w:tcW w:w="4032" w:type="dxa"/>
          </w:tcPr>
          <w:p w14:paraId="698C5171" w14:textId="2B91F02B" w:rsidR="004B40E7" w:rsidRPr="00FA0773" w:rsidRDefault="004B40E7">
            <w:pPr>
              <w:spacing w:after="120"/>
              <w:rPr>
                <w:rFonts w:eastAsia="Calibri"/>
                <w:bCs/>
                <w:noProof/>
                <w:color w:val="245F95" w:themeColor="text2"/>
                <w:sz w:val="22"/>
                <w:szCs w:val="18"/>
              </w:rPr>
            </w:pPr>
            <w:r>
              <w:rPr>
                <w:noProof/>
                <w:color w:val="245F95" w:themeColor="text2"/>
                <w:sz w:val="22"/>
              </w:rPr>
              <w:t>2 Spójność, odporność</w:t>
            </w:r>
            <w:r w:rsidR="00C56AFD">
              <w:rPr>
                <w:noProof/>
                <w:color w:val="245F95" w:themeColor="text2"/>
                <w:sz w:val="22"/>
              </w:rPr>
              <w:t xml:space="preserve"> i</w:t>
            </w:r>
            <w:r w:rsidR="00C56AFD">
              <w:rPr>
                <w:rFonts w:ascii="Calibri" w:hAnsi="Calibri" w:cs="Calibri"/>
                <w:noProof/>
                <w:color w:val="245F95" w:themeColor="text2"/>
                <w:sz w:val="22"/>
              </w:rPr>
              <w:t> </w:t>
            </w:r>
            <w:r w:rsidR="00C56AFD">
              <w:rPr>
                <w:noProof/>
                <w:color w:val="245F95" w:themeColor="text2"/>
                <w:sz w:val="22"/>
              </w:rPr>
              <w:t>war</w:t>
            </w:r>
            <w:r>
              <w:rPr>
                <w:noProof/>
                <w:color w:val="245F95" w:themeColor="text2"/>
                <w:sz w:val="22"/>
              </w:rPr>
              <w:t>tości</w:t>
            </w:r>
          </w:p>
        </w:tc>
        <w:tc>
          <w:tcPr>
            <w:tcW w:w="964" w:type="dxa"/>
            <w:shd w:val="clear" w:color="auto" w:fill="auto"/>
            <w:vAlign w:val="center"/>
          </w:tcPr>
          <w:p w14:paraId="48DCA427" w14:textId="35C71B98" w:rsidR="004B40E7" w:rsidRPr="00FA0773" w:rsidRDefault="003C7F0C"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Pr>
                <w:noProof/>
                <w:sz w:val="22"/>
              </w:rPr>
              <w:t>0,7</w:t>
            </w:r>
          </w:p>
        </w:tc>
        <w:tc>
          <w:tcPr>
            <w:tcW w:w="965" w:type="dxa"/>
            <w:shd w:val="clear" w:color="auto" w:fill="auto"/>
            <w:vAlign w:val="center"/>
          </w:tcPr>
          <w:p w14:paraId="53924375" w14:textId="729F1B5F"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Pr>
                <w:noProof/>
                <w:sz w:val="22"/>
              </w:rPr>
              <w:t>1,7</w:t>
            </w:r>
          </w:p>
        </w:tc>
        <w:tc>
          <w:tcPr>
            <w:tcW w:w="965" w:type="dxa"/>
            <w:shd w:val="clear" w:color="auto" w:fill="auto"/>
            <w:vAlign w:val="center"/>
          </w:tcPr>
          <w:p w14:paraId="2D32D0CC" w14:textId="6C951225" w:rsidR="004B40E7" w:rsidRPr="00FA0773" w:rsidRDefault="00A12675"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Pr>
                <w:noProof/>
                <w:sz w:val="22"/>
              </w:rPr>
              <w:t>0,7</w:t>
            </w:r>
          </w:p>
        </w:tc>
        <w:tc>
          <w:tcPr>
            <w:tcW w:w="964" w:type="dxa"/>
            <w:shd w:val="clear" w:color="auto" w:fill="auto"/>
            <w:vAlign w:val="center"/>
          </w:tcPr>
          <w:p w14:paraId="1180EE2A" w14:textId="2DE5FF17"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Pr>
                <w:noProof/>
                <w:sz w:val="22"/>
              </w:rPr>
              <w:t>0,0</w:t>
            </w:r>
          </w:p>
        </w:tc>
        <w:tc>
          <w:tcPr>
            <w:tcW w:w="965" w:type="dxa"/>
            <w:vAlign w:val="center"/>
          </w:tcPr>
          <w:p w14:paraId="2C3CF5AC" w14:textId="77777777"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p>
        </w:tc>
        <w:tc>
          <w:tcPr>
            <w:tcW w:w="965" w:type="dxa"/>
            <w:shd w:val="clear" w:color="auto" w:fill="auto"/>
            <w:vAlign w:val="center"/>
          </w:tcPr>
          <w:p w14:paraId="1A3D82BF" w14:textId="4468ADA0" w:rsidR="004B40E7" w:rsidRPr="00FA0773" w:rsidRDefault="00A12675"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color w:val="245F95" w:themeColor="text2"/>
                <w:sz w:val="22"/>
                <w:szCs w:val="18"/>
              </w:rPr>
            </w:pPr>
            <w:r>
              <w:rPr>
                <w:b/>
                <w:noProof/>
                <w:color w:val="245F95" w:themeColor="text2"/>
                <w:sz w:val="22"/>
              </w:rPr>
              <w:t>3,1</w:t>
            </w:r>
          </w:p>
        </w:tc>
      </w:tr>
      <w:tr w:rsidR="004B40E7" w:rsidRPr="00FA0773" w14:paraId="1A125161" w14:textId="77777777" w:rsidTr="00FA0773">
        <w:trPr>
          <w:trHeight w:val="300"/>
        </w:trPr>
        <w:tc>
          <w:tcPr>
            <w:cnfStyle w:val="001000000000" w:firstRow="0" w:lastRow="0" w:firstColumn="1" w:lastColumn="0" w:oddVBand="0" w:evenVBand="0" w:oddHBand="0" w:evenHBand="0" w:firstRowFirstColumn="0" w:firstRowLastColumn="0" w:lastRowFirstColumn="0" w:lastRowLastColumn="0"/>
            <w:tcW w:w="4032" w:type="dxa"/>
          </w:tcPr>
          <w:p w14:paraId="20F75A0A" w14:textId="2FB680B1" w:rsidR="004B40E7" w:rsidRPr="00FA0773" w:rsidRDefault="004B40E7" w:rsidP="00D16649">
            <w:pPr>
              <w:spacing w:after="120"/>
              <w:ind w:left="170"/>
              <w:rPr>
                <w:rFonts w:eastAsia="Calibri"/>
                <w:b w:val="0"/>
                <w:bCs/>
                <w:noProof/>
                <w:color w:val="245F95" w:themeColor="text2"/>
                <w:sz w:val="22"/>
                <w:szCs w:val="18"/>
              </w:rPr>
            </w:pPr>
            <w:r>
              <w:rPr>
                <w:b w:val="0"/>
                <w:noProof/>
                <w:color w:val="245F95" w:themeColor="text2"/>
                <w:sz w:val="22"/>
              </w:rPr>
              <w:t>2.1 Spójność gospodarcza, społeczna</w:t>
            </w:r>
            <w:r w:rsidR="00C56AFD">
              <w:rPr>
                <w:b w:val="0"/>
                <w:noProof/>
                <w:color w:val="245F95" w:themeColor="text2"/>
                <w:sz w:val="22"/>
              </w:rPr>
              <w:t xml:space="preserve"> i</w:t>
            </w:r>
            <w:r w:rsidR="00C56AFD">
              <w:rPr>
                <w:rFonts w:ascii="Calibri" w:hAnsi="Calibri" w:cs="Calibri"/>
                <w:b w:val="0"/>
                <w:noProof/>
                <w:color w:val="245F95" w:themeColor="text2"/>
                <w:sz w:val="22"/>
              </w:rPr>
              <w:t> </w:t>
            </w:r>
            <w:r w:rsidR="00C56AFD">
              <w:rPr>
                <w:b w:val="0"/>
                <w:noProof/>
                <w:color w:val="245F95" w:themeColor="text2"/>
                <w:sz w:val="22"/>
              </w:rPr>
              <w:t>ter</w:t>
            </w:r>
            <w:r>
              <w:rPr>
                <w:b w:val="0"/>
                <w:noProof/>
                <w:color w:val="245F95" w:themeColor="text2"/>
                <w:sz w:val="22"/>
              </w:rPr>
              <w:t>ytorialna</w:t>
            </w:r>
          </w:p>
        </w:tc>
        <w:tc>
          <w:tcPr>
            <w:tcW w:w="964" w:type="dxa"/>
            <w:shd w:val="clear" w:color="auto" w:fill="auto"/>
            <w:vAlign w:val="center"/>
          </w:tcPr>
          <w:p w14:paraId="3375922F" w14:textId="01F75867" w:rsidR="004B40E7" w:rsidRPr="00FA0773" w:rsidRDefault="6B212AFA" w:rsidP="7EE18D7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22"/>
              </w:rPr>
            </w:pPr>
            <w:r>
              <w:rPr>
                <w:noProof/>
                <w:sz w:val="22"/>
              </w:rPr>
              <w:t>0,7</w:t>
            </w:r>
          </w:p>
        </w:tc>
        <w:tc>
          <w:tcPr>
            <w:tcW w:w="965" w:type="dxa"/>
            <w:shd w:val="clear" w:color="auto" w:fill="auto"/>
            <w:vAlign w:val="center"/>
          </w:tcPr>
          <w:p w14:paraId="4075F68E" w14:textId="55177128"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Pr>
                <w:noProof/>
                <w:sz w:val="22"/>
              </w:rPr>
              <w:t>1,7</w:t>
            </w:r>
          </w:p>
        </w:tc>
        <w:tc>
          <w:tcPr>
            <w:tcW w:w="965" w:type="dxa"/>
            <w:shd w:val="clear" w:color="auto" w:fill="auto"/>
            <w:vAlign w:val="center"/>
          </w:tcPr>
          <w:p w14:paraId="08808B7E" w14:textId="2B92EB45" w:rsidR="004B40E7" w:rsidRPr="00FA0773" w:rsidRDefault="00D90B75"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Pr>
                <w:noProof/>
                <w:sz w:val="22"/>
              </w:rPr>
              <w:t>0,7</w:t>
            </w:r>
          </w:p>
        </w:tc>
        <w:tc>
          <w:tcPr>
            <w:tcW w:w="964" w:type="dxa"/>
            <w:shd w:val="clear" w:color="auto" w:fill="auto"/>
            <w:vAlign w:val="center"/>
          </w:tcPr>
          <w:p w14:paraId="46741573" w14:textId="223E7D05"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p>
        </w:tc>
        <w:tc>
          <w:tcPr>
            <w:tcW w:w="965" w:type="dxa"/>
            <w:vAlign w:val="center"/>
          </w:tcPr>
          <w:p w14:paraId="79B5CCD1" w14:textId="77777777"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p>
        </w:tc>
        <w:tc>
          <w:tcPr>
            <w:tcW w:w="965" w:type="dxa"/>
            <w:shd w:val="clear" w:color="auto" w:fill="auto"/>
            <w:vAlign w:val="center"/>
          </w:tcPr>
          <w:p w14:paraId="6E67AADA" w14:textId="41882575" w:rsidR="004B40E7" w:rsidRPr="00FA0773" w:rsidRDefault="5329F14B" w:rsidP="7EE18D7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noProof/>
                <w:color w:val="245F95" w:themeColor="text2"/>
                <w:sz w:val="22"/>
                <w:szCs w:val="22"/>
              </w:rPr>
            </w:pPr>
            <w:r>
              <w:rPr>
                <w:b/>
                <w:noProof/>
                <w:color w:val="245F95" w:themeColor="text2"/>
                <w:sz w:val="22"/>
              </w:rPr>
              <w:t>3,0</w:t>
            </w:r>
          </w:p>
        </w:tc>
      </w:tr>
      <w:tr w:rsidR="004B40E7" w:rsidRPr="00FA0773" w14:paraId="7C5E6D79" w14:textId="77777777" w:rsidTr="00FA0773">
        <w:trPr>
          <w:trHeight w:val="300"/>
        </w:trPr>
        <w:tc>
          <w:tcPr>
            <w:cnfStyle w:val="001000000000" w:firstRow="0" w:lastRow="0" w:firstColumn="1" w:lastColumn="0" w:oddVBand="0" w:evenVBand="0" w:oddHBand="0" w:evenHBand="0" w:firstRowFirstColumn="0" w:firstRowLastColumn="0" w:lastRowFirstColumn="0" w:lastRowLastColumn="0"/>
            <w:tcW w:w="4032" w:type="dxa"/>
          </w:tcPr>
          <w:p w14:paraId="4BC8A42B" w14:textId="4A89AF39" w:rsidR="004B40E7" w:rsidRPr="00FA0773" w:rsidRDefault="004B40E7" w:rsidP="00D16649">
            <w:pPr>
              <w:spacing w:after="120"/>
              <w:ind w:left="170"/>
              <w:rPr>
                <w:rFonts w:eastAsia="Calibri"/>
                <w:b w:val="0"/>
                <w:bCs/>
                <w:noProof/>
                <w:color w:val="245F95" w:themeColor="text2"/>
                <w:sz w:val="22"/>
                <w:szCs w:val="18"/>
              </w:rPr>
            </w:pPr>
            <w:r>
              <w:rPr>
                <w:b w:val="0"/>
                <w:noProof/>
                <w:color w:val="245F95" w:themeColor="text2"/>
                <w:sz w:val="22"/>
              </w:rPr>
              <w:t>2.2 Odporność</w:t>
            </w:r>
            <w:r w:rsidR="00C56AFD">
              <w:rPr>
                <w:b w:val="0"/>
                <w:noProof/>
                <w:color w:val="245F95" w:themeColor="text2"/>
                <w:sz w:val="22"/>
              </w:rPr>
              <w:t xml:space="preserve"> i</w:t>
            </w:r>
            <w:r w:rsidR="00C56AFD">
              <w:rPr>
                <w:rFonts w:ascii="Calibri" w:hAnsi="Calibri" w:cs="Calibri"/>
                <w:b w:val="0"/>
                <w:noProof/>
                <w:color w:val="245F95" w:themeColor="text2"/>
                <w:sz w:val="22"/>
              </w:rPr>
              <w:t> </w:t>
            </w:r>
            <w:r w:rsidR="00C56AFD">
              <w:rPr>
                <w:b w:val="0"/>
                <w:noProof/>
                <w:color w:val="245F95" w:themeColor="text2"/>
                <w:sz w:val="22"/>
              </w:rPr>
              <w:t>war</w:t>
            </w:r>
            <w:r>
              <w:rPr>
                <w:b w:val="0"/>
                <w:noProof/>
                <w:color w:val="245F95" w:themeColor="text2"/>
                <w:sz w:val="22"/>
              </w:rPr>
              <w:t>tości</w:t>
            </w:r>
          </w:p>
        </w:tc>
        <w:tc>
          <w:tcPr>
            <w:tcW w:w="964" w:type="dxa"/>
            <w:shd w:val="clear" w:color="auto" w:fill="auto"/>
            <w:vAlign w:val="center"/>
          </w:tcPr>
          <w:p w14:paraId="4DDC4CA6" w14:textId="0B188021" w:rsidR="004B40E7" w:rsidRPr="00FA0773" w:rsidRDefault="00A5031D"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Pr>
                <w:noProof/>
                <w:sz w:val="22"/>
              </w:rPr>
              <w:t>0,0</w:t>
            </w:r>
          </w:p>
        </w:tc>
        <w:tc>
          <w:tcPr>
            <w:tcW w:w="965" w:type="dxa"/>
            <w:shd w:val="clear" w:color="auto" w:fill="auto"/>
            <w:vAlign w:val="center"/>
          </w:tcPr>
          <w:p w14:paraId="1775553F" w14:textId="5C71DA7A" w:rsidR="004B40E7" w:rsidRPr="00FA0773" w:rsidRDefault="00A5031D"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Pr>
                <w:noProof/>
                <w:sz w:val="22"/>
              </w:rPr>
              <w:t>0,0</w:t>
            </w:r>
          </w:p>
        </w:tc>
        <w:tc>
          <w:tcPr>
            <w:tcW w:w="965" w:type="dxa"/>
            <w:shd w:val="clear" w:color="auto" w:fill="auto"/>
            <w:vAlign w:val="center"/>
          </w:tcPr>
          <w:p w14:paraId="0B541CAB" w14:textId="46BE0049" w:rsidR="004B40E7" w:rsidRPr="00FA0773" w:rsidRDefault="00A5031D"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Pr>
                <w:noProof/>
                <w:sz w:val="22"/>
              </w:rPr>
              <w:t>0,0</w:t>
            </w:r>
          </w:p>
        </w:tc>
        <w:tc>
          <w:tcPr>
            <w:tcW w:w="964" w:type="dxa"/>
            <w:shd w:val="clear" w:color="auto" w:fill="auto"/>
            <w:vAlign w:val="center"/>
          </w:tcPr>
          <w:p w14:paraId="34DC8A3D" w14:textId="0DB21C70" w:rsidR="004B40E7" w:rsidRPr="00FA0773" w:rsidRDefault="00773F89"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Pr>
                <w:noProof/>
                <w:sz w:val="22"/>
              </w:rPr>
              <w:t>0,0</w:t>
            </w:r>
          </w:p>
        </w:tc>
        <w:tc>
          <w:tcPr>
            <w:tcW w:w="965" w:type="dxa"/>
            <w:vAlign w:val="center"/>
          </w:tcPr>
          <w:p w14:paraId="3ACEE825" w14:textId="77777777"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p>
        </w:tc>
        <w:tc>
          <w:tcPr>
            <w:tcW w:w="965" w:type="dxa"/>
            <w:shd w:val="clear" w:color="auto" w:fill="auto"/>
            <w:vAlign w:val="center"/>
          </w:tcPr>
          <w:p w14:paraId="0BB00FE5" w14:textId="5453C2C0"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color w:val="245F95" w:themeColor="text2"/>
                <w:sz w:val="22"/>
                <w:szCs w:val="18"/>
              </w:rPr>
            </w:pPr>
            <w:r>
              <w:rPr>
                <w:b/>
                <w:noProof/>
                <w:color w:val="245F95" w:themeColor="text2"/>
                <w:sz w:val="22"/>
              </w:rPr>
              <w:t>0,1</w:t>
            </w:r>
          </w:p>
        </w:tc>
      </w:tr>
      <w:tr w:rsidR="00D56216" w:rsidRPr="00FA0773" w14:paraId="31FB0AFA" w14:textId="77777777" w:rsidTr="00FA0773">
        <w:trPr>
          <w:trHeight w:val="300"/>
        </w:trPr>
        <w:tc>
          <w:tcPr>
            <w:cnfStyle w:val="001000000000" w:firstRow="0" w:lastRow="0" w:firstColumn="1" w:lastColumn="0" w:oddVBand="0" w:evenVBand="0" w:oddHBand="0" w:evenHBand="0" w:firstRowFirstColumn="0" w:firstRowLastColumn="0" w:lastRowFirstColumn="0" w:lastRowLastColumn="0"/>
            <w:tcW w:w="4032" w:type="dxa"/>
          </w:tcPr>
          <w:p w14:paraId="4D9ABE61" w14:textId="5E74CE09" w:rsidR="00D56216" w:rsidRPr="00FA0773" w:rsidRDefault="00D56216" w:rsidP="00D56216">
            <w:pPr>
              <w:spacing w:after="120"/>
              <w:rPr>
                <w:rFonts w:eastAsia="Calibri"/>
                <w:bCs/>
                <w:noProof/>
                <w:color w:val="245F95" w:themeColor="text2"/>
                <w:sz w:val="22"/>
                <w:szCs w:val="18"/>
              </w:rPr>
            </w:pPr>
            <w:r>
              <w:rPr>
                <w:noProof/>
                <w:color w:val="245F95" w:themeColor="text2"/>
                <w:sz w:val="22"/>
              </w:rPr>
              <w:t>3 Zasoby naturalne</w:t>
            </w:r>
            <w:r w:rsidR="00C56AFD">
              <w:rPr>
                <w:noProof/>
                <w:color w:val="245F95" w:themeColor="text2"/>
                <w:sz w:val="22"/>
              </w:rPr>
              <w:t xml:space="preserve"> i</w:t>
            </w:r>
            <w:r w:rsidR="00C56AFD">
              <w:rPr>
                <w:rFonts w:ascii="Calibri" w:hAnsi="Calibri" w:cs="Calibri"/>
                <w:noProof/>
                <w:color w:val="245F95" w:themeColor="text2"/>
                <w:sz w:val="22"/>
              </w:rPr>
              <w:t> </w:t>
            </w:r>
            <w:r w:rsidR="00C56AFD">
              <w:rPr>
                <w:noProof/>
                <w:color w:val="245F95" w:themeColor="text2"/>
                <w:sz w:val="22"/>
              </w:rPr>
              <w:t>śro</w:t>
            </w:r>
            <w:r>
              <w:rPr>
                <w:noProof/>
                <w:color w:val="245F95" w:themeColor="text2"/>
                <w:sz w:val="22"/>
              </w:rPr>
              <w:t>dowisko</w:t>
            </w:r>
          </w:p>
        </w:tc>
        <w:tc>
          <w:tcPr>
            <w:tcW w:w="964" w:type="dxa"/>
            <w:shd w:val="clear" w:color="auto" w:fill="auto"/>
            <w:vAlign w:val="center"/>
          </w:tcPr>
          <w:p w14:paraId="76EF4E1A" w14:textId="6873C186" w:rsidR="00D56216" w:rsidRPr="00FA0773" w:rsidRDefault="00D56216" w:rsidP="00D56216">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Pr>
                <w:noProof/>
                <w:sz w:val="22"/>
              </w:rPr>
              <w:t>0,2</w:t>
            </w:r>
          </w:p>
        </w:tc>
        <w:tc>
          <w:tcPr>
            <w:tcW w:w="965" w:type="dxa"/>
            <w:shd w:val="clear" w:color="auto" w:fill="auto"/>
            <w:vAlign w:val="center"/>
          </w:tcPr>
          <w:p w14:paraId="559437E6" w14:textId="56AFDB17" w:rsidR="00D56216" w:rsidRPr="00FA0773" w:rsidRDefault="00D56216" w:rsidP="00D56216">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Pr>
                <w:noProof/>
                <w:sz w:val="22"/>
              </w:rPr>
              <w:t>6,0</w:t>
            </w:r>
          </w:p>
        </w:tc>
        <w:tc>
          <w:tcPr>
            <w:tcW w:w="965" w:type="dxa"/>
            <w:shd w:val="clear" w:color="auto" w:fill="auto"/>
            <w:vAlign w:val="center"/>
          </w:tcPr>
          <w:p w14:paraId="32316785" w14:textId="2870D7A7" w:rsidR="00D56216" w:rsidRPr="00FA0773" w:rsidRDefault="00D56216" w:rsidP="00D56216">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Pr>
                <w:noProof/>
                <w:sz w:val="22"/>
              </w:rPr>
              <w:t>0,3</w:t>
            </w:r>
          </w:p>
        </w:tc>
        <w:tc>
          <w:tcPr>
            <w:tcW w:w="964" w:type="dxa"/>
            <w:shd w:val="clear" w:color="auto" w:fill="auto"/>
            <w:vAlign w:val="center"/>
          </w:tcPr>
          <w:p w14:paraId="2C5D218C" w14:textId="0C3D8105" w:rsidR="00D56216" w:rsidRPr="00FA0773" w:rsidRDefault="00D56216" w:rsidP="00D56216">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Pr>
                <w:noProof/>
                <w:sz w:val="22"/>
              </w:rPr>
              <w:t>0,1</w:t>
            </w:r>
          </w:p>
        </w:tc>
        <w:tc>
          <w:tcPr>
            <w:tcW w:w="965" w:type="dxa"/>
            <w:vAlign w:val="center"/>
          </w:tcPr>
          <w:p w14:paraId="6C434EA6" w14:textId="3088CAF2" w:rsidR="00D56216" w:rsidRPr="00FA0773" w:rsidRDefault="00D56216" w:rsidP="00D56216">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Pr>
                <w:noProof/>
                <w:sz w:val="22"/>
              </w:rPr>
              <w:t>0,1</w:t>
            </w:r>
          </w:p>
        </w:tc>
        <w:tc>
          <w:tcPr>
            <w:tcW w:w="965" w:type="dxa"/>
            <w:shd w:val="clear" w:color="auto" w:fill="auto"/>
            <w:vAlign w:val="center"/>
          </w:tcPr>
          <w:p w14:paraId="0BDCD599" w14:textId="14B84236" w:rsidR="00D56216" w:rsidRPr="00FA0773" w:rsidRDefault="00D56216" w:rsidP="00D56216">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color w:val="245F95" w:themeColor="text2"/>
                <w:sz w:val="22"/>
                <w:szCs w:val="18"/>
              </w:rPr>
            </w:pPr>
            <w:r>
              <w:rPr>
                <w:b/>
                <w:noProof/>
                <w:color w:val="245F95" w:themeColor="text2"/>
                <w:sz w:val="22"/>
              </w:rPr>
              <w:t>6,7</w:t>
            </w:r>
          </w:p>
        </w:tc>
      </w:tr>
      <w:tr w:rsidR="004B40E7" w:rsidRPr="00FA0773" w14:paraId="08AA612C" w14:textId="77777777" w:rsidTr="00FA0773">
        <w:trPr>
          <w:trHeight w:val="300"/>
        </w:trPr>
        <w:tc>
          <w:tcPr>
            <w:cnfStyle w:val="001000000000" w:firstRow="0" w:lastRow="0" w:firstColumn="1" w:lastColumn="0" w:oddVBand="0" w:evenVBand="0" w:oddHBand="0" w:evenHBand="0" w:firstRowFirstColumn="0" w:firstRowLastColumn="0" w:lastRowFirstColumn="0" w:lastRowLastColumn="0"/>
            <w:tcW w:w="4032" w:type="dxa"/>
          </w:tcPr>
          <w:p w14:paraId="06E0DBBC" w14:textId="67F921DE" w:rsidR="004B40E7" w:rsidRPr="00FA0773" w:rsidRDefault="004B40E7" w:rsidP="00D16649">
            <w:pPr>
              <w:ind w:left="170"/>
              <w:rPr>
                <w:rFonts w:eastAsia="Calibri"/>
                <w:b w:val="0"/>
                <w:bCs/>
                <w:noProof/>
                <w:color w:val="245F95" w:themeColor="text2"/>
                <w:sz w:val="22"/>
                <w:szCs w:val="18"/>
              </w:rPr>
            </w:pPr>
            <w:r>
              <w:rPr>
                <w:b w:val="0"/>
                <w:noProof/>
                <w:color w:val="245F95" w:themeColor="text2"/>
                <w:sz w:val="22"/>
              </w:rPr>
              <w:t>3.1 Wydatki związane</w:t>
            </w:r>
            <w:r w:rsidR="00C56AFD">
              <w:rPr>
                <w:b w:val="0"/>
                <w:noProof/>
                <w:color w:val="245F95" w:themeColor="text2"/>
                <w:sz w:val="22"/>
              </w:rPr>
              <w:t xml:space="preserve"> z</w:t>
            </w:r>
            <w:r w:rsidR="00C56AFD">
              <w:rPr>
                <w:rFonts w:ascii="Calibri" w:hAnsi="Calibri" w:cs="Calibri"/>
                <w:b w:val="0"/>
                <w:noProof/>
                <w:color w:val="245F95" w:themeColor="text2"/>
                <w:sz w:val="22"/>
              </w:rPr>
              <w:t> </w:t>
            </w:r>
            <w:r w:rsidR="00C56AFD">
              <w:rPr>
                <w:b w:val="0"/>
                <w:noProof/>
                <w:color w:val="245F95" w:themeColor="text2"/>
                <w:sz w:val="22"/>
              </w:rPr>
              <w:t>ryn</w:t>
            </w:r>
            <w:r>
              <w:rPr>
                <w:b w:val="0"/>
                <w:noProof/>
                <w:color w:val="245F95" w:themeColor="text2"/>
                <w:sz w:val="22"/>
              </w:rPr>
              <w:t>kiem</w:t>
            </w:r>
            <w:r w:rsidR="00C56AFD">
              <w:rPr>
                <w:b w:val="0"/>
                <w:noProof/>
                <w:color w:val="245F95" w:themeColor="text2"/>
                <w:sz w:val="22"/>
              </w:rPr>
              <w:t xml:space="preserve"> i</w:t>
            </w:r>
            <w:r w:rsidR="00C56AFD">
              <w:rPr>
                <w:rFonts w:ascii="Calibri" w:hAnsi="Calibri" w:cs="Calibri"/>
                <w:b w:val="0"/>
                <w:noProof/>
                <w:color w:val="245F95" w:themeColor="text2"/>
                <w:sz w:val="22"/>
              </w:rPr>
              <w:t> </w:t>
            </w:r>
            <w:r w:rsidR="00C56AFD">
              <w:rPr>
                <w:b w:val="0"/>
                <w:noProof/>
                <w:color w:val="245F95" w:themeColor="text2"/>
                <w:sz w:val="22"/>
              </w:rPr>
              <w:t>pła</w:t>
            </w:r>
            <w:r>
              <w:rPr>
                <w:b w:val="0"/>
                <w:noProof/>
                <w:color w:val="245F95" w:themeColor="text2"/>
                <w:sz w:val="22"/>
              </w:rPr>
              <w:t>tności bezpośrednie</w:t>
            </w:r>
          </w:p>
        </w:tc>
        <w:tc>
          <w:tcPr>
            <w:tcW w:w="964" w:type="dxa"/>
            <w:shd w:val="clear" w:color="auto" w:fill="auto"/>
            <w:vAlign w:val="center"/>
          </w:tcPr>
          <w:p w14:paraId="58864605" w14:textId="33F66386"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p>
        </w:tc>
        <w:tc>
          <w:tcPr>
            <w:tcW w:w="965" w:type="dxa"/>
            <w:shd w:val="clear" w:color="auto" w:fill="auto"/>
            <w:vAlign w:val="center"/>
          </w:tcPr>
          <w:p w14:paraId="323922EE" w14:textId="77777777"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p>
        </w:tc>
        <w:tc>
          <w:tcPr>
            <w:tcW w:w="965" w:type="dxa"/>
            <w:shd w:val="clear" w:color="auto" w:fill="auto"/>
            <w:vAlign w:val="center"/>
          </w:tcPr>
          <w:p w14:paraId="54FDDAA1" w14:textId="77777777"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p>
        </w:tc>
        <w:tc>
          <w:tcPr>
            <w:tcW w:w="964" w:type="dxa"/>
            <w:shd w:val="clear" w:color="auto" w:fill="auto"/>
            <w:vAlign w:val="center"/>
          </w:tcPr>
          <w:p w14:paraId="29B927FC" w14:textId="77777777"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p>
        </w:tc>
        <w:tc>
          <w:tcPr>
            <w:tcW w:w="965" w:type="dxa"/>
            <w:vAlign w:val="center"/>
          </w:tcPr>
          <w:p w14:paraId="0529A335" w14:textId="77777777"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p>
        </w:tc>
        <w:tc>
          <w:tcPr>
            <w:tcW w:w="965" w:type="dxa"/>
            <w:shd w:val="clear" w:color="auto" w:fill="auto"/>
            <w:vAlign w:val="center"/>
          </w:tcPr>
          <w:p w14:paraId="3F3FABB0" w14:textId="0E54E8E5"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color w:val="245F95" w:themeColor="text2"/>
                <w:sz w:val="22"/>
                <w:szCs w:val="18"/>
              </w:rPr>
            </w:pPr>
          </w:p>
        </w:tc>
      </w:tr>
      <w:tr w:rsidR="003516CF" w:rsidRPr="00FA0773" w14:paraId="3AE80AEF" w14:textId="77777777" w:rsidTr="00FA0773">
        <w:trPr>
          <w:trHeight w:val="300"/>
        </w:trPr>
        <w:tc>
          <w:tcPr>
            <w:cnfStyle w:val="001000000000" w:firstRow="0" w:lastRow="0" w:firstColumn="1" w:lastColumn="0" w:oddVBand="0" w:evenVBand="0" w:oddHBand="0" w:evenHBand="0" w:firstRowFirstColumn="0" w:firstRowLastColumn="0" w:lastRowFirstColumn="0" w:lastRowLastColumn="0"/>
            <w:tcW w:w="4032" w:type="dxa"/>
          </w:tcPr>
          <w:p w14:paraId="0B5E8D7C" w14:textId="7381BE0C" w:rsidR="003516CF" w:rsidRPr="00FA0773" w:rsidRDefault="003516CF" w:rsidP="00D16649">
            <w:pPr>
              <w:ind w:left="170"/>
              <w:rPr>
                <w:rFonts w:eastAsia="Calibri"/>
                <w:b w:val="0"/>
                <w:bCs/>
                <w:noProof/>
                <w:color w:val="245F95" w:themeColor="text2"/>
                <w:sz w:val="22"/>
                <w:szCs w:val="18"/>
              </w:rPr>
            </w:pPr>
            <w:r>
              <w:rPr>
                <w:b w:val="0"/>
                <w:noProof/>
                <w:color w:val="245F95" w:themeColor="text2"/>
                <w:sz w:val="22"/>
              </w:rPr>
              <w:t>3.2 Inne programy</w:t>
            </w:r>
            <w:r w:rsidR="00C56AFD">
              <w:rPr>
                <w:b w:val="0"/>
                <w:noProof/>
                <w:color w:val="245F95" w:themeColor="text2"/>
                <w:sz w:val="22"/>
              </w:rPr>
              <w:t xml:space="preserve"> w</w:t>
            </w:r>
            <w:r w:rsidR="00C56AFD">
              <w:rPr>
                <w:rFonts w:ascii="Calibri" w:hAnsi="Calibri" w:cs="Calibri"/>
                <w:b w:val="0"/>
                <w:noProof/>
                <w:color w:val="245F95" w:themeColor="text2"/>
                <w:sz w:val="22"/>
              </w:rPr>
              <w:t> </w:t>
            </w:r>
            <w:r w:rsidR="00C56AFD">
              <w:rPr>
                <w:b w:val="0"/>
                <w:noProof/>
                <w:color w:val="245F95" w:themeColor="text2"/>
                <w:sz w:val="22"/>
              </w:rPr>
              <w:t>odn</w:t>
            </w:r>
            <w:r>
              <w:rPr>
                <w:b w:val="0"/>
                <w:noProof/>
                <w:color w:val="245F95" w:themeColor="text2"/>
                <w:sz w:val="22"/>
              </w:rPr>
              <w:t>iesieniu do zasobów naturalnych</w:t>
            </w:r>
            <w:r w:rsidR="00C56AFD">
              <w:rPr>
                <w:b w:val="0"/>
                <w:noProof/>
                <w:color w:val="245F95" w:themeColor="text2"/>
                <w:sz w:val="22"/>
              </w:rPr>
              <w:t xml:space="preserve"> i</w:t>
            </w:r>
            <w:r w:rsidR="00C56AFD">
              <w:rPr>
                <w:rFonts w:ascii="Calibri" w:hAnsi="Calibri" w:cs="Calibri"/>
                <w:b w:val="0"/>
                <w:noProof/>
                <w:color w:val="245F95" w:themeColor="text2"/>
                <w:sz w:val="22"/>
              </w:rPr>
              <w:t> </w:t>
            </w:r>
            <w:r w:rsidR="00C56AFD">
              <w:rPr>
                <w:b w:val="0"/>
                <w:noProof/>
                <w:color w:val="245F95" w:themeColor="text2"/>
                <w:sz w:val="22"/>
              </w:rPr>
              <w:t>śro</w:t>
            </w:r>
            <w:r>
              <w:rPr>
                <w:b w:val="0"/>
                <w:noProof/>
                <w:color w:val="245F95" w:themeColor="text2"/>
                <w:sz w:val="22"/>
              </w:rPr>
              <w:t>dowiska</w:t>
            </w:r>
          </w:p>
        </w:tc>
        <w:tc>
          <w:tcPr>
            <w:tcW w:w="964" w:type="dxa"/>
            <w:shd w:val="clear" w:color="auto" w:fill="auto"/>
            <w:vAlign w:val="center"/>
          </w:tcPr>
          <w:p w14:paraId="08448633" w14:textId="4B95E18B" w:rsidR="003516CF" w:rsidRPr="00FA0773" w:rsidRDefault="00046419"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Pr>
                <w:noProof/>
                <w:sz w:val="22"/>
              </w:rPr>
              <w:t>0,2</w:t>
            </w:r>
          </w:p>
        </w:tc>
        <w:tc>
          <w:tcPr>
            <w:tcW w:w="965" w:type="dxa"/>
            <w:shd w:val="clear" w:color="auto" w:fill="auto"/>
            <w:vAlign w:val="center"/>
          </w:tcPr>
          <w:p w14:paraId="47DD137D" w14:textId="29843544" w:rsidR="003516CF" w:rsidRPr="00FA0773" w:rsidRDefault="00FB6C6F"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Pr>
                <w:noProof/>
                <w:sz w:val="22"/>
              </w:rPr>
              <w:t>6,0</w:t>
            </w:r>
          </w:p>
        </w:tc>
        <w:tc>
          <w:tcPr>
            <w:tcW w:w="965" w:type="dxa"/>
            <w:shd w:val="clear" w:color="auto" w:fill="auto"/>
            <w:vAlign w:val="center"/>
          </w:tcPr>
          <w:p w14:paraId="07418EC3" w14:textId="3428B6A3" w:rsidR="003516CF" w:rsidRPr="00FA0773" w:rsidRDefault="003516CF"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Pr>
                <w:noProof/>
                <w:sz w:val="22"/>
              </w:rPr>
              <w:t>0,3</w:t>
            </w:r>
          </w:p>
        </w:tc>
        <w:tc>
          <w:tcPr>
            <w:tcW w:w="964" w:type="dxa"/>
            <w:shd w:val="clear" w:color="auto" w:fill="auto"/>
            <w:vAlign w:val="center"/>
          </w:tcPr>
          <w:p w14:paraId="790E74FA" w14:textId="205DB5E4" w:rsidR="003516CF" w:rsidRPr="00FA0773" w:rsidRDefault="003516CF"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Pr>
                <w:noProof/>
                <w:sz w:val="22"/>
              </w:rPr>
              <w:t>0,1</w:t>
            </w:r>
          </w:p>
        </w:tc>
        <w:tc>
          <w:tcPr>
            <w:tcW w:w="965" w:type="dxa"/>
            <w:vAlign w:val="center"/>
          </w:tcPr>
          <w:p w14:paraId="3BDE64B0" w14:textId="2D8CE135" w:rsidR="003516CF" w:rsidRPr="00FA0773" w:rsidRDefault="003516CF"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Pr>
                <w:noProof/>
                <w:sz w:val="22"/>
              </w:rPr>
              <w:t>0,1</w:t>
            </w:r>
          </w:p>
        </w:tc>
        <w:tc>
          <w:tcPr>
            <w:tcW w:w="965" w:type="dxa"/>
            <w:shd w:val="clear" w:color="auto" w:fill="auto"/>
            <w:vAlign w:val="center"/>
          </w:tcPr>
          <w:p w14:paraId="3AAA861E" w14:textId="2407469A" w:rsidR="003516CF" w:rsidRPr="00FA0773" w:rsidRDefault="00165115"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color w:val="245F95" w:themeColor="text2"/>
                <w:sz w:val="22"/>
                <w:szCs w:val="18"/>
              </w:rPr>
            </w:pPr>
            <w:r>
              <w:rPr>
                <w:b/>
                <w:noProof/>
                <w:color w:val="245F95" w:themeColor="text2"/>
                <w:sz w:val="22"/>
              </w:rPr>
              <w:t>6,7</w:t>
            </w:r>
          </w:p>
        </w:tc>
      </w:tr>
      <w:tr w:rsidR="004B40E7" w:rsidRPr="00FA0773" w14:paraId="055A6AEB" w14:textId="77777777" w:rsidTr="00FA0773">
        <w:trPr>
          <w:trHeight w:val="300"/>
        </w:trPr>
        <w:tc>
          <w:tcPr>
            <w:cnfStyle w:val="001000000000" w:firstRow="0" w:lastRow="0" w:firstColumn="1" w:lastColumn="0" w:oddVBand="0" w:evenVBand="0" w:oddHBand="0" w:evenHBand="0" w:firstRowFirstColumn="0" w:firstRowLastColumn="0" w:lastRowFirstColumn="0" w:lastRowLastColumn="0"/>
            <w:tcW w:w="4032" w:type="dxa"/>
          </w:tcPr>
          <w:p w14:paraId="72F84B16" w14:textId="72370FEA" w:rsidR="004B40E7" w:rsidRPr="00FA0773" w:rsidRDefault="004B40E7">
            <w:pPr>
              <w:spacing w:after="120"/>
              <w:rPr>
                <w:rFonts w:eastAsia="Calibri"/>
                <w:bCs/>
                <w:noProof/>
                <w:color w:val="245F95" w:themeColor="text2"/>
                <w:sz w:val="22"/>
                <w:szCs w:val="18"/>
              </w:rPr>
            </w:pPr>
            <w:r>
              <w:rPr>
                <w:noProof/>
                <w:color w:val="245F95" w:themeColor="text2"/>
                <w:sz w:val="22"/>
              </w:rPr>
              <w:t>4 Migracja</w:t>
            </w:r>
            <w:r w:rsidR="00C56AFD">
              <w:rPr>
                <w:noProof/>
                <w:color w:val="245F95" w:themeColor="text2"/>
                <w:sz w:val="22"/>
              </w:rPr>
              <w:t xml:space="preserve"> i</w:t>
            </w:r>
            <w:r w:rsidR="00C56AFD">
              <w:rPr>
                <w:rFonts w:ascii="Calibri" w:hAnsi="Calibri" w:cs="Calibri"/>
                <w:noProof/>
                <w:color w:val="245F95" w:themeColor="text2"/>
                <w:sz w:val="22"/>
              </w:rPr>
              <w:t> </w:t>
            </w:r>
            <w:r w:rsidR="00C56AFD">
              <w:rPr>
                <w:noProof/>
                <w:color w:val="245F95" w:themeColor="text2"/>
                <w:sz w:val="22"/>
              </w:rPr>
              <w:t>zar</w:t>
            </w:r>
            <w:r>
              <w:rPr>
                <w:noProof/>
                <w:color w:val="245F95" w:themeColor="text2"/>
                <w:sz w:val="22"/>
              </w:rPr>
              <w:t>ządzanie granicami</w:t>
            </w:r>
          </w:p>
        </w:tc>
        <w:tc>
          <w:tcPr>
            <w:tcW w:w="964" w:type="dxa"/>
            <w:shd w:val="clear" w:color="auto" w:fill="auto"/>
            <w:vAlign w:val="center"/>
          </w:tcPr>
          <w:p w14:paraId="647190B8" w14:textId="132A1DA1"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Pr>
                <w:noProof/>
                <w:sz w:val="22"/>
              </w:rPr>
              <w:t>0,3</w:t>
            </w:r>
          </w:p>
        </w:tc>
        <w:tc>
          <w:tcPr>
            <w:tcW w:w="965" w:type="dxa"/>
            <w:shd w:val="clear" w:color="auto" w:fill="auto"/>
            <w:vAlign w:val="center"/>
          </w:tcPr>
          <w:p w14:paraId="73C9D688" w14:textId="51BF6295"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Pr>
                <w:noProof/>
                <w:sz w:val="22"/>
              </w:rPr>
              <w:t>0,2</w:t>
            </w:r>
          </w:p>
        </w:tc>
        <w:tc>
          <w:tcPr>
            <w:tcW w:w="965" w:type="dxa"/>
            <w:shd w:val="clear" w:color="auto" w:fill="auto"/>
            <w:vAlign w:val="center"/>
          </w:tcPr>
          <w:p w14:paraId="21380AA1" w14:textId="5C0873B0" w:rsidR="004B40E7" w:rsidRPr="00FA0773" w:rsidRDefault="0096297D"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Pr>
                <w:noProof/>
                <w:sz w:val="22"/>
              </w:rPr>
              <w:t>0,1</w:t>
            </w:r>
          </w:p>
        </w:tc>
        <w:tc>
          <w:tcPr>
            <w:tcW w:w="964" w:type="dxa"/>
            <w:shd w:val="clear" w:color="auto" w:fill="auto"/>
            <w:vAlign w:val="center"/>
          </w:tcPr>
          <w:p w14:paraId="7DFC99A0" w14:textId="09A1BDAD"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p>
        </w:tc>
        <w:tc>
          <w:tcPr>
            <w:tcW w:w="965" w:type="dxa"/>
            <w:vAlign w:val="center"/>
          </w:tcPr>
          <w:p w14:paraId="32216F83" w14:textId="77777777"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p>
        </w:tc>
        <w:tc>
          <w:tcPr>
            <w:tcW w:w="965" w:type="dxa"/>
            <w:shd w:val="clear" w:color="auto" w:fill="auto"/>
            <w:vAlign w:val="center"/>
          </w:tcPr>
          <w:p w14:paraId="5E9E98D7" w14:textId="4AA0EB9B" w:rsidR="004B40E7" w:rsidRPr="00FA0773" w:rsidRDefault="003B04DD"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color w:val="245F95" w:themeColor="text2"/>
                <w:sz w:val="22"/>
                <w:szCs w:val="18"/>
              </w:rPr>
            </w:pPr>
            <w:r>
              <w:rPr>
                <w:b/>
                <w:noProof/>
                <w:color w:val="245F95" w:themeColor="text2"/>
                <w:sz w:val="22"/>
              </w:rPr>
              <w:t>0,5</w:t>
            </w:r>
          </w:p>
        </w:tc>
      </w:tr>
      <w:tr w:rsidR="004B40E7" w:rsidRPr="00FA0773" w14:paraId="256AAF93" w14:textId="77777777" w:rsidTr="00FA0773">
        <w:trPr>
          <w:trHeight w:val="300"/>
        </w:trPr>
        <w:tc>
          <w:tcPr>
            <w:cnfStyle w:val="001000000000" w:firstRow="0" w:lastRow="0" w:firstColumn="1" w:lastColumn="0" w:oddVBand="0" w:evenVBand="0" w:oddHBand="0" w:evenHBand="0" w:firstRowFirstColumn="0" w:firstRowLastColumn="0" w:lastRowFirstColumn="0" w:lastRowLastColumn="0"/>
            <w:tcW w:w="4032" w:type="dxa"/>
          </w:tcPr>
          <w:p w14:paraId="78C461AE" w14:textId="6E9C9562" w:rsidR="004B40E7" w:rsidRPr="00FA0773" w:rsidRDefault="004B40E7">
            <w:pPr>
              <w:spacing w:after="120"/>
              <w:rPr>
                <w:rFonts w:eastAsia="Calibri"/>
                <w:bCs/>
                <w:noProof/>
                <w:color w:val="245F95" w:themeColor="text2"/>
                <w:sz w:val="22"/>
                <w:szCs w:val="18"/>
              </w:rPr>
            </w:pPr>
            <w:r>
              <w:rPr>
                <w:noProof/>
                <w:color w:val="245F95" w:themeColor="text2"/>
                <w:sz w:val="22"/>
              </w:rPr>
              <w:t>5 Bezpieczeństwo</w:t>
            </w:r>
            <w:r w:rsidR="00C56AFD">
              <w:rPr>
                <w:noProof/>
                <w:color w:val="245F95" w:themeColor="text2"/>
                <w:sz w:val="22"/>
              </w:rPr>
              <w:t xml:space="preserve"> i</w:t>
            </w:r>
            <w:r w:rsidR="00C56AFD">
              <w:rPr>
                <w:rFonts w:ascii="Calibri" w:hAnsi="Calibri" w:cs="Calibri"/>
                <w:noProof/>
                <w:color w:val="245F95" w:themeColor="text2"/>
                <w:sz w:val="22"/>
              </w:rPr>
              <w:t> </w:t>
            </w:r>
            <w:r w:rsidR="00C56AFD">
              <w:rPr>
                <w:noProof/>
                <w:color w:val="245F95" w:themeColor="text2"/>
                <w:sz w:val="22"/>
              </w:rPr>
              <w:t>obr</w:t>
            </w:r>
            <w:r>
              <w:rPr>
                <w:noProof/>
                <w:color w:val="245F95" w:themeColor="text2"/>
                <w:sz w:val="22"/>
              </w:rPr>
              <w:t>ona</w:t>
            </w:r>
          </w:p>
        </w:tc>
        <w:tc>
          <w:tcPr>
            <w:tcW w:w="964" w:type="dxa"/>
            <w:shd w:val="clear" w:color="auto" w:fill="auto"/>
            <w:vAlign w:val="center"/>
          </w:tcPr>
          <w:p w14:paraId="7055969E" w14:textId="77777777"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Pr>
                <w:noProof/>
                <w:sz w:val="22"/>
              </w:rPr>
              <w:t>0,2</w:t>
            </w:r>
          </w:p>
        </w:tc>
        <w:tc>
          <w:tcPr>
            <w:tcW w:w="965" w:type="dxa"/>
            <w:shd w:val="clear" w:color="auto" w:fill="auto"/>
            <w:vAlign w:val="center"/>
          </w:tcPr>
          <w:p w14:paraId="1E801580" w14:textId="1A7B83A2"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Pr>
                <w:noProof/>
                <w:sz w:val="22"/>
              </w:rPr>
              <w:t>0,1</w:t>
            </w:r>
          </w:p>
        </w:tc>
        <w:tc>
          <w:tcPr>
            <w:tcW w:w="965" w:type="dxa"/>
            <w:shd w:val="clear" w:color="auto" w:fill="auto"/>
            <w:vAlign w:val="center"/>
          </w:tcPr>
          <w:p w14:paraId="32C58AC5" w14:textId="77777777"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Pr>
                <w:noProof/>
                <w:sz w:val="22"/>
              </w:rPr>
              <w:t>0,1</w:t>
            </w:r>
          </w:p>
        </w:tc>
        <w:tc>
          <w:tcPr>
            <w:tcW w:w="964" w:type="dxa"/>
            <w:shd w:val="clear" w:color="auto" w:fill="auto"/>
            <w:vAlign w:val="center"/>
          </w:tcPr>
          <w:p w14:paraId="5F69750A" w14:textId="0F75AE07" w:rsidR="004B40E7" w:rsidRPr="00FA0773" w:rsidRDefault="003516CF"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Pr>
                <w:noProof/>
                <w:sz w:val="22"/>
              </w:rPr>
              <w:t>0,0</w:t>
            </w:r>
          </w:p>
        </w:tc>
        <w:tc>
          <w:tcPr>
            <w:tcW w:w="965" w:type="dxa"/>
            <w:vAlign w:val="center"/>
          </w:tcPr>
          <w:p w14:paraId="1C846857" w14:textId="77777777"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p>
        </w:tc>
        <w:tc>
          <w:tcPr>
            <w:tcW w:w="965" w:type="dxa"/>
            <w:shd w:val="clear" w:color="auto" w:fill="auto"/>
            <w:vAlign w:val="center"/>
          </w:tcPr>
          <w:p w14:paraId="6BBBF9CA" w14:textId="50E1BAD8" w:rsidR="004B40E7" w:rsidRPr="00FA0773" w:rsidRDefault="004B40E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color w:val="245F95" w:themeColor="text2"/>
                <w:sz w:val="22"/>
                <w:szCs w:val="18"/>
              </w:rPr>
            </w:pPr>
            <w:r>
              <w:rPr>
                <w:b/>
                <w:noProof/>
                <w:color w:val="245F95" w:themeColor="text2"/>
                <w:sz w:val="22"/>
              </w:rPr>
              <w:t>0,4</w:t>
            </w:r>
          </w:p>
        </w:tc>
      </w:tr>
      <w:tr w:rsidR="004B40E7" w:rsidRPr="00FA0773" w14:paraId="7CAD225E" w14:textId="77777777" w:rsidTr="00FA0773">
        <w:trPr>
          <w:trHeight w:val="300"/>
        </w:trPr>
        <w:tc>
          <w:tcPr>
            <w:cnfStyle w:val="001000000000" w:firstRow="0" w:lastRow="0" w:firstColumn="1" w:lastColumn="0" w:oddVBand="0" w:evenVBand="0" w:oddHBand="0" w:evenHBand="0" w:firstRowFirstColumn="0" w:firstRowLastColumn="0" w:lastRowFirstColumn="0" w:lastRowLastColumn="0"/>
            <w:tcW w:w="4032" w:type="dxa"/>
          </w:tcPr>
          <w:p w14:paraId="08DE512E" w14:textId="00500616" w:rsidR="004B40E7" w:rsidRPr="00FA0773" w:rsidRDefault="004B40E7">
            <w:pPr>
              <w:spacing w:after="120"/>
              <w:rPr>
                <w:rFonts w:eastAsia="Calibri"/>
                <w:bCs/>
                <w:noProof/>
                <w:color w:val="245F95" w:themeColor="text2"/>
                <w:sz w:val="22"/>
                <w:szCs w:val="18"/>
              </w:rPr>
            </w:pPr>
            <w:r>
              <w:rPr>
                <w:noProof/>
                <w:color w:val="245F95" w:themeColor="text2"/>
                <w:sz w:val="22"/>
              </w:rPr>
              <w:t>6 Sąsiedztwo</w:t>
            </w:r>
            <w:r w:rsidR="00C56AFD">
              <w:rPr>
                <w:noProof/>
                <w:color w:val="245F95" w:themeColor="text2"/>
                <w:sz w:val="22"/>
              </w:rPr>
              <w:t xml:space="preserve"> i</w:t>
            </w:r>
            <w:r w:rsidR="00C56AFD">
              <w:rPr>
                <w:rFonts w:ascii="Calibri" w:hAnsi="Calibri" w:cs="Calibri"/>
                <w:noProof/>
                <w:color w:val="245F95" w:themeColor="text2"/>
                <w:sz w:val="22"/>
              </w:rPr>
              <w:t> </w:t>
            </w:r>
            <w:r w:rsidR="00C56AFD">
              <w:rPr>
                <w:noProof/>
                <w:color w:val="245F95" w:themeColor="text2"/>
                <w:sz w:val="22"/>
              </w:rPr>
              <w:t>świ</w:t>
            </w:r>
            <w:r>
              <w:rPr>
                <w:noProof/>
                <w:color w:val="245F95" w:themeColor="text2"/>
                <w:sz w:val="22"/>
              </w:rPr>
              <w:t>at</w:t>
            </w:r>
          </w:p>
        </w:tc>
        <w:tc>
          <w:tcPr>
            <w:tcW w:w="964" w:type="dxa"/>
            <w:shd w:val="clear" w:color="auto" w:fill="auto"/>
            <w:vAlign w:val="center"/>
          </w:tcPr>
          <w:p w14:paraId="5FD802B9" w14:textId="7BA7D3C8" w:rsidR="004B40E7" w:rsidRPr="00FA0773" w:rsidRDefault="00EB356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Pr>
                <w:noProof/>
                <w:sz w:val="22"/>
              </w:rPr>
              <w:t>1,7</w:t>
            </w:r>
          </w:p>
        </w:tc>
        <w:tc>
          <w:tcPr>
            <w:tcW w:w="965" w:type="dxa"/>
            <w:shd w:val="clear" w:color="auto" w:fill="auto"/>
            <w:vAlign w:val="center"/>
          </w:tcPr>
          <w:p w14:paraId="7CED51EA" w14:textId="4AAB787D" w:rsidR="004B40E7" w:rsidRPr="00FA0773" w:rsidRDefault="00EB356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Pr>
                <w:noProof/>
                <w:sz w:val="22"/>
              </w:rPr>
              <w:t>2,1</w:t>
            </w:r>
          </w:p>
        </w:tc>
        <w:tc>
          <w:tcPr>
            <w:tcW w:w="965" w:type="dxa"/>
            <w:shd w:val="clear" w:color="auto" w:fill="auto"/>
            <w:vAlign w:val="center"/>
          </w:tcPr>
          <w:p w14:paraId="376C6EA0" w14:textId="6850C61D" w:rsidR="004B40E7" w:rsidRPr="00FA0773" w:rsidRDefault="00EB356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Pr>
                <w:noProof/>
                <w:sz w:val="22"/>
              </w:rPr>
              <w:t>2,0</w:t>
            </w:r>
          </w:p>
        </w:tc>
        <w:tc>
          <w:tcPr>
            <w:tcW w:w="964" w:type="dxa"/>
            <w:shd w:val="clear" w:color="auto" w:fill="auto"/>
            <w:vAlign w:val="center"/>
          </w:tcPr>
          <w:p w14:paraId="55DCCA43" w14:textId="7DCD429D" w:rsidR="004B40E7" w:rsidRPr="00FA0773" w:rsidRDefault="000E333B"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Pr>
                <w:noProof/>
                <w:sz w:val="22"/>
              </w:rPr>
              <w:t>0,6</w:t>
            </w:r>
          </w:p>
        </w:tc>
        <w:tc>
          <w:tcPr>
            <w:tcW w:w="965" w:type="dxa"/>
            <w:vAlign w:val="center"/>
          </w:tcPr>
          <w:p w14:paraId="596F23F5" w14:textId="17E36D5E" w:rsidR="004B40E7" w:rsidRPr="00FA0773" w:rsidRDefault="00E77270"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sz w:val="22"/>
                <w:szCs w:val="18"/>
              </w:rPr>
            </w:pPr>
            <w:r>
              <w:rPr>
                <w:noProof/>
                <w:sz w:val="22"/>
              </w:rPr>
              <w:t>0,1</w:t>
            </w:r>
          </w:p>
        </w:tc>
        <w:tc>
          <w:tcPr>
            <w:tcW w:w="965" w:type="dxa"/>
            <w:shd w:val="clear" w:color="auto" w:fill="auto"/>
            <w:vAlign w:val="center"/>
          </w:tcPr>
          <w:p w14:paraId="124859E3" w14:textId="701CE05B" w:rsidR="004B40E7" w:rsidRPr="00FA0773" w:rsidRDefault="00EB356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color w:val="245F95" w:themeColor="text2"/>
                <w:sz w:val="22"/>
                <w:szCs w:val="18"/>
              </w:rPr>
            </w:pPr>
            <w:r>
              <w:rPr>
                <w:b/>
                <w:noProof/>
                <w:color w:val="245F95" w:themeColor="text2"/>
                <w:sz w:val="22"/>
              </w:rPr>
              <w:t>6,5</w:t>
            </w:r>
          </w:p>
        </w:tc>
      </w:tr>
      <w:tr w:rsidR="00FA0773" w:rsidRPr="00FA0773" w14:paraId="405CFA2C" w14:textId="77777777" w:rsidTr="00FA0773">
        <w:trPr>
          <w:trHeight w:val="465"/>
        </w:trPr>
        <w:tc>
          <w:tcPr>
            <w:cnfStyle w:val="001000000000" w:firstRow="0" w:lastRow="0" w:firstColumn="1" w:lastColumn="0" w:oddVBand="0" w:evenVBand="0" w:oddHBand="0" w:evenHBand="0" w:firstRowFirstColumn="0" w:firstRowLastColumn="0" w:lastRowFirstColumn="0" w:lastRowLastColumn="0"/>
            <w:tcW w:w="4032" w:type="dxa"/>
            <w:shd w:val="clear" w:color="auto" w:fill="FCE1D9" w:themeFill="accent2" w:themeFillTint="33"/>
          </w:tcPr>
          <w:p w14:paraId="190C663D" w14:textId="77777777" w:rsidR="004B40E7" w:rsidRPr="00FA0773" w:rsidRDefault="004B40E7">
            <w:pPr>
              <w:spacing w:after="120"/>
              <w:rPr>
                <w:rFonts w:eastAsia="Calibri"/>
                <w:noProof/>
                <w:color w:val="245F95" w:themeColor="text2"/>
                <w:sz w:val="22"/>
                <w:szCs w:val="18"/>
              </w:rPr>
            </w:pPr>
            <w:r>
              <w:rPr>
                <w:noProof/>
                <w:color w:val="245F95" w:themeColor="text2"/>
                <w:sz w:val="22"/>
              </w:rPr>
              <w:t>Ogółem</w:t>
            </w:r>
          </w:p>
        </w:tc>
        <w:tc>
          <w:tcPr>
            <w:tcW w:w="964" w:type="dxa"/>
            <w:shd w:val="clear" w:color="auto" w:fill="FCE1D9" w:themeFill="accent2" w:themeFillTint="33"/>
            <w:vAlign w:val="center"/>
          </w:tcPr>
          <w:p w14:paraId="1D8F5E4D" w14:textId="1ED7EA03" w:rsidR="004B40E7" w:rsidRPr="00FA0773" w:rsidRDefault="006643AB"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color w:val="245F95" w:themeColor="text2"/>
                <w:sz w:val="22"/>
                <w:szCs w:val="18"/>
              </w:rPr>
            </w:pPr>
            <w:r>
              <w:rPr>
                <w:b/>
                <w:noProof/>
                <w:color w:val="245F95" w:themeColor="text2"/>
                <w:sz w:val="22"/>
              </w:rPr>
              <w:t>5,7</w:t>
            </w:r>
          </w:p>
        </w:tc>
        <w:tc>
          <w:tcPr>
            <w:tcW w:w="965" w:type="dxa"/>
            <w:shd w:val="clear" w:color="auto" w:fill="FCE1D9" w:themeFill="accent2" w:themeFillTint="33"/>
            <w:vAlign w:val="center"/>
          </w:tcPr>
          <w:p w14:paraId="202171FD" w14:textId="0C41E35C" w:rsidR="004B40E7" w:rsidRPr="00FA0773" w:rsidRDefault="00A34EA8"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color w:val="245F95" w:themeColor="text2"/>
                <w:sz w:val="22"/>
                <w:szCs w:val="18"/>
              </w:rPr>
            </w:pPr>
            <w:r>
              <w:rPr>
                <w:b/>
                <w:noProof/>
                <w:color w:val="245F95" w:themeColor="text2"/>
                <w:sz w:val="22"/>
              </w:rPr>
              <w:t>12,4</w:t>
            </w:r>
          </w:p>
        </w:tc>
        <w:tc>
          <w:tcPr>
            <w:tcW w:w="965" w:type="dxa"/>
            <w:shd w:val="clear" w:color="auto" w:fill="FCE1D9" w:themeFill="accent2" w:themeFillTint="33"/>
            <w:vAlign w:val="center"/>
          </w:tcPr>
          <w:p w14:paraId="3E1EAB5C" w14:textId="51DC5B8C" w:rsidR="004B40E7" w:rsidRPr="00FA0773" w:rsidRDefault="006643AB"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color w:val="245F95" w:themeColor="text2"/>
                <w:sz w:val="22"/>
                <w:szCs w:val="18"/>
              </w:rPr>
            </w:pPr>
            <w:r>
              <w:rPr>
                <w:b/>
                <w:noProof/>
                <w:color w:val="245F95" w:themeColor="text2"/>
                <w:sz w:val="22"/>
              </w:rPr>
              <w:t>4,4</w:t>
            </w:r>
          </w:p>
        </w:tc>
        <w:tc>
          <w:tcPr>
            <w:tcW w:w="964" w:type="dxa"/>
            <w:shd w:val="clear" w:color="auto" w:fill="FCE1D9" w:themeFill="accent2" w:themeFillTint="33"/>
            <w:vAlign w:val="center"/>
          </w:tcPr>
          <w:p w14:paraId="39A0C7F5" w14:textId="0DB0FC21" w:rsidR="004B40E7" w:rsidRPr="00FA0773" w:rsidRDefault="00E06B8A"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color w:val="245F95" w:themeColor="text2"/>
                <w:sz w:val="22"/>
                <w:szCs w:val="18"/>
              </w:rPr>
            </w:pPr>
            <w:r>
              <w:rPr>
                <w:b/>
                <w:noProof/>
                <w:color w:val="245F95" w:themeColor="text2"/>
                <w:sz w:val="22"/>
              </w:rPr>
              <w:t>1,3</w:t>
            </w:r>
          </w:p>
        </w:tc>
        <w:tc>
          <w:tcPr>
            <w:tcW w:w="965" w:type="dxa"/>
            <w:shd w:val="clear" w:color="auto" w:fill="FCE1D9" w:themeFill="accent2" w:themeFillTint="33"/>
            <w:vAlign w:val="center"/>
          </w:tcPr>
          <w:p w14:paraId="3083A14A" w14:textId="01E21C50" w:rsidR="004B40E7" w:rsidRPr="00FA0773" w:rsidRDefault="00E06B8A"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noProof/>
                <w:color w:val="245F95" w:themeColor="text2"/>
                <w:sz w:val="22"/>
                <w:szCs w:val="18"/>
              </w:rPr>
            </w:pPr>
            <w:r>
              <w:rPr>
                <w:b/>
                <w:noProof/>
                <w:color w:val="245F95" w:themeColor="text2"/>
                <w:sz w:val="22"/>
              </w:rPr>
              <w:t>0,4</w:t>
            </w:r>
          </w:p>
        </w:tc>
        <w:tc>
          <w:tcPr>
            <w:tcW w:w="965" w:type="dxa"/>
            <w:shd w:val="clear" w:color="auto" w:fill="FCE1D9" w:themeFill="accent2" w:themeFillTint="33"/>
            <w:vAlign w:val="center"/>
          </w:tcPr>
          <w:p w14:paraId="6823CC2E" w14:textId="59C5318A" w:rsidR="004B40E7" w:rsidRPr="00FA0773" w:rsidRDefault="00D64337" w:rsidP="00AF5D2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color w:val="245F95" w:themeColor="text2"/>
                <w:sz w:val="22"/>
                <w:szCs w:val="18"/>
              </w:rPr>
            </w:pPr>
            <w:r>
              <w:rPr>
                <w:b/>
                <w:noProof/>
                <w:color w:val="245F95" w:themeColor="text2"/>
                <w:sz w:val="22"/>
              </w:rPr>
              <w:t>24,3</w:t>
            </w:r>
          </w:p>
        </w:tc>
      </w:tr>
    </w:tbl>
    <w:p w14:paraId="50BEDDEC" w14:textId="77777777" w:rsidR="00861C1C" w:rsidRPr="00682537" w:rsidRDefault="003B6DC2" w:rsidP="00682537">
      <w:pPr>
        <w:rPr>
          <w:noProof/>
        </w:rPr>
      </w:pPr>
      <w:r>
        <w:rPr>
          <w:noProof/>
        </w:rPr>
        <w:br w:type="page"/>
      </w:r>
    </w:p>
    <w:p w14:paraId="45547C87" w14:textId="3B31D5C5" w:rsidR="00861C1C" w:rsidRPr="00390EB1" w:rsidRDefault="2A67BF04" w:rsidP="009C6708">
      <w:pPr>
        <w:pStyle w:val="Heading2"/>
        <w:rPr>
          <w:noProof/>
        </w:rPr>
      </w:pPr>
      <w:bookmarkStart w:id="80" w:name="_Toc170319529"/>
      <w:r>
        <w:rPr>
          <w:noProof/>
        </w:rPr>
        <w:t>Tabela 2 – Prognozowane umorzenia</w:t>
      </w:r>
      <w:r w:rsidR="00C56AFD">
        <w:rPr>
          <w:noProof/>
        </w:rPr>
        <w:t xml:space="preserve"> w</w:t>
      </w:r>
      <w:r w:rsidR="00C56AFD">
        <w:rPr>
          <w:rFonts w:ascii="Calibri" w:hAnsi="Calibri" w:cs="Calibri"/>
          <w:noProof/>
        </w:rPr>
        <w:t> </w:t>
      </w:r>
      <w:r w:rsidR="00C56AFD">
        <w:rPr>
          <w:noProof/>
        </w:rPr>
        <w:t>lat</w:t>
      </w:r>
      <w:r>
        <w:rPr>
          <w:noProof/>
        </w:rPr>
        <w:t>ach 2025–2027</w:t>
      </w:r>
      <w:bookmarkEnd w:id="80"/>
    </w:p>
    <w:tbl>
      <w:tblPr>
        <w:tblStyle w:val="AMPR2021"/>
        <w:tblW w:w="0" w:type="auto"/>
        <w:tblBorders>
          <w:top w:val="none" w:sz="0" w:space="0" w:color="auto"/>
          <w:insideH w:val="single" w:sz="6" w:space="0" w:color="BFBFBF" w:themeColor="background1" w:themeShade="BF"/>
          <w:insideV w:val="single" w:sz="6" w:space="0" w:color="BFBFBF" w:themeColor="background1" w:themeShade="BF"/>
        </w:tblBorders>
        <w:tblLayout w:type="fixed"/>
        <w:tblLook w:val="06A0" w:firstRow="1" w:lastRow="0" w:firstColumn="1" w:lastColumn="0" w:noHBand="1" w:noVBand="1"/>
      </w:tblPr>
      <w:tblGrid>
        <w:gridCol w:w="5102"/>
        <w:gridCol w:w="1529"/>
        <w:gridCol w:w="1559"/>
        <w:gridCol w:w="1559"/>
      </w:tblGrid>
      <w:tr w:rsidR="00861C1C" w:rsidRPr="007130AF" w14:paraId="0C5AD426" w14:textId="77777777" w:rsidTr="00CD66D5">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102" w:type="dxa"/>
          </w:tcPr>
          <w:p w14:paraId="553A200F" w14:textId="77777777" w:rsidR="00861C1C" w:rsidRPr="007130AF" w:rsidRDefault="003B6DC2">
            <w:pPr>
              <w:rPr>
                <w:rFonts w:eastAsia="Calibri"/>
                <w:b w:val="0"/>
                <w:bCs/>
                <w:noProof/>
                <w:sz w:val="22"/>
                <w:szCs w:val="22"/>
              </w:rPr>
            </w:pPr>
            <w:r>
              <w:rPr>
                <w:noProof/>
                <w:sz w:val="22"/>
              </w:rPr>
              <w:t>Dział WRF</w:t>
            </w:r>
          </w:p>
        </w:tc>
        <w:tc>
          <w:tcPr>
            <w:tcW w:w="1529" w:type="dxa"/>
          </w:tcPr>
          <w:p w14:paraId="31ECB132" w14:textId="77777777" w:rsidR="00861C1C" w:rsidRPr="007130AF" w:rsidRDefault="003B6DC2">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22"/>
              </w:rPr>
            </w:pPr>
            <w:r>
              <w:rPr>
                <w:noProof/>
                <w:sz w:val="22"/>
              </w:rPr>
              <w:t>Zakończenie</w:t>
            </w:r>
          </w:p>
        </w:tc>
        <w:tc>
          <w:tcPr>
            <w:tcW w:w="1559" w:type="dxa"/>
          </w:tcPr>
          <w:p w14:paraId="6056AB85" w14:textId="77777777" w:rsidR="00861C1C" w:rsidRPr="007130AF" w:rsidRDefault="003B6DC2">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22"/>
              </w:rPr>
            </w:pPr>
            <w:r>
              <w:rPr>
                <w:noProof/>
                <w:sz w:val="22"/>
              </w:rPr>
              <w:t>WRF</w:t>
            </w:r>
          </w:p>
        </w:tc>
        <w:tc>
          <w:tcPr>
            <w:tcW w:w="1559" w:type="dxa"/>
          </w:tcPr>
          <w:p w14:paraId="77FEFDC8" w14:textId="77777777" w:rsidR="00861C1C" w:rsidRPr="007130AF" w:rsidRDefault="003B6DC2">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22"/>
              </w:rPr>
            </w:pPr>
            <w:r>
              <w:rPr>
                <w:noProof/>
                <w:sz w:val="22"/>
              </w:rPr>
              <w:t>Ogółem</w:t>
            </w:r>
          </w:p>
        </w:tc>
      </w:tr>
      <w:tr w:rsidR="00CD66D5" w:rsidRPr="007130AF" w14:paraId="29CAC9CD" w14:textId="77777777" w:rsidTr="00CD66D5">
        <w:trPr>
          <w:trHeight w:val="300"/>
        </w:trPr>
        <w:tc>
          <w:tcPr>
            <w:cnfStyle w:val="001000000000" w:firstRow="0" w:lastRow="0" w:firstColumn="1" w:lastColumn="0" w:oddVBand="0" w:evenVBand="0" w:oddHBand="0" w:evenHBand="0" w:firstRowFirstColumn="0" w:firstRowLastColumn="0" w:lastRowFirstColumn="0" w:lastRowLastColumn="0"/>
            <w:tcW w:w="5102" w:type="dxa"/>
          </w:tcPr>
          <w:p w14:paraId="13897E43" w14:textId="179F1F60" w:rsidR="00861C1C" w:rsidRPr="007130AF" w:rsidRDefault="003B6DC2">
            <w:pPr>
              <w:spacing w:after="120"/>
              <w:rPr>
                <w:rFonts w:eastAsia="Calibri"/>
                <w:b w:val="0"/>
                <w:bCs/>
                <w:noProof/>
                <w:color w:val="245F95" w:themeColor="text2"/>
                <w:sz w:val="22"/>
                <w:szCs w:val="22"/>
              </w:rPr>
            </w:pPr>
            <w:r>
              <w:rPr>
                <w:noProof/>
                <w:color w:val="245F95" w:themeColor="text2"/>
                <w:sz w:val="22"/>
              </w:rPr>
              <w:t>1 Jednolity rynek, innowacje</w:t>
            </w:r>
            <w:r w:rsidR="00C56AFD">
              <w:rPr>
                <w:noProof/>
                <w:color w:val="245F95" w:themeColor="text2"/>
                <w:sz w:val="22"/>
              </w:rPr>
              <w:t xml:space="preserve"> i</w:t>
            </w:r>
            <w:r w:rsidR="00C56AFD">
              <w:rPr>
                <w:rFonts w:ascii="Calibri" w:hAnsi="Calibri" w:cs="Calibri"/>
                <w:noProof/>
                <w:color w:val="245F95" w:themeColor="text2"/>
                <w:sz w:val="22"/>
              </w:rPr>
              <w:t> </w:t>
            </w:r>
            <w:r w:rsidR="00C56AFD">
              <w:rPr>
                <w:noProof/>
                <w:color w:val="245F95" w:themeColor="text2"/>
                <w:sz w:val="22"/>
              </w:rPr>
              <w:t>gos</w:t>
            </w:r>
            <w:r>
              <w:rPr>
                <w:noProof/>
                <w:color w:val="245F95" w:themeColor="text2"/>
                <w:sz w:val="22"/>
              </w:rPr>
              <w:t>podarka cyfrowa</w:t>
            </w:r>
          </w:p>
        </w:tc>
        <w:tc>
          <w:tcPr>
            <w:tcW w:w="1529" w:type="dxa"/>
            <w:vAlign w:val="center"/>
          </w:tcPr>
          <w:p w14:paraId="1CBD9C9F" w14:textId="7D0A53C5" w:rsidR="00861C1C" w:rsidRPr="007130AF" w:rsidRDefault="489EC7FC"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0,5</w:t>
            </w:r>
          </w:p>
        </w:tc>
        <w:tc>
          <w:tcPr>
            <w:tcW w:w="1559" w:type="dxa"/>
            <w:vAlign w:val="center"/>
          </w:tcPr>
          <w:p w14:paraId="312E2FCB" w14:textId="3142F02D" w:rsidR="00861C1C" w:rsidRPr="007130AF" w:rsidRDefault="00FD70A5"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0,7</w:t>
            </w:r>
          </w:p>
        </w:tc>
        <w:tc>
          <w:tcPr>
            <w:tcW w:w="1559" w:type="dxa"/>
            <w:vAlign w:val="center"/>
          </w:tcPr>
          <w:p w14:paraId="53EC42C8" w14:textId="00D73E41" w:rsidR="00861C1C" w:rsidRPr="007130AF" w:rsidRDefault="00FD70A5"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noProof/>
                <w:color w:val="245F95" w:themeColor="text2"/>
                <w:sz w:val="22"/>
                <w:szCs w:val="22"/>
              </w:rPr>
            </w:pPr>
            <w:r>
              <w:rPr>
                <w:b/>
                <w:noProof/>
                <w:color w:val="245F95" w:themeColor="text2"/>
                <w:sz w:val="22"/>
              </w:rPr>
              <w:t>1,1</w:t>
            </w:r>
          </w:p>
        </w:tc>
      </w:tr>
      <w:tr w:rsidR="00CD66D5" w:rsidRPr="007130AF" w14:paraId="0B3921F3" w14:textId="77777777" w:rsidTr="00CD66D5">
        <w:trPr>
          <w:trHeight w:val="300"/>
        </w:trPr>
        <w:tc>
          <w:tcPr>
            <w:cnfStyle w:val="001000000000" w:firstRow="0" w:lastRow="0" w:firstColumn="1" w:lastColumn="0" w:oddVBand="0" w:evenVBand="0" w:oddHBand="0" w:evenHBand="0" w:firstRowFirstColumn="0" w:firstRowLastColumn="0" w:lastRowFirstColumn="0" w:lastRowLastColumn="0"/>
            <w:tcW w:w="5102" w:type="dxa"/>
          </w:tcPr>
          <w:p w14:paraId="63AC7A76" w14:textId="07675FC7" w:rsidR="00861C1C" w:rsidRPr="007130AF" w:rsidRDefault="003B6DC2">
            <w:pPr>
              <w:spacing w:after="120"/>
              <w:rPr>
                <w:rFonts w:eastAsia="Calibri"/>
                <w:b w:val="0"/>
                <w:bCs/>
                <w:noProof/>
                <w:color w:val="245F95" w:themeColor="text2"/>
                <w:sz w:val="22"/>
                <w:szCs w:val="22"/>
              </w:rPr>
            </w:pPr>
            <w:r>
              <w:rPr>
                <w:noProof/>
                <w:color w:val="245F95" w:themeColor="text2"/>
                <w:sz w:val="22"/>
              </w:rPr>
              <w:t>2 Spójność, odporność</w:t>
            </w:r>
            <w:r w:rsidR="00C56AFD">
              <w:rPr>
                <w:noProof/>
                <w:color w:val="245F95" w:themeColor="text2"/>
                <w:sz w:val="22"/>
              </w:rPr>
              <w:t xml:space="preserve"> i</w:t>
            </w:r>
            <w:r w:rsidR="00C56AFD">
              <w:rPr>
                <w:rFonts w:ascii="Calibri" w:hAnsi="Calibri" w:cs="Calibri"/>
                <w:noProof/>
                <w:color w:val="245F95" w:themeColor="text2"/>
                <w:sz w:val="22"/>
              </w:rPr>
              <w:t> </w:t>
            </w:r>
            <w:r w:rsidR="00C56AFD">
              <w:rPr>
                <w:noProof/>
                <w:color w:val="245F95" w:themeColor="text2"/>
                <w:sz w:val="22"/>
              </w:rPr>
              <w:t>war</w:t>
            </w:r>
            <w:r>
              <w:rPr>
                <w:noProof/>
                <w:color w:val="245F95" w:themeColor="text2"/>
                <w:sz w:val="22"/>
              </w:rPr>
              <w:t>tości</w:t>
            </w:r>
          </w:p>
        </w:tc>
        <w:tc>
          <w:tcPr>
            <w:tcW w:w="1529" w:type="dxa"/>
            <w:vAlign w:val="center"/>
          </w:tcPr>
          <w:p w14:paraId="6AE2FB86" w14:textId="51F56249" w:rsidR="00861C1C" w:rsidRPr="007130AF" w:rsidRDefault="00C60750"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1,2</w:t>
            </w:r>
          </w:p>
        </w:tc>
        <w:tc>
          <w:tcPr>
            <w:tcW w:w="1559" w:type="dxa"/>
            <w:vAlign w:val="center"/>
          </w:tcPr>
          <w:p w14:paraId="20D82AC9" w14:textId="5B75A5B1" w:rsidR="00861C1C" w:rsidRPr="007130AF" w:rsidRDefault="003F5E38"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3,1</w:t>
            </w:r>
          </w:p>
        </w:tc>
        <w:tc>
          <w:tcPr>
            <w:tcW w:w="1559" w:type="dxa"/>
            <w:vAlign w:val="center"/>
          </w:tcPr>
          <w:p w14:paraId="1FEE121A" w14:textId="4DC85F43" w:rsidR="00861C1C" w:rsidRPr="007130AF" w:rsidRDefault="003F5E38"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noProof/>
                <w:color w:val="245F95" w:themeColor="text2"/>
                <w:sz w:val="22"/>
                <w:szCs w:val="22"/>
              </w:rPr>
            </w:pPr>
            <w:r>
              <w:rPr>
                <w:b/>
                <w:noProof/>
                <w:color w:val="245F95" w:themeColor="text2"/>
                <w:sz w:val="22"/>
              </w:rPr>
              <w:t>4,3</w:t>
            </w:r>
          </w:p>
        </w:tc>
      </w:tr>
      <w:tr w:rsidR="00CD66D5" w:rsidRPr="007130AF" w14:paraId="321D33B5" w14:textId="77777777" w:rsidTr="00CD66D5">
        <w:trPr>
          <w:trHeight w:val="300"/>
        </w:trPr>
        <w:tc>
          <w:tcPr>
            <w:cnfStyle w:val="001000000000" w:firstRow="0" w:lastRow="0" w:firstColumn="1" w:lastColumn="0" w:oddVBand="0" w:evenVBand="0" w:oddHBand="0" w:evenHBand="0" w:firstRowFirstColumn="0" w:firstRowLastColumn="0" w:lastRowFirstColumn="0" w:lastRowLastColumn="0"/>
            <w:tcW w:w="5102" w:type="dxa"/>
          </w:tcPr>
          <w:p w14:paraId="29D82B17" w14:textId="3BAF5630" w:rsidR="00861C1C" w:rsidRPr="007130AF" w:rsidRDefault="2A67BF04" w:rsidP="00CD66D5">
            <w:pPr>
              <w:spacing w:after="120"/>
              <w:ind w:left="170"/>
              <w:rPr>
                <w:rFonts w:eastAsia="Calibri"/>
                <w:b w:val="0"/>
                <w:bCs/>
                <w:noProof/>
                <w:color w:val="245F95" w:themeColor="text2"/>
                <w:sz w:val="22"/>
                <w:szCs w:val="22"/>
              </w:rPr>
            </w:pPr>
            <w:r>
              <w:rPr>
                <w:b w:val="0"/>
                <w:noProof/>
                <w:color w:val="245F95" w:themeColor="text2"/>
                <w:sz w:val="22"/>
              </w:rPr>
              <w:t>2.1 Spójność gospodarcza, społeczna</w:t>
            </w:r>
            <w:r w:rsidR="00C56AFD">
              <w:rPr>
                <w:b w:val="0"/>
                <w:noProof/>
                <w:color w:val="245F95" w:themeColor="text2"/>
                <w:sz w:val="22"/>
              </w:rPr>
              <w:t xml:space="preserve"> i</w:t>
            </w:r>
            <w:r w:rsidR="00C56AFD">
              <w:rPr>
                <w:rFonts w:ascii="Calibri" w:hAnsi="Calibri" w:cs="Calibri"/>
                <w:b w:val="0"/>
                <w:noProof/>
                <w:color w:val="245F95" w:themeColor="text2"/>
                <w:sz w:val="22"/>
              </w:rPr>
              <w:t> </w:t>
            </w:r>
            <w:r w:rsidR="00C56AFD">
              <w:rPr>
                <w:b w:val="0"/>
                <w:noProof/>
                <w:color w:val="245F95" w:themeColor="text2"/>
                <w:sz w:val="22"/>
              </w:rPr>
              <w:t>ter</w:t>
            </w:r>
            <w:r>
              <w:rPr>
                <w:b w:val="0"/>
                <w:noProof/>
                <w:color w:val="245F95" w:themeColor="text2"/>
                <w:sz w:val="22"/>
              </w:rPr>
              <w:t>ytorialna</w:t>
            </w:r>
          </w:p>
        </w:tc>
        <w:tc>
          <w:tcPr>
            <w:tcW w:w="1529" w:type="dxa"/>
            <w:vAlign w:val="center"/>
          </w:tcPr>
          <w:p w14:paraId="64F9D397" w14:textId="44133ADD" w:rsidR="00861C1C" w:rsidRPr="007130AF" w:rsidRDefault="00147D5C" w:rsidP="2EBD8856">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color w:val="000000" w:themeColor="text1"/>
                <w:sz w:val="22"/>
                <w:szCs w:val="22"/>
              </w:rPr>
            </w:pPr>
            <w:r>
              <w:rPr>
                <w:noProof/>
                <w:color w:val="000000" w:themeColor="text1"/>
                <w:sz w:val="22"/>
              </w:rPr>
              <w:t>1,0</w:t>
            </w:r>
          </w:p>
        </w:tc>
        <w:tc>
          <w:tcPr>
            <w:tcW w:w="1559" w:type="dxa"/>
            <w:vAlign w:val="center"/>
          </w:tcPr>
          <w:p w14:paraId="5F373792" w14:textId="07CB1350" w:rsidR="00861C1C" w:rsidRPr="007130AF" w:rsidRDefault="2F82D95D"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color w:val="000000" w:themeColor="text1"/>
                <w:sz w:val="22"/>
                <w:szCs w:val="22"/>
              </w:rPr>
            </w:pPr>
            <w:r>
              <w:rPr>
                <w:noProof/>
                <w:color w:val="000000" w:themeColor="text1"/>
                <w:sz w:val="22"/>
              </w:rPr>
              <w:t>2,7</w:t>
            </w:r>
          </w:p>
        </w:tc>
        <w:tc>
          <w:tcPr>
            <w:tcW w:w="1559" w:type="dxa"/>
            <w:vAlign w:val="center"/>
          </w:tcPr>
          <w:p w14:paraId="645BD592" w14:textId="30C6046E" w:rsidR="00861C1C" w:rsidRPr="007130AF" w:rsidRDefault="00C60750"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color w:val="245F95" w:themeColor="text2"/>
                <w:sz w:val="22"/>
                <w:szCs w:val="22"/>
              </w:rPr>
            </w:pPr>
            <w:r>
              <w:rPr>
                <w:noProof/>
                <w:color w:val="245F95" w:themeColor="text2"/>
                <w:sz w:val="22"/>
              </w:rPr>
              <w:t>3,7</w:t>
            </w:r>
          </w:p>
        </w:tc>
      </w:tr>
      <w:tr w:rsidR="00CD66D5" w:rsidRPr="007130AF" w14:paraId="25BD1C8E" w14:textId="77777777" w:rsidTr="00CD66D5">
        <w:trPr>
          <w:trHeight w:val="300"/>
        </w:trPr>
        <w:tc>
          <w:tcPr>
            <w:cnfStyle w:val="001000000000" w:firstRow="0" w:lastRow="0" w:firstColumn="1" w:lastColumn="0" w:oddVBand="0" w:evenVBand="0" w:oddHBand="0" w:evenHBand="0" w:firstRowFirstColumn="0" w:firstRowLastColumn="0" w:lastRowFirstColumn="0" w:lastRowLastColumn="0"/>
            <w:tcW w:w="5102" w:type="dxa"/>
          </w:tcPr>
          <w:p w14:paraId="25556F49" w14:textId="50A04DAC" w:rsidR="00861C1C" w:rsidRPr="007130AF" w:rsidRDefault="003B6DC2" w:rsidP="00CD66D5">
            <w:pPr>
              <w:spacing w:after="120"/>
              <w:ind w:left="170"/>
              <w:rPr>
                <w:rFonts w:eastAsia="Calibri"/>
                <w:b w:val="0"/>
                <w:bCs/>
                <w:noProof/>
                <w:color w:val="245F95" w:themeColor="text2"/>
                <w:sz w:val="22"/>
                <w:szCs w:val="22"/>
              </w:rPr>
            </w:pPr>
            <w:r>
              <w:rPr>
                <w:b w:val="0"/>
                <w:noProof/>
                <w:color w:val="245F95" w:themeColor="text2"/>
                <w:sz w:val="22"/>
              </w:rPr>
              <w:t>2.2 Odporność</w:t>
            </w:r>
            <w:r w:rsidR="00C56AFD">
              <w:rPr>
                <w:b w:val="0"/>
                <w:noProof/>
                <w:color w:val="245F95" w:themeColor="text2"/>
                <w:sz w:val="22"/>
              </w:rPr>
              <w:t xml:space="preserve"> i</w:t>
            </w:r>
            <w:r w:rsidR="00C56AFD">
              <w:rPr>
                <w:rFonts w:ascii="Calibri" w:hAnsi="Calibri" w:cs="Calibri"/>
                <w:b w:val="0"/>
                <w:noProof/>
                <w:color w:val="245F95" w:themeColor="text2"/>
                <w:sz w:val="22"/>
              </w:rPr>
              <w:t> </w:t>
            </w:r>
            <w:r w:rsidR="00C56AFD">
              <w:rPr>
                <w:b w:val="0"/>
                <w:noProof/>
                <w:color w:val="245F95" w:themeColor="text2"/>
                <w:sz w:val="22"/>
              </w:rPr>
              <w:t>war</w:t>
            </w:r>
            <w:r>
              <w:rPr>
                <w:b w:val="0"/>
                <w:noProof/>
                <w:color w:val="245F95" w:themeColor="text2"/>
                <w:sz w:val="22"/>
              </w:rPr>
              <w:t>tości</w:t>
            </w:r>
          </w:p>
        </w:tc>
        <w:tc>
          <w:tcPr>
            <w:tcW w:w="1529" w:type="dxa"/>
            <w:vAlign w:val="center"/>
          </w:tcPr>
          <w:p w14:paraId="599B16C3" w14:textId="71AE00C4" w:rsidR="00861C1C" w:rsidRPr="007130AF" w:rsidRDefault="66545B3C"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color w:val="000000" w:themeColor="text1"/>
                <w:sz w:val="22"/>
                <w:szCs w:val="22"/>
              </w:rPr>
            </w:pPr>
            <w:r>
              <w:rPr>
                <w:noProof/>
                <w:color w:val="000000" w:themeColor="text1"/>
                <w:sz w:val="22"/>
              </w:rPr>
              <w:t>0,2</w:t>
            </w:r>
          </w:p>
        </w:tc>
        <w:tc>
          <w:tcPr>
            <w:tcW w:w="1559" w:type="dxa"/>
            <w:vAlign w:val="center"/>
          </w:tcPr>
          <w:p w14:paraId="2DC52F7A" w14:textId="37A4C920" w:rsidR="00861C1C" w:rsidRPr="007130AF" w:rsidRDefault="6375D7F3"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color w:val="000000" w:themeColor="text1"/>
                <w:sz w:val="22"/>
                <w:szCs w:val="22"/>
              </w:rPr>
            </w:pPr>
            <w:r>
              <w:rPr>
                <w:noProof/>
                <w:color w:val="000000" w:themeColor="text1"/>
                <w:sz w:val="22"/>
              </w:rPr>
              <w:t>0,4</w:t>
            </w:r>
          </w:p>
        </w:tc>
        <w:tc>
          <w:tcPr>
            <w:tcW w:w="1559" w:type="dxa"/>
            <w:vAlign w:val="center"/>
          </w:tcPr>
          <w:p w14:paraId="00BB1FBC" w14:textId="157560C0" w:rsidR="00861C1C" w:rsidRPr="007130AF" w:rsidRDefault="6375D7F3"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color w:val="245F95" w:themeColor="text2"/>
                <w:sz w:val="22"/>
                <w:szCs w:val="22"/>
              </w:rPr>
            </w:pPr>
            <w:r>
              <w:rPr>
                <w:noProof/>
                <w:color w:val="245F95" w:themeColor="text2"/>
                <w:sz w:val="22"/>
              </w:rPr>
              <w:t>0,5</w:t>
            </w:r>
          </w:p>
        </w:tc>
      </w:tr>
      <w:tr w:rsidR="00CD66D5" w:rsidRPr="007130AF" w14:paraId="2589BF42" w14:textId="77777777" w:rsidTr="00CD66D5">
        <w:trPr>
          <w:trHeight w:val="300"/>
        </w:trPr>
        <w:tc>
          <w:tcPr>
            <w:cnfStyle w:val="001000000000" w:firstRow="0" w:lastRow="0" w:firstColumn="1" w:lastColumn="0" w:oddVBand="0" w:evenVBand="0" w:oddHBand="0" w:evenHBand="0" w:firstRowFirstColumn="0" w:firstRowLastColumn="0" w:lastRowFirstColumn="0" w:lastRowLastColumn="0"/>
            <w:tcW w:w="5102" w:type="dxa"/>
          </w:tcPr>
          <w:p w14:paraId="62FD4256" w14:textId="6ABB9A16" w:rsidR="00861C1C" w:rsidRPr="007130AF" w:rsidRDefault="003B6DC2">
            <w:pPr>
              <w:spacing w:after="120"/>
              <w:rPr>
                <w:rFonts w:eastAsia="Calibri"/>
                <w:b w:val="0"/>
                <w:bCs/>
                <w:noProof/>
                <w:color w:val="245F95" w:themeColor="text2"/>
                <w:sz w:val="22"/>
                <w:szCs w:val="22"/>
              </w:rPr>
            </w:pPr>
            <w:r>
              <w:rPr>
                <w:noProof/>
                <w:color w:val="245F95" w:themeColor="text2"/>
                <w:sz w:val="22"/>
              </w:rPr>
              <w:t>3 Zasoby naturalne</w:t>
            </w:r>
            <w:r w:rsidR="00C56AFD">
              <w:rPr>
                <w:noProof/>
                <w:color w:val="245F95" w:themeColor="text2"/>
                <w:sz w:val="22"/>
              </w:rPr>
              <w:t xml:space="preserve"> i</w:t>
            </w:r>
            <w:r w:rsidR="00C56AFD">
              <w:rPr>
                <w:rFonts w:ascii="Calibri" w:hAnsi="Calibri" w:cs="Calibri"/>
                <w:noProof/>
                <w:color w:val="245F95" w:themeColor="text2"/>
                <w:sz w:val="22"/>
              </w:rPr>
              <w:t> </w:t>
            </w:r>
            <w:r w:rsidR="00C56AFD">
              <w:rPr>
                <w:noProof/>
                <w:color w:val="245F95" w:themeColor="text2"/>
                <w:sz w:val="22"/>
              </w:rPr>
              <w:t>śro</w:t>
            </w:r>
            <w:r>
              <w:rPr>
                <w:noProof/>
                <w:color w:val="245F95" w:themeColor="text2"/>
                <w:sz w:val="22"/>
              </w:rPr>
              <w:t>dowisko</w:t>
            </w:r>
          </w:p>
        </w:tc>
        <w:tc>
          <w:tcPr>
            <w:tcW w:w="1529" w:type="dxa"/>
            <w:vAlign w:val="center"/>
          </w:tcPr>
          <w:p w14:paraId="28E6BEEA" w14:textId="451E80EE" w:rsidR="00861C1C" w:rsidRPr="007130AF" w:rsidRDefault="007C197E"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2,7</w:t>
            </w:r>
          </w:p>
        </w:tc>
        <w:tc>
          <w:tcPr>
            <w:tcW w:w="1559" w:type="dxa"/>
            <w:vAlign w:val="center"/>
          </w:tcPr>
          <w:p w14:paraId="3736D4C0" w14:textId="3E44FB29" w:rsidR="00861C1C" w:rsidRPr="007130AF" w:rsidRDefault="55E43B5C" w:rsidP="7A10ECDB">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0,1</w:t>
            </w:r>
          </w:p>
        </w:tc>
        <w:tc>
          <w:tcPr>
            <w:tcW w:w="1559" w:type="dxa"/>
            <w:vAlign w:val="center"/>
          </w:tcPr>
          <w:p w14:paraId="4D8C9700" w14:textId="194A0399" w:rsidR="00861C1C" w:rsidRPr="007130AF" w:rsidRDefault="00901AD8"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noProof/>
                <w:color w:val="245F95" w:themeColor="text2"/>
                <w:sz w:val="22"/>
                <w:szCs w:val="22"/>
              </w:rPr>
            </w:pPr>
            <w:r>
              <w:rPr>
                <w:b/>
                <w:noProof/>
                <w:color w:val="245F95" w:themeColor="text2"/>
                <w:sz w:val="22"/>
              </w:rPr>
              <w:t>2,7</w:t>
            </w:r>
          </w:p>
        </w:tc>
      </w:tr>
      <w:tr w:rsidR="00CD66D5" w:rsidRPr="007130AF" w14:paraId="0F5177EB" w14:textId="77777777" w:rsidTr="00CD66D5">
        <w:trPr>
          <w:trHeight w:val="300"/>
        </w:trPr>
        <w:tc>
          <w:tcPr>
            <w:cnfStyle w:val="001000000000" w:firstRow="0" w:lastRow="0" w:firstColumn="1" w:lastColumn="0" w:oddVBand="0" w:evenVBand="0" w:oddHBand="0" w:evenHBand="0" w:firstRowFirstColumn="0" w:firstRowLastColumn="0" w:lastRowFirstColumn="0" w:lastRowLastColumn="0"/>
            <w:tcW w:w="5102" w:type="dxa"/>
          </w:tcPr>
          <w:p w14:paraId="307AFBCD" w14:textId="662D5393" w:rsidR="00861C1C" w:rsidRPr="007130AF" w:rsidRDefault="003B6DC2" w:rsidP="00CD66D5">
            <w:pPr>
              <w:spacing w:after="120"/>
              <w:ind w:left="170"/>
              <w:rPr>
                <w:rFonts w:eastAsia="Calibri"/>
                <w:b w:val="0"/>
                <w:bCs/>
                <w:noProof/>
                <w:color w:val="245F95" w:themeColor="text2"/>
                <w:sz w:val="22"/>
                <w:szCs w:val="22"/>
              </w:rPr>
            </w:pPr>
            <w:r>
              <w:rPr>
                <w:b w:val="0"/>
                <w:noProof/>
                <w:color w:val="245F95" w:themeColor="text2"/>
                <w:sz w:val="22"/>
              </w:rPr>
              <w:t>3.2 Inne programy</w:t>
            </w:r>
            <w:r w:rsidR="00C56AFD">
              <w:rPr>
                <w:b w:val="0"/>
                <w:noProof/>
                <w:color w:val="245F95" w:themeColor="text2"/>
                <w:sz w:val="22"/>
              </w:rPr>
              <w:t xml:space="preserve"> w</w:t>
            </w:r>
            <w:r w:rsidR="00C56AFD">
              <w:rPr>
                <w:rFonts w:ascii="Calibri" w:hAnsi="Calibri" w:cs="Calibri"/>
                <w:b w:val="0"/>
                <w:noProof/>
                <w:color w:val="245F95" w:themeColor="text2"/>
                <w:sz w:val="22"/>
              </w:rPr>
              <w:t> </w:t>
            </w:r>
            <w:r w:rsidR="00C56AFD">
              <w:rPr>
                <w:b w:val="0"/>
                <w:noProof/>
                <w:color w:val="245F95" w:themeColor="text2"/>
                <w:sz w:val="22"/>
              </w:rPr>
              <w:t>odn</w:t>
            </w:r>
            <w:r>
              <w:rPr>
                <w:b w:val="0"/>
                <w:noProof/>
                <w:color w:val="245F95" w:themeColor="text2"/>
                <w:sz w:val="22"/>
              </w:rPr>
              <w:t>iesieniu do zasobów naturalnych</w:t>
            </w:r>
            <w:r w:rsidR="00C56AFD">
              <w:rPr>
                <w:b w:val="0"/>
                <w:noProof/>
                <w:color w:val="245F95" w:themeColor="text2"/>
                <w:sz w:val="22"/>
              </w:rPr>
              <w:t xml:space="preserve"> i</w:t>
            </w:r>
            <w:r w:rsidR="00C56AFD">
              <w:rPr>
                <w:rFonts w:ascii="Calibri" w:hAnsi="Calibri" w:cs="Calibri"/>
                <w:b w:val="0"/>
                <w:noProof/>
                <w:color w:val="245F95" w:themeColor="text2"/>
                <w:sz w:val="22"/>
              </w:rPr>
              <w:t> </w:t>
            </w:r>
            <w:r w:rsidR="00C56AFD">
              <w:rPr>
                <w:b w:val="0"/>
                <w:noProof/>
                <w:color w:val="245F95" w:themeColor="text2"/>
                <w:sz w:val="22"/>
              </w:rPr>
              <w:t>śro</w:t>
            </w:r>
            <w:r>
              <w:rPr>
                <w:b w:val="0"/>
                <w:noProof/>
                <w:color w:val="245F95" w:themeColor="text2"/>
                <w:sz w:val="22"/>
              </w:rPr>
              <w:t>dowiska</w:t>
            </w:r>
          </w:p>
        </w:tc>
        <w:tc>
          <w:tcPr>
            <w:tcW w:w="1529" w:type="dxa"/>
            <w:vAlign w:val="center"/>
          </w:tcPr>
          <w:p w14:paraId="791AC37B" w14:textId="077DAB5F" w:rsidR="00861C1C" w:rsidRPr="007130AF" w:rsidRDefault="00A46D5B"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color w:val="000000" w:themeColor="text1"/>
                <w:sz w:val="22"/>
                <w:szCs w:val="22"/>
              </w:rPr>
            </w:pPr>
            <w:r>
              <w:rPr>
                <w:noProof/>
                <w:color w:val="000000" w:themeColor="text1"/>
                <w:sz w:val="22"/>
              </w:rPr>
              <w:t>2,7</w:t>
            </w:r>
          </w:p>
        </w:tc>
        <w:tc>
          <w:tcPr>
            <w:tcW w:w="1559" w:type="dxa"/>
            <w:vAlign w:val="center"/>
          </w:tcPr>
          <w:p w14:paraId="12CA47FD" w14:textId="2D9387B4" w:rsidR="00861C1C" w:rsidRPr="007130AF" w:rsidRDefault="55E43B5C" w:rsidP="7A10ECDB">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color w:val="000000" w:themeColor="text1"/>
                <w:sz w:val="22"/>
                <w:szCs w:val="22"/>
              </w:rPr>
            </w:pPr>
            <w:r>
              <w:rPr>
                <w:noProof/>
                <w:color w:val="000000" w:themeColor="text1"/>
                <w:sz w:val="22"/>
              </w:rPr>
              <w:t>0,1</w:t>
            </w:r>
          </w:p>
        </w:tc>
        <w:tc>
          <w:tcPr>
            <w:tcW w:w="1559" w:type="dxa"/>
            <w:vAlign w:val="center"/>
          </w:tcPr>
          <w:p w14:paraId="75386396" w14:textId="143791A2" w:rsidR="00861C1C" w:rsidRPr="007130AF" w:rsidRDefault="00A46D5B"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noProof/>
                <w:color w:val="245F95" w:themeColor="text2"/>
                <w:sz w:val="22"/>
                <w:szCs w:val="22"/>
              </w:rPr>
            </w:pPr>
            <w:r>
              <w:rPr>
                <w:noProof/>
                <w:color w:val="245F95" w:themeColor="text2"/>
                <w:sz w:val="22"/>
              </w:rPr>
              <w:t>2,7</w:t>
            </w:r>
          </w:p>
        </w:tc>
      </w:tr>
      <w:tr w:rsidR="00CD66D5" w:rsidRPr="007130AF" w14:paraId="5AA64EC4" w14:textId="77777777" w:rsidTr="00CD66D5">
        <w:trPr>
          <w:trHeight w:val="300"/>
        </w:trPr>
        <w:tc>
          <w:tcPr>
            <w:cnfStyle w:val="001000000000" w:firstRow="0" w:lastRow="0" w:firstColumn="1" w:lastColumn="0" w:oddVBand="0" w:evenVBand="0" w:oddHBand="0" w:evenHBand="0" w:firstRowFirstColumn="0" w:firstRowLastColumn="0" w:lastRowFirstColumn="0" w:lastRowLastColumn="0"/>
            <w:tcW w:w="5102" w:type="dxa"/>
          </w:tcPr>
          <w:p w14:paraId="437220C0" w14:textId="0F76AFD8" w:rsidR="00861C1C" w:rsidRPr="007130AF" w:rsidRDefault="003B6DC2">
            <w:pPr>
              <w:spacing w:after="120"/>
              <w:rPr>
                <w:rFonts w:eastAsia="Calibri"/>
                <w:b w:val="0"/>
                <w:bCs/>
                <w:noProof/>
                <w:color w:val="245F95" w:themeColor="text2"/>
                <w:sz w:val="22"/>
                <w:szCs w:val="22"/>
              </w:rPr>
            </w:pPr>
            <w:r>
              <w:rPr>
                <w:noProof/>
                <w:color w:val="245F95" w:themeColor="text2"/>
                <w:sz w:val="22"/>
              </w:rPr>
              <w:t>4 Migracja</w:t>
            </w:r>
            <w:r w:rsidR="00C56AFD">
              <w:rPr>
                <w:noProof/>
                <w:color w:val="245F95" w:themeColor="text2"/>
                <w:sz w:val="22"/>
              </w:rPr>
              <w:t xml:space="preserve"> i</w:t>
            </w:r>
            <w:r w:rsidR="00C56AFD">
              <w:rPr>
                <w:rFonts w:ascii="Calibri" w:hAnsi="Calibri" w:cs="Calibri"/>
                <w:noProof/>
                <w:color w:val="245F95" w:themeColor="text2"/>
                <w:sz w:val="22"/>
              </w:rPr>
              <w:t> </w:t>
            </w:r>
            <w:r w:rsidR="00C56AFD">
              <w:rPr>
                <w:noProof/>
                <w:color w:val="245F95" w:themeColor="text2"/>
                <w:sz w:val="22"/>
              </w:rPr>
              <w:t>zar</w:t>
            </w:r>
            <w:r>
              <w:rPr>
                <w:noProof/>
                <w:color w:val="245F95" w:themeColor="text2"/>
                <w:sz w:val="22"/>
              </w:rPr>
              <w:t>ządzanie granicami</w:t>
            </w:r>
          </w:p>
        </w:tc>
        <w:tc>
          <w:tcPr>
            <w:tcW w:w="1529" w:type="dxa"/>
            <w:vAlign w:val="center"/>
          </w:tcPr>
          <w:p w14:paraId="0C5F504D" w14:textId="531BD95E" w:rsidR="00861C1C" w:rsidRPr="007130AF" w:rsidRDefault="0389906F"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0,3</w:t>
            </w:r>
          </w:p>
        </w:tc>
        <w:tc>
          <w:tcPr>
            <w:tcW w:w="1559" w:type="dxa"/>
            <w:vAlign w:val="center"/>
          </w:tcPr>
          <w:p w14:paraId="3F9858B0" w14:textId="6C48FEE9" w:rsidR="00861C1C" w:rsidRPr="007130AF" w:rsidRDefault="6375D7F3"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0,1</w:t>
            </w:r>
          </w:p>
        </w:tc>
        <w:tc>
          <w:tcPr>
            <w:tcW w:w="1559" w:type="dxa"/>
            <w:vAlign w:val="center"/>
          </w:tcPr>
          <w:p w14:paraId="528F330D" w14:textId="6827D483" w:rsidR="00861C1C" w:rsidRPr="007130AF" w:rsidRDefault="6375D7F3"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noProof/>
                <w:color w:val="245F95" w:themeColor="text2"/>
                <w:sz w:val="22"/>
                <w:szCs w:val="22"/>
              </w:rPr>
            </w:pPr>
            <w:r>
              <w:rPr>
                <w:b/>
                <w:noProof/>
                <w:color w:val="245F95" w:themeColor="text2"/>
                <w:sz w:val="22"/>
              </w:rPr>
              <w:t>0,4</w:t>
            </w:r>
          </w:p>
        </w:tc>
      </w:tr>
      <w:tr w:rsidR="00CD66D5" w:rsidRPr="007130AF" w14:paraId="3104574E" w14:textId="77777777" w:rsidTr="00CD66D5">
        <w:trPr>
          <w:trHeight w:val="300"/>
        </w:trPr>
        <w:tc>
          <w:tcPr>
            <w:cnfStyle w:val="001000000000" w:firstRow="0" w:lastRow="0" w:firstColumn="1" w:lastColumn="0" w:oddVBand="0" w:evenVBand="0" w:oddHBand="0" w:evenHBand="0" w:firstRowFirstColumn="0" w:firstRowLastColumn="0" w:lastRowFirstColumn="0" w:lastRowLastColumn="0"/>
            <w:tcW w:w="5102" w:type="dxa"/>
          </w:tcPr>
          <w:p w14:paraId="39289543" w14:textId="24737E63" w:rsidR="00861C1C" w:rsidRPr="007130AF" w:rsidRDefault="003B6DC2">
            <w:pPr>
              <w:spacing w:after="120"/>
              <w:rPr>
                <w:rFonts w:eastAsia="Calibri"/>
                <w:b w:val="0"/>
                <w:bCs/>
                <w:noProof/>
                <w:color w:val="245F95" w:themeColor="text2"/>
                <w:sz w:val="22"/>
                <w:szCs w:val="22"/>
              </w:rPr>
            </w:pPr>
            <w:r>
              <w:rPr>
                <w:noProof/>
                <w:color w:val="245F95" w:themeColor="text2"/>
                <w:sz w:val="22"/>
              </w:rPr>
              <w:t>5 Bezpieczeństwo</w:t>
            </w:r>
            <w:r w:rsidR="00C56AFD">
              <w:rPr>
                <w:noProof/>
                <w:color w:val="245F95" w:themeColor="text2"/>
                <w:sz w:val="22"/>
              </w:rPr>
              <w:t xml:space="preserve"> i</w:t>
            </w:r>
            <w:r w:rsidR="00C56AFD">
              <w:rPr>
                <w:rFonts w:ascii="Calibri" w:hAnsi="Calibri" w:cs="Calibri"/>
                <w:noProof/>
                <w:color w:val="245F95" w:themeColor="text2"/>
                <w:sz w:val="22"/>
              </w:rPr>
              <w:t> </w:t>
            </w:r>
            <w:r w:rsidR="00C56AFD">
              <w:rPr>
                <w:noProof/>
                <w:color w:val="245F95" w:themeColor="text2"/>
                <w:sz w:val="22"/>
              </w:rPr>
              <w:t>obr</w:t>
            </w:r>
            <w:r>
              <w:rPr>
                <w:noProof/>
                <w:color w:val="245F95" w:themeColor="text2"/>
                <w:sz w:val="22"/>
              </w:rPr>
              <w:t>ona</w:t>
            </w:r>
          </w:p>
        </w:tc>
        <w:tc>
          <w:tcPr>
            <w:tcW w:w="1529" w:type="dxa"/>
            <w:vAlign w:val="center"/>
          </w:tcPr>
          <w:p w14:paraId="64F2FFEF" w14:textId="545E2EAF" w:rsidR="00861C1C" w:rsidRPr="007130AF" w:rsidRDefault="00861C1C"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p>
        </w:tc>
        <w:tc>
          <w:tcPr>
            <w:tcW w:w="1559" w:type="dxa"/>
            <w:vAlign w:val="center"/>
          </w:tcPr>
          <w:p w14:paraId="5951506F" w14:textId="674B0E91" w:rsidR="00861C1C" w:rsidRPr="007130AF" w:rsidRDefault="0389906F"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0,0</w:t>
            </w:r>
          </w:p>
        </w:tc>
        <w:tc>
          <w:tcPr>
            <w:tcW w:w="1559" w:type="dxa"/>
            <w:vAlign w:val="center"/>
          </w:tcPr>
          <w:p w14:paraId="1F879FA6" w14:textId="227FB114" w:rsidR="00861C1C" w:rsidRPr="007130AF" w:rsidRDefault="643693B4"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noProof/>
                <w:color w:val="245F95" w:themeColor="text2"/>
                <w:sz w:val="22"/>
                <w:szCs w:val="22"/>
              </w:rPr>
            </w:pPr>
            <w:r>
              <w:rPr>
                <w:b/>
                <w:noProof/>
                <w:color w:val="245F95" w:themeColor="text2"/>
                <w:sz w:val="22"/>
              </w:rPr>
              <w:t>0,0</w:t>
            </w:r>
          </w:p>
        </w:tc>
      </w:tr>
      <w:tr w:rsidR="00CD66D5" w:rsidRPr="007130AF" w14:paraId="2CD70082" w14:textId="77777777" w:rsidTr="00CD66D5">
        <w:trPr>
          <w:trHeight w:val="300"/>
        </w:trPr>
        <w:tc>
          <w:tcPr>
            <w:cnfStyle w:val="001000000000" w:firstRow="0" w:lastRow="0" w:firstColumn="1" w:lastColumn="0" w:oddVBand="0" w:evenVBand="0" w:oddHBand="0" w:evenHBand="0" w:firstRowFirstColumn="0" w:firstRowLastColumn="0" w:lastRowFirstColumn="0" w:lastRowLastColumn="0"/>
            <w:tcW w:w="5102" w:type="dxa"/>
            <w:tcBorders>
              <w:bottom w:val="single" w:sz="6" w:space="0" w:color="BFBFBF" w:themeColor="background1" w:themeShade="BF"/>
            </w:tcBorders>
          </w:tcPr>
          <w:p w14:paraId="0E96276D" w14:textId="46EA77F3" w:rsidR="00861C1C" w:rsidRPr="007130AF" w:rsidRDefault="003B6DC2">
            <w:pPr>
              <w:spacing w:after="120"/>
              <w:rPr>
                <w:rFonts w:eastAsia="Calibri"/>
                <w:b w:val="0"/>
                <w:bCs/>
                <w:noProof/>
                <w:color w:val="245F95" w:themeColor="text2"/>
                <w:sz w:val="22"/>
                <w:szCs w:val="22"/>
              </w:rPr>
            </w:pPr>
            <w:r>
              <w:rPr>
                <w:noProof/>
                <w:color w:val="245F95" w:themeColor="text2"/>
                <w:sz w:val="22"/>
              </w:rPr>
              <w:t>6 Sąsiedztwo</w:t>
            </w:r>
            <w:r w:rsidR="00C56AFD">
              <w:rPr>
                <w:noProof/>
                <w:color w:val="245F95" w:themeColor="text2"/>
                <w:sz w:val="22"/>
              </w:rPr>
              <w:t xml:space="preserve"> i</w:t>
            </w:r>
            <w:r w:rsidR="00C56AFD">
              <w:rPr>
                <w:rFonts w:ascii="Calibri" w:hAnsi="Calibri" w:cs="Calibri"/>
                <w:noProof/>
                <w:color w:val="245F95" w:themeColor="text2"/>
                <w:sz w:val="22"/>
              </w:rPr>
              <w:t> </w:t>
            </w:r>
            <w:r w:rsidR="00C56AFD">
              <w:rPr>
                <w:noProof/>
                <w:color w:val="245F95" w:themeColor="text2"/>
                <w:sz w:val="22"/>
              </w:rPr>
              <w:t>świ</w:t>
            </w:r>
            <w:r>
              <w:rPr>
                <w:noProof/>
                <w:color w:val="245F95" w:themeColor="text2"/>
                <w:sz w:val="22"/>
              </w:rPr>
              <w:t>at</w:t>
            </w:r>
          </w:p>
        </w:tc>
        <w:tc>
          <w:tcPr>
            <w:tcW w:w="1529" w:type="dxa"/>
            <w:tcBorders>
              <w:bottom w:val="single" w:sz="6" w:space="0" w:color="BFBFBF" w:themeColor="background1" w:themeShade="BF"/>
            </w:tcBorders>
            <w:vAlign w:val="center"/>
          </w:tcPr>
          <w:p w14:paraId="31733D24" w14:textId="47C4B04F" w:rsidR="00861C1C" w:rsidRPr="007130AF" w:rsidRDefault="643693B4"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0,1</w:t>
            </w:r>
          </w:p>
        </w:tc>
        <w:tc>
          <w:tcPr>
            <w:tcW w:w="1559" w:type="dxa"/>
            <w:tcBorders>
              <w:bottom w:val="single" w:sz="6" w:space="0" w:color="BFBFBF" w:themeColor="background1" w:themeShade="BF"/>
            </w:tcBorders>
            <w:vAlign w:val="center"/>
          </w:tcPr>
          <w:p w14:paraId="2CFD5EED" w14:textId="10DF6C4F" w:rsidR="00861C1C" w:rsidRPr="007130AF" w:rsidRDefault="6375D7F3"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color w:val="000000" w:themeColor="text1"/>
                <w:sz w:val="22"/>
                <w:szCs w:val="22"/>
              </w:rPr>
            </w:pPr>
            <w:r>
              <w:rPr>
                <w:noProof/>
                <w:color w:val="000000" w:themeColor="text1"/>
                <w:sz w:val="22"/>
              </w:rPr>
              <w:t>0,1</w:t>
            </w:r>
          </w:p>
        </w:tc>
        <w:tc>
          <w:tcPr>
            <w:tcW w:w="1559" w:type="dxa"/>
            <w:tcBorders>
              <w:bottom w:val="single" w:sz="6" w:space="0" w:color="BFBFBF" w:themeColor="background1" w:themeShade="BF"/>
            </w:tcBorders>
            <w:vAlign w:val="center"/>
          </w:tcPr>
          <w:p w14:paraId="0F2F8391" w14:textId="1EFE1DFD" w:rsidR="00861C1C" w:rsidRPr="007130AF" w:rsidRDefault="6375D7F3"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noProof/>
                <w:color w:val="245F95" w:themeColor="text2"/>
                <w:sz w:val="22"/>
                <w:szCs w:val="22"/>
              </w:rPr>
            </w:pPr>
            <w:r>
              <w:rPr>
                <w:b/>
                <w:noProof/>
                <w:color w:val="245F95" w:themeColor="text2"/>
                <w:sz w:val="22"/>
              </w:rPr>
              <w:t>0,2</w:t>
            </w:r>
          </w:p>
        </w:tc>
      </w:tr>
      <w:tr w:rsidR="00CD66D5" w:rsidRPr="007130AF" w14:paraId="26F229FD" w14:textId="77777777" w:rsidTr="00CD66D5">
        <w:trPr>
          <w:trHeight w:val="300"/>
        </w:trPr>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BFBFBF" w:themeColor="background1" w:themeShade="BF"/>
              <w:bottom w:val="nil"/>
            </w:tcBorders>
            <w:shd w:val="clear" w:color="auto" w:fill="FCE1D9" w:themeFill="accent2" w:themeFillTint="33"/>
          </w:tcPr>
          <w:p w14:paraId="4F3B42DB" w14:textId="77777777" w:rsidR="00861C1C" w:rsidRPr="007130AF" w:rsidRDefault="003B6DC2">
            <w:pPr>
              <w:spacing w:after="120"/>
              <w:rPr>
                <w:noProof/>
                <w:color w:val="245F95" w:themeColor="text2"/>
                <w:sz w:val="22"/>
                <w:szCs w:val="22"/>
              </w:rPr>
            </w:pPr>
            <w:r>
              <w:rPr>
                <w:noProof/>
                <w:color w:val="245F95" w:themeColor="text2"/>
                <w:sz w:val="22"/>
              </w:rPr>
              <w:t>Ogółem</w:t>
            </w:r>
          </w:p>
        </w:tc>
        <w:tc>
          <w:tcPr>
            <w:tcW w:w="1529" w:type="dxa"/>
            <w:tcBorders>
              <w:top w:val="single" w:sz="6" w:space="0" w:color="BFBFBF" w:themeColor="background1" w:themeShade="BF"/>
              <w:bottom w:val="nil"/>
            </w:tcBorders>
            <w:shd w:val="clear" w:color="auto" w:fill="FCE1D9" w:themeFill="accent2" w:themeFillTint="33"/>
            <w:vAlign w:val="center"/>
          </w:tcPr>
          <w:p w14:paraId="2F80BE46" w14:textId="5FAC9ED0" w:rsidR="00861C1C" w:rsidRPr="007130AF" w:rsidRDefault="00543C23"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noProof/>
                <w:color w:val="245F95" w:themeColor="text2"/>
                <w:sz w:val="22"/>
                <w:szCs w:val="22"/>
              </w:rPr>
            </w:pPr>
            <w:r>
              <w:rPr>
                <w:b/>
                <w:noProof/>
                <w:color w:val="245F95" w:themeColor="text2"/>
                <w:sz w:val="22"/>
              </w:rPr>
              <w:t>4,7</w:t>
            </w:r>
          </w:p>
        </w:tc>
        <w:tc>
          <w:tcPr>
            <w:tcW w:w="1559" w:type="dxa"/>
            <w:tcBorders>
              <w:top w:val="single" w:sz="6" w:space="0" w:color="BFBFBF" w:themeColor="background1" w:themeShade="BF"/>
              <w:bottom w:val="nil"/>
            </w:tcBorders>
            <w:shd w:val="clear" w:color="auto" w:fill="FCE1D9" w:themeFill="accent2" w:themeFillTint="33"/>
            <w:vAlign w:val="center"/>
          </w:tcPr>
          <w:p w14:paraId="791060CA" w14:textId="7C5582C7" w:rsidR="00861C1C" w:rsidRPr="007130AF" w:rsidRDefault="26247BD1"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noProof/>
                <w:color w:val="245F95" w:themeColor="text2"/>
                <w:sz w:val="22"/>
                <w:szCs w:val="22"/>
              </w:rPr>
            </w:pPr>
            <w:r>
              <w:rPr>
                <w:b/>
                <w:noProof/>
                <w:color w:val="245F95" w:themeColor="text2"/>
                <w:sz w:val="22"/>
              </w:rPr>
              <w:t>4,1</w:t>
            </w:r>
          </w:p>
        </w:tc>
        <w:tc>
          <w:tcPr>
            <w:tcW w:w="1559" w:type="dxa"/>
            <w:tcBorders>
              <w:top w:val="single" w:sz="6" w:space="0" w:color="BFBFBF" w:themeColor="background1" w:themeShade="BF"/>
              <w:bottom w:val="nil"/>
            </w:tcBorders>
            <w:shd w:val="clear" w:color="auto" w:fill="FCE1D9" w:themeFill="accent2" w:themeFillTint="33"/>
            <w:vAlign w:val="center"/>
          </w:tcPr>
          <w:p w14:paraId="045E0BAA" w14:textId="7786F7BD" w:rsidR="00861C1C" w:rsidRPr="007130AF" w:rsidRDefault="00543C23" w:rsidP="23B06DA2">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noProof/>
                <w:color w:val="245F95" w:themeColor="text2"/>
                <w:sz w:val="22"/>
                <w:szCs w:val="22"/>
              </w:rPr>
            </w:pPr>
            <w:r>
              <w:rPr>
                <w:b/>
                <w:noProof/>
                <w:color w:val="245F95" w:themeColor="text2"/>
                <w:sz w:val="22"/>
              </w:rPr>
              <w:t>8,8</w:t>
            </w:r>
          </w:p>
        </w:tc>
      </w:tr>
    </w:tbl>
    <w:p w14:paraId="33418F59" w14:textId="0FDAF9C9" w:rsidR="00861C1C" w:rsidRPr="00682537" w:rsidRDefault="00861C1C" w:rsidP="00682537">
      <w:pPr>
        <w:rPr>
          <w:noProof/>
        </w:rPr>
      </w:pPr>
    </w:p>
    <w:p w14:paraId="75252B43" w14:textId="548B2BA9" w:rsidR="00861C1C" w:rsidRPr="0050317D" w:rsidRDefault="00CA78F1" w:rsidP="009C6708">
      <w:pPr>
        <w:pStyle w:val="Heading2"/>
        <w:rPr>
          <w:noProof/>
        </w:rPr>
      </w:pPr>
      <w:bookmarkStart w:id="81" w:name="_Toc170319530"/>
      <w:r>
        <w:rPr>
          <w:noProof/>
        </w:rPr>
        <w:t>Tabela 3 – Długoterminowa prognoza wypływów</w:t>
      </w:r>
      <w:r w:rsidR="00C56AFD">
        <w:rPr>
          <w:noProof/>
        </w:rPr>
        <w:t xml:space="preserve"> w</w:t>
      </w:r>
      <w:r w:rsidR="00C56AFD">
        <w:rPr>
          <w:rFonts w:ascii="Calibri" w:hAnsi="Calibri" w:cs="Calibri"/>
          <w:noProof/>
        </w:rPr>
        <w:t> </w:t>
      </w:r>
      <w:r w:rsidR="00C56AFD">
        <w:rPr>
          <w:noProof/>
        </w:rPr>
        <w:t>odn</w:t>
      </w:r>
      <w:r>
        <w:rPr>
          <w:noProof/>
        </w:rPr>
        <w:t>iesieniu do NextGenerationEU</w:t>
      </w:r>
      <w:bookmarkEnd w:id="81"/>
    </w:p>
    <w:tbl>
      <w:tblPr>
        <w:tblStyle w:val="AMPR2021"/>
        <w:tblW w:w="5000" w:type="pct"/>
        <w:tblBorders>
          <w:top w:val="none" w:sz="0" w:space="0" w:color="auto"/>
          <w:bottom w:val="none" w:sz="0" w:space="0" w:color="auto"/>
          <w:insideH w:val="single" w:sz="6" w:space="0" w:color="BFBFBF" w:themeColor="background1" w:themeShade="BF"/>
          <w:insideV w:val="single" w:sz="6" w:space="0" w:color="BFBFBF" w:themeColor="background1" w:themeShade="BF"/>
        </w:tblBorders>
        <w:tblCellMar>
          <w:right w:w="170" w:type="dxa"/>
        </w:tblCellMar>
        <w:tblLook w:val="06A0" w:firstRow="1" w:lastRow="0" w:firstColumn="1" w:lastColumn="0" w:noHBand="1" w:noVBand="1"/>
      </w:tblPr>
      <w:tblGrid>
        <w:gridCol w:w="5198"/>
        <w:gridCol w:w="1172"/>
        <w:gridCol w:w="1172"/>
        <w:gridCol w:w="1172"/>
        <w:gridCol w:w="1168"/>
      </w:tblGrid>
      <w:tr w:rsidR="006063A7" w:rsidRPr="007130AF" w14:paraId="134DE056"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pct"/>
          </w:tcPr>
          <w:p w14:paraId="3ABE8FF2" w14:textId="77777777" w:rsidR="006063A7" w:rsidRPr="007130AF" w:rsidRDefault="006063A7">
            <w:pPr>
              <w:spacing w:line="264" w:lineRule="auto"/>
              <w:rPr>
                <w:rFonts w:asciiTheme="minorHAnsi" w:eastAsia="Calibri" w:hAnsiTheme="minorHAnsi"/>
                <w:noProof/>
                <w:sz w:val="22"/>
                <w:szCs w:val="22"/>
              </w:rPr>
            </w:pPr>
            <w:r>
              <w:rPr>
                <w:rFonts w:asciiTheme="minorHAnsi" w:hAnsiTheme="minorHAnsi"/>
                <w:noProof/>
                <w:sz w:val="22"/>
              </w:rPr>
              <w:t>Program</w:t>
            </w:r>
          </w:p>
        </w:tc>
        <w:tc>
          <w:tcPr>
            <w:tcW w:w="0" w:type="pct"/>
            <w:vAlign w:val="center"/>
          </w:tcPr>
          <w:p w14:paraId="3BA51300" w14:textId="77777777" w:rsidR="006063A7" w:rsidRPr="007130AF" w:rsidRDefault="006063A7">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Pr>
                <w:rFonts w:asciiTheme="minorHAnsi" w:hAnsiTheme="minorHAnsi"/>
                <w:noProof/>
                <w:sz w:val="22"/>
              </w:rPr>
              <w:t>2025</w:t>
            </w:r>
          </w:p>
        </w:tc>
        <w:tc>
          <w:tcPr>
            <w:tcW w:w="0" w:type="pct"/>
            <w:vAlign w:val="center"/>
          </w:tcPr>
          <w:p w14:paraId="46D6C9E8" w14:textId="77777777" w:rsidR="006063A7" w:rsidRPr="007130AF" w:rsidRDefault="006063A7">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Pr>
                <w:rFonts w:asciiTheme="minorHAnsi" w:hAnsiTheme="minorHAnsi"/>
                <w:noProof/>
                <w:sz w:val="22"/>
              </w:rPr>
              <w:t>2026</w:t>
            </w:r>
          </w:p>
        </w:tc>
        <w:tc>
          <w:tcPr>
            <w:tcW w:w="0" w:type="pct"/>
            <w:vAlign w:val="center"/>
          </w:tcPr>
          <w:p w14:paraId="390C9A21" w14:textId="77777777" w:rsidR="006063A7" w:rsidRPr="007130AF" w:rsidRDefault="006063A7">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Pr>
                <w:rFonts w:asciiTheme="minorHAnsi" w:hAnsiTheme="minorHAnsi"/>
                <w:noProof/>
                <w:sz w:val="22"/>
              </w:rPr>
              <w:t>2027</w:t>
            </w:r>
          </w:p>
        </w:tc>
        <w:tc>
          <w:tcPr>
            <w:tcW w:w="0" w:type="pct"/>
            <w:vAlign w:val="center"/>
          </w:tcPr>
          <w:p w14:paraId="3381BD74" w14:textId="77777777" w:rsidR="006063A7" w:rsidRPr="007130AF" w:rsidRDefault="006063A7">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Pr>
                <w:rFonts w:asciiTheme="minorHAnsi" w:hAnsiTheme="minorHAnsi"/>
                <w:noProof/>
                <w:sz w:val="22"/>
              </w:rPr>
              <w:t>Ogółem</w:t>
            </w:r>
          </w:p>
        </w:tc>
      </w:tr>
      <w:tr w:rsidR="006063A7" w:rsidRPr="007130AF" w14:paraId="1CE506BE" w14:textId="77777777">
        <w:trPr>
          <w:trHeight w:val="300"/>
        </w:trPr>
        <w:tc>
          <w:tcPr>
            <w:cnfStyle w:val="001000000000" w:firstRow="0" w:lastRow="0" w:firstColumn="1" w:lastColumn="0" w:oddVBand="0" w:evenVBand="0" w:oddHBand="0" w:evenHBand="0" w:firstRowFirstColumn="0" w:firstRowLastColumn="0" w:lastRowFirstColumn="0" w:lastRowLastColumn="0"/>
            <w:tcW w:w="2630" w:type="pct"/>
          </w:tcPr>
          <w:p w14:paraId="341F5A6C" w14:textId="77777777" w:rsidR="006063A7" w:rsidRPr="007130AF" w:rsidRDefault="006063A7" w:rsidP="008F34F9">
            <w:pPr>
              <w:spacing w:after="120"/>
              <w:rPr>
                <w:rFonts w:asciiTheme="minorHAnsi" w:eastAsia="Calibri" w:hAnsiTheme="minorHAnsi"/>
                <w:b w:val="0"/>
                <w:bCs/>
                <w:noProof/>
                <w:color w:val="245F95" w:themeColor="text2"/>
                <w:sz w:val="22"/>
                <w:szCs w:val="22"/>
              </w:rPr>
            </w:pPr>
            <w:r>
              <w:rPr>
                <w:rFonts w:asciiTheme="minorHAnsi" w:hAnsiTheme="minorHAnsi"/>
                <w:noProof/>
                <w:color w:val="245F95" w:themeColor="text2"/>
                <w:sz w:val="22"/>
              </w:rPr>
              <w:t>„Horyzont Europa”</w:t>
            </w:r>
          </w:p>
        </w:tc>
        <w:tc>
          <w:tcPr>
            <w:tcW w:w="593" w:type="pct"/>
            <w:shd w:val="clear" w:color="auto" w:fill="auto"/>
            <w:vAlign w:val="center"/>
          </w:tcPr>
          <w:p w14:paraId="31DCA33F"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Pr>
                <w:rFonts w:asciiTheme="minorHAnsi" w:hAnsiTheme="minorHAnsi"/>
                <w:noProof/>
                <w:color w:val="000000"/>
                <w:sz w:val="22"/>
              </w:rPr>
              <w:t>0,7</w:t>
            </w:r>
          </w:p>
        </w:tc>
        <w:tc>
          <w:tcPr>
            <w:tcW w:w="593" w:type="pct"/>
            <w:shd w:val="clear" w:color="auto" w:fill="auto"/>
            <w:vAlign w:val="center"/>
          </w:tcPr>
          <w:p w14:paraId="786F82B2"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Pr>
                <w:rFonts w:asciiTheme="minorHAnsi" w:hAnsiTheme="minorHAnsi"/>
                <w:noProof/>
                <w:color w:val="000000"/>
                <w:sz w:val="22"/>
              </w:rPr>
              <w:t>0,2</w:t>
            </w:r>
          </w:p>
        </w:tc>
        <w:tc>
          <w:tcPr>
            <w:tcW w:w="593" w:type="pct"/>
            <w:shd w:val="clear" w:color="auto" w:fill="auto"/>
            <w:vAlign w:val="center"/>
          </w:tcPr>
          <w:p w14:paraId="68F5EC8F"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Pr>
                <w:rFonts w:asciiTheme="minorHAnsi" w:hAnsiTheme="minorHAnsi"/>
                <w:noProof/>
                <w:color w:val="000000"/>
                <w:sz w:val="22"/>
              </w:rPr>
              <w:t>0,0</w:t>
            </w:r>
          </w:p>
        </w:tc>
        <w:tc>
          <w:tcPr>
            <w:tcW w:w="591" w:type="pct"/>
            <w:shd w:val="clear" w:color="auto" w:fill="auto"/>
            <w:vAlign w:val="center"/>
          </w:tcPr>
          <w:p w14:paraId="3D811A91" w14:textId="77777777" w:rsidR="006063A7" w:rsidRPr="0050317D"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245F95" w:themeColor="text2"/>
                <w:sz w:val="22"/>
              </w:rPr>
            </w:pPr>
            <w:r>
              <w:rPr>
                <w:rFonts w:asciiTheme="minorHAnsi" w:hAnsiTheme="minorHAnsi"/>
                <w:b/>
                <w:noProof/>
                <w:color w:val="245F95" w:themeColor="text2"/>
                <w:sz w:val="22"/>
              </w:rPr>
              <w:t>0,9</w:t>
            </w:r>
          </w:p>
        </w:tc>
      </w:tr>
      <w:tr w:rsidR="006063A7" w:rsidRPr="007130AF" w14:paraId="7558199B" w14:textId="77777777">
        <w:trPr>
          <w:trHeight w:val="300"/>
        </w:trPr>
        <w:tc>
          <w:tcPr>
            <w:cnfStyle w:val="001000000000" w:firstRow="0" w:lastRow="0" w:firstColumn="1" w:lastColumn="0" w:oddVBand="0" w:evenVBand="0" w:oddHBand="0" w:evenHBand="0" w:firstRowFirstColumn="0" w:firstRowLastColumn="0" w:lastRowFirstColumn="0" w:lastRowLastColumn="0"/>
            <w:tcW w:w="2630" w:type="pct"/>
          </w:tcPr>
          <w:p w14:paraId="04F7BAB3" w14:textId="77777777" w:rsidR="006063A7" w:rsidRPr="007130AF" w:rsidRDefault="006063A7" w:rsidP="008F34F9">
            <w:pPr>
              <w:spacing w:after="120"/>
              <w:rPr>
                <w:rFonts w:asciiTheme="minorHAnsi" w:eastAsia="Calibri" w:hAnsiTheme="minorHAnsi"/>
                <w:b w:val="0"/>
                <w:noProof/>
                <w:color w:val="245F95" w:themeColor="text2"/>
                <w:sz w:val="22"/>
                <w:szCs w:val="22"/>
              </w:rPr>
            </w:pPr>
            <w:r>
              <w:rPr>
                <w:rFonts w:asciiTheme="minorHAnsi" w:hAnsiTheme="minorHAnsi"/>
                <w:noProof/>
                <w:color w:val="245F95" w:themeColor="text2"/>
                <w:sz w:val="22"/>
              </w:rPr>
              <w:t xml:space="preserve">InvestEU </w:t>
            </w:r>
          </w:p>
        </w:tc>
        <w:tc>
          <w:tcPr>
            <w:tcW w:w="593" w:type="pct"/>
            <w:shd w:val="clear" w:color="auto" w:fill="auto"/>
            <w:vAlign w:val="center"/>
          </w:tcPr>
          <w:p w14:paraId="2EC20626"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Pr>
                <w:rFonts w:asciiTheme="minorHAnsi" w:hAnsiTheme="minorHAnsi"/>
                <w:noProof/>
                <w:color w:val="000000"/>
                <w:sz w:val="22"/>
              </w:rPr>
              <w:t>1,0</w:t>
            </w:r>
          </w:p>
        </w:tc>
        <w:tc>
          <w:tcPr>
            <w:tcW w:w="593" w:type="pct"/>
            <w:shd w:val="clear" w:color="auto" w:fill="auto"/>
            <w:vAlign w:val="center"/>
          </w:tcPr>
          <w:p w14:paraId="64729E38"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Pr>
                <w:rFonts w:asciiTheme="minorHAnsi" w:hAnsiTheme="minorHAnsi"/>
                <w:noProof/>
                <w:color w:val="000000"/>
                <w:sz w:val="22"/>
              </w:rPr>
              <w:t>1,2</w:t>
            </w:r>
          </w:p>
        </w:tc>
        <w:tc>
          <w:tcPr>
            <w:tcW w:w="593" w:type="pct"/>
            <w:shd w:val="clear" w:color="auto" w:fill="auto"/>
            <w:vAlign w:val="center"/>
          </w:tcPr>
          <w:p w14:paraId="1C2CAFF3"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Pr>
                <w:rFonts w:asciiTheme="minorHAnsi" w:hAnsiTheme="minorHAnsi"/>
                <w:noProof/>
                <w:color w:val="000000"/>
                <w:sz w:val="22"/>
              </w:rPr>
              <w:t>0,0</w:t>
            </w:r>
          </w:p>
        </w:tc>
        <w:tc>
          <w:tcPr>
            <w:tcW w:w="591" w:type="pct"/>
            <w:shd w:val="clear" w:color="auto" w:fill="auto"/>
            <w:vAlign w:val="center"/>
          </w:tcPr>
          <w:p w14:paraId="7966BC70"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color w:val="245F95" w:themeColor="text2"/>
                <w:sz w:val="22"/>
                <w:szCs w:val="22"/>
              </w:rPr>
            </w:pPr>
            <w:r>
              <w:rPr>
                <w:rFonts w:asciiTheme="minorHAnsi" w:hAnsiTheme="minorHAnsi"/>
                <w:b/>
                <w:noProof/>
                <w:color w:val="245F95" w:themeColor="text2"/>
                <w:sz w:val="22"/>
              </w:rPr>
              <w:t>2,2</w:t>
            </w:r>
          </w:p>
        </w:tc>
      </w:tr>
      <w:tr w:rsidR="006063A7" w:rsidRPr="007130AF" w14:paraId="06927FDB" w14:textId="77777777">
        <w:trPr>
          <w:trHeight w:val="300"/>
        </w:trPr>
        <w:tc>
          <w:tcPr>
            <w:cnfStyle w:val="001000000000" w:firstRow="0" w:lastRow="0" w:firstColumn="1" w:lastColumn="0" w:oddVBand="0" w:evenVBand="0" w:oddHBand="0" w:evenHBand="0" w:firstRowFirstColumn="0" w:firstRowLastColumn="0" w:lastRowFirstColumn="0" w:lastRowLastColumn="0"/>
            <w:tcW w:w="2630" w:type="pct"/>
          </w:tcPr>
          <w:p w14:paraId="4143CD58" w14:textId="77777777" w:rsidR="006063A7" w:rsidRPr="007130AF" w:rsidRDefault="006063A7" w:rsidP="008F34F9">
            <w:pPr>
              <w:spacing w:after="120"/>
              <w:rPr>
                <w:rFonts w:asciiTheme="minorHAnsi" w:eastAsia="Calibri" w:hAnsiTheme="minorHAnsi"/>
                <w:b w:val="0"/>
                <w:bCs/>
                <w:noProof/>
                <w:color w:val="245F95" w:themeColor="text2"/>
                <w:sz w:val="22"/>
                <w:szCs w:val="22"/>
              </w:rPr>
            </w:pPr>
            <w:r>
              <w:rPr>
                <w:rFonts w:asciiTheme="minorHAnsi" w:hAnsiTheme="minorHAnsi"/>
                <w:noProof/>
                <w:color w:val="245F95" w:themeColor="text2"/>
                <w:sz w:val="22"/>
              </w:rPr>
              <w:t>Europejski Fundusz Rozwoju Regionalnego (EFRR)</w:t>
            </w:r>
          </w:p>
        </w:tc>
        <w:tc>
          <w:tcPr>
            <w:tcW w:w="593" w:type="pct"/>
            <w:shd w:val="clear" w:color="auto" w:fill="auto"/>
            <w:vAlign w:val="center"/>
          </w:tcPr>
          <w:p w14:paraId="61299071"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Pr>
                <w:rFonts w:asciiTheme="minorHAnsi" w:hAnsiTheme="minorHAnsi"/>
                <w:noProof/>
                <w:color w:val="000000"/>
                <w:sz w:val="22"/>
              </w:rPr>
              <w:t>2,0</w:t>
            </w:r>
          </w:p>
        </w:tc>
        <w:tc>
          <w:tcPr>
            <w:tcW w:w="593" w:type="pct"/>
            <w:shd w:val="clear" w:color="auto" w:fill="auto"/>
            <w:vAlign w:val="center"/>
          </w:tcPr>
          <w:p w14:paraId="12973956"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Pr>
                <w:rFonts w:asciiTheme="minorHAnsi" w:hAnsiTheme="minorHAnsi"/>
                <w:noProof/>
                <w:color w:val="000000"/>
                <w:sz w:val="22"/>
              </w:rPr>
              <w:t>0,0</w:t>
            </w:r>
          </w:p>
        </w:tc>
        <w:tc>
          <w:tcPr>
            <w:tcW w:w="593" w:type="pct"/>
            <w:shd w:val="clear" w:color="auto" w:fill="auto"/>
            <w:vAlign w:val="center"/>
          </w:tcPr>
          <w:p w14:paraId="4E7F5C80"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Pr>
                <w:rFonts w:asciiTheme="minorHAnsi" w:hAnsiTheme="minorHAnsi"/>
                <w:noProof/>
                <w:color w:val="000000"/>
                <w:sz w:val="22"/>
              </w:rPr>
              <w:t>0,0</w:t>
            </w:r>
          </w:p>
        </w:tc>
        <w:tc>
          <w:tcPr>
            <w:tcW w:w="591" w:type="pct"/>
            <w:shd w:val="clear" w:color="auto" w:fill="auto"/>
            <w:vAlign w:val="center"/>
          </w:tcPr>
          <w:p w14:paraId="070C868D" w14:textId="77777777" w:rsidR="006063A7" w:rsidRPr="0050317D"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245F95" w:themeColor="text2"/>
                <w:sz w:val="22"/>
              </w:rPr>
            </w:pPr>
            <w:r>
              <w:rPr>
                <w:rFonts w:asciiTheme="minorHAnsi" w:hAnsiTheme="minorHAnsi"/>
                <w:b/>
                <w:noProof/>
                <w:color w:val="245F95" w:themeColor="text2"/>
                <w:sz w:val="22"/>
              </w:rPr>
              <w:t>2,0</w:t>
            </w:r>
          </w:p>
        </w:tc>
      </w:tr>
      <w:tr w:rsidR="006063A7" w:rsidRPr="007130AF" w14:paraId="6CFB0F3A" w14:textId="77777777">
        <w:trPr>
          <w:trHeight w:val="300"/>
        </w:trPr>
        <w:tc>
          <w:tcPr>
            <w:cnfStyle w:val="001000000000" w:firstRow="0" w:lastRow="0" w:firstColumn="1" w:lastColumn="0" w:oddVBand="0" w:evenVBand="0" w:oddHBand="0" w:evenHBand="0" w:firstRowFirstColumn="0" w:firstRowLastColumn="0" w:lastRowFirstColumn="0" w:lastRowLastColumn="0"/>
            <w:tcW w:w="2630" w:type="pct"/>
          </w:tcPr>
          <w:p w14:paraId="7EA5AD84" w14:textId="77777777" w:rsidR="006063A7" w:rsidRPr="007130AF" w:rsidRDefault="006063A7" w:rsidP="00476B76">
            <w:pPr>
              <w:spacing w:after="120"/>
              <w:rPr>
                <w:rFonts w:asciiTheme="minorHAnsi" w:eastAsia="Calibri" w:hAnsiTheme="minorHAnsi"/>
                <w:b w:val="0"/>
                <w:noProof/>
                <w:color w:val="245F95" w:themeColor="text2"/>
                <w:sz w:val="22"/>
                <w:szCs w:val="22"/>
              </w:rPr>
            </w:pPr>
            <w:r>
              <w:rPr>
                <w:rFonts w:asciiTheme="minorHAnsi" w:hAnsiTheme="minorHAnsi"/>
                <w:noProof/>
                <w:color w:val="245F95" w:themeColor="text2"/>
                <w:sz w:val="22"/>
              </w:rPr>
              <w:t>Europejski Fundusz Społeczny (EFS)</w:t>
            </w:r>
          </w:p>
        </w:tc>
        <w:tc>
          <w:tcPr>
            <w:tcW w:w="593" w:type="pct"/>
            <w:shd w:val="clear" w:color="auto" w:fill="auto"/>
            <w:vAlign w:val="center"/>
          </w:tcPr>
          <w:p w14:paraId="34FE98C4"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Pr>
                <w:rFonts w:asciiTheme="minorHAnsi" w:hAnsiTheme="minorHAnsi"/>
                <w:noProof/>
                <w:color w:val="000000"/>
                <w:sz w:val="22"/>
              </w:rPr>
              <w:t>0,4</w:t>
            </w:r>
          </w:p>
        </w:tc>
        <w:tc>
          <w:tcPr>
            <w:tcW w:w="593" w:type="pct"/>
            <w:shd w:val="clear" w:color="auto" w:fill="auto"/>
            <w:vAlign w:val="center"/>
          </w:tcPr>
          <w:p w14:paraId="26375BC4"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Pr>
                <w:rFonts w:asciiTheme="minorHAnsi" w:hAnsiTheme="minorHAnsi"/>
                <w:noProof/>
                <w:color w:val="000000"/>
                <w:sz w:val="22"/>
              </w:rPr>
              <w:t>0,0</w:t>
            </w:r>
          </w:p>
        </w:tc>
        <w:tc>
          <w:tcPr>
            <w:tcW w:w="593" w:type="pct"/>
            <w:shd w:val="clear" w:color="auto" w:fill="auto"/>
            <w:vAlign w:val="center"/>
          </w:tcPr>
          <w:p w14:paraId="34C82966"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Pr>
                <w:rFonts w:asciiTheme="minorHAnsi" w:hAnsiTheme="minorHAnsi"/>
                <w:noProof/>
                <w:color w:val="000000"/>
                <w:sz w:val="22"/>
              </w:rPr>
              <w:t>0,0</w:t>
            </w:r>
          </w:p>
        </w:tc>
        <w:tc>
          <w:tcPr>
            <w:tcW w:w="591" w:type="pct"/>
            <w:shd w:val="clear" w:color="auto" w:fill="auto"/>
            <w:vAlign w:val="center"/>
          </w:tcPr>
          <w:p w14:paraId="7DE8F48F"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color w:val="245F95" w:themeColor="text2"/>
                <w:sz w:val="22"/>
                <w:szCs w:val="22"/>
              </w:rPr>
            </w:pPr>
            <w:r>
              <w:rPr>
                <w:rFonts w:asciiTheme="minorHAnsi" w:hAnsiTheme="minorHAnsi"/>
                <w:b/>
                <w:noProof/>
                <w:color w:val="245F95" w:themeColor="text2"/>
                <w:sz w:val="22"/>
              </w:rPr>
              <w:t>0,4</w:t>
            </w:r>
          </w:p>
        </w:tc>
      </w:tr>
      <w:tr w:rsidR="006063A7" w:rsidRPr="007130AF" w14:paraId="7F646E14" w14:textId="77777777">
        <w:trPr>
          <w:trHeight w:val="300"/>
        </w:trPr>
        <w:tc>
          <w:tcPr>
            <w:cnfStyle w:val="001000000000" w:firstRow="0" w:lastRow="0" w:firstColumn="1" w:lastColumn="0" w:oddVBand="0" w:evenVBand="0" w:oddHBand="0" w:evenHBand="0" w:firstRowFirstColumn="0" w:firstRowLastColumn="0" w:lastRowFirstColumn="0" w:lastRowLastColumn="0"/>
            <w:tcW w:w="2630" w:type="pct"/>
          </w:tcPr>
          <w:p w14:paraId="108BF4FD" w14:textId="5A437C2D" w:rsidR="006063A7" w:rsidRPr="007130AF" w:rsidRDefault="006063A7" w:rsidP="008F34F9">
            <w:pPr>
              <w:spacing w:after="120"/>
              <w:rPr>
                <w:rFonts w:asciiTheme="minorHAnsi" w:eastAsia="Calibri" w:hAnsiTheme="minorHAnsi"/>
                <w:b w:val="0"/>
                <w:noProof/>
                <w:color w:val="245F95" w:themeColor="text2"/>
                <w:sz w:val="22"/>
                <w:szCs w:val="22"/>
              </w:rPr>
            </w:pPr>
            <w:r>
              <w:rPr>
                <w:rFonts w:asciiTheme="minorHAnsi" w:hAnsiTheme="minorHAnsi"/>
                <w:noProof/>
                <w:color w:val="245F95" w:themeColor="text2"/>
                <w:sz w:val="22"/>
              </w:rPr>
              <w:t>Europejski Instrument na rzecz Odbudowy</w:t>
            </w:r>
            <w:r w:rsidR="00C56AFD">
              <w:rPr>
                <w:rFonts w:asciiTheme="minorHAnsi" w:hAnsiTheme="minorHAnsi"/>
                <w:noProof/>
                <w:color w:val="245F95" w:themeColor="text2"/>
                <w:sz w:val="22"/>
              </w:rPr>
              <w:t xml:space="preserve"> i</w:t>
            </w:r>
            <w:r w:rsidR="00C56AFD">
              <w:rPr>
                <w:rFonts w:ascii="Calibri" w:hAnsi="Calibri" w:cs="Calibri"/>
                <w:noProof/>
                <w:color w:val="245F95" w:themeColor="text2"/>
                <w:sz w:val="22"/>
              </w:rPr>
              <w:t> </w:t>
            </w:r>
            <w:r w:rsidR="00C56AFD">
              <w:rPr>
                <w:rFonts w:asciiTheme="minorHAnsi" w:hAnsiTheme="minorHAnsi"/>
                <w:noProof/>
                <w:color w:val="245F95" w:themeColor="text2"/>
                <w:sz w:val="22"/>
              </w:rPr>
              <w:t>Zwi</w:t>
            </w:r>
            <w:r>
              <w:rPr>
                <w:rFonts w:asciiTheme="minorHAnsi" w:hAnsiTheme="minorHAnsi"/>
                <w:noProof/>
                <w:color w:val="245F95" w:themeColor="text2"/>
                <w:sz w:val="22"/>
              </w:rPr>
              <w:t>ększania Odporności</w:t>
            </w:r>
          </w:p>
        </w:tc>
        <w:tc>
          <w:tcPr>
            <w:tcW w:w="593" w:type="pct"/>
            <w:shd w:val="clear" w:color="auto" w:fill="auto"/>
            <w:vAlign w:val="center"/>
          </w:tcPr>
          <w:p w14:paraId="6442535E"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noProof/>
                <w:color w:val="000000" w:themeColor="text1"/>
                <w:sz w:val="22"/>
                <w:szCs w:val="22"/>
              </w:rPr>
            </w:pPr>
            <w:r>
              <w:rPr>
                <w:rFonts w:asciiTheme="minorHAnsi" w:hAnsiTheme="minorHAnsi"/>
                <w:noProof/>
                <w:color w:val="000000" w:themeColor="text1"/>
                <w:sz w:val="22"/>
              </w:rPr>
              <w:t>64,9</w:t>
            </w:r>
          </w:p>
        </w:tc>
        <w:tc>
          <w:tcPr>
            <w:tcW w:w="593" w:type="pct"/>
            <w:shd w:val="clear" w:color="auto" w:fill="auto"/>
            <w:vAlign w:val="center"/>
          </w:tcPr>
          <w:p w14:paraId="5F852599"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noProof/>
                <w:color w:val="000000" w:themeColor="text1"/>
                <w:sz w:val="22"/>
                <w:szCs w:val="22"/>
              </w:rPr>
            </w:pPr>
            <w:r>
              <w:rPr>
                <w:rFonts w:asciiTheme="minorHAnsi" w:hAnsiTheme="minorHAnsi"/>
                <w:noProof/>
                <w:color w:val="000000" w:themeColor="text1"/>
                <w:sz w:val="22"/>
              </w:rPr>
              <w:t>70,1</w:t>
            </w:r>
          </w:p>
        </w:tc>
        <w:tc>
          <w:tcPr>
            <w:tcW w:w="593" w:type="pct"/>
            <w:shd w:val="clear" w:color="auto" w:fill="auto"/>
            <w:vAlign w:val="center"/>
          </w:tcPr>
          <w:p w14:paraId="1200405E"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Pr>
                <w:rFonts w:asciiTheme="minorHAnsi" w:hAnsiTheme="minorHAnsi"/>
                <w:noProof/>
                <w:color w:val="000000"/>
                <w:sz w:val="22"/>
              </w:rPr>
              <w:t>0,0</w:t>
            </w:r>
          </w:p>
        </w:tc>
        <w:tc>
          <w:tcPr>
            <w:tcW w:w="591" w:type="pct"/>
            <w:shd w:val="clear" w:color="auto" w:fill="auto"/>
            <w:vAlign w:val="center"/>
          </w:tcPr>
          <w:p w14:paraId="2EB20B33"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noProof/>
                <w:color w:val="245F95" w:themeColor="text2"/>
                <w:sz w:val="22"/>
                <w:szCs w:val="22"/>
              </w:rPr>
            </w:pPr>
            <w:r>
              <w:rPr>
                <w:rFonts w:asciiTheme="minorHAnsi" w:hAnsiTheme="minorHAnsi"/>
                <w:b/>
                <w:noProof/>
                <w:color w:val="245F95" w:themeColor="text2"/>
                <w:sz w:val="22"/>
              </w:rPr>
              <w:t>135,0</w:t>
            </w:r>
          </w:p>
        </w:tc>
      </w:tr>
      <w:tr w:rsidR="006063A7" w:rsidRPr="007130AF" w14:paraId="118B2CB9" w14:textId="77777777">
        <w:trPr>
          <w:trHeight w:val="300"/>
        </w:trPr>
        <w:tc>
          <w:tcPr>
            <w:cnfStyle w:val="001000000000" w:firstRow="0" w:lastRow="0" w:firstColumn="1" w:lastColumn="0" w:oddVBand="0" w:evenVBand="0" w:oddHBand="0" w:evenHBand="0" w:firstRowFirstColumn="0" w:firstRowLastColumn="0" w:lastRowFirstColumn="0" w:lastRowLastColumn="0"/>
            <w:tcW w:w="2630" w:type="pct"/>
          </w:tcPr>
          <w:p w14:paraId="18B1DB44" w14:textId="77777777" w:rsidR="006063A7" w:rsidRPr="007130AF" w:rsidRDefault="006063A7" w:rsidP="008F34F9">
            <w:pPr>
              <w:spacing w:after="120"/>
              <w:rPr>
                <w:rFonts w:asciiTheme="minorHAnsi" w:eastAsia="Calibri" w:hAnsiTheme="minorHAnsi"/>
                <w:b w:val="0"/>
                <w:noProof/>
                <w:color w:val="245F95" w:themeColor="text2"/>
                <w:sz w:val="22"/>
                <w:szCs w:val="22"/>
              </w:rPr>
            </w:pPr>
            <w:r>
              <w:rPr>
                <w:rFonts w:asciiTheme="minorHAnsi" w:hAnsiTheme="minorHAnsi"/>
                <w:noProof/>
                <w:color w:val="245F95" w:themeColor="text2"/>
                <w:sz w:val="22"/>
              </w:rPr>
              <w:t>Unijny Mechanizm Ochrony Ludności (rescEU)</w:t>
            </w:r>
          </w:p>
        </w:tc>
        <w:tc>
          <w:tcPr>
            <w:tcW w:w="593" w:type="pct"/>
            <w:shd w:val="clear" w:color="auto" w:fill="auto"/>
            <w:vAlign w:val="center"/>
          </w:tcPr>
          <w:p w14:paraId="7A35915F"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Pr>
                <w:rFonts w:asciiTheme="minorHAnsi" w:hAnsiTheme="minorHAnsi"/>
                <w:noProof/>
                <w:color w:val="000000"/>
                <w:sz w:val="22"/>
              </w:rPr>
              <w:t>0,2</w:t>
            </w:r>
          </w:p>
        </w:tc>
        <w:tc>
          <w:tcPr>
            <w:tcW w:w="593" w:type="pct"/>
            <w:shd w:val="clear" w:color="auto" w:fill="auto"/>
            <w:vAlign w:val="center"/>
          </w:tcPr>
          <w:p w14:paraId="7416E943"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Pr>
                <w:rFonts w:asciiTheme="minorHAnsi" w:hAnsiTheme="minorHAnsi"/>
                <w:noProof/>
                <w:color w:val="000000"/>
                <w:sz w:val="22"/>
              </w:rPr>
              <w:t>0,5</w:t>
            </w:r>
          </w:p>
        </w:tc>
        <w:tc>
          <w:tcPr>
            <w:tcW w:w="593" w:type="pct"/>
            <w:shd w:val="clear" w:color="auto" w:fill="auto"/>
            <w:vAlign w:val="center"/>
          </w:tcPr>
          <w:p w14:paraId="2DFFA401"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Pr>
                <w:rFonts w:asciiTheme="minorHAnsi" w:hAnsiTheme="minorHAnsi"/>
                <w:noProof/>
                <w:color w:val="000000"/>
                <w:sz w:val="22"/>
              </w:rPr>
              <w:t>0,0</w:t>
            </w:r>
          </w:p>
        </w:tc>
        <w:tc>
          <w:tcPr>
            <w:tcW w:w="591" w:type="pct"/>
            <w:shd w:val="clear" w:color="auto" w:fill="auto"/>
            <w:vAlign w:val="center"/>
          </w:tcPr>
          <w:p w14:paraId="43438D29"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color w:val="245F95" w:themeColor="text2"/>
                <w:sz w:val="22"/>
                <w:szCs w:val="22"/>
              </w:rPr>
            </w:pPr>
            <w:r>
              <w:rPr>
                <w:rFonts w:asciiTheme="minorHAnsi" w:hAnsiTheme="minorHAnsi"/>
                <w:b/>
                <w:noProof/>
                <w:color w:val="245F95" w:themeColor="text2"/>
                <w:sz w:val="22"/>
              </w:rPr>
              <w:t>0,7</w:t>
            </w:r>
          </w:p>
        </w:tc>
      </w:tr>
      <w:tr w:rsidR="006063A7" w:rsidRPr="007130AF" w14:paraId="74AF07E2" w14:textId="77777777">
        <w:trPr>
          <w:trHeight w:val="300"/>
        </w:trPr>
        <w:tc>
          <w:tcPr>
            <w:cnfStyle w:val="001000000000" w:firstRow="0" w:lastRow="0" w:firstColumn="1" w:lastColumn="0" w:oddVBand="0" w:evenVBand="0" w:oddHBand="0" w:evenHBand="0" w:firstRowFirstColumn="0" w:firstRowLastColumn="0" w:lastRowFirstColumn="0" w:lastRowLastColumn="0"/>
            <w:tcW w:w="2630" w:type="pct"/>
          </w:tcPr>
          <w:p w14:paraId="143E2F5F" w14:textId="77777777" w:rsidR="006063A7" w:rsidRPr="007130AF" w:rsidRDefault="006063A7" w:rsidP="008F34F9">
            <w:pPr>
              <w:spacing w:after="120"/>
              <w:rPr>
                <w:rFonts w:asciiTheme="minorHAnsi" w:eastAsia="Calibri" w:hAnsiTheme="minorHAnsi"/>
                <w:b w:val="0"/>
                <w:bCs/>
                <w:noProof/>
                <w:color w:val="245F95" w:themeColor="text2"/>
                <w:sz w:val="22"/>
                <w:szCs w:val="22"/>
              </w:rPr>
            </w:pPr>
            <w:r>
              <w:rPr>
                <w:rFonts w:asciiTheme="minorHAnsi" w:hAnsiTheme="minorHAnsi"/>
                <w:noProof/>
                <w:color w:val="245F95" w:themeColor="text2"/>
                <w:sz w:val="22"/>
              </w:rPr>
              <w:t>Europejski Fundusz Rolny na rzecz Rozwoju Obszarów Wiejskich (EFRROW)</w:t>
            </w:r>
          </w:p>
        </w:tc>
        <w:tc>
          <w:tcPr>
            <w:tcW w:w="593" w:type="pct"/>
            <w:shd w:val="clear" w:color="auto" w:fill="auto"/>
            <w:vAlign w:val="center"/>
          </w:tcPr>
          <w:p w14:paraId="30ABFC9F"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Pr>
                <w:rFonts w:asciiTheme="minorHAnsi" w:hAnsiTheme="minorHAnsi"/>
                <w:noProof/>
                <w:color w:val="000000"/>
                <w:sz w:val="22"/>
              </w:rPr>
              <w:t>1,8</w:t>
            </w:r>
          </w:p>
        </w:tc>
        <w:tc>
          <w:tcPr>
            <w:tcW w:w="593" w:type="pct"/>
            <w:shd w:val="clear" w:color="auto" w:fill="auto"/>
            <w:vAlign w:val="center"/>
          </w:tcPr>
          <w:p w14:paraId="51072093"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Pr>
                <w:rFonts w:asciiTheme="minorHAnsi" w:hAnsiTheme="minorHAnsi"/>
                <w:noProof/>
                <w:color w:val="000000"/>
                <w:sz w:val="22"/>
              </w:rPr>
              <w:t>1,3</w:t>
            </w:r>
          </w:p>
        </w:tc>
        <w:tc>
          <w:tcPr>
            <w:tcW w:w="593" w:type="pct"/>
            <w:shd w:val="clear" w:color="auto" w:fill="auto"/>
            <w:vAlign w:val="center"/>
          </w:tcPr>
          <w:p w14:paraId="197985D1"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Pr>
                <w:rFonts w:asciiTheme="minorHAnsi" w:hAnsiTheme="minorHAnsi"/>
                <w:noProof/>
                <w:color w:val="000000"/>
                <w:sz w:val="22"/>
              </w:rPr>
              <w:t>0,0</w:t>
            </w:r>
          </w:p>
        </w:tc>
        <w:tc>
          <w:tcPr>
            <w:tcW w:w="591" w:type="pct"/>
            <w:shd w:val="clear" w:color="auto" w:fill="auto"/>
            <w:vAlign w:val="center"/>
          </w:tcPr>
          <w:p w14:paraId="660F514E"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color w:val="245F95" w:themeColor="text2"/>
                <w:sz w:val="22"/>
                <w:szCs w:val="22"/>
              </w:rPr>
            </w:pPr>
            <w:r>
              <w:rPr>
                <w:rFonts w:asciiTheme="minorHAnsi" w:hAnsiTheme="minorHAnsi"/>
                <w:b/>
                <w:noProof/>
                <w:color w:val="245F95" w:themeColor="text2"/>
                <w:sz w:val="22"/>
              </w:rPr>
              <w:t>3,1</w:t>
            </w:r>
          </w:p>
        </w:tc>
      </w:tr>
      <w:tr w:rsidR="006063A7" w:rsidRPr="007130AF" w14:paraId="00796615" w14:textId="77777777">
        <w:trPr>
          <w:trHeight w:val="300"/>
        </w:trPr>
        <w:tc>
          <w:tcPr>
            <w:cnfStyle w:val="001000000000" w:firstRow="0" w:lastRow="0" w:firstColumn="1" w:lastColumn="0" w:oddVBand="0" w:evenVBand="0" w:oddHBand="0" w:evenHBand="0" w:firstRowFirstColumn="0" w:firstRowLastColumn="0" w:lastRowFirstColumn="0" w:lastRowLastColumn="0"/>
            <w:tcW w:w="2630" w:type="pct"/>
          </w:tcPr>
          <w:p w14:paraId="574BA74A" w14:textId="77777777" w:rsidR="006063A7" w:rsidRPr="007130AF" w:rsidRDefault="006063A7" w:rsidP="008F34F9">
            <w:pPr>
              <w:spacing w:after="120"/>
              <w:rPr>
                <w:rFonts w:asciiTheme="minorHAnsi" w:eastAsia="Calibri" w:hAnsiTheme="minorHAnsi"/>
                <w:b w:val="0"/>
                <w:bCs/>
                <w:noProof/>
                <w:color w:val="245F95" w:themeColor="text2"/>
                <w:sz w:val="22"/>
                <w:szCs w:val="22"/>
              </w:rPr>
            </w:pPr>
            <w:r>
              <w:rPr>
                <w:rFonts w:asciiTheme="minorHAnsi" w:hAnsiTheme="minorHAnsi"/>
                <w:noProof/>
                <w:color w:val="245F95" w:themeColor="text2"/>
                <w:sz w:val="22"/>
              </w:rPr>
              <w:t>Fundusz na rzecz Sprawiedliwej Transformacji</w:t>
            </w:r>
          </w:p>
        </w:tc>
        <w:tc>
          <w:tcPr>
            <w:tcW w:w="593" w:type="pct"/>
            <w:shd w:val="clear" w:color="auto" w:fill="auto"/>
            <w:vAlign w:val="center"/>
          </w:tcPr>
          <w:p w14:paraId="0C5DAE62"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Pr>
                <w:rFonts w:asciiTheme="minorHAnsi" w:hAnsiTheme="minorHAnsi"/>
                <w:noProof/>
                <w:color w:val="000000"/>
                <w:sz w:val="22"/>
              </w:rPr>
              <w:t>1,3</w:t>
            </w:r>
          </w:p>
        </w:tc>
        <w:tc>
          <w:tcPr>
            <w:tcW w:w="593" w:type="pct"/>
            <w:shd w:val="clear" w:color="auto" w:fill="auto"/>
            <w:vAlign w:val="center"/>
          </w:tcPr>
          <w:p w14:paraId="00F799AE"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Pr>
                <w:rFonts w:asciiTheme="minorHAnsi" w:hAnsiTheme="minorHAnsi"/>
                <w:noProof/>
                <w:color w:val="000000"/>
                <w:sz w:val="22"/>
              </w:rPr>
              <w:t>2,6</w:t>
            </w:r>
          </w:p>
        </w:tc>
        <w:tc>
          <w:tcPr>
            <w:tcW w:w="593" w:type="pct"/>
            <w:shd w:val="clear" w:color="auto" w:fill="auto"/>
            <w:vAlign w:val="center"/>
          </w:tcPr>
          <w:p w14:paraId="35CF64E7"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sz w:val="22"/>
                <w:szCs w:val="22"/>
              </w:rPr>
            </w:pPr>
            <w:r>
              <w:rPr>
                <w:rFonts w:asciiTheme="minorHAnsi" w:hAnsiTheme="minorHAnsi"/>
                <w:noProof/>
                <w:color w:val="000000"/>
                <w:sz w:val="22"/>
              </w:rPr>
              <w:t>0,0</w:t>
            </w:r>
          </w:p>
        </w:tc>
        <w:tc>
          <w:tcPr>
            <w:tcW w:w="591" w:type="pct"/>
            <w:shd w:val="clear" w:color="auto" w:fill="auto"/>
            <w:vAlign w:val="center"/>
          </w:tcPr>
          <w:p w14:paraId="705ED0B3"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noProof/>
                <w:color w:val="245F95" w:themeColor="text2"/>
                <w:sz w:val="22"/>
                <w:szCs w:val="22"/>
              </w:rPr>
            </w:pPr>
            <w:r>
              <w:rPr>
                <w:rFonts w:asciiTheme="minorHAnsi" w:hAnsiTheme="minorHAnsi"/>
                <w:b/>
                <w:noProof/>
                <w:color w:val="245F95" w:themeColor="text2"/>
                <w:sz w:val="22"/>
              </w:rPr>
              <w:t>3,9</w:t>
            </w:r>
          </w:p>
        </w:tc>
      </w:tr>
      <w:tr w:rsidR="006063A7" w:rsidRPr="007130AF" w14:paraId="5E623F59" w14:textId="77777777">
        <w:trPr>
          <w:trHeight w:val="300"/>
        </w:trPr>
        <w:tc>
          <w:tcPr>
            <w:cnfStyle w:val="001000000000" w:firstRow="0" w:lastRow="0" w:firstColumn="1" w:lastColumn="0" w:oddVBand="0" w:evenVBand="0" w:oddHBand="0" w:evenHBand="0" w:firstRowFirstColumn="0" w:firstRowLastColumn="0" w:lastRowFirstColumn="0" w:lastRowLastColumn="0"/>
            <w:tcW w:w="2630" w:type="pct"/>
            <w:shd w:val="clear" w:color="auto" w:fill="FCE1D9" w:themeFill="accent2" w:themeFillTint="33"/>
          </w:tcPr>
          <w:p w14:paraId="7D7EA521" w14:textId="77777777" w:rsidR="006063A7" w:rsidRPr="007130AF" w:rsidRDefault="006063A7" w:rsidP="008F34F9">
            <w:pPr>
              <w:spacing w:after="120"/>
              <w:rPr>
                <w:rFonts w:asciiTheme="minorHAnsi" w:eastAsia="Calibri" w:hAnsiTheme="minorHAnsi"/>
                <w:noProof/>
                <w:color w:val="245F95" w:themeColor="text2"/>
                <w:sz w:val="22"/>
                <w:szCs w:val="22"/>
              </w:rPr>
            </w:pPr>
            <w:r>
              <w:rPr>
                <w:rFonts w:asciiTheme="minorHAnsi" w:hAnsiTheme="minorHAnsi"/>
                <w:noProof/>
                <w:color w:val="245F95" w:themeColor="text2"/>
                <w:sz w:val="22"/>
              </w:rPr>
              <w:t>Ogółem</w:t>
            </w:r>
          </w:p>
        </w:tc>
        <w:tc>
          <w:tcPr>
            <w:tcW w:w="593" w:type="pct"/>
            <w:shd w:val="clear" w:color="auto" w:fill="FCE1D9" w:themeFill="accent2" w:themeFillTint="33"/>
            <w:vAlign w:val="center"/>
          </w:tcPr>
          <w:p w14:paraId="7E91D82C"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noProof/>
                <w:color w:val="245F95" w:themeColor="text2"/>
                <w:sz w:val="22"/>
                <w:szCs w:val="22"/>
              </w:rPr>
            </w:pPr>
            <w:r>
              <w:rPr>
                <w:rFonts w:asciiTheme="minorHAnsi" w:hAnsiTheme="minorHAnsi"/>
                <w:b/>
                <w:noProof/>
                <w:color w:val="245F95" w:themeColor="text2"/>
                <w:sz w:val="22"/>
              </w:rPr>
              <w:t>72,4</w:t>
            </w:r>
          </w:p>
        </w:tc>
        <w:tc>
          <w:tcPr>
            <w:tcW w:w="593" w:type="pct"/>
            <w:shd w:val="clear" w:color="auto" w:fill="FCE1D9" w:themeFill="accent2" w:themeFillTint="33"/>
            <w:vAlign w:val="center"/>
          </w:tcPr>
          <w:p w14:paraId="3C1F137C"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noProof/>
                <w:color w:val="245F95" w:themeColor="text2"/>
                <w:sz w:val="22"/>
                <w:szCs w:val="22"/>
              </w:rPr>
            </w:pPr>
            <w:r>
              <w:rPr>
                <w:rFonts w:asciiTheme="minorHAnsi" w:hAnsiTheme="minorHAnsi"/>
                <w:b/>
                <w:noProof/>
                <w:color w:val="245F95" w:themeColor="text2"/>
                <w:sz w:val="22"/>
              </w:rPr>
              <w:t>75,8</w:t>
            </w:r>
          </w:p>
        </w:tc>
        <w:tc>
          <w:tcPr>
            <w:tcW w:w="593" w:type="pct"/>
            <w:shd w:val="clear" w:color="auto" w:fill="FCE1D9" w:themeFill="accent2" w:themeFillTint="33"/>
            <w:vAlign w:val="center"/>
          </w:tcPr>
          <w:p w14:paraId="0F3B4D7F"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noProof/>
                <w:color w:val="245F95" w:themeColor="text2"/>
                <w:sz w:val="22"/>
                <w:szCs w:val="22"/>
              </w:rPr>
            </w:pPr>
            <w:r>
              <w:rPr>
                <w:rFonts w:asciiTheme="minorHAnsi" w:hAnsiTheme="minorHAnsi"/>
                <w:b/>
                <w:noProof/>
                <w:color w:val="245F95" w:themeColor="text2"/>
                <w:sz w:val="22"/>
              </w:rPr>
              <w:t>0,0</w:t>
            </w:r>
          </w:p>
        </w:tc>
        <w:tc>
          <w:tcPr>
            <w:tcW w:w="591" w:type="pct"/>
            <w:shd w:val="clear" w:color="auto" w:fill="FCE1D9" w:themeFill="accent2" w:themeFillTint="33"/>
            <w:vAlign w:val="center"/>
          </w:tcPr>
          <w:p w14:paraId="7118C59E" w14:textId="77777777" w:rsidR="006063A7" w:rsidRPr="007130AF" w:rsidRDefault="006063A7" w:rsidP="007130AF">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noProof/>
                <w:color w:val="245F95" w:themeColor="text2"/>
                <w:sz w:val="22"/>
                <w:szCs w:val="22"/>
              </w:rPr>
            </w:pPr>
            <w:r>
              <w:rPr>
                <w:rFonts w:asciiTheme="minorHAnsi" w:hAnsiTheme="minorHAnsi"/>
                <w:b/>
                <w:noProof/>
                <w:color w:val="245F95" w:themeColor="text2"/>
                <w:sz w:val="22"/>
              </w:rPr>
              <w:t>148,1</w:t>
            </w:r>
          </w:p>
        </w:tc>
      </w:tr>
    </w:tbl>
    <w:p w14:paraId="51EBA2CC" w14:textId="77777777" w:rsidR="00E438BB" w:rsidRPr="00390EB1" w:rsidRDefault="00E438BB">
      <w:pPr>
        <w:rPr>
          <w:noProof/>
        </w:rPr>
        <w:sectPr w:rsidR="00E438BB" w:rsidRPr="00390EB1">
          <w:headerReference w:type="even" r:id="rId35"/>
          <w:headerReference w:type="default" r:id="rId36"/>
          <w:footerReference w:type="even" r:id="rId37"/>
          <w:footerReference w:type="default" r:id="rId38"/>
          <w:headerReference w:type="first" r:id="rId39"/>
          <w:footerReference w:type="first" r:id="rId40"/>
          <w:pgSz w:w="11906" w:h="16838"/>
          <w:pgMar w:top="1321" w:right="1151" w:bottom="1440" w:left="1151" w:header="720" w:footer="720" w:gutter="0"/>
          <w:cols w:space="720"/>
          <w:docGrid w:linePitch="326"/>
        </w:sectPr>
      </w:pPr>
    </w:p>
    <w:p w14:paraId="18A2CCB3" w14:textId="2AC5CD54" w:rsidR="00861C1C" w:rsidRPr="00682537" w:rsidRDefault="2A67BF04" w:rsidP="00682537">
      <w:pPr>
        <w:pStyle w:val="Heading2"/>
        <w:rPr>
          <w:noProof/>
        </w:rPr>
      </w:pPr>
      <w:bookmarkStart w:id="82" w:name="_Toc170319531"/>
      <w:r>
        <w:rPr>
          <w:noProof/>
        </w:rPr>
        <w:t>Tabela 4 – Zmiana łącznej kwoty zobowiązań pozostających do spłaty</w:t>
      </w:r>
      <w:r w:rsidR="00C56AFD">
        <w:rPr>
          <w:noProof/>
        </w:rPr>
        <w:t xml:space="preserve"> w</w:t>
      </w:r>
      <w:r w:rsidR="00C56AFD">
        <w:rPr>
          <w:rFonts w:ascii="Calibri" w:hAnsi="Calibri" w:cs="Calibri"/>
          <w:noProof/>
        </w:rPr>
        <w:t> </w:t>
      </w:r>
      <w:r w:rsidR="00C56AFD">
        <w:rPr>
          <w:noProof/>
        </w:rPr>
        <w:t>lat</w:t>
      </w:r>
      <w:r>
        <w:rPr>
          <w:noProof/>
        </w:rPr>
        <w:t>ach 2025–2027</w:t>
      </w:r>
      <w:bookmarkEnd w:id="82"/>
    </w:p>
    <w:tbl>
      <w:tblPr>
        <w:tblStyle w:val="AMPR2021"/>
        <w:tblpPr w:leftFromText="180" w:rightFromText="180" w:vertAnchor="text" w:horzAnchor="margin" w:tblpY="108"/>
        <w:tblW w:w="5000" w:type="pct"/>
        <w:tblBorders>
          <w:top w:val="none" w:sz="0" w:space="0" w:color="auto"/>
          <w:bottom w:val="none" w:sz="0" w:space="0" w:color="auto"/>
          <w:insideH w:val="single" w:sz="6" w:space="0" w:color="BFBFBF" w:themeColor="background1" w:themeShade="BF"/>
          <w:insideV w:val="single" w:sz="6" w:space="0" w:color="BFBFBF" w:themeColor="background1" w:themeShade="BF"/>
        </w:tblBorders>
        <w:tblLook w:val="06A0" w:firstRow="1" w:lastRow="0" w:firstColumn="1" w:lastColumn="0" w:noHBand="1" w:noVBand="1"/>
      </w:tblPr>
      <w:tblGrid>
        <w:gridCol w:w="1148"/>
        <w:gridCol w:w="1863"/>
        <w:gridCol w:w="1738"/>
        <w:gridCol w:w="1883"/>
        <w:gridCol w:w="1593"/>
        <w:gridCol w:w="1595"/>
      </w:tblGrid>
      <w:tr w:rsidR="002D223B" w:rsidRPr="00390EB1" w14:paraId="7696446C" w14:textId="77777777" w:rsidTr="00A61FE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4" w:type="pct"/>
          </w:tcPr>
          <w:p w14:paraId="141A98F2" w14:textId="77777777" w:rsidR="002D223B" w:rsidRPr="00390EB1" w:rsidRDefault="002D223B" w:rsidP="002D223B">
            <w:pPr>
              <w:rPr>
                <w:rFonts w:eastAsia="Calibri"/>
                <w:noProof/>
                <w:sz w:val="22"/>
                <w:szCs w:val="18"/>
              </w:rPr>
            </w:pPr>
            <w:r>
              <w:rPr>
                <w:noProof/>
                <w:sz w:val="22"/>
              </w:rPr>
              <w:t>Źródło</w:t>
            </w:r>
          </w:p>
        </w:tc>
        <w:tc>
          <w:tcPr>
            <w:tcW w:w="948" w:type="pct"/>
          </w:tcPr>
          <w:p w14:paraId="5B6A35FB" w14:textId="76BA1D9B" w:rsidR="002D223B" w:rsidRPr="00390EB1" w:rsidRDefault="002D223B" w:rsidP="002D223B">
            <w:pPr>
              <w:cnfStyle w:val="100000000000" w:firstRow="1" w:lastRow="0" w:firstColumn="0" w:lastColumn="0" w:oddVBand="0" w:evenVBand="0" w:oddHBand="0" w:evenHBand="0" w:firstRowFirstColumn="0" w:firstRowLastColumn="0" w:lastRowFirstColumn="0" w:lastRowLastColumn="0"/>
              <w:rPr>
                <w:rFonts w:eastAsia="Calibri"/>
                <w:b w:val="0"/>
                <w:noProof/>
                <w:sz w:val="22"/>
                <w:szCs w:val="22"/>
              </w:rPr>
            </w:pPr>
            <w:r>
              <w:rPr>
                <w:noProof/>
                <w:sz w:val="22"/>
              </w:rPr>
              <w:t>Zobowiązania pozostające do spłaty na początku 20</w:t>
            </w:r>
            <w:r w:rsidRPr="00C56AFD">
              <w:rPr>
                <w:noProof/>
                <w:sz w:val="22"/>
              </w:rPr>
              <w:t>25</w:t>
            </w:r>
            <w:r w:rsidR="00C56AFD" w:rsidRPr="00C56AFD">
              <w:rPr>
                <w:rFonts w:ascii="Calibri" w:hAnsi="Calibri" w:cs="Calibri"/>
                <w:noProof/>
                <w:sz w:val="22"/>
              </w:rPr>
              <w:t> </w:t>
            </w:r>
            <w:r w:rsidRPr="00C56AFD">
              <w:rPr>
                <w:noProof/>
                <w:sz w:val="22"/>
              </w:rPr>
              <w:t>r.</w:t>
            </w:r>
            <w:r>
              <w:rPr>
                <w:noProof/>
                <w:sz w:val="22"/>
              </w:rPr>
              <w:t xml:space="preserve"> (szacunkowo)*</w:t>
            </w:r>
          </w:p>
        </w:tc>
        <w:tc>
          <w:tcPr>
            <w:tcW w:w="885" w:type="pct"/>
          </w:tcPr>
          <w:p w14:paraId="14A5D59F" w14:textId="77777777" w:rsidR="002D223B" w:rsidRPr="00390EB1" w:rsidRDefault="002D223B" w:rsidP="002D223B">
            <w:pPr>
              <w:cnfStyle w:val="100000000000" w:firstRow="1" w:lastRow="0" w:firstColumn="0" w:lastColumn="0" w:oddVBand="0" w:evenVBand="0" w:oddHBand="0" w:evenHBand="0" w:firstRowFirstColumn="0" w:firstRowLastColumn="0" w:lastRowFirstColumn="0" w:lastRowLastColumn="0"/>
              <w:rPr>
                <w:rFonts w:eastAsia="Calibri"/>
                <w:noProof/>
                <w:sz w:val="22"/>
                <w:szCs w:val="22"/>
              </w:rPr>
            </w:pPr>
            <w:r>
              <w:rPr>
                <w:noProof/>
                <w:sz w:val="22"/>
              </w:rPr>
              <w:t>Zobowiązania 2025–2027</w:t>
            </w:r>
          </w:p>
        </w:tc>
        <w:tc>
          <w:tcPr>
            <w:tcW w:w="959" w:type="pct"/>
          </w:tcPr>
          <w:p w14:paraId="3900FCC5" w14:textId="77777777" w:rsidR="002D223B" w:rsidRPr="00390EB1" w:rsidRDefault="002D223B" w:rsidP="002D223B">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Pr>
                <w:noProof/>
                <w:sz w:val="22"/>
              </w:rPr>
              <w:t>Płatności 2025–2027</w:t>
            </w:r>
          </w:p>
        </w:tc>
        <w:tc>
          <w:tcPr>
            <w:tcW w:w="811" w:type="pct"/>
          </w:tcPr>
          <w:p w14:paraId="75EDDA65" w14:textId="77777777" w:rsidR="002D223B" w:rsidRPr="00390EB1" w:rsidRDefault="002D223B" w:rsidP="002D223B">
            <w:pPr>
              <w:cnfStyle w:val="100000000000" w:firstRow="1" w:lastRow="0" w:firstColumn="0" w:lastColumn="0" w:oddVBand="0" w:evenVBand="0" w:oddHBand="0" w:evenHBand="0" w:firstRowFirstColumn="0" w:firstRowLastColumn="0" w:lastRowFirstColumn="0" w:lastRowLastColumn="0"/>
              <w:rPr>
                <w:rFonts w:eastAsia="Calibri"/>
                <w:b w:val="0"/>
                <w:noProof/>
                <w:sz w:val="22"/>
                <w:szCs w:val="22"/>
              </w:rPr>
            </w:pPr>
            <w:r>
              <w:rPr>
                <w:noProof/>
                <w:sz w:val="22"/>
              </w:rPr>
              <w:t>Umorzenia 2025–2027</w:t>
            </w:r>
          </w:p>
        </w:tc>
        <w:tc>
          <w:tcPr>
            <w:tcW w:w="812" w:type="pct"/>
          </w:tcPr>
          <w:p w14:paraId="40E043CF" w14:textId="194CF77A" w:rsidR="002D223B" w:rsidRPr="00390EB1" w:rsidRDefault="002D223B" w:rsidP="002D223B">
            <w:pPr>
              <w:cnfStyle w:val="100000000000" w:firstRow="1" w:lastRow="0" w:firstColumn="0" w:lastColumn="0" w:oddVBand="0" w:evenVBand="0" w:oddHBand="0" w:evenHBand="0" w:firstRowFirstColumn="0" w:firstRowLastColumn="0" w:lastRowFirstColumn="0" w:lastRowLastColumn="0"/>
              <w:rPr>
                <w:rFonts w:eastAsia="Calibri"/>
                <w:noProof/>
                <w:sz w:val="22"/>
                <w:szCs w:val="22"/>
              </w:rPr>
            </w:pPr>
            <w:r>
              <w:rPr>
                <w:noProof/>
                <w:sz w:val="22"/>
              </w:rPr>
              <w:t>Zobowiązania pozostające do spłaty do końca 20</w:t>
            </w:r>
            <w:r w:rsidRPr="00C56AFD">
              <w:rPr>
                <w:noProof/>
                <w:sz w:val="22"/>
              </w:rPr>
              <w:t>27</w:t>
            </w:r>
            <w:r w:rsidR="00C56AFD" w:rsidRPr="00C56AFD">
              <w:rPr>
                <w:rFonts w:ascii="Calibri" w:hAnsi="Calibri" w:cs="Calibri"/>
                <w:noProof/>
                <w:sz w:val="22"/>
              </w:rPr>
              <w:t> </w:t>
            </w:r>
            <w:r w:rsidRPr="00C56AFD">
              <w:rPr>
                <w:noProof/>
                <w:sz w:val="22"/>
              </w:rPr>
              <w:t>r.</w:t>
            </w:r>
          </w:p>
        </w:tc>
      </w:tr>
      <w:tr w:rsidR="002D223B" w:rsidRPr="00390EB1" w14:paraId="4DAE745F" w14:textId="77777777" w:rsidTr="00A61FEB">
        <w:trPr>
          <w:trHeight w:val="454"/>
        </w:trPr>
        <w:tc>
          <w:tcPr>
            <w:cnfStyle w:val="001000000000" w:firstRow="0" w:lastRow="0" w:firstColumn="1" w:lastColumn="0" w:oddVBand="0" w:evenVBand="0" w:oddHBand="0" w:evenHBand="0" w:firstRowFirstColumn="0" w:firstRowLastColumn="0" w:lastRowFirstColumn="0" w:lastRowLastColumn="0"/>
            <w:tcW w:w="584" w:type="pct"/>
          </w:tcPr>
          <w:p w14:paraId="7DCBD678" w14:textId="77777777" w:rsidR="002D223B" w:rsidRPr="007C4C2C" w:rsidRDefault="002D223B" w:rsidP="002D223B">
            <w:pPr>
              <w:rPr>
                <w:rFonts w:eastAsia="Calibri"/>
                <w:noProof/>
                <w:color w:val="245F95" w:themeColor="text2"/>
                <w:sz w:val="22"/>
                <w:szCs w:val="18"/>
              </w:rPr>
            </w:pPr>
            <w:r>
              <w:rPr>
                <w:noProof/>
                <w:color w:val="245F95" w:themeColor="text2"/>
                <w:sz w:val="22"/>
              </w:rPr>
              <w:t xml:space="preserve">WRF </w:t>
            </w:r>
          </w:p>
        </w:tc>
        <w:tc>
          <w:tcPr>
            <w:tcW w:w="948" w:type="pct"/>
            <w:vAlign w:val="bottom"/>
          </w:tcPr>
          <w:p w14:paraId="0FEFC7E3" w14:textId="53D16339" w:rsidR="002D223B" w:rsidRPr="00390EB1" w:rsidRDefault="002D223B" w:rsidP="002D223B">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325,8</w:t>
            </w:r>
          </w:p>
        </w:tc>
        <w:tc>
          <w:tcPr>
            <w:tcW w:w="885" w:type="pct"/>
            <w:vAlign w:val="bottom"/>
          </w:tcPr>
          <w:p w14:paraId="7CD4008A" w14:textId="22D86091" w:rsidR="002D223B" w:rsidRPr="00390EB1" w:rsidRDefault="002D223B" w:rsidP="002D223B">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583,3</w:t>
            </w:r>
          </w:p>
        </w:tc>
        <w:tc>
          <w:tcPr>
            <w:tcW w:w="959" w:type="pct"/>
            <w:vAlign w:val="bottom"/>
          </w:tcPr>
          <w:p w14:paraId="6C25AD5C" w14:textId="193DD593" w:rsidR="002D223B" w:rsidRPr="00390EB1" w:rsidRDefault="002D223B" w:rsidP="002D223B">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22"/>
              </w:rPr>
            </w:pPr>
            <w:r>
              <w:rPr>
                <w:noProof/>
                <w:sz w:val="22"/>
              </w:rPr>
              <w:t>535,6</w:t>
            </w:r>
          </w:p>
        </w:tc>
        <w:tc>
          <w:tcPr>
            <w:tcW w:w="811" w:type="pct"/>
            <w:vAlign w:val="bottom"/>
          </w:tcPr>
          <w:p w14:paraId="7C788CBE" w14:textId="3C33248B" w:rsidR="002D223B" w:rsidRPr="00390EB1" w:rsidRDefault="002D223B" w:rsidP="002D223B">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22"/>
              </w:rPr>
            </w:pPr>
            <w:r>
              <w:rPr>
                <w:noProof/>
                <w:sz w:val="22"/>
              </w:rPr>
              <w:t>8,8</w:t>
            </w:r>
          </w:p>
        </w:tc>
        <w:tc>
          <w:tcPr>
            <w:tcW w:w="812" w:type="pct"/>
            <w:vAlign w:val="bottom"/>
          </w:tcPr>
          <w:p w14:paraId="37BC4BA3" w14:textId="76CFC361" w:rsidR="002D223B" w:rsidRPr="00390EB1" w:rsidRDefault="00AB21AC" w:rsidP="002D223B">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22"/>
              </w:rPr>
            </w:pPr>
            <w:r>
              <w:rPr>
                <w:noProof/>
                <w:sz w:val="22"/>
              </w:rPr>
              <w:t>364,7</w:t>
            </w:r>
          </w:p>
        </w:tc>
      </w:tr>
      <w:tr w:rsidR="002D223B" w:rsidRPr="00390EB1" w14:paraId="272C14B4" w14:textId="77777777" w:rsidTr="00A61FEB">
        <w:trPr>
          <w:trHeight w:val="454"/>
        </w:trPr>
        <w:tc>
          <w:tcPr>
            <w:cnfStyle w:val="001000000000" w:firstRow="0" w:lastRow="0" w:firstColumn="1" w:lastColumn="0" w:oddVBand="0" w:evenVBand="0" w:oddHBand="0" w:evenHBand="0" w:firstRowFirstColumn="0" w:firstRowLastColumn="0" w:lastRowFirstColumn="0" w:lastRowLastColumn="0"/>
            <w:tcW w:w="584" w:type="pct"/>
          </w:tcPr>
          <w:p w14:paraId="38B33748" w14:textId="77777777" w:rsidR="002D223B" w:rsidRPr="007C4C2C" w:rsidRDefault="002D223B" w:rsidP="002D223B">
            <w:pPr>
              <w:rPr>
                <w:rFonts w:eastAsia="Calibri"/>
                <w:noProof/>
                <w:color w:val="245F95" w:themeColor="text2"/>
                <w:sz w:val="22"/>
                <w:szCs w:val="18"/>
              </w:rPr>
            </w:pPr>
            <w:r>
              <w:rPr>
                <w:noProof/>
                <w:color w:val="245F95" w:themeColor="text2"/>
                <w:sz w:val="22"/>
              </w:rPr>
              <w:t xml:space="preserve">NGEU </w:t>
            </w:r>
          </w:p>
        </w:tc>
        <w:tc>
          <w:tcPr>
            <w:tcW w:w="948" w:type="pct"/>
            <w:vAlign w:val="bottom"/>
          </w:tcPr>
          <w:p w14:paraId="4E5C85AB" w14:textId="77777777" w:rsidR="002D223B" w:rsidRPr="00390EB1" w:rsidRDefault="002D223B" w:rsidP="002D223B">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148,0</w:t>
            </w:r>
          </w:p>
        </w:tc>
        <w:tc>
          <w:tcPr>
            <w:tcW w:w="885" w:type="pct"/>
            <w:vAlign w:val="bottom"/>
          </w:tcPr>
          <w:p w14:paraId="4E80DA05" w14:textId="77777777" w:rsidR="002D223B" w:rsidRPr="00390EB1" w:rsidRDefault="002D223B" w:rsidP="002D223B">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0,1</w:t>
            </w:r>
          </w:p>
        </w:tc>
        <w:tc>
          <w:tcPr>
            <w:tcW w:w="959" w:type="pct"/>
            <w:vAlign w:val="bottom"/>
          </w:tcPr>
          <w:p w14:paraId="4038D70B" w14:textId="77777777" w:rsidR="002D223B" w:rsidRPr="00390EB1" w:rsidRDefault="002D223B" w:rsidP="002D223B">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148,1</w:t>
            </w:r>
          </w:p>
        </w:tc>
        <w:tc>
          <w:tcPr>
            <w:tcW w:w="811" w:type="pct"/>
            <w:vAlign w:val="bottom"/>
          </w:tcPr>
          <w:p w14:paraId="5F9EAA0B" w14:textId="77777777" w:rsidR="002D223B" w:rsidRPr="00390EB1" w:rsidRDefault="002D223B" w:rsidP="002D223B">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p>
        </w:tc>
        <w:tc>
          <w:tcPr>
            <w:tcW w:w="812" w:type="pct"/>
            <w:vAlign w:val="bottom"/>
          </w:tcPr>
          <w:p w14:paraId="64EE5B29" w14:textId="77777777" w:rsidR="002D223B" w:rsidRPr="00390EB1" w:rsidRDefault="002D223B" w:rsidP="002D223B">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p>
        </w:tc>
      </w:tr>
      <w:tr w:rsidR="002D223B" w:rsidRPr="00390EB1" w14:paraId="677F038C" w14:textId="77777777" w:rsidTr="00A61FEB">
        <w:trPr>
          <w:trHeight w:val="454"/>
        </w:trPr>
        <w:tc>
          <w:tcPr>
            <w:cnfStyle w:val="001000000000" w:firstRow="0" w:lastRow="0" w:firstColumn="1" w:lastColumn="0" w:oddVBand="0" w:evenVBand="0" w:oddHBand="0" w:evenHBand="0" w:firstRowFirstColumn="0" w:firstRowLastColumn="0" w:lastRowFirstColumn="0" w:lastRowLastColumn="0"/>
            <w:tcW w:w="584" w:type="pct"/>
            <w:shd w:val="clear" w:color="auto" w:fill="FCE1D9" w:themeFill="accent2" w:themeFillTint="33"/>
          </w:tcPr>
          <w:p w14:paraId="61230AF1" w14:textId="77777777" w:rsidR="002D223B" w:rsidRPr="007C4C2C" w:rsidRDefault="002D223B" w:rsidP="002D223B">
            <w:pPr>
              <w:rPr>
                <w:rFonts w:eastAsia="Calibri"/>
                <w:noProof/>
                <w:color w:val="245F95" w:themeColor="text2"/>
                <w:sz w:val="22"/>
                <w:szCs w:val="18"/>
              </w:rPr>
            </w:pPr>
            <w:r>
              <w:rPr>
                <w:noProof/>
                <w:color w:val="245F95" w:themeColor="text2"/>
                <w:sz w:val="22"/>
              </w:rPr>
              <w:t>Ogółem</w:t>
            </w:r>
          </w:p>
        </w:tc>
        <w:tc>
          <w:tcPr>
            <w:tcW w:w="948" w:type="pct"/>
            <w:shd w:val="clear" w:color="auto" w:fill="FCE1D9" w:themeFill="accent2" w:themeFillTint="33"/>
            <w:vAlign w:val="bottom"/>
          </w:tcPr>
          <w:p w14:paraId="18679951" w14:textId="45513B27" w:rsidR="002D223B" w:rsidRPr="00390EB1" w:rsidRDefault="002D223B" w:rsidP="002D223B">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Pr>
                <w:b/>
                <w:noProof/>
                <w:sz w:val="22"/>
              </w:rPr>
              <w:t>473,9</w:t>
            </w:r>
          </w:p>
        </w:tc>
        <w:tc>
          <w:tcPr>
            <w:tcW w:w="885" w:type="pct"/>
            <w:shd w:val="clear" w:color="auto" w:fill="FCE1D9" w:themeFill="accent2" w:themeFillTint="33"/>
            <w:vAlign w:val="bottom"/>
          </w:tcPr>
          <w:p w14:paraId="59718321" w14:textId="5BC43F74" w:rsidR="002D223B" w:rsidRPr="00390EB1" w:rsidRDefault="002D223B" w:rsidP="002D223B">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Pr>
                <w:b/>
                <w:noProof/>
                <w:sz w:val="22"/>
              </w:rPr>
              <w:t>583,4</w:t>
            </w:r>
          </w:p>
        </w:tc>
        <w:tc>
          <w:tcPr>
            <w:tcW w:w="959" w:type="pct"/>
            <w:shd w:val="clear" w:color="auto" w:fill="FCE1D9" w:themeFill="accent2" w:themeFillTint="33"/>
            <w:vAlign w:val="bottom"/>
          </w:tcPr>
          <w:p w14:paraId="72C0667F" w14:textId="32B9CA50" w:rsidR="002D223B" w:rsidRPr="00390EB1" w:rsidRDefault="002D223B" w:rsidP="002D223B">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noProof/>
                <w:sz w:val="22"/>
                <w:szCs w:val="22"/>
              </w:rPr>
            </w:pPr>
            <w:r>
              <w:rPr>
                <w:b/>
                <w:noProof/>
                <w:sz w:val="22"/>
              </w:rPr>
              <w:t>683,8</w:t>
            </w:r>
          </w:p>
        </w:tc>
        <w:tc>
          <w:tcPr>
            <w:tcW w:w="811" w:type="pct"/>
            <w:shd w:val="clear" w:color="auto" w:fill="FCE1D9" w:themeFill="accent2" w:themeFillTint="33"/>
            <w:vAlign w:val="bottom"/>
          </w:tcPr>
          <w:p w14:paraId="5A290A59" w14:textId="68D6EB5C" w:rsidR="002D223B" w:rsidRPr="00390EB1" w:rsidRDefault="002D223B" w:rsidP="002D223B">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noProof/>
                <w:sz w:val="22"/>
                <w:szCs w:val="22"/>
              </w:rPr>
            </w:pPr>
            <w:r>
              <w:rPr>
                <w:b/>
                <w:noProof/>
                <w:sz w:val="22"/>
              </w:rPr>
              <w:t>8,8</w:t>
            </w:r>
          </w:p>
        </w:tc>
        <w:tc>
          <w:tcPr>
            <w:tcW w:w="812" w:type="pct"/>
            <w:shd w:val="clear" w:color="auto" w:fill="FCE1D9" w:themeFill="accent2" w:themeFillTint="33"/>
            <w:vAlign w:val="bottom"/>
          </w:tcPr>
          <w:p w14:paraId="737EEE0B" w14:textId="6A69D42F" w:rsidR="002D223B" w:rsidRPr="00390EB1" w:rsidRDefault="002D223B" w:rsidP="002D223B">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noProof/>
                <w:sz w:val="22"/>
                <w:szCs w:val="22"/>
              </w:rPr>
            </w:pPr>
            <w:r>
              <w:rPr>
                <w:b/>
                <w:noProof/>
                <w:sz w:val="22"/>
              </w:rPr>
              <w:t>364,7</w:t>
            </w:r>
          </w:p>
        </w:tc>
      </w:tr>
    </w:tbl>
    <w:p w14:paraId="1BEC179E" w14:textId="08D50D96" w:rsidR="00682537" w:rsidRPr="006F4008" w:rsidRDefault="00682537" w:rsidP="00682537">
      <w:pPr>
        <w:rPr>
          <w:i/>
          <w:noProof/>
          <w:sz w:val="16"/>
          <w:szCs w:val="16"/>
        </w:rPr>
      </w:pPr>
      <w:r>
        <w:rPr>
          <w:i/>
          <w:noProof/>
          <w:sz w:val="16"/>
        </w:rPr>
        <w:t>* Zobowiązania pozostające do spłaty na początku 20</w:t>
      </w:r>
      <w:r w:rsidRPr="00C56AFD">
        <w:rPr>
          <w:i/>
          <w:noProof/>
          <w:sz w:val="16"/>
        </w:rPr>
        <w:t>25</w:t>
      </w:r>
      <w:r w:rsidR="00C56AFD" w:rsidRPr="00C56AFD">
        <w:rPr>
          <w:rFonts w:ascii="Calibri" w:hAnsi="Calibri" w:cs="Calibri"/>
          <w:i/>
          <w:noProof/>
          <w:sz w:val="16"/>
        </w:rPr>
        <w:t> </w:t>
      </w:r>
      <w:r w:rsidRPr="00C56AFD">
        <w:rPr>
          <w:i/>
          <w:noProof/>
          <w:sz w:val="16"/>
        </w:rPr>
        <w:t>r.</w:t>
      </w:r>
      <w:r>
        <w:rPr>
          <w:i/>
          <w:noProof/>
          <w:sz w:val="16"/>
        </w:rPr>
        <w:t xml:space="preserve"> obejmują 19,7 mld EUR wygenerowanych</w:t>
      </w:r>
      <w:r w:rsidR="00C56AFD">
        <w:rPr>
          <w:i/>
          <w:noProof/>
          <w:sz w:val="16"/>
        </w:rPr>
        <w:t xml:space="preserve"> z</w:t>
      </w:r>
      <w:r w:rsidR="00C56AFD">
        <w:rPr>
          <w:rFonts w:ascii="Calibri" w:hAnsi="Calibri" w:cs="Calibri"/>
          <w:i/>
          <w:noProof/>
          <w:sz w:val="16"/>
        </w:rPr>
        <w:t> </w:t>
      </w:r>
      <w:r w:rsidR="00C56AFD">
        <w:rPr>
          <w:i/>
          <w:noProof/>
          <w:sz w:val="16"/>
        </w:rPr>
        <w:t>zew</w:t>
      </w:r>
      <w:r>
        <w:rPr>
          <w:i/>
          <w:noProof/>
          <w:sz w:val="16"/>
        </w:rPr>
        <w:t>nętrznych dochodów przeznaczonych na określony cel (z wyłączeniem NextGenerationEU), których nie uwzględniono</w:t>
      </w:r>
      <w:r w:rsidR="00C56AFD">
        <w:rPr>
          <w:i/>
          <w:noProof/>
          <w:sz w:val="16"/>
        </w:rPr>
        <w:t xml:space="preserve"> w</w:t>
      </w:r>
      <w:r w:rsidR="00C56AFD">
        <w:rPr>
          <w:rFonts w:ascii="Calibri" w:hAnsi="Calibri" w:cs="Calibri"/>
          <w:i/>
          <w:noProof/>
          <w:sz w:val="16"/>
        </w:rPr>
        <w:t> </w:t>
      </w:r>
      <w:r w:rsidR="00C56AFD">
        <w:rPr>
          <w:i/>
          <w:noProof/>
          <w:sz w:val="16"/>
        </w:rPr>
        <w:t>tab</w:t>
      </w:r>
      <w:r>
        <w:rPr>
          <w:i/>
          <w:noProof/>
          <w:sz w:val="16"/>
        </w:rPr>
        <w:t>eli.</w:t>
      </w:r>
    </w:p>
    <w:p w14:paraId="4B52C085" w14:textId="22626301" w:rsidR="00682537" w:rsidRPr="006F4008" w:rsidRDefault="00682537" w:rsidP="00682537">
      <w:pPr>
        <w:rPr>
          <w:i/>
          <w:noProof/>
          <w:sz w:val="16"/>
          <w:szCs w:val="16"/>
        </w:rPr>
      </w:pPr>
      <w:r>
        <w:rPr>
          <w:i/>
          <w:noProof/>
          <w:sz w:val="16"/>
        </w:rPr>
        <w:t>* Nie uwzględnia się wewnętrznych dochodów przeznaczonych na określony cel.</w:t>
      </w:r>
    </w:p>
    <w:p w14:paraId="4C0F8082" w14:textId="77777777" w:rsidR="00682537" w:rsidRPr="00682537" w:rsidRDefault="00682537" w:rsidP="00682537">
      <w:pPr>
        <w:rPr>
          <w:noProof/>
        </w:rPr>
      </w:pPr>
      <w:bookmarkStart w:id="83" w:name="_Toc74236911"/>
      <w:bookmarkStart w:id="84" w:name="_Hlk134032462"/>
      <w:r>
        <w:rPr>
          <w:noProof/>
        </w:rPr>
        <w:br w:type="page"/>
      </w:r>
    </w:p>
    <w:p w14:paraId="505EF06B" w14:textId="075B95F0" w:rsidR="00493A2E" w:rsidRDefault="003B6DC2" w:rsidP="00BD74A7">
      <w:pPr>
        <w:pStyle w:val="Heading2"/>
        <w:rPr>
          <w:noProof/>
        </w:rPr>
      </w:pPr>
      <w:bookmarkStart w:id="85" w:name="_Toc170319532"/>
      <w:r>
        <w:rPr>
          <w:noProof/>
        </w:rPr>
        <w:t xml:space="preserve">Tabela 5 – Prognoza długoterminowa przyszłych wpływów do budżetu UE na lata </w:t>
      </w:r>
      <w:bookmarkEnd w:id="83"/>
      <w:r>
        <w:rPr>
          <w:noProof/>
        </w:rPr>
        <w:t>2025–2029</w:t>
      </w:r>
      <w:bookmarkEnd w:id="85"/>
    </w:p>
    <w:tbl>
      <w:tblPr>
        <w:tblW w:w="5000" w:type="pct"/>
        <w:tblLayout w:type="fixed"/>
        <w:tblLook w:val="04A0" w:firstRow="1" w:lastRow="0" w:firstColumn="1" w:lastColumn="0" w:noHBand="0" w:noVBand="1"/>
      </w:tblPr>
      <w:tblGrid>
        <w:gridCol w:w="3088"/>
        <w:gridCol w:w="567"/>
        <w:gridCol w:w="1028"/>
        <w:gridCol w:w="1028"/>
        <w:gridCol w:w="1028"/>
        <w:gridCol w:w="1027"/>
        <w:gridCol w:w="1027"/>
        <w:gridCol w:w="1027"/>
      </w:tblGrid>
      <w:tr w:rsidR="0050317D" w:rsidRPr="006437CF" w14:paraId="2BD03258" w14:textId="77777777" w:rsidTr="005301DF">
        <w:trPr>
          <w:trHeight w:val="300"/>
        </w:trPr>
        <w:tc>
          <w:tcPr>
            <w:tcW w:w="1571" w:type="pct"/>
            <w:tcBorders>
              <w:bottom w:val="single" w:sz="6" w:space="0" w:color="BFBFBF" w:themeColor="background1" w:themeShade="BF"/>
              <w:right w:val="single" w:sz="6" w:space="0" w:color="BFBFBF" w:themeColor="background1" w:themeShade="BF"/>
            </w:tcBorders>
            <w:shd w:val="clear" w:color="auto" w:fill="245F95" w:themeFill="text2"/>
            <w:vAlign w:val="center"/>
          </w:tcPr>
          <w:p w14:paraId="5A67E2BA" w14:textId="3EE31C0B" w:rsidR="00EB0E9F" w:rsidRPr="006437CF" w:rsidRDefault="006437CF" w:rsidP="006437CF">
            <w:pPr>
              <w:spacing w:before="100" w:after="100"/>
              <w:rPr>
                <w:b/>
                <w:iCs/>
                <w:noProof/>
                <w:color w:val="FFFFFF" w:themeColor="background1"/>
              </w:rPr>
            </w:pPr>
            <w:r>
              <w:rPr>
                <w:rFonts w:asciiTheme="minorHAnsi" w:hAnsiTheme="minorHAnsi"/>
                <w:b/>
                <w:noProof/>
                <w:color w:val="FFFFFF" w:themeColor="background1"/>
                <w:sz w:val="22"/>
              </w:rPr>
              <w:t>WPŁYWY</w:t>
            </w:r>
          </w:p>
        </w:tc>
        <w:tc>
          <w:tcPr>
            <w:tcW w:w="288" w:type="pct"/>
            <w:tcBorders>
              <w:bottom w:val="single" w:sz="6" w:space="0" w:color="BFBFBF" w:themeColor="background1" w:themeShade="BF"/>
              <w:right w:val="single" w:sz="6" w:space="0" w:color="BFBFBF" w:themeColor="background1" w:themeShade="BF"/>
            </w:tcBorders>
            <w:shd w:val="clear" w:color="auto" w:fill="245F95" w:themeFill="text2"/>
            <w:vAlign w:val="center"/>
          </w:tcPr>
          <w:p w14:paraId="5E71E730" w14:textId="77777777" w:rsidR="00EB0E9F" w:rsidRPr="006437CF" w:rsidRDefault="00EB0E9F" w:rsidP="000D6B02">
            <w:pPr>
              <w:spacing w:before="100" w:after="100"/>
              <w:jc w:val="center"/>
              <w:rPr>
                <w:b/>
                <w:iCs/>
                <w:noProof/>
                <w:color w:val="FFFFFF" w:themeColor="background1"/>
              </w:rPr>
            </w:pPr>
          </w:p>
        </w:tc>
        <w:tc>
          <w:tcPr>
            <w:tcW w:w="523" w:type="pct"/>
            <w:tcBorders>
              <w:bottom w:val="single" w:sz="6" w:space="0" w:color="BFBFBF" w:themeColor="background1" w:themeShade="BF"/>
              <w:right w:val="single" w:sz="6" w:space="0" w:color="BFBFBF" w:themeColor="background1" w:themeShade="BF"/>
            </w:tcBorders>
            <w:shd w:val="clear" w:color="auto" w:fill="245F95" w:themeFill="text2"/>
            <w:vAlign w:val="center"/>
          </w:tcPr>
          <w:p w14:paraId="52BF12AC" w14:textId="400CF921" w:rsidR="00EB0E9F" w:rsidRPr="006437CF" w:rsidRDefault="00EB0E9F" w:rsidP="005301DF">
            <w:pPr>
              <w:spacing w:before="100" w:after="100"/>
              <w:jc w:val="center"/>
              <w:rPr>
                <w:b/>
                <w:iCs/>
                <w:noProof/>
                <w:color w:val="FFFFFF" w:themeColor="background1"/>
              </w:rPr>
            </w:pPr>
            <w:r>
              <w:rPr>
                <w:rFonts w:asciiTheme="minorHAnsi" w:hAnsiTheme="minorHAnsi"/>
                <w:b/>
                <w:noProof/>
                <w:color w:val="FFFFFF" w:themeColor="background1"/>
                <w:sz w:val="22"/>
              </w:rPr>
              <w:t>2025</w:t>
            </w:r>
          </w:p>
        </w:tc>
        <w:tc>
          <w:tcPr>
            <w:tcW w:w="523" w:type="pct"/>
            <w:tcBorders>
              <w:bottom w:val="single" w:sz="6" w:space="0" w:color="BFBFBF" w:themeColor="background1" w:themeShade="BF"/>
              <w:right w:val="single" w:sz="6" w:space="0" w:color="BFBFBF" w:themeColor="background1" w:themeShade="BF"/>
            </w:tcBorders>
            <w:shd w:val="clear" w:color="auto" w:fill="245F95" w:themeFill="text2"/>
            <w:vAlign w:val="center"/>
          </w:tcPr>
          <w:p w14:paraId="073C4274" w14:textId="4CBE2ED8" w:rsidR="00EB0E9F" w:rsidRPr="006437CF" w:rsidRDefault="00EB0E9F" w:rsidP="005301DF">
            <w:pPr>
              <w:spacing w:before="100" w:after="100"/>
              <w:jc w:val="center"/>
              <w:rPr>
                <w:b/>
                <w:iCs/>
                <w:noProof/>
                <w:color w:val="FFFFFF" w:themeColor="background1"/>
              </w:rPr>
            </w:pPr>
            <w:r>
              <w:rPr>
                <w:rFonts w:asciiTheme="minorHAnsi" w:hAnsiTheme="minorHAnsi"/>
                <w:b/>
                <w:noProof/>
                <w:color w:val="FFFFFF" w:themeColor="background1"/>
                <w:sz w:val="22"/>
              </w:rPr>
              <w:t>2026</w:t>
            </w:r>
          </w:p>
        </w:tc>
        <w:tc>
          <w:tcPr>
            <w:tcW w:w="523" w:type="pct"/>
            <w:tcBorders>
              <w:bottom w:val="single" w:sz="6" w:space="0" w:color="BFBFBF" w:themeColor="background1" w:themeShade="BF"/>
              <w:right w:val="single" w:sz="6" w:space="0" w:color="BFBFBF" w:themeColor="background1" w:themeShade="BF"/>
            </w:tcBorders>
            <w:shd w:val="clear" w:color="auto" w:fill="245F95" w:themeFill="text2"/>
            <w:vAlign w:val="center"/>
          </w:tcPr>
          <w:p w14:paraId="2DCE1A2F" w14:textId="3717F5BA" w:rsidR="00EB0E9F" w:rsidRPr="006437CF" w:rsidRDefault="00EB0E9F" w:rsidP="005301DF">
            <w:pPr>
              <w:spacing w:before="100" w:after="100"/>
              <w:jc w:val="center"/>
              <w:rPr>
                <w:b/>
                <w:iCs/>
                <w:noProof/>
                <w:color w:val="FFFFFF" w:themeColor="background1"/>
              </w:rPr>
            </w:pPr>
            <w:r>
              <w:rPr>
                <w:rFonts w:asciiTheme="minorHAnsi" w:hAnsiTheme="minorHAnsi"/>
                <w:b/>
                <w:noProof/>
                <w:color w:val="FFFFFF" w:themeColor="background1"/>
                <w:sz w:val="22"/>
              </w:rPr>
              <w:t>2027</w:t>
            </w:r>
          </w:p>
        </w:tc>
        <w:tc>
          <w:tcPr>
            <w:tcW w:w="523" w:type="pct"/>
            <w:tcBorders>
              <w:bottom w:val="single" w:sz="6" w:space="0" w:color="BFBFBF" w:themeColor="background1" w:themeShade="BF"/>
              <w:right w:val="single" w:sz="6" w:space="0" w:color="BFBFBF" w:themeColor="background1" w:themeShade="BF"/>
            </w:tcBorders>
            <w:shd w:val="clear" w:color="auto" w:fill="245F95" w:themeFill="text2"/>
            <w:vAlign w:val="center"/>
          </w:tcPr>
          <w:p w14:paraId="56CF3FD6" w14:textId="2D3AB192" w:rsidR="00EB0E9F" w:rsidRPr="006437CF" w:rsidRDefault="00EB0E9F" w:rsidP="005301DF">
            <w:pPr>
              <w:spacing w:before="100" w:after="100"/>
              <w:jc w:val="center"/>
              <w:rPr>
                <w:b/>
                <w:iCs/>
                <w:noProof/>
                <w:color w:val="FFFFFF" w:themeColor="background1"/>
              </w:rPr>
            </w:pPr>
            <w:r>
              <w:rPr>
                <w:rFonts w:asciiTheme="minorHAnsi" w:hAnsiTheme="minorHAnsi"/>
                <w:b/>
                <w:noProof/>
                <w:color w:val="FFFFFF" w:themeColor="background1"/>
                <w:sz w:val="22"/>
              </w:rPr>
              <w:t>2028</w:t>
            </w:r>
          </w:p>
        </w:tc>
        <w:tc>
          <w:tcPr>
            <w:tcW w:w="523" w:type="pct"/>
            <w:tcBorders>
              <w:bottom w:val="single" w:sz="6" w:space="0" w:color="BFBFBF" w:themeColor="background1" w:themeShade="BF"/>
              <w:right w:val="single" w:sz="6" w:space="0" w:color="BFBFBF" w:themeColor="background1" w:themeShade="BF"/>
            </w:tcBorders>
            <w:shd w:val="clear" w:color="auto" w:fill="245F95" w:themeFill="text2"/>
            <w:vAlign w:val="center"/>
          </w:tcPr>
          <w:p w14:paraId="67D0C883" w14:textId="3FBAEF14" w:rsidR="00EB0E9F" w:rsidRPr="006437CF" w:rsidRDefault="00EB0E9F" w:rsidP="005301DF">
            <w:pPr>
              <w:spacing w:before="100" w:after="100"/>
              <w:jc w:val="center"/>
              <w:rPr>
                <w:b/>
                <w:iCs/>
                <w:noProof/>
                <w:color w:val="FFFFFF" w:themeColor="background1"/>
              </w:rPr>
            </w:pPr>
            <w:r>
              <w:rPr>
                <w:rFonts w:asciiTheme="minorHAnsi" w:hAnsiTheme="minorHAnsi"/>
                <w:b/>
                <w:noProof/>
                <w:color w:val="FFFFFF" w:themeColor="background1"/>
                <w:sz w:val="22"/>
              </w:rPr>
              <w:t>2029</w:t>
            </w:r>
          </w:p>
        </w:tc>
        <w:tc>
          <w:tcPr>
            <w:tcW w:w="523" w:type="pct"/>
            <w:tcBorders>
              <w:bottom w:val="single" w:sz="6" w:space="0" w:color="BFBFBF" w:themeColor="background1" w:themeShade="BF"/>
            </w:tcBorders>
            <w:shd w:val="clear" w:color="auto" w:fill="245F95" w:themeFill="text2"/>
            <w:vAlign w:val="center"/>
          </w:tcPr>
          <w:p w14:paraId="4FA92647" w14:textId="09C51BFD" w:rsidR="00EB0E9F" w:rsidRPr="006437CF" w:rsidRDefault="00EB0E9F" w:rsidP="005301DF">
            <w:pPr>
              <w:spacing w:before="100" w:after="100"/>
              <w:jc w:val="center"/>
              <w:rPr>
                <w:b/>
                <w:iCs/>
                <w:noProof/>
                <w:color w:val="FFFFFF" w:themeColor="background1"/>
              </w:rPr>
            </w:pPr>
            <w:r>
              <w:rPr>
                <w:rFonts w:asciiTheme="minorHAnsi" w:hAnsiTheme="minorHAnsi"/>
                <w:b/>
                <w:noProof/>
                <w:color w:val="FFFFFF" w:themeColor="background1"/>
                <w:sz w:val="22"/>
              </w:rPr>
              <w:t>Ogółem</w:t>
            </w:r>
          </w:p>
        </w:tc>
      </w:tr>
      <w:tr w:rsidR="00CC6B5D" w:rsidRPr="008C547F" w14:paraId="03E195C6" w14:textId="77777777" w:rsidTr="0050317D">
        <w:trPr>
          <w:trHeight w:val="300"/>
        </w:trPr>
        <w:tc>
          <w:tcPr>
            <w:tcW w:w="1571"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43F51B" w14:textId="79C377E1" w:rsidR="00EB0E9F" w:rsidRPr="008C547F" w:rsidRDefault="00EB0E9F" w:rsidP="006437CF">
            <w:pPr>
              <w:spacing w:before="100" w:after="100"/>
              <w:rPr>
                <w:b/>
                <w:iCs/>
                <w:noProof/>
                <w:color w:val="245F95" w:themeColor="text2"/>
              </w:rPr>
            </w:pPr>
            <w:r>
              <w:rPr>
                <w:rFonts w:asciiTheme="minorHAnsi" w:hAnsiTheme="minorHAnsi"/>
                <w:b/>
                <w:noProof/>
                <w:color w:val="245F95" w:themeColor="text2"/>
                <w:sz w:val="22"/>
              </w:rPr>
              <w:t>Pułap zasobów własnych wyrażony jako odsetek dochodu narodowego brutto UE</w:t>
            </w:r>
          </w:p>
        </w:tc>
        <w:tc>
          <w:tcPr>
            <w:tcW w:w="288"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1EEAB2" w14:textId="77777777" w:rsidR="00EB0E9F" w:rsidRPr="008C547F" w:rsidRDefault="00EB0E9F" w:rsidP="000D6B02">
            <w:pPr>
              <w:spacing w:before="100" w:after="100"/>
              <w:jc w:val="center"/>
              <w:rPr>
                <w:b/>
                <w:iCs/>
                <w:noProof/>
              </w:rPr>
            </w:pP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1E78FF" w14:textId="7E8E7277" w:rsidR="00EB0E9F" w:rsidRPr="008C547F" w:rsidRDefault="00EB0E9F" w:rsidP="005301DF">
            <w:pPr>
              <w:spacing w:before="100" w:after="100"/>
              <w:jc w:val="center"/>
              <w:rPr>
                <w:b/>
                <w:iCs/>
                <w:noProof/>
              </w:rPr>
            </w:pPr>
            <w:r>
              <w:rPr>
                <w:rFonts w:asciiTheme="minorHAnsi" w:hAnsiTheme="minorHAnsi"/>
                <w:b/>
                <w:noProof/>
                <w:sz w:val="22"/>
              </w:rPr>
              <w:t>2,0</w:t>
            </w:r>
            <w:r w:rsidRPr="00C56AFD">
              <w:rPr>
                <w:rFonts w:asciiTheme="minorHAnsi" w:hAnsiTheme="minorHAnsi"/>
                <w:b/>
                <w:noProof/>
                <w:sz w:val="22"/>
              </w:rPr>
              <w:t>0</w:t>
            </w:r>
            <w:r w:rsidR="00C56AFD" w:rsidRPr="00C56AFD">
              <w:rPr>
                <w:rFonts w:ascii="Calibri" w:hAnsi="Calibri" w:cs="Calibri"/>
                <w:b/>
                <w:noProof/>
                <w:sz w:val="22"/>
              </w:rPr>
              <w:t> </w:t>
            </w:r>
            <w:r w:rsidRPr="00C56AFD">
              <w:rPr>
                <w:rFonts w:asciiTheme="minorHAnsi" w:hAnsiTheme="minorHAnsi"/>
                <w:b/>
                <w:noProof/>
                <w:sz w:val="22"/>
              </w:rPr>
              <w:t>%</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D14894E" w14:textId="1FF8CB2D" w:rsidR="00EB0E9F" w:rsidRPr="008C547F" w:rsidRDefault="00EB0E9F" w:rsidP="005301DF">
            <w:pPr>
              <w:spacing w:before="100" w:after="100"/>
              <w:jc w:val="center"/>
              <w:rPr>
                <w:b/>
                <w:iCs/>
                <w:noProof/>
              </w:rPr>
            </w:pPr>
            <w:r>
              <w:rPr>
                <w:rFonts w:asciiTheme="minorHAnsi" w:hAnsiTheme="minorHAnsi"/>
                <w:b/>
                <w:noProof/>
                <w:sz w:val="22"/>
              </w:rPr>
              <w:t>2,0</w:t>
            </w:r>
            <w:r w:rsidRPr="00C56AFD">
              <w:rPr>
                <w:rFonts w:asciiTheme="minorHAnsi" w:hAnsiTheme="minorHAnsi"/>
                <w:b/>
                <w:noProof/>
                <w:sz w:val="22"/>
              </w:rPr>
              <w:t>0</w:t>
            </w:r>
            <w:r w:rsidR="00C56AFD" w:rsidRPr="00C56AFD">
              <w:rPr>
                <w:rFonts w:ascii="Calibri" w:hAnsi="Calibri" w:cs="Calibri"/>
                <w:b/>
                <w:noProof/>
                <w:sz w:val="22"/>
              </w:rPr>
              <w:t> </w:t>
            </w:r>
            <w:r w:rsidRPr="00C56AFD">
              <w:rPr>
                <w:rFonts w:asciiTheme="minorHAnsi" w:hAnsiTheme="minorHAnsi"/>
                <w:b/>
                <w:noProof/>
                <w:sz w:val="22"/>
              </w:rPr>
              <w:t>%</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E457CB" w14:textId="12DF6D51" w:rsidR="00EB0E9F" w:rsidRPr="008C547F" w:rsidRDefault="00EB0E9F" w:rsidP="005301DF">
            <w:pPr>
              <w:spacing w:before="100" w:after="100"/>
              <w:jc w:val="center"/>
              <w:rPr>
                <w:b/>
                <w:iCs/>
                <w:noProof/>
              </w:rPr>
            </w:pPr>
            <w:r>
              <w:rPr>
                <w:rFonts w:asciiTheme="minorHAnsi" w:hAnsiTheme="minorHAnsi"/>
                <w:b/>
                <w:noProof/>
                <w:sz w:val="22"/>
              </w:rPr>
              <w:t>2,0</w:t>
            </w:r>
            <w:r w:rsidRPr="00C56AFD">
              <w:rPr>
                <w:rFonts w:asciiTheme="minorHAnsi" w:hAnsiTheme="minorHAnsi"/>
                <w:b/>
                <w:noProof/>
                <w:sz w:val="22"/>
              </w:rPr>
              <w:t>0</w:t>
            </w:r>
            <w:r w:rsidR="00C56AFD" w:rsidRPr="00C56AFD">
              <w:rPr>
                <w:rFonts w:ascii="Calibri" w:hAnsi="Calibri" w:cs="Calibri"/>
                <w:b/>
                <w:noProof/>
                <w:sz w:val="22"/>
              </w:rPr>
              <w:t> </w:t>
            </w:r>
            <w:r w:rsidRPr="00C56AFD">
              <w:rPr>
                <w:rFonts w:asciiTheme="minorHAnsi" w:hAnsiTheme="minorHAnsi"/>
                <w:b/>
                <w:noProof/>
                <w:sz w:val="22"/>
              </w:rPr>
              <w:t>%</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08D425" w14:textId="77777777" w:rsidR="00EB0E9F" w:rsidRPr="008C547F" w:rsidRDefault="00EB0E9F" w:rsidP="005301DF">
            <w:pPr>
              <w:spacing w:before="100" w:after="100"/>
              <w:jc w:val="center"/>
              <w:rPr>
                <w:b/>
                <w:iCs/>
                <w:noProof/>
              </w:rPr>
            </w:pP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BF81A2" w14:textId="77777777" w:rsidR="00EB0E9F" w:rsidRPr="008C547F" w:rsidRDefault="00EB0E9F" w:rsidP="005301DF">
            <w:pPr>
              <w:spacing w:before="100" w:after="100"/>
              <w:jc w:val="center"/>
              <w:rPr>
                <w:b/>
                <w:iCs/>
                <w:noProof/>
              </w:rPr>
            </w:pPr>
          </w:p>
        </w:tc>
        <w:tc>
          <w:tcPr>
            <w:tcW w:w="523" w:type="pct"/>
            <w:tcBorders>
              <w:top w:val="single" w:sz="6" w:space="0" w:color="BFBFBF" w:themeColor="background1" w:themeShade="BF"/>
              <w:bottom w:val="single" w:sz="6" w:space="0" w:color="BFBFBF" w:themeColor="background1" w:themeShade="BF"/>
            </w:tcBorders>
            <w:vAlign w:val="center"/>
          </w:tcPr>
          <w:p w14:paraId="54DCF6CC" w14:textId="2956F863" w:rsidR="00EB0E9F" w:rsidRPr="008C547F" w:rsidRDefault="00EB0E9F" w:rsidP="005301DF">
            <w:pPr>
              <w:spacing w:before="100" w:after="100"/>
              <w:jc w:val="center"/>
              <w:rPr>
                <w:b/>
                <w:iCs/>
                <w:noProof/>
              </w:rPr>
            </w:pPr>
            <w:r>
              <w:rPr>
                <w:rFonts w:asciiTheme="minorHAnsi" w:hAnsiTheme="minorHAnsi"/>
                <w:b/>
                <w:noProof/>
                <w:sz w:val="22"/>
              </w:rPr>
              <w:t>Nie dotyczy</w:t>
            </w:r>
          </w:p>
        </w:tc>
      </w:tr>
      <w:tr w:rsidR="00CC6B5D" w:rsidRPr="006437CF" w14:paraId="1CB5FF9B" w14:textId="77777777" w:rsidTr="0050317D">
        <w:trPr>
          <w:trHeight w:val="300"/>
        </w:trPr>
        <w:tc>
          <w:tcPr>
            <w:tcW w:w="1571"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A43D42" w14:textId="195CF621" w:rsidR="00EB0E9F" w:rsidRPr="000D6B02" w:rsidRDefault="00EB0E9F" w:rsidP="005D0F4A">
            <w:pPr>
              <w:spacing w:before="100" w:after="100"/>
              <w:ind w:left="170"/>
              <w:rPr>
                <w:b/>
                <w:iCs/>
                <w:noProof/>
                <w:color w:val="245F95" w:themeColor="text2"/>
              </w:rPr>
            </w:pPr>
            <w:r>
              <w:rPr>
                <w:rFonts w:asciiTheme="minorHAnsi" w:hAnsiTheme="minorHAnsi"/>
                <w:noProof/>
                <w:color w:val="245F95" w:themeColor="text2"/>
                <w:sz w:val="22"/>
              </w:rPr>
              <w:t>w tym tymczasowy wzrost</w:t>
            </w:r>
            <w:r w:rsidR="00C56AFD">
              <w:rPr>
                <w:rFonts w:asciiTheme="minorHAnsi" w:hAnsiTheme="minorHAnsi"/>
                <w:noProof/>
                <w:color w:val="245F95" w:themeColor="text2"/>
                <w:sz w:val="22"/>
              </w:rPr>
              <w:t xml:space="preserve"> w</w:t>
            </w:r>
            <w:r w:rsidR="00C56AFD">
              <w:rPr>
                <w:rFonts w:ascii="Calibri" w:hAnsi="Calibri" w:cs="Calibri"/>
                <w:noProof/>
                <w:color w:val="245F95" w:themeColor="text2"/>
                <w:sz w:val="22"/>
              </w:rPr>
              <w:t> </w:t>
            </w:r>
            <w:r w:rsidR="00C56AFD">
              <w:rPr>
                <w:rFonts w:asciiTheme="minorHAnsi" w:hAnsiTheme="minorHAnsi"/>
                <w:noProof/>
                <w:color w:val="245F95" w:themeColor="text2"/>
                <w:sz w:val="22"/>
              </w:rPr>
              <w:t>odn</w:t>
            </w:r>
            <w:r>
              <w:rPr>
                <w:rFonts w:asciiTheme="minorHAnsi" w:hAnsiTheme="minorHAnsi"/>
                <w:noProof/>
                <w:color w:val="245F95" w:themeColor="text2"/>
                <w:sz w:val="22"/>
              </w:rPr>
              <w:t>iesieniu do NextGenerationEU</w:t>
            </w:r>
          </w:p>
        </w:tc>
        <w:tc>
          <w:tcPr>
            <w:tcW w:w="288"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CEC27A" w14:textId="77777777" w:rsidR="00EB0E9F" w:rsidRPr="006437CF" w:rsidRDefault="00EB0E9F" w:rsidP="000D6B02">
            <w:pPr>
              <w:spacing w:before="100" w:after="100"/>
              <w:jc w:val="center"/>
              <w:rPr>
                <w:b/>
                <w:iCs/>
                <w:noProof/>
              </w:rPr>
            </w:pP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079053" w14:textId="3C011587" w:rsidR="00EB0E9F" w:rsidRPr="006437CF" w:rsidRDefault="00EB0E9F" w:rsidP="005301DF">
            <w:pPr>
              <w:spacing w:before="100" w:after="100"/>
              <w:jc w:val="center"/>
              <w:rPr>
                <w:b/>
                <w:iCs/>
                <w:noProof/>
              </w:rPr>
            </w:pPr>
            <w:r>
              <w:rPr>
                <w:rFonts w:asciiTheme="minorHAnsi" w:hAnsiTheme="minorHAnsi"/>
                <w:noProof/>
                <w:sz w:val="22"/>
              </w:rPr>
              <w:t>0,6</w:t>
            </w:r>
            <w:r w:rsidRPr="00C56AFD">
              <w:rPr>
                <w:rFonts w:asciiTheme="minorHAnsi" w:hAnsiTheme="minorHAnsi"/>
                <w:noProof/>
                <w:sz w:val="22"/>
              </w:rPr>
              <w:t>0</w:t>
            </w:r>
            <w:r w:rsidR="00C56AFD" w:rsidRPr="00C56AFD">
              <w:rPr>
                <w:rFonts w:ascii="Calibri" w:hAnsi="Calibri" w:cs="Calibri"/>
                <w:noProof/>
                <w:sz w:val="22"/>
              </w:rPr>
              <w:t> </w:t>
            </w:r>
            <w:r w:rsidRPr="00C56AFD">
              <w:rPr>
                <w:rFonts w:asciiTheme="minorHAnsi" w:hAnsiTheme="minorHAnsi"/>
                <w:noProof/>
                <w:sz w:val="22"/>
              </w:rPr>
              <w:t>%</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387700" w14:textId="74518797" w:rsidR="00EB0E9F" w:rsidRPr="006437CF" w:rsidRDefault="00EB0E9F" w:rsidP="005301DF">
            <w:pPr>
              <w:spacing w:before="100" w:after="100"/>
              <w:jc w:val="center"/>
              <w:rPr>
                <w:b/>
                <w:iCs/>
                <w:noProof/>
              </w:rPr>
            </w:pPr>
            <w:r>
              <w:rPr>
                <w:rFonts w:asciiTheme="minorHAnsi" w:hAnsiTheme="minorHAnsi"/>
                <w:noProof/>
                <w:sz w:val="22"/>
              </w:rPr>
              <w:t>0,6</w:t>
            </w:r>
            <w:r w:rsidRPr="00C56AFD">
              <w:rPr>
                <w:rFonts w:asciiTheme="minorHAnsi" w:hAnsiTheme="minorHAnsi"/>
                <w:noProof/>
                <w:sz w:val="22"/>
              </w:rPr>
              <w:t>0</w:t>
            </w:r>
            <w:r w:rsidR="00C56AFD" w:rsidRPr="00C56AFD">
              <w:rPr>
                <w:rFonts w:ascii="Calibri" w:hAnsi="Calibri" w:cs="Calibri"/>
                <w:noProof/>
                <w:sz w:val="22"/>
              </w:rPr>
              <w:t> </w:t>
            </w:r>
            <w:r w:rsidRPr="00C56AFD">
              <w:rPr>
                <w:rFonts w:asciiTheme="minorHAnsi" w:hAnsiTheme="minorHAnsi"/>
                <w:noProof/>
                <w:sz w:val="22"/>
              </w:rPr>
              <w:t>%</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33A1358" w14:textId="7AE89768" w:rsidR="00EB0E9F" w:rsidRPr="006437CF" w:rsidRDefault="00EB0E9F" w:rsidP="005301DF">
            <w:pPr>
              <w:spacing w:before="100" w:after="100"/>
              <w:jc w:val="center"/>
              <w:rPr>
                <w:b/>
                <w:iCs/>
                <w:noProof/>
              </w:rPr>
            </w:pPr>
            <w:r>
              <w:rPr>
                <w:rFonts w:asciiTheme="minorHAnsi" w:hAnsiTheme="minorHAnsi"/>
                <w:noProof/>
                <w:sz w:val="22"/>
              </w:rPr>
              <w:t>0,6</w:t>
            </w:r>
            <w:r w:rsidRPr="00C56AFD">
              <w:rPr>
                <w:rFonts w:asciiTheme="minorHAnsi" w:hAnsiTheme="minorHAnsi"/>
                <w:noProof/>
                <w:sz w:val="22"/>
              </w:rPr>
              <w:t>0</w:t>
            </w:r>
            <w:r w:rsidR="00C56AFD" w:rsidRPr="00C56AFD">
              <w:rPr>
                <w:rFonts w:ascii="Calibri" w:hAnsi="Calibri" w:cs="Calibri"/>
                <w:noProof/>
                <w:sz w:val="22"/>
              </w:rPr>
              <w:t> </w:t>
            </w:r>
            <w:r w:rsidRPr="00C56AFD">
              <w:rPr>
                <w:rFonts w:asciiTheme="minorHAnsi" w:hAnsiTheme="minorHAnsi"/>
                <w:noProof/>
                <w:sz w:val="22"/>
              </w:rPr>
              <w:t>%</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04D05E" w14:textId="77777777" w:rsidR="00EB0E9F" w:rsidRPr="006437CF" w:rsidRDefault="00EB0E9F" w:rsidP="005301DF">
            <w:pPr>
              <w:spacing w:before="100" w:after="100"/>
              <w:jc w:val="center"/>
              <w:rPr>
                <w:b/>
                <w:iCs/>
                <w:noProof/>
              </w:rPr>
            </w:pP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1BA5EE0" w14:textId="77777777" w:rsidR="00EB0E9F" w:rsidRPr="006437CF" w:rsidRDefault="00EB0E9F" w:rsidP="005301DF">
            <w:pPr>
              <w:spacing w:before="100" w:after="100"/>
              <w:jc w:val="center"/>
              <w:rPr>
                <w:b/>
                <w:iCs/>
                <w:noProof/>
              </w:rPr>
            </w:pPr>
          </w:p>
        </w:tc>
        <w:tc>
          <w:tcPr>
            <w:tcW w:w="523" w:type="pct"/>
            <w:tcBorders>
              <w:top w:val="single" w:sz="6" w:space="0" w:color="BFBFBF" w:themeColor="background1" w:themeShade="BF"/>
              <w:bottom w:val="single" w:sz="6" w:space="0" w:color="BFBFBF" w:themeColor="background1" w:themeShade="BF"/>
            </w:tcBorders>
            <w:vAlign w:val="center"/>
          </w:tcPr>
          <w:p w14:paraId="65D657BE" w14:textId="1636021D" w:rsidR="00EB0E9F" w:rsidRPr="006437CF" w:rsidRDefault="00EB0E9F" w:rsidP="005301DF">
            <w:pPr>
              <w:spacing w:before="100" w:after="100"/>
              <w:jc w:val="center"/>
              <w:rPr>
                <w:b/>
                <w:iCs/>
                <w:noProof/>
              </w:rPr>
            </w:pPr>
            <w:r>
              <w:rPr>
                <w:rFonts w:asciiTheme="minorHAnsi" w:hAnsiTheme="minorHAnsi"/>
                <w:noProof/>
                <w:sz w:val="22"/>
              </w:rPr>
              <w:t>Nie dotyczy</w:t>
            </w:r>
          </w:p>
        </w:tc>
      </w:tr>
      <w:tr w:rsidR="00CC6B5D" w:rsidRPr="008C547F" w14:paraId="4BC4102F" w14:textId="77777777" w:rsidTr="0050317D">
        <w:trPr>
          <w:trHeight w:val="300"/>
        </w:trPr>
        <w:tc>
          <w:tcPr>
            <w:tcW w:w="1571"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DC95E2" w14:textId="68A3646E" w:rsidR="00EB0E9F" w:rsidRPr="008C547F" w:rsidRDefault="00EB0E9F" w:rsidP="006437CF">
            <w:pPr>
              <w:spacing w:before="100" w:after="100"/>
              <w:rPr>
                <w:b/>
                <w:iCs/>
                <w:noProof/>
                <w:color w:val="245F95" w:themeColor="text2"/>
              </w:rPr>
            </w:pPr>
            <w:r>
              <w:rPr>
                <w:rFonts w:asciiTheme="minorHAnsi" w:hAnsiTheme="minorHAnsi"/>
                <w:b/>
                <w:noProof/>
                <w:color w:val="245F95" w:themeColor="text2"/>
                <w:sz w:val="22"/>
              </w:rPr>
              <w:t>Pułap zasobów własnych wyrażony</w:t>
            </w:r>
            <w:r w:rsidR="00C56AFD">
              <w:rPr>
                <w:rFonts w:asciiTheme="minorHAnsi" w:hAnsiTheme="minorHAnsi"/>
                <w:b/>
                <w:noProof/>
                <w:color w:val="245F95" w:themeColor="text2"/>
                <w:sz w:val="22"/>
              </w:rPr>
              <w:t xml:space="preserve"> w</w:t>
            </w:r>
            <w:r w:rsidR="00C56AFD">
              <w:rPr>
                <w:rFonts w:ascii="Calibri" w:hAnsi="Calibri" w:cs="Calibri"/>
                <w:b/>
                <w:noProof/>
                <w:color w:val="245F95" w:themeColor="text2"/>
                <w:sz w:val="22"/>
              </w:rPr>
              <w:t> </w:t>
            </w:r>
            <w:r w:rsidR="00C56AFD">
              <w:rPr>
                <w:rFonts w:asciiTheme="minorHAnsi" w:hAnsiTheme="minorHAnsi"/>
                <w:b/>
                <w:noProof/>
                <w:color w:val="245F95" w:themeColor="text2"/>
                <w:sz w:val="22"/>
              </w:rPr>
              <w:t>mld</w:t>
            </w:r>
            <w:r>
              <w:rPr>
                <w:rFonts w:asciiTheme="minorHAnsi" w:hAnsiTheme="minorHAnsi"/>
                <w:b/>
                <w:noProof/>
                <w:color w:val="245F95" w:themeColor="text2"/>
                <w:sz w:val="22"/>
              </w:rPr>
              <w:t xml:space="preserve"> EUR***</w:t>
            </w:r>
          </w:p>
        </w:tc>
        <w:tc>
          <w:tcPr>
            <w:tcW w:w="288"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6EEBD2" w14:textId="48779546" w:rsidR="00EB0E9F" w:rsidRPr="008C547F" w:rsidRDefault="00EB0E9F" w:rsidP="000D6B02">
            <w:pPr>
              <w:spacing w:before="100" w:after="100"/>
              <w:jc w:val="center"/>
              <w:rPr>
                <w:b/>
                <w:iCs/>
                <w:noProof/>
              </w:rPr>
            </w:pPr>
            <w:r>
              <w:rPr>
                <w:rFonts w:asciiTheme="minorHAnsi" w:hAnsiTheme="minorHAnsi"/>
                <w:b/>
                <w:noProof/>
                <w:sz w:val="22"/>
              </w:rPr>
              <w:t>a</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C59C6A1" w14:textId="2EA68B4D" w:rsidR="00EB0E9F" w:rsidRPr="008C547F" w:rsidRDefault="00EB0E9F" w:rsidP="005301DF">
            <w:pPr>
              <w:spacing w:before="100" w:after="100"/>
              <w:jc w:val="center"/>
              <w:rPr>
                <w:b/>
                <w:iCs/>
                <w:noProof/>
              </w:rPr>
            </w:pPr>
            <w:r>
              <w:rPr>
                <w:rFonts w:asciiTheme="minorHAnsi" w:hAnsiTheme="minorHAnsi"/>
                <w:b/>
                <w:noProof/>
                <w:sz w:val="22"/>
              </w:rPr>
              <w:t>368,5</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260B8B" w14:textId="463ADFE4" w:rsidR="00EB0E9F" w:rsidRPr="008C547F" w:rsidRDefault="00EB0E9F" w:rsidP="005301DF">
            <w:pPr>
              <w:spacing w:before="100" w:after="100"/>
              <w:jc w:val="center"/>
              <w:rPr>
                <w:b/>
                <w:iCs/>
                <w:noProof/>
              </w:rPr>
            </w:pPr>
            <w:r>
              <w:rPr>
                <w:rFonts w:asciiTheme="minorHAnsi" w:hAnsiTheme="minorHAnsi"/>
                <w:b/>
                <w:noProof/>
                <w:sz w:val="22"/>
              </w:rPr>
              <w:t>381,4</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D95B37C" w14:textId="5BABFC47" w:rsidR="00EB0E9F" w:rsidRPr="008C547F" w:rsidRDefault="00EB0E9F" w:rsidP="005301DF">
            <w:pPr>
              <w:spacing w:before="100" w:after="100"/>
              <w:jc w:val="center"/>
              <w:rPr>
                <w:b/>
                <w:iCs/>
                <w:noProof/>
              </w:rPr>
            </w:pPr>
            <w:r>
              <w:rPr>
                <w:rFonts w:asciiTheme="minorHAnsi" w:hAnsiTheme="minorHAnsi"/>
                <w:b/>
                <w:noProof/>
                <w:sz w:val="22"/>
              </w:rPr>
              <w:t>394,2</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13434F" w14:textId="77777777" w:rsidR="00EB0E9F" w:rsidRPr="008C547F" w:rsidRDefault="00EB0E9F" w:rsidP="005301DF">
            <w:pPr>
              <w:spacing w:before="100" w:after="100"/>
              <w:jc w:val="center"/>
              <w:rPr>
                <w:b/>
                <w:iCs/>
                <w:noProof/>
              </w:rPr>
            </w:pP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0A0E6E" w14:textId="77777777" w:rsidR="00EB0E9F" w:rsidRPr="008C547F" w:rsidRDefault="00EB0E9F" w:rsidP="005301DF">
            <w:pPr>
              <w:spacing w:before="100" w:after="100"/>
              <w:jc w:val="center"/>
              <w:rPr>
                <w:b/>
                <w:iCs/>
                <w:noProof/>
              </w:rPr>
            </w:pPr>
          </w:p>
        </w:tc>
        <w:tc>
          <w:tcPr>
            <w:tcW w:w="523" w:type="pct"/>
            <w:tcBorders>
              <w:top w:val="single" w:sz="6" w:space="0" w:color="BFBFBF" w:themeColor="background1" w:themeShade="BF"/>
              <w:bottom w:val="single" w:sz="6" w:space="0" w:color="BFBFBF" w:themeColor="background1" w:themeShade="BF"/>
            </w:tcBorders>
            <w:vAlign w:val="center"/>
          </w:tcPr>
          <w:p w14:paraId="7DD87EE7" w14:textId="6FFA1073" w:rsidR="00EB0E9F" w:rsidRPr="008C547F" w:rsidRDefault="00EB0E9F" w:rsidP="005301DF">
            <w:pPr>
              <w:spacing w:before="100" w:after="100"/>
              <w:jc w:val="center"/>
              <w:rPr>
                <w:b/>
                <w:iCs/>
                <w:noProof/>
              </w:rPr>
            </w:pPr>
            <w:r>
              <w:rPr>
                <w:rFonts w:asciiTheme="minorHAnsi" w:hAnsiTheme="minorHAnsi"/>
                <w:b/>
                <w:noProof/>
                <w:sz w:val="22"/>
              </w:rPr>
              <w:t>Nie dotyczy</w:t>
            </w:r>
          </w:p>
        </w:tc>
      </w:tr>
      <w:tr w:rsidR="00CC6B5D" w:rsidRPr="006437CF" w14:paraId="7D1DC799" w14:textId="77777777" w:rsidTr="0050317D">
        <w:trPr>
          <w:trHeight w:val="300"/>
        </w:trPr>
        <w:tc>
          <w:tcPr>
            <w:tcW w:w="1571"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039CEB" w14:textId="59098FBF" w:rsidR="00EB0E9F" w:rsidRPr="000D6B02" w:rsidRDefault="00EB0E9F" w:rsidP="005D0F4A">
            <w:pPr>
              <w:spacing w:before="100" w:after="100"/>
              <w:ind w:left="170"/>
              <w:rPr>
                <w:b/>
                <w:iCs/>
                <w:noProof/>
                <w:color w:val="245F95" w:themeColor="text2"/>
              </w:rPr>
            </w:pPr>
            <w:r>
              <w:rPr>
                <w:rFonts w:asciiTheme="minorHAnsi" w:hAnsiTheme="minorHAnsi"/>
                <w:noProof/>
                <w:color w:val="245F95" w:themeColor="text2"/>
                <w:sz w:val="22"/>
              </w:rPr>
              <w:t>w tym tymczasowy wzrost</w:t>
            </w:r>
            <w:r w:rsidR="00C56AFD">
              <w:rPr>
                <w:rFonts w:asciiTheme="minorHAnsi" w:hAnsiTheme="minorHAnsi"/>
                <w:noProof/>
                <w:color w:val="245F95" w:themeColor="text2"/>
                <w:sz w:val="22"/>
              </w:rPr>
              <w:t xml:space="preserve"> w</w:t>
            </w:r>
            <w:r w:rsidR="00C56AFD">
              <w:rPr>
                <w:rFonts w:ascii="Calibri" w:hAnsi="Calibri" w:cs="Calibri"/>
                <w:noProof/>
                <w:color w:val="245F95" w:themeColor="text2"/>
                <w:sz w:val="22"/>
              </w:rPr>
              <w:t> </w:t>
            </w:r>
            <w:r w:rsidR="00C56AFD">
              <w:rPr>
                <w:rFonts w:asciiTheme="minorHAnsi" w:hAnsiTheme="minorHAnsi"/>
                <w:noProof/>
                <w:color w:val="245F95" w:themeColor="text2"/>
                <w:sz w:val="22"/>
              </w:rPr>
              <w:t>odn</w:t>
            </w:r>
            <w:r>
              <w:rPr>
                <w:rFonts w:asciiTheme="minorHAnsi" w:hAnsiTheme="minorHAnsi"/>
                <w:noProof/>
                <w:color w:val="245F95" w:themeColor="text2"/>
                <w:sz w:val="22"/>
              </w:rPr>
              <w:t>iesieniu do NextGenerationEU</w:t>
            </w:r>
          </w:p>
        </w:tc>
        <w:tc>
          <w:tcPr>
            <w:tcW w:w="288"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A7AD07" w14:textId="67285B31" w:rsidR="00EB0E9F" w:rsidRPr="006437CF" w:rsidRDefault="00EB0E9F" w:rsidP="000D6B02">
            <w:pPr>
              <w:spacing w:before="100" w:after="100"/>
              <w:jc w:val="center"/>
              <w:rPr>
                <w:b/>
                <w:iCs/>
                <w:noProof/>
              </w:rPr>
            </w:pPr>
            <w:r>
              <w:rPr>
                <w:rFonts w:asciiTheme="minorHAnsi" w:hAnsiTheme="minorHAnsi"/>
                <w:noProof/>
                <w:sz w:val="22"/>
              </w:rPr>
              <w:t>a’</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EA5AE39" w14:textId="123F5E17" w:rsidR="00EB0E9F" w:rsidRPr="006437CF" w:rsidRDefault="00EB0E9F" w:rsidP="005301DF">
            <w:pPr>
              <w:spacing w:before="100" w:after="100"/>
              <w:jc w:val="center"/>
              <w:rPr>
                <w:b/>
                <w:iCs/>
                <w:noProof/>
              </w:rPr>
            </w:pPr>
            <w:r>
              <w:rPr>
                <w:rFonts w:asciiTheme="minorHAnsi" w:hAnsiTheme="minorHAnsi"/>
                <w:noProof/>
                <w:sz w:val="22"/>
              </w:rPr>
              <w:t>110,5</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19A1E4" w14:textId="2409526D" w:rsidR="00EB0E9F" w:rsidRPr="006437CF" w:rsidRDefault="00EB0E9F" w:rsidP="005301DF">
            <w:pPr>
              <w:spacing w:before="100" w:after="100"/>
              <w:jc w:val="center"/>
              <w:rPr>
                <w:b/>
                <w:iCs/>
                <w:noProof/>
              </w:rPr>
            </w:pPr>
            <w:r>
              <w:rPr>
                <w:rFonts w:asciiTheme="minorHAnsi" w:hAnsiTheme="minorHAnsi"/>
                <w:noProof/>
                <w:sz w:val="22"/>
              </w:rPr>
              <w:t>114,4</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6471DC" w14:textId="14ABF0AC" w:rsidR="00EB0E9F" w:rsidRPr="006437CF" w:rsidRDefault="00EB0E9F" w:rsidP="005301DF">
            <w:pPr>
              <w:spacing w:before="100" w:after="100"/>
              <w:jc w:val="center"/>
              <w:rPr>
                <w:b/>
                <w:iCs/>
                <w:noProof/>
              </w:rPr>
            </w:pPr>
            <w:r>
              <w:rPr>
                <w:rFonts w:asciiTheme="minorHAnsi" w:hAnsiTheme="minorHAnsi"/>
                <w:noProof/>
                <w:sz w:val="22"/>
              </w:rPr>
              <w:t>118,3</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70CA15" w14:textId="77777777" w:rsidR="00EB0E9F" w:rsidRPr="006437CF" w:rsidRDefault="00EB0E9F" w:rsidP="005301DF">
            <w:pPr>
              <w:spacing w:before="100" w:after="100"/>
              <w:jc w:val="center"/>
              <w:rPr>
                <w:b/>
                <w:iCs/>
                <w:noProof/>
              </w:rPr>
            </w:pP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055434" w14:textId="77777777" w:rsidR="00EB0E9F" w:rsidRPr="006437CF" w:rsidRDefault="00EB0E9F" w:rsidP="005301DF">
            <w:pPr>
              <w:spacing w:before="100" w:after="100"/>
              <w:jc w:val="center"/>
              <w:rPr>
                <w:b/>
                <w:iCs/>
                <w:noProof/>
              </w:rPr>
            </w:pPr>
          </w:p>
        </w:tc>
        <w:tc>
          <w:tcPr>
            <w:tcW w:w="523" w:type="pct"/>
            <w:tcBorders>
              <w:top w:val="single" w:sz="6" w:space="0" w:color="BFBFBF" w:themeColor="background1" w:themeShade="BF"/>
              <w:bottom w:val="single" w:sz="6" w:space="0" w:color="BFBFBF" w:themeColor="background1" w:themeShade="BF"/>
            </w:tcBorders>
            <w:vAlign w:val="center"/>
          </w:tcPr>
          <w:p w14:paraId="187C4129" w14:textId="233CBE7E" w:rsidR="00EB0E9F" w:rsidRPr="006437CF" w:rsidRDefault="00EB0E9F" w:rsidP="005301DF">
            <w:pPr>
              <w:spacing w:before="100" w:after="100"/>
              <w:jc w:val="center"/>
              <w:rPr>
                <w:b/>
                <w:iCs/>
                <w:noProof/>
              </w:rPr>
            </w:pPr>
            <w:r>
              <w:rPr>
                <w:rFonts w:asciiTheme="minorHAnsi" w:hAnsiTheme="minorHAnsi"/>
                <w:noProof/>
                <w:sz w:val="22"/>
              </w:rPr>
              <w:t>Nie dotyczy</w:t>
            </w:r>
          </w:p>
        </w:tc>
      </w:tr>
      <w:tr w:rsidR="00CC6B5D" w:rsidRPr="006437CF" w14:paraId="5E2C2E11" w14:textId="77777777" w:rsidTr="0050317D">
        <w:trPr>
          <w:trHeight w:val="300"/>
        </w:trPr>
        <w:tc>
          <w:tcPr>
            <w:tcW w:w="1571"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C9EE87" w14:textId="6C64B09A" w:rsidR="00EB0E9F" w:rsidRPr="000D6B02" w:rsidRDefault="00EB0E9F" w:rsidP="006437CF">
            <w:pPr>
              <w:spacing w:before="100" w:after="100"/>
              <w:rPr>
                <w:b/>
                <w:iCs/>
                <w:noProof/>
                <w:color w:val="245F95" w:themeColor="text2"/>
              </w:rPr>
            </w:pPr>
            <w:r>
              <w:rPr>
                <w:rFonts w:asciiTheme="minorHAnsi" w:hAnsiTheme="minorHAnsi"/>
                <w:noProof/>
                <w:color w:val="245F95" w:themeColor="text2"/>
                <w:sz w:val="22"/>
              </w:rPr>
              <w:t>Kwota netto tradycyjnych zasobów własnych**</w:t>
            </w:r>
          </w:p>
        </w:tc>
        <w:tc>
          <w:tcPr>
            <w:tcW w:w="288"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D09B85" w14:textId="6DD7F310" w:rsidR="00EB0E9F" w:rsidRPr="006437CF" w:rsidRDefault="00EB0E9F" w:rsidP="000D6B02">
            <w:pPr>
              <w:spacing w:before="100" w:after="100"/>
              <w:jc w:val="center"/>
              <w:rPr>
                <w:b/>
                <w:iCs/>
                <w:noProof/>
              </w:rPr>
            </w:pPr>
            <w:r>
              <w:rPr>
                <w:rFonts w:asciiTheme="minorHAnsi" w:hAnsiTheme="minorHAnsi"/>
                <w:noProof/>
                <w:sz w:val="22"/>
              </w:rPr>
              <w:t>b</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EAF523" w14:textId="5F93C511" w:rsidR="00EB0E9F" w:rsidRPr="006437CF" w:rsidRDefault="00EB0E9F" w:rsidP="005301DF">
            <w:pPr>
              <w:spacing w:before="100" w:after="100"/>
              <w:jc w:val="center"/>
              <w:rPr>
                <w:b/>
                <w:iCs/>
                <w:noProof/>
              </w:rPr>
            </w:pPr>
            <w:r>
              <w:rPr>
                <w:rFonts w:asciiTheme="minorHAnsi" w:hAnsiTheme="minorHAnsi"/>
                <w:noProof/>
                <w:sz w:val="22"/>
              </w:rPr>
              <w:t>21,1</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9CB25EC" w14:textId="42FC15CF" w:rsidR="00EB0E9F" w:rsidRPr="006437CF" w:rsidRDefault="00EB0E9F" w:rsidP="005301DF">
            <w:pPr>
              <w:spacing w:before="100" w:after="100"/>
              <w:jc w:val="center"/>
              <w:rPr>
                <w:b/>
                <w:iCs/>
                <w:noProof/>
              </w:rPr>
            </w:pPr>
            <w:r>
              <w:rPr>
                <w:rFonts w:asciiTheme="minorHAnsi" w:hAnsiTheme="minorHAnsi"/>
                <w:noProof/>
                <w:sz w:val="22"/>
              </w:rPr>
              <w:t>21,8</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7A8463" w14:textId="5BDD90F8" w:rsidR="00EB0E9F" w:rsidRPr="006437CF" w:rsidRDefault="00EB0E9F" w:rsidP="005301DF">
            <w:pPr>
              <w:spacing w:before="100" w:after="100"/>
              <w:jc w:val="center"/>
              <w:rPr>
                <w:b/>
                <w:iCs/>
                <w:noProof/>
              </w:rPr>
            </w:pPr>
            <w:r>
              <w:rPr>
                <w:rFonts w:asciiTheme="minorHAnsi" w:hAnsiTheme="minorHAnsi"/>
                <w:noProof/>
                <w:sz w:val="22"/>
              </w:rPr>
              <w:t>22,6</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357F89" w14:textId="5E0F7413" w:rsidR="00EB0E9F" w:rsidRPr="006437CF" w:rsidRDefault="00EB0E9F" w:rsidP="005301DF">
            <w:pPr>
              <w:spacing w:before="100" w:after="100"/>
              <w:jc w:val="center"/>
              <w:rPr>
                <w:b/>
                <w:iCs/>
                <w:noProof/>
              </w:rPr>
            </w:pPr>
            <w:r>
              <w:rPr>
                <w:rFonts w:asciiTheme="minorHAnsi" w:hAnsiTheme="minorHAnsi"/>
                <w:noProof/>
                <w:sz w:val="22"/>
              </w:rPr>
              <w:t>23,4</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6AA61A" w14:textId="11E4F205" w:rsidR="00EB0E9F" w:rsidRPr="006437CF" w:rsidRDefault="00EB0E9F" w:rsidP="005301DF">
            <w:pPr>
              <w:spacing w:before="100" w:after="100"/>
              <w:jc w:val="center"/>
              <w:rPr>
                <w:b/>
                <w:iCs/>
                <w:noProof/>
              </w:rPr>
            </w:pPr>
            <w:r>
              <w:rPr>
                <w:rFonts w:asciiTheme="minorHAnsi" w:hAnsiTheme="minorHAnsi"/>
                <w:noProof/>
                <w:sz w:val="22"/>
              </w:rPr>
              <w:t>24,1</w:t>
            </w:r>
          </w:p>
        </w:tc>
        <w:tc>
          <w:tcPr>
            <w:tcW w:w="523" w:type="pct"/>
            <w:tcBorders>
              <w:top w:val="single" w:sz="6" w:space="0" w:color="BFBFBF" w:themeColor="background1" w:themeShade="BF"/>
              <w:bottom w:val="single" w:sz="6" w:space="0" w:color="BFBFBF" w:themeColor="background1" w:themeShade="BF"/>
            </w:tcBorders>
            <w:vAlign w:val="center"/>
          </w:tcPr>
          <w:p w14:paraId="6D730CAF" w14:textId="172559A0" w:rsidR="00EB0E9F" w:rsidRPr="006437CF" w:rsidRDefault="00EB0E9F" w:rsidP="005301DF">
            <w:pPr>
              <w:spacing w:before="100" w:after="100"/>
              <w:jc w:val="center"/>
              <w:rPr>
                <w:b/>
                <w:iCs/>
                <w:noProof/>
              </w:rPr>
            </w:pPr>
            <w:r>
              <w:rPr>
                <w:rFonts w:asciiTheme="minorHAnsi" w:hAnsiTheme="minorHAnsi"/>
                <w:noProof/>
                <w:sz w:val="22"/>
              </w:rPr>
              <w:t>113,0</w:t>
            </w:r>
          </w:p>
        </w:tc>
      </w:tr>
      <w:tr w:rsidR="00CC6B5D" w:rsidRPr="008C547F" w14:paraId="022413AA" w14:textId="77777777" w:rsidTr="0050317D">
        <w:trPr>
          <w:trHeight w:val="300"/>
        </w:trPr>
        <w:tc>
          <w:tcPr>
            <w:tcW w:w="1571"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C37F00" w14:textId="6C5BBB94" w:rsidR="00EB0E9F" w:rsidRPr="008C547F" w:rsidRDefault="00EB0E9F" w:rsidP="006437CF">
            <w:pPr>
              <w:spacing w:before="100" w:after="100"/>
              <w:rPr>
                <w:b/>
                <w:bCs/>
                <w:iCs/>
                <w:noProof/>
                <w:color w:val="245F95" w:themeColor="text2"/>
              </w:rPr>
            </w:pPr>
            <w:r>
              <w:rPr>
                <w:rFonts w:asciiTheme="minorHAnsi" w:hAnsiTheme="minorHAnsi"/>
                <w:b/>
                <w:noProof/>
                <w:color w:val="245F95" w:themeColor="text2"/>
                <w:sz w:val="22"/>
              </w:rPr>
              <w:t>Wkłady krajowe</w:t>
            </w:r>
          </w:p>
        </w:tc>
        <w:tc>
          <w:tcPr>
            <w:tcW w:w="288"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0EBD0A1" w14:textId="684F83B2" w:rsidR="00EB0E9F" w:rsidRPr="008C547F" w:rsidRDefault="00EB0E9F" w:rsidP="000D6B02">
            <w:pPr>
              <w:spacing w:before="100" w:after="100"/>
              <w:jc w:val="center"/>
              <w:rPr>
                <w:b/>
                <w:bCs/>
                <w:iCs/>
                <w:noProof/>
              </w:rPr>
            </w:pPr>
            <w:r>
              <w:rPr>
                <w:rFonts w:asciiTheme="minorHAnsi" w:hAnsiTheme="minorHAnsi"/>
                <w:b/>
                <w:noProof/>
                <w:sz w:val="22"/>
              </w:rPr>
              <w:t>c</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AFA215" w14:textId="0EEBFE42" w:rsidR="00EB0E9F" w:rsidRPr="008C547F" w:rsidRDefault="004C3B89" w:rsidP="005301DF">
            <w:pPr>
              <w:spacing w:before="100" w:after="100"/>
              <w:jc w:val="center"/>
              <w:rPr>
                <w:b/>
                <w:bCs/>
                <w:iCs/>
                <w:noProof/>
              </w:rPr>
            </w:pPr>
            <w:r>
              <w:rPr>
                <w:rFonts w:asciiTheme="minorHAnsi" w:hAnsiTheme="minorHAnsi"/>
                <w:b/>
                <w:noProof/>
                <w:sz w:val="22"/>
              </w:rPr>
              <w:t>127,3</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E9C130" w14:textId="337CD1F7" w:rsidR="00EB0E9F" w:rsidRPr="008C547F" w:rsidRDefault="00F04D3B" w:rsidP="005301DF">
            <w:pPr>
              <w:spacing w:before="100" w:after="100"/>
              <w:jc w:val="center"/>
              <w:rPr>
                <w:b/>
                <w:bCs/>
                <w:iCs/>
                <w:noProof/>
              </w:rPr>
            </w:pPr>
            <w:r>
              <w:rPr>
                <w:rFonts w:asciiTheme="minorHAnsi" w:hAnsiTheme="minorHAnsi"/>
                <w:b/>
                <w:noProof/>
                <w:sz w:val="22"/>
              </w:rPr>
              <w:t>159,8</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7A54C2B" w14:textId="568FB7D6" w:rsidR="00EB0E9F" w:rsidRPr="008C547F" w:rsidRDefault="00EB0E9F" w:rsidP="005301DF">
            <w:pPr>
              <w:spacing w:before="100" w:after="100"/>
              <w:jc w:val="center"/>
              <w:rPr>
                <w:b/>
                <w:bCs/>
                <w:iCs/>
                <w:noProof/>
              </w:rPr>
            </w:pPr>
            <w:r>
              <w:rPr>
                <w:rFonts w:asciiTheme="minorHAnsi" w:hAnsiTheme="minorHAnsi"/>
                <w:b/>
                <w:noProof/>
                <w:sz w:val="22"/>
              </w:rPr>
              <w:t>171,4</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B67DF85" w14:textId="34506B9F" w:rsidR="00EB0E9F" w:rsidRPr="008C547F" w:rsidRDefault="00EB0E9F" w:rsidP="005301DF">
            <w:pPr>
              <w:spacing w:before="100" w:after="100"/>
              <w:jc w:val="center"/>
              <w:rPr>
                <w:b/>
                <w:bCs/>
                <w:iCs/>
                <w:noProof/>
              </w:rPr>
            </w:pPr>
            <w:r>
              <w:rPr>
                <w:rFonts w:asciiTheme="minorHAnsi" w:hAnsiTheme="minorHAnsi"/>
                <w:b/>
                <w:noProof/>
                <w:sz w:val="22"/>
              </w:rPr>
              <w:t>118,2</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F6B93F" w14:textId="628C750A" w:rsidR="00EB0E9F" w:rsidRPr="008C547F" w:rsidRDefault="00EB0E9F" w:rsidP="005301DF">
            <w:pPr>
              <w:spacing w:before="100" w:after="100"/>
              <w:jc w:val="center"/>
              <w:rPr>
                <w:b/>
                <w:bCs/>
                <w:iCs/>
                <w:noProof/>
              </w:rPr>
            </w:pPr>
            <w:r>
              <w:rPr>
                <w:rFonts w:asciiTheme="minorHAnsi" w:hAnsiTheme="minorHAnsi"/>
                <w:b/>
                <w:noProof/>
                <w:sz w:val="22"/>
              </w:rPr>
              <w:t>96,4</w:t>
            </w:r>
          </w:p>
        </w:tc>
        <w:tc>
          <w:tcPr>
            <w:tcW w:w="523" w:type="pct"/>
            <w:tcBorders>
              <w:top w:val="single" w:sz="6" w:space="0" w:color="BFBFBF" w:themeColor="background1" w:themeShade="BF"/>
              <w:bottom w:val="single" w:sz="6" w:space="0" w:color="BFBFBF" w:themeColor="background1" w:themeShade="BF"/>
            </w:tcBorders>
            <w:vAlign w:val="center"/>
          </w:tcPr>
          <w:p w14:paraId="762D8E1C" w14:textId="730DEDC2" w:rsidR="00EB0E9F" w:rsidRPr="008C547F" w:rsidRDefault="00EB0E9F" w:rsidP="005301DF">
            <w:pPr>
              <w:spacing w:before="100" w:after="100"/>
              <w:jc w:val="center"/>
              <w:rPr>
                <w:b/>
                <w:bCs/>
                <w:iCs/>
                <w:noProof/>
              </w:rPr>
            </w:pPr>
            <w:r>
              <w:rPr>
                <w:rFonts w:asciiTheme="minorHAnsi" w:hAnsiTheme="minorHAnsi"/>
                <w:b/>
                <w:noProof/>
                <w:sz w:val="22"/>
              </w:rPr>
              <w:t>673,0</w:t>
            </w:r>
          </w:p>
        </w:tc>
      </w:tr>
      <w:tr w:rsidR="00CC6B5D" w:rsidRPr="006437CF" w14:paraId="10004AE7" w14:textId="77777777" w:rsidTr="0050317D">
        <w:trPr>
          <w:trHeight w:val="916"/>
        </w:trPr>
        <w:tc>
          <w:tcPr>
            <w:tcW w:w="1571"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9274629" w14:textId="77777777" w:rsidR="00EB0E9F" w:rsidRPr="000D6B02" w:rsidRDefault="00EB0E9F" w:rsidP="006437CF">
            <w:pPr>
              <w:spacing w:before="100" w:after="100"/>
              <w:ind w:left="170"/>
              <w:rPr>
                <w:rFonts w:asciiTheme="minorHAnsi" w:hAnsiTheme="minorHAnsi"/>
                <w:bCs/>
                <w:iCs/>
                <w:noProof/>
                <w:color w:val="245F95" w:themeColor="text2"/>
                <w:sz w:val="22"/>
                <w:szCs w:val="22"/>
              </w:rPr>
            </w:pPr>
            <w:r>
              <w:rPr>
                <w:rFonts w:asciiTheme="minorHAnsi" w:hAnsiTheme="minorHAnsi"/>
                <w:noProof/>
                <w:color w:val="245F95" w:themeColor="text2"/>
                <w:sz w:val="22"/>
              </w:rPr>
              <w:t xml:space="preserve">w tym </w:t>
            </w:r>
          </w:p>
          <w:p w14:paraId="034BC62F" w14:textId="333206C2" w:rsidR="00EB0E9F" w:rsidRPr="000D6B02" w:rsidRDefault="00EB0E9F" w:rsidP="006437CF">
            <w:pPr>
              <w:spacing w:before="100" w:after="100"/>
              <w:ind w:left="170"/>
              <w:rPr>
                <w:rFonts w:asciiTheme="minorHAnsi" w:hAnsiTheme="minorHAnsi"/>
                <w:bCs/>
                <w:iCs/>
                <w:noProof/>
                <w:color w:val="245F95" w:themeColor="text2"/>
                <w:sz w:val="22"/>
                <w:szCs w:val="22"/>
              </w:rPr>
            </w:pPr>
            <w:r>
              <w:rPr>
                <w:rFonts w:asciiTheme="minorHAnsi" w:hAnsiTheme="minorHAnsi"/>
                <w:noProof/>
                <w:color w:val="245F95" w:themeColor="text2"/>
                <w:sz w:val="22"/>
              </w:rPr>
              <w:t>Zasoby własne oparte na VAT</w:t>
            </w:r>
          </w:p>
        </w:tc>
        <w:tc>
          <w:tcPr>
            <w:tcW w:w="288"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CFE9AA5" w14:textId="31B7984E" w:rsidR="00EB0E9F" w:rsidRPr="006437CF" w:rsidRDefault="00EB0E9F" w:rsidP="000D6B02">
            <w:pPr>
              <w:spacing w:before="100" w:after="100"/>
              <w:jc w:val="center"/>
              <w:rPr>
                <w:bCs/>
                <w:iCs/>
                <w:noProof/>
              </w:rPr>
            </w:pPr>
            <w:r>
              <w:rPr>
                <w:rFonts w:asciiTheme="minorHAnsi" w:hAnsiTheme="minorHAnsi"/>
                <w:noProof/>
                <w:sz w:val="22"/>
              </w:rPr>
              <w:t>c’</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E7F6DCF" w14:textId="124AE054" w:rsidR="00EB0E9F" w:rsidRPr="006437CF" w:rsidRDefault="00EB0E9F" w:rsidP="005301DF">
            <w:pPr>
              <w:spacing w:before="100" w:after="100" w:line="22" w:lineRule="atLeast"/>
              <w:jc w:val="center"/>
              <w:rPr>
                <w:rFonts w:asciiTheme="minorHAnsi" w:eastAsia="Calibri" w:hAnsiTheme="minorHAnsi"/>
                <w:iCs/>
                <w:noProof/>
                <w:sz w:val="22"/>
                <w:szCs w:val="22"/>
              </w:rPr>
            </w:pPr>
            <w:r>
              <w:rPr>
                <w:rFonts w:asciiTheme="minorHAnsi" w:hAnsiTheme="minorHAnsi"/>
                <w:noProof/>
                <w:sz w:val="22"/>
              </w:rPr>
              <w:t>24,4</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9A45BB5" w14:textId="5D8CBC92" w:rsidR="00EB0E9F" w:rsidRPr="006437CF" w:rsidRDefault="00EB0E9F" w:rsidP="005301DF">
            <w:pPr>
              <w:spacing w:before="100" w:after="100" w:line="22" w:lineRule="atLeast"/>
              <w:jc w:val="center"/>
              <w:rPr>
                <w:rFonts w:asciiTheme="minorHAnsi" w:eastAsia="Calibri" w:hAnsiTheme="minorHAnsi"/>
                <w:iCs/>
                <w:noProof/>
                <w:sz w:val="22"/>
                <w:szCs w:val="22"/>
              </w:rPr>
            </w:pPr>
            <w:r>
              <w:rPr>
                <w:rFonts w:asciiTheme="minorHAnsi" w:hAnsiTheme="minorHAnsi"/>
                <w:noProof/>
                <w:sz w:val="22"/>
              </w:rPr>
              <w:t>25,2</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5EFE37" w14:textId="7B2B26DF" w:rsidR="00EB0E9F" w:rsidRPr="006437CF" w:rsidRDefault="00EB0E9F" w:rsidP="005301DF">
            <w:pPr>
              <w:spacing w:before="100" w:after="100" w:line="22" w:lineRule="atLeast"/>
              <w:jc w:val="center"/>
              <w:rPr>
                <w:rFonts w:asciiTheme="minorHAnsi" w:eastAsia="Calibri" w:hAnsiTheme="minorHAnsi"/>
                <w:iCs/>
                <w:noProof/>
                <w:sz w:val="22"/>
                <w:szCs w:val="22"/>
              </w:rPr>
            </w:pPr>
            <w:r>
              <w:rPr>
                <w:rFonts w:asciiTheme="minorHAnsi" w:hAnsiTheme="minorHAnsi"/>
                <w:noProof/>
                <w:sz w:val="22"/>
              </w:rPr>
              <w:t>26,1</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4B62CD" w14:textId="417F2030" w:rsidR="00EB0E9F" w:rsidRPr="006437CF" w:rsidRDefault="001B7596" w:rsidP="005301DF">
            <w:pPr>
              <w:spacing w:before="100" w:after="100" w:line="22" w:lineRule="atLeast"/>
              <w:jc w:val="center"/>
              <w:rPr>
                <w:rFonts w:asciiTheme="minorHAnsi" w:eastAsia="Calibri" w:hAnsiTheme="minorHAnsi"/>
                <w:iCs/>
                <w:noProof/>
                <w:sz w:val="22"/>
                <w:szCs w:val="22"/>
              </w:rPr>
            </w:pPr>
            <w:r>
              <w:rPr>
                <w:rFonts w:asciiTheme="minorHAnsi" w:hAnsiTheme="minorHAnsi"/>
                <w:noProof/>
                <w:sz w:val="22"/>
              </w:rPr>
              <w:t>26,9</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1A3A53" w14:textId="4502AFEC" w:rsidR="00EB0E9F" w:rsidRPr="006437CF" w:rsidRDefault="00EB0E9F" w:rsidP="005301DF">
            <w:pPr>
              <w:spacing w:before="100" w:after="100" w:line="22" w:lineRule="atLeast"/>
              <w:jc w:val="center"/>
              <w:rPr>
                <w:rFonts w:asciiTheme="minorHAnsi" w:eastAsia="Calibri" w:hAnsiTheme="minorHAnsi"/>
                <w:iCs/>
                <w:noProof/>
                <w:sz w:val="22"/>
                <w:szCs w:val="22"/>
              </w:rPr>
            </w:pPr>
            <w:r>
              <w:rPr>
                <w:rFonts w:asciiTheme="minorHAnsi" w:hAnsiTheme="minorHAnsi"/>
                <w:noProof/>
                <w:sz w:val="22"/>
              </w:rPr>
              <w:t>27,8</w:t>
            </w:r>
          </w:p>
        </w:tc>
        <w:tc>
          <w:tcPr>
            <w:tcW w:w="523" w:type="pct"/>
            <w:tcBorders>
              <w:top w:val="single" w:sz="6" w:space="0" w:color="BFBFBF" w:themeColor="background1" w:themeShade="BF"/>
              <w:bottom w:val="single" w:sz="6" w:space="0" w:color="BFBFBF" w:themeColor="background1" w:themeShade="BF"/>
            </w:tcBorders>
            <w:vAlign w:val="center"/>
          </w:tcPr>
          <w:p w14:paraId="583C528D" w14:textId="1323CC73" w:rsidR="00EB0E9F" w:rsidRPr="006437CF" w:rsidRDefault="00EB0E9F" w:rsidP="005301DF">
            <w:pPr>
              <w:spacing w:before="100" w:after="100" w:line="22" w:lineRule="atLeast"/>
              <w:jc w:val="center"/>
              <w:rPr>
                <w:rFonts w:asciiTheme="minorHAnsi" w:eastAsia="Calibri" w:hAnsiTheme="minorHAnsi"/>
                <w:iCs/>
                <w:noProof/>
                <w:sz w:val="22"/>
                <w:szCs w:val="22"/>
              </w:rPr>
            </w:pPr>
            <w:r>
              <w:rPr>
                <w:rFonts w:asciiTheme="minorHAnsi" w:hAnsiTheme="minorHAnsi"/>
                <w:noProof/>
                <w:sz w:val="22"/>
              </w:rPr>
              <w:t>130,4</w:t>
            </w:r>
          </w:p>
        </w:tc>
      </w:tr>
      <w:tr w:rsidR="00CC6B5D" w:rsidRPr="006437CF" w14:paraId="6902965C" w14:textId="77777777" w:rsidTr="0050317D">
        <w:trPr>
          <w:trHeight w:val="300"/>
        </w:trPr>
        <w:tc>
          <w:tcPr>
            <w:tcW w:w="1571"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0BECFC1" w14:textId="23786A52" w:rsidR="006437CF" w:rsidRPr="000D6B02" w:rsidRDefault="006437CF" w:rsidP="006437CF">
            <w:pPr>
              <w:spacing w:before="100" w:after="100"/>
              <w:ind w:left="170"/>
              <w:rPr>
                <w:rFonts w:asciiTheme="minorHAnsi" w:hAnsiTheme="minorHAnsi"/>
                <w:bCs/>
                <w:iCs/>
                <w:noProof/>
                <w:color w:val="245F95" w:themeColor="text2"/>
                <w:sz w:val="22"/>
                <w:szCs w:val="22"/>
              </w:rPr>
            </w:pPr>
            <w:r>
              <w:rPr>
                <w:rFonts w:asciiTheme="minorHAnsi" w:hAnsiTheme="minorHAnsi"/>
                <w:noProof/>
                <w:color w:val="245F95" w:themeColor="text2"/>
                <w:sz w:val="22"/>
              </w:rPr>
              <w:t>Zasoby własne oparte na tworzywach sztucznych</w:t>
            </w:r>
          </w:p>
        </w:tc>
        <w:tc>
          <w:tcPr>
            <w:tcW w:w="288"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35223C" w14:textId="77777777" w:rsidR="006437CF" w:rsidRPr="006437CF" w:rsidRDefault="006437CF" w:rsidP="000D6B02">
            <w:pPr>
              <w:spacing w:before="100" w:after="100"/>
              <w:jc w:val="center"/>
              <w:rPr>
                <w:rFonts w:asciiTheme="minorHAnsi" w:hAnsiTheme="minorHAnsi"/>
                <w:iCs/>
                <w:noProof/>
                <w:sz w:val="22"/>
                <w:szCs w:val="22"/>
              </w:rPr>
            </w:pP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6F5335" w14:textId="5F6717D7" w:rsidR="006437CF" w:rsidRPr="006437CF" w:rsidRDefault="006437CF" w:rsidP="005301DF">
            <w:pPr>
              <w:spacing w:before="100" w:after="100" w:line="22" w:lineRule="atLeast"/>
              <w:jc w:val="center"/>
              <w:rPr>
                <w:rFonts w:asciiTheme="minorHAnsi" w:eastAsia="Calibri" w:hAnsiTheme="minorHAnsi"/>
                <w:iCs/>
                <w:noProof/>
                <w:sz w:val="22"/>
                <w:szCs w:val="22"/>
              </w:rPr>
            </w:pPr>
            <w:r>
              <w:rPr>
                <w:rFonts w:asciiTheme="minorHAnsi" w:hAnsiTheme="minorHAnsi"/>
                <w:noProof/>
                <w:sz w:val="22"/>
              </w:rPr>
              <w:t>7,1</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D7D1F3" w14:textId="110A7890" w:rsidR="006437CF" w:rsidRPr="006437CF" w:rsidRDefault="006437CF" w:rsidP="005301DF">
            <w:pPr>
              <w:spacing w:before="100" w:after="100" w:line="22" w:lineRule="atLeast"/>
              <w:jc w:val="center"/>
              <w:rPr>
                <w:rFonts w:asciiTheme="minorHAnsi" w:eastAsia="Calibri" w:hAnsiTheme="minorHAnsi"/>
                <w:iCs/>
                <w:noProof/>
                <w:sz w:val="22"/>
                <w:szCs w:val="22"/>
              </w:rPr>
            </w:pPr>
            <w:r>
              <w:rPr>
                <w:rFonts w:asciiTheme="minorHAnsi" w:hAnsiTheme="minorHAnsi"/>
                <w:noProof/>
                <w:sz w:val="22"/>
              </w:rPr>
              <w:t>7,1</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9E2BDF" w14:textId="59BFDD8A" w:rsidR="006437CF" w:rsidRPr="006437CF" w:rsidRDefault="006437CF" w:rsidP="005301DF">
            <w:pPr>
              <w:spacing w:before="100" w:after="100" w:line="22" w:lineRule="atLeast"/>
              <w:jc w:val="center"/>
              <w:rPr>
                <w:rFonts w:asciiTheme="minorHAnsi" w:eastAsia="Calibri" w:hAnsiTheme="minorHAnsi"/>
                <w:iCs/>
                <w:noProof/>
                <w:sz w:val="22"/>
                <w:szCs w:val="22"/>
              </w:rPr>
            </w:pPr>
            <w:r>
              <w:rPr>
                <w:rFonts w:asciiTheme="minorHAnsi" w:hAnsiTheme="minorHAnsi"/>
                <w:noProof/>
                <w:sz w:val="22"/>
              </w:rPr>
              <w:t>7,1</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205E6A0" w14:textId="30A2DDF0" w:rsidR="006437CF" w:rsidRPr="006437CF" w:rsidRDefault="006437CF" w:rsidP="005301DF">
            <w:pPr>
              <w:spacing w:before="100" w:after="100" w:line="22" w:lineRule="atLeast"/>
              <w:jc w:val="center"/>
              <w:rPr>
                <w:rFonts w:asciiTheme="minorHAnsi" w:eastAsia="Calibri" w:hAnsiTheme="minorHAnsi"/>
                <w:iCs/>
                <w:noProof/>
                <w:sz w:val="22"/>
                <w:szCs w:val="22"/>
              </w:rPr>
            </w:pPr>
            <w:r>
              <w:rPr>
                <w:rFonts w:asciiTheme="minorHAnsi" w:hAnsiTheme="minorHAnsi"/>
                <w:noProof/>
                <w:sz w:val="22"/>
              </w:rPr>
              <w:t>7,0</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6D4F15" w14:textId="7328FBC1" w:rsidR="006437CF" w:rsidRPr="006437CF" w:rsidRDefault="006437CF" w:rsidP="005301DF">
            <w:pPr>
              <w:spacing w:before="100" w:after="100" w:line="22" w:lineRule="atLeast"/>
              <w:jc w:val="center"/>
              <w:rPr>
                <w:rFonts w:asciiTheme="minorHAnsi" w:eastAsia="Calibri" w:hAnsiTheme="minorHAnsi"/>
                <w:iCs/>
                <w:noProof/>
                <w:sz w:val="22"/>
                <w:szCs w:val="22"/>
              </w:rPr>
            </w:pPr>
            <w:r>
              <w:rPr>
                <w:rFonts w:asciiTheme="minorHAnsi" w:hAnsiTheme="minorHAnsi"/>
                <w:noProof/>
                <w:sz w:val="22"/>
              </w:rPr>
              <w:t>7,0</w:t>
            </w:r>
          </w:p>
        </w:tc>
        <w:tc>
          <w:tcPr>
            <w:tcW w:w="523" w:type="pct"/>
            <w:tcBorders>
              <w:top w:val="single" w:sz="6" w:space="0" w:color="BFBFBF" w:themeColor="background1" w:themeShade="BF"/>
              <w:bottom w:val="single" w:sz="6" w:space="0" w:color="BFBFBF" w:themeColor="background1" w:themeShade="BF"/>
            </w:tcBorders>
            <w:vAlign w:val="center"/>
          </w:tcPr>
          <w:p w14:paraId="277FB2FF" w14:textId="064F0477" w:rsidR="006437CF" w:rsidRPr="006437CF" w:rsidRDefault="00623C53" w:rsidP="005301DF">
            <w:pPr>
              <w:spacing w:before="100" w:after="100" w:line="22" w:lineRule="atLeast"/>
              <w:jc w:val="center"/>
              <w:rPr>
                <w:rFonts w:asciiTheme="minorHAnsi" w:eastAsia="Calibri" w:hAnsiTheme="minorHAnsi"/>
                <w:iCs/>
                <w:noProof/>
                <w:sz w:val="22"/>
                <w:szCs w:val="22"/>
              </w:rPr>
            </w:pPr>
            <w:r>
              <w:rPr>
                <w:rFonts w:asciiTheme="minorHAnsi" w:hAnsiTheme="minorHAnsi"/>
                <w:noProof/>
                <w:sz w:val="22"/>
              </w:rPr>
              <w:t>35,3</w:t>
            </w:r>
          </w:p>
        </w:tc>
      </w:tr>
      <w:tr w:rsidR="00CC6B5D" w:rsidRPr="006437CF" w14:paraId="2D4E0D2C" w14:textId="77777777" w:rsidTr="0050317D">
        <w:trPr>
          <w:trHeight w:val="300"/>
        </w:trPr>
        <w:tc>
          <w:tcPr>
            <w:tcW w:w="1571"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6942E4" w14:textId="37FB2960" w:rsidR="006437CF" w:rsidRPr="000D6B02" w:rsidRDefault="006437CF" w:rsidP="006437CF">
            <w:pPr>
              <w:spacing w:before="100" w:after="100"/>
              <w:ind w:left="170"/>
              <w:rPr>
                <w:rFonts w:asciiTheme="minorHAnsi" w:hAnsiTheme="minorHAnsi"/>
                <w:bCs/>
                <w:iCs/>
                <w:noProof/>
                <w:color w:val="245F95" w:themeColor="text2"/>
                <w:sz w:val="22"/>
                <w:szCs w:val="22"/>
              </w:rPr>
            </w:pPr>
            <w:r>
              <w:rPr>
                <w:rFonts w:asciiTheme="minorHAnsi" w:hAnsiTheme="minorHAnsi"/>
                <w:noProof/>
                <w:color w:val="245F95" w:themeColor="text2"/>
                <w:sz w:val="22"/>
              </w:rPr>
              <w:t>Zasoby własne oparte na DNB***</w:t>
            </w:r>
          </w:p>
        </w:tc>
        <w:tc>
          <w:tcPr>
            <w:tcW w:w="288"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37F7DA" w14:textId="77777777" w:rsidR="006437CF" w:rsidRPr="006437CF" w:rsidRDefault="006437CF" w:rsidP="000D6B02">
            <w:pPr>
              <w:spacing w:before="100" w:after="100"/>
              <w:jc w:val="center"/>
              <w:rPr>
                <w:rFonts w:asciiTheme="minorHAnsi" w:hAnsiTheme="minorHAnsi"/>
                <w:iCs/>
                <w:noProof/>
                <w:sz w:val="22"/>
                <w:szCs w:val="22"/>
              </w:rPr>
            </w:pP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2C238F" w14:textId="206B0BB2" w:rsidR="006437CF" w:rsidRPr="006437CF" w:rsidRDefault="00625B75" w:rsidP="005301DF">
            <w:pPr>
              <w:spacing w:before="100" w:after="100" w:line="22" w:lineRule="atLeast"/>
              <w:jc w:val="center"/>
              <w:rPr>
                <w:rFonts w:asciiTheme="minorHAnsi" w:eastAsia="Calibri" w:hAnsiTheme="minorHAnsi"/>
                <w:iCs/>
                <w:noProof/>
                <w:sz w:val="22"/>
                <w:szCs w:val="22"/>
              </w:rPr>
            </w:pPr>
            <w:r>
              <w:rPr>
                <w:rFonts w:asciiTheme="minorHAnsi" w:hAnsiTheme="minorHAnsi"/>
                <w:noProof/>
                <w:sz w:val="22"/>
              </w:rPr>
              <w:t>95,8</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E5D1C16" w14:textId="78671BA4" w:rsidR="006437CF" w:rsidRPr="006437CF" w:rsidRDefault="00F22621" w:rsidP="005301DF">
            <w:pPr>
              <w:spacing w:before="100" w:after="100" w:line="22" w:lineRule="atLeast"/>
              <w:jc w:val="center"/>
              <w:rPr>
                <w:rFonts w:asciiTheme="minorHAnsi" w:eastAsia="Calibri" w:hAnsiTheme="minorHAnsi"/>
                <w:iCs/>
                <w:noProof/>
                <w:sz w:val="22"/>
                <w:szCs w:val="22"/>
              </w:rPr>
            </w:pPr>
            <w:r>
              <w:rPr>
                <w:rFonts w:asciiTheme="minorHAnsi" w:hAnsiTheme="minorHAnsi"/>
                <w:noProof/>
                <w:sz w:val="22"/>
              </w:rPr>
              <w:t>127,4</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0B4AA3" w14:textId="269C5FA3" w:rsidR="006437CF" w:rsidRPr="006437CF" w:rsidRDefault="00987500" w:rsidP="005301DF">
            <w:pPr>
              <w:spacing w:before="100" w:after="100" w:line="22" w:lineRule="atLeast"/>
              <w:jc w:val="center"/>
              <w:rPr>
                <w:rFonts w:asciiTheme="minorHAnsi" w:eastAsia="Calibri" w:hAnsiTheme="minorHAnsi"/>
                <w:iCs/>
                <w:noProof/>
                <w:sz w:val="22"/>
                <w:szCs w:val="22"/>
              </w:rPr>
            </w:pPr>
            <w:r>
              <w:rPr>
                <w:rFonts w:asciiTheme="minorHAnsi" w:hAnsiTheme="minorHAnsi"/>
                <w:noProof/>
                <w:sz w:val="22"/>
              </w:rPr>
              <w:t>138,2</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3B3677" w14:textId="72175FAB" w:rsidR="006437CF" w:rsidRPr="006437CF" w:rsidRDefault="00087DB3" w:rsidP="005301DF">
            <w:pPr>
              <w:spacing w:before="100" w:after="100" w:line="22" w:lineRule="atLeast"/>
              <w:jc w:val="center"/>
              <w:rPr>
                <w:rFonts w:asciiTheme="minorHAnsi" w:eastAsia="Calibri" w:hAnsiTheme="minorHAnsi"/>
                <w:iCs/>
                <w:noProof/>
                <w:sz w:val="22"/>
                <w:szCs w:val="22"/>
              </w:rPr>
            </w:pPr>
            <w:r>
              <w:rPr>
                <w:rFonts w:asciiTheme="minorHAnsi" w:hAnsiTheme="minorHAnsi"/>
                <w:noProof/>
                <w:sz w:val="22"/>
              </w:rPr>
              <w:t>84,2</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A5589C" w14:textId="580DA9D5" w:rsidR="006437CF" w:rsidRPr="006437CF" w:rsidRDefault="00F45E06" w:rsidP="005301DF">
            <w:pPr>
              <w:spacing w:before="100" w:after="100" w:line="22" w:lineRule="atLeast"/>
              <w:jc w:val="center"/>
              <w:rPr>
                <w:rFonts w:asciiTheme="minorHAnsi" w:eastAsia="Calibri" w:hAnsiTheme="minorHAnsi"/>
                <w:iCs/>
                <w:noProof/>
                <w:sz w:val="22"/>
                <w:szCs w:val="22"/>
              </w:rPr>
            </w:pPr>
            <w:r>
              <w:rPr>
                <w:rFonts w:asciiTheme="minorHAnsi" w:hAnsiTheme="minorHAnsi"/>
                <w:noProof/>
                <w:sz w:val="22"/>
              </w:rPr>
              <w:t>61,6</w:t>
            </w:r>
          </w:p>
        </w:tc>
        <w:tc>
          <w:tcPr>
            <w:tcW w:w="523" w:type="pct"/>
            <w:tcBorders>
              <w:top w:val="single" w:sz="6" w:space="0" w:color="BFBFBF" w:themeColor="background1" w:themeShade="BF"/>
              <w:bottom w:val="single" w:sz="6" w:space="0" w:color="BFBFBF" w:themeColor="background1" w:themeShade="BF"/>
            </w:tcBorders>
            <w:vAlign w:val="center"/>
          </w:tcPr>
          <w:p w14:paraId="3945294C" w14:textId="1F39445F" w:rsidR="006437CF" w:rsidRPr="006437CF" w:rsidRDefault="00B53F94" w:rsidP="005301DF">
            <w:pPr>
              <w:spacing w:before="100" w:after="100" w:line="22" w:lineRule="atLeast"/>
              <w:jc w:val="center"/>
              <w:rPr>
                <w:rFonts w:asciiTheme="minorHAnsi" w:eastAsia="Calibri" w:hAnsiTheme="minorHAnsi"/>
                <w:iCs/>
                <w:noProof/>
                <w:sz w:val="22"/>
                <w:szCs w:val="22"/>
              </w:rPr>
            </w:pPr>
            <w:r>
              <w:rPr>
                <w:rFonts w:asciiTheme="minorHAnsi" w:hAnsiTheme="minorHAnsi"/>
                <w:noProof/>
                <w:sz w:val="22"/>
              </w:rPr>
              <w:t>507,2</w:t>
            </w:r>
          </w:p>
        </w:tc>
      </w:tr>
      <w:tr w:rsidR="00CC6B5D" w:rsidRPr="000D6B02" w14:paraId="5387D7DC" w14:textId="77777777" w:rsidTr="0050317D">
        <w:trPr>
          <w:trHeight w:val="300"/>
        </w:trPr>
        <w:tc>
          <w:tcPr>
            <w:tcW w:w="1571"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349AB8" w14:textId="4CE73248" w:rsidR="00EB0E9F" w:rsidRPr="000D6B02" w:rsidRDefault="00EB0E9F" w:rsidP="006437CF">
            <w:pPr>
              <w:spacing w:before="100" w:after="100"/>
              <w:rPr>
                <w:b/>
                <w:bCs/>
                <w:iCs/>
                <w:noProof/>
                <w:color w:val="245F95" w:themeColor="text2"/>
              </w:rPr>
            </w:pPr>
            <w:r>
              <w:rPr>
                <w:rFonts w:asciiTheme="minorHAnsi" w:hAnsiTheme="minorHAnsi"/>
                <w:b/>
                <w:noProof/>
                <w:color w:val="245F95" w:themeColor="text2"/>
                <w:sz w:val="22"/>
              </w:rPr>
              <w:t>Zasoby własne ogółem</w:t>
            </w:r>
          </w:p>
        </w:tc>
        <w:tc>
          <w:tcPr>
            <w:tcW w:w="288"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2078AF" w14:textId="738FB106" w:rsidR="00EB0E9F" w:rsidRPr="000D6B02" w:rsidRDefault="00EB0E9F" w:rsidP="000D6B02">
            <w:pPr>
              <w:spacing w:before="100" w:after="100"/>
              <w:jc w:val="center"/>
              <w:rPr>
                <w:b/>
                <w:bCs/>
                <w:iCs/>
                <w:noProof/>
                <w:spacing w:val="-4"/>
              </w:rPr>
            </w:pPr>
            <w:r>
              <w:rPr>
                <w:rFonts w:asciiTheme="minorHAnsi" w:hAnsiTheme="minorHAnsi"/>
                <w:b/>
                <w:noProof/>
                <w:sz w:val="22"/>
              </w:rPr>
              <w:t>d=b+c</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C2A485" w14:textId="6A872525" w:rsidR="00EB0E9F" w:rsidRPr="000D6B02" w:rsidRDefault="00BF21F5" w:rsidP="005301DF">
            <w:pPr>
              <w:spacing w:before="100" w:after="100"/>
              <w:jc w:val="center"/>
              <w:rPr>
                <w:b/>
                <w:bCs/>
                <w:iCs/>
                <w:noProof/>
              </w:rPr>
            </w:pPr>
            <w:r>
              <w:rPr>
                <w:rFonts w:asciiTheme="minorHAnsi" w:hAnsiTheme="minorHAnsi"/>
                <w:b/>
                <w:noProof/>
                <w:sz w:val="22"/>
              </w:rPr>
              <w:t>148,4</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2E5F13" w14:textId="7300AAE1" w:rsidR="00EB0E9F" w:rsidRPr="000D6B02" w:rsidRDefault="00184729" w:rsidP="005301DF">
            <w:pPr>
              <w:spacing w:before="100" w:after="100"/>
              <w:jc w:val="center"/>
              <w:rPr>
                <w:b/>
                <w:bCs/>
                <w:iCs/>
                <w:noProof/>
              </w:rPr>
            </w:pPr>
            <w:r>
              <w:rPr>
                <w:rFonts w:asciiTheme="minorHAnsi" w:hAnsiTheme="minorHAnsi"/>
                <w:b/>
                <w:noProof/>
                <w:sz w:val="22"/>
              </w:rPr>
              <w:t>181,6</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02572A" w14:textId="0678259D" w:rsidR="00EB0E9F" w:rsidRPr="000D6B02" w:rsidRDefault="00523C63" w:rsidP="005301DF">
            <w:pPr>
              <w:spacing w:before="100" w:after="100"/>
              <w:jc w:val="center"/>
              <w:rPr>
                <w:b/>
                <w:bCs/>
                <w:iCs/>
                <w:noProof/>
              </w:rPr>
            </w:pPr>
            <w:r>
              <w:rPr>
                <w:rFonts w:asciiTheme="minorHAnsi" w:hAnsiTheme="minorHAnsi"/>
                <w:b/>
                <w:noProof/>
                <w:sz w:val="22"/>
              </w:rPr>
              <w:t>194,0</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D69218" w14:textId="4A47AA03" w:rsidR="00EB0E9F" w:rsidRPr="000D6B02" w:rsidRDefault="00EB0E9F" w:rsidP="005301DF">
            <w:pPr>
              <w:spacing w:before="100" w:after="100"/>
              <w:jc w:val="center"/>
              <w:rPr>
                <w:b/>
                <w:bCs/>
                <w:iCs/>
                <w:noProof/>
              </w:rPr>
            </w:pPr>
            <w:r>
              <w:rPr>
                <w:rFonts w:asciiTheme="minorHAnsi" w:hAnsiTheme="minorHAnsi"/>
                <w:b/>
                <w:noProof/>
                <w:sz w:val="22"/>
              </w:rPr>
              <w:t>141,5</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AF602A" w14:textId="3A5214D9" w:rsidR="00EB0E9F" w:rsidRPr="000D6B02" w:rsidRDefault="00EB0E9F" w:rsidP="005301DF">
            <w:pPr>
              <w:spacing w:before="100" w:after="100"/>
              <w:jc w:val="center"/>
              <w:rPr>
                <w:b/>
                <w:bCs/>
                <w:iCs/>
                <w:noProof/>
              </w:rPr>
            </w:pPr>
            <w:r>
              <w:rPr>
                <w:rFonts w:asciiTheme="minorHAnsi" w:hAnsiTheme="minorHAnsi"/>
                <w:b/>
                <w:noProof/>
                <w:sz w:val="22"/>
              </w:rPr>
              <w:t>120,5</w:t>
            </w:r>
          </w:p>
        </w:tc>
        <w:tc>
          <w:tcPr>
            <w:tcW w:w="523" w:type="pct"/>
            <w:tcBorders>
              <w:top w:val="single" w:sz="6" w:space="0" w:color="BFBFBF" w:themeColor="background1" w:themeShade="BF"/>
              <w:bottom w:val="single" w:sz="6" w:space="0" w:color="BFBFBF" w:themeColor="background1" w:themeShade="BF"/>
            </w:tcBorders>
            <w:vAlign w:val="center"/>
          </w:tcPr>
          <w:p w14:paraId="0008F3A2" w14:textId="0694A91B" w:rsidR="00EB0E9F" w:rsidRPr="000D6B02" w:rsidRDefault="00EB0E9F" w:rsidP="005301DF">
            <w:pPr>
              <w:spacing w:before="100" w:after="100"/>
              <w:jc w:val="center"/>
              <w:rPr>
                <w:b/>
                <w:bCs/>
                <w:iCs/>
                <w:noProof/>
              </w:rPr>
            </w:pPr>
            <w:r>
              <w:rPr>
                <w:rFonts w:asciiTheme="minorHAnsi" w:hAnsiTheme="minorHAnsi"/>
                <w:b/>
                <w:noProof/>
                <w:sz w:val="22"/>
              </w:rPr>
              <w:t>786,0</w:t>
            </w:r>
          </w:p>
        </w:tc>
      </w:tr>
      <w:tr w:rsidR="00CC6B5D" w:rsidRPr="006437CF" w14:paraId="4C2023E6" w14:textId="77777777" w:rsidTr="0050317D">
        <w:trPr>
          <w:trHeight w:val="300"/>
        </w:trPr>
        <w:tc>
          <w:tcPr>
            <w:tcW w:w="1571"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FAB156" w14:textId="5CCE949B" w:rsidR="00EB0E9F" w:rsidRPr="000D6B02" w:rsidRDefault="00EB0E9F" w:rsidP="005D0F4A">
            <w:pPr>
              <w:spacing w:before="100" w:after="100"/>
              <w:ind w:left="170"/>
              <w:rPr>
                <w:b/>
                <w:iCs/>
                <w:noProof/>
                <w:color w:val="245F95" w:themeColor="text2"/>
              </w:rPr>
            </w:pPr>
            <w:r>
              <w:rPr>
                <w:rFonts w:asciiTheme="minorHAnsi" w:hAnsiTheme="minorHAnsi"/>
                <w:noProof/>
                <w:color w:val="245F95" w:themeColor="text2"/>
                <w:sz w:val="22"/>
              </w:rPr>
              <w:t>w tym zasoby własne przeznaczone na finansowanie zobowiązań NextGenerationEU****</w:t>
            </w:r>
          </w:p>
        </w:tc>
        <w:tc>
          <w:tcPr>
            <w:tcW w:w="288"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7226B4" w14:textId="6D64B84B" w:rsidR="00EB0E9F" w:rsidRPr="006437CF" w:rsidRDefault="00EB0E9F" w:rsidP="000D6B02">
            <w:pPr>
              <w:spacing w:before="100" w:after="100"/>
              <w:jc w:val="center"/>
              <w:rPr>
                <w:b/>
                <w:iCs/>
                <w:noProof/>
              </w:rPr>
            </w:pPr>
            <w:r>
              <w:rPr>
                <w:rFonts w:asciiTheme="minorHAnsi" w:hAnsiTheme="minorHAnsi"/>
                <w:noProof/>
                <w:sz w:val="22"/>
              </w:rPr>
              <w:t>d’</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43A7FA" w14:textId="25B6121E" w:rsidR="00EB0E9F" w:rsidRPr="006437CF" w:rsidRDefault="00EB0E9F" w:rsidP="005301DF">
            <w:pPr>
              <w:spacing w:before="100" w:after="100"/>
              <w:jc w:val="center"/>
              <w:rPr>
                <w:b/>
                <w:iCs/>
                <w:noProof/>
              </w:rPr>
            </w:pPr>
            <w:r>
              <w:rPr>
                <w:rFonts w:asciiTheme="minorHAnsi" w:hAnsiTheme="minorHAnsi"/>
                <w:noProof/>
                <w:sz w:val="22"/>
              </w:rPr>
              <w:t>5,2</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B8FDA77" w14:textId="148A8715" w:rsidR="00EB0E9F" w:rsidRPr="006437CF" w:rsidRDefault="00EB0E9F" w:rsidP="005301DF">
            <w:pPr>
              <w:spacing w:before="100" w:after="100"/>
              <w:jc w:val="center"/>
              <w:rPr>
                <w:b/>
                <w:iCs/>
                <w:noProof/>
              </w:rPr>
            </w:pPr>
            <w:r>
              <w:rPr>
                <w:rFonts w:asciiTheme="minorHAnsi" w:hAnsiTheme="minorHAnsi"/>
                <w:noProof/>
                <w:sz w:val="22"/>
              </w:rPr>
              <w:t>3,8</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8BCED5C" w14:textId="216CDEF0" w:rsidR="00EB0E9F" w:rsidRPr="006437CF" w:rsidRDefault="00EB0E9F" w:rsidP="005301DF">
            <w:pPr>
              <w:spacing w:before="100" w:after="100"/>
              <w:jc w:val="center"/>
              <w:rPr>
                <w:b/>
                <w:iCs/>
                <w:noProof/>
              </w:rPr>
            </w:pPr>
            <w:r>
              <w:rPr>
                <w:rFonts w:asciiTheme="minorHAnsi" w:hAnsiTheme="minorHAnsi"/>
                <w:noProof/>
                <w:sz w:val="22"/>
              </w:rPr>
              <w:t>5,0</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EAAC01" w14:textId="77777777" w:rsidR="00EB0E9F" w:rsidRPr="006437CF" w:rsidRDefault="00EB0E9F" w:rsidP="005301DF">
            <w:pPr>
              <w:spacing w:before="100" w:after="100"/>
              <w:jc w:val="center"/>
              <w:rPr>
                <w:b/>
                <w:iCs/>
                <w:noProof/>
              </w:rPr>
            </w:pP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D56414" w14:textId="77777777" w:rsidR="00EB0E9F" w:rsidRPr="006437CF" w:rsidRDefault="00EB0E9F" w:rsidP="005301DF">
            <w:pPr>
              <w:spacing w:before="100" w:after="100"/>
              <w:jc w:val="center"/>
              <w:rPr>
                <w:b/>
                <w:iCs/>
                <w:noProof/>
              </w:rPr>
            </w:pPr>
          </w:p>
        </w:tc>
        <w:tc>
          <w:tcPr>
            <w:tcW w:w="523" w:type="pct"/>
            <w:tcBorders>
              <w:top w:val="single" w:sz="6" w:space="0" w:color="BFBFBF" w:themeColor="background1" w:themeShade="BF"/>
              <w:bottom w:val="single" w:sz="6" w:space="0" w:color="BFBFBF" w:themeColor="background1" w:themeShade="BF"/>
            </w:tcBorders>
            <w:vAlign w:val="center"/>
          </w:tcPr>
          <w:p w14:paraId="586D1234" w14:textId="54E1DEFD" w:rsidR="00EB0E9F" w:rsidRPr="006437CF" w:rsidRDefault="00EB0E9F" w:rsidP="005301DF">
            <w:pPr>
              <w:spacing w:before="100" w:after="100"/>
              <w:jc w:val="center"/>
              <w:rPr>
                <w:b/>
                <w:iCs/>
                <w:noProof/>
              </w:rPr>
            </w:pPr>
            <w:r>
              <w:rPr>
                <w:rFonts w:asciiTheme="minorHAnsi" w:hAnsiTheme="minorHAnsi"/>
                <w:noProof/>
                <w:sz w:val="22"/>
              </w:rPr>
              <w:t>13,9</w:t>
            </w:r>
          </w:p>
        </w:tc>
      </w:tr>
      <w:tr w:rsidR="00CC6B5D" w:rsidRPr="00704A3C" w14:paraId="33BBDF0B" w14:textId="77777777" w:rsidTr="0050317D">
        <w:trPr>
          <w:trHeight w:val="300"/>
        </w:trPr>
        <w:tc>
          <w:tcPr>
            <w:tcW w:w="1571"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BF3B904" w14:textId="76E60A9D" w:rsidR="00EB0E9F" w:rsidRPr="00704A3C" w:rsidRDefault="00EB0E9F" w:rsidP="006437CF">
            <w:pPr>
              <w:spacing w:before="100" w:after="100"/>
              <w:rPr>
                <w:b/>
                <w:bCs/>
                <w:iCs/>
                <w:noProof/>
                <w:color w:val="245F95" w:themeColor="text2"/>
              </w:rPr>
            </w:pPr>
            <w:r>
              <w:rPr>
                <w:rFonts w:asciiTheme="minorHAnsi" w:hAnsiTheme="minorHAnsi"/>
                <w:b/>
                <w:noProof/>
                <w:color w:val="245F95" w:themeColor="text2"/>
                <w:sz w:val="22"/>
              </w:rPr>
              <w:t>Inne dochody (w tym tymczasowy wkład Zjednoczonego Królestwa)</w:t>
            </w:r>
          </w:p>
        </w:tc>
        <w:tc>
          <w:tcPr>
            <w:tcW w:w="288"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0D8B5F" w14:textId="72322A22" w:rsidR="00EB0E9F" w:rsidRPr="00704A3C" w:rsidRDefault="00EB0E9F" w:rsidP="000D6B02">
            <w:pPr>
              <w:spacing w:before="100" w:after="100"/>
              <w:jc w:val="center"/>
              <w:rPr>
                <w:b/>
                <w:bCs/>
                <w:iCs/>
                <w:noProof/>
              </w:rPr>
            </w:pPr>
            <w:r>
              <w:rPr>
                <w:rFonts w:asciiTheme="minorHAnsi" w:hAnsiTheme="minorHAnsi"/>
                <w:b/>
                <w:noProof/>
                <w:sz w:val="22"/>
              </w:rPr>
              <w:t>e</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A888D6" w14:textId="783484CC" w:rsidR="00EB0E9F" w:rsidRPr="00704A3C" w:rsidRDefault="00EB0E9F" w:rsidP="005301DF">
            <w:pPr>
              <w:spacing w:before="100" w:after="100"/>
              <w:jc w:val="center"/>
              <w:rPr>
                <w:b/>
                <w:bCs/>
                <w:iCs/>
                <w:noProof/>
              </w:rPr>
            </w:pPr>
            <w:r>
              <w:rPr>
                <w:rFonts w:asciiTheme="minorHAnsi" w:hAnsiTheme="minorHAnsi"/>
                <w:b/>
                <w:noProof/>
                <w:sz w:val="22"/>
              </w:rPr>
              <w:t>4,3</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9664F6" w14:textId="11D76DBD" w:rsidR="00EB0E9F" w:rsidRPr="00704A3C" w:rsidRDefault="00361111" w:rsidP="005301DF">
            <w:pPr>
              <w:spacing w:before="100" w:after="100"/>
              <w:jc w:val="center"/>
              <w:rPr>
                <w:b/>
                <w:bCs/>
                <w:iCs/>
                <w:noProof/>
              </w:rPr>
            </w:pPr>
            <w:r>
              <w:rPr>
                <w:rFonts w:asciiTheme="minorHAnsi" w:hAnsiTheme="minorHAnsi"/>
                <w:b/>
                <w:noProof/>
                <w:sz w:val="22"/>
              </w:rPr>
              <w:t>4,0</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2AC2ECD" w14:textId="1099A73B" w:rsidR="00EB0E9F" w:rsidRPr="00704A3C" w:rsidRDefault="00EB0E9F" w:rsidP="005301DF">
            <w:pPr>
              <w:spacing w:before="100" w:after="100"/>
              <w:jc w:val="center"/>
              <w:rPr>
                <w:b/>
                <w:bCs/>
                <w:iCs/>
                <w:noProof/>
              </w:rPr>
            </w:pPr>
            <w:r>
              <w:rPr>
                <w:rFonts w:asciiTheme="minorHAnsi" w:hAnsiTheme="minorHAnsi"/>
                <w:b/>
                <w:noProof/>
                <w:sz w:val="22"/>
              </w:rPr>
              <w:t>3,8</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8C24A6" w14:textId="71B1456B" w:rsidR="00EB0E9F" w:rsidRPr="00704A3C" w:rsidRDefault="00361111" w:rsidP="005301DF">
            <w:pPr>
              <w:spacing w:before="100" w:after="100"/>
              <w:jc w:val="center"/>
              <w:rPr>
                <w:b/>
                <w:bCs/>
                <w:iCs/>
                <w:noProof/>
              </w:rPr>
            </w:pPr>
            <w:r>
              <w:rPr>
                <w:rFonts w:asciiTheme="minorHAnsi" w:hAnsiTheme="minorHAnsi"/>
                <w:b/>
                <w:noProof/>
                <w:sz w:val="22"/>
              </w:rPr>
              <w:t>3,2</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66B44B" w14:textId="38C1028C" w:rsidR="00EB0E9F" w:rsidRPr="00704A3C" w:rsidRDefault="00EB0E9F" w:rsidP="005301DF">
            <w:pPr>
              <w:spacing w:before="100" w:after="100"/>
              <w:jc w:val="center"/>
              <w:rPr>
                <w:b/>
                <w:bCs/>
                <w:iCs/>
                <w:noProof/>
              </w:rPr>
            </w:pPr>
            <w:r>
              <w:rPr>
                <w:rFonts w:asciiTheme="minorHAnsi" w:hAnsiTheme="minorHAnsi"/>
                <w:b/>
                <w:noProof/>
                <w:sz w:val="22"/>
              </w:rPr>
              <w:t>2,9</w:t>
            </w:r>
          </w:p>
        </w:tc>
        <w:tc>
          <w:tcPr>
            <w:tcW w:w="523" w:type="pct"/>
            <w:tcBorders>
              <w:top w:val="single" w:sz="6" w:space="0" w:color="BFBFBF" w:themeColor="background1" w:themeShade="BF"/>
              <w:bottom w:val="single" w:sz="6" w:space="0" w:color="BFBFBF" w:themeColor="background1" w:themeShade="BF"/>
            </w:tcBorders>
            <w:vAlign w:val="center"/>
          </w:tcPr>
          <w:p w14:paraId="001F96BD" w14:textId="5F8B8541" w:rsidR="00EB0E9F" w:rsidRPr="00704A3C" w:rsidRDefault="00EB0E9F" w:rsidP="005301DF">
            <w:pPr>
              <w:spacing w:before="100" w:after="100"/>
              <w:jc w:val="center"/>
              <w:rPr>
                <w:b/>
                <w:bCs/>
                <w:iCs/>
                <w:noProof/>
              </w:rPr>
            </w:pPr>
            <w:r>
              <w:rPr>
                <w:rFonts w:asciiTheme="minorHAnsi" w:hAnsiTheme="minorHAnsi"/>
                <w:b/>
                <w:noProof/>
                <w:sz w:val="22"/>
              </w:rPr>
              <w:t>18,1</w:t>
            </w:r>
          </w:p>
        </w:tc>
      </w:tr>
      <w:tr w:rsidR="0050317D" w:rsidRPr="006437CF" w14:paraId="189D0F6D" w14:textId="77777777" w:rsidTr="005301DF">
        <w:trPr>
          <w:trHeight w:val="533"/>
        </w:trPr>
        <w:tc>
          <w:tcPr>
            <w:tcW w:w="1571" w:type="pct"/>
            <w:tcBorders>
              <w:top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CE1D9" w:themeFill="accent2" w:themeFillTint="33"/>
            <w:vAlign w:val="center"/>
          </w:tcPr>
          <w:p w14:paraId="724BFBFC" w14:textId="5E7E808C" w:rsidR="00EB0E9F" w:rsidRPr="000D6B02" w:rsidRDefault="00EB0E9F" w:rsidP="006437CF">
            <w:pPr>
              <w:spacing w:before="100" w:after="100"/>
              <w:rPr>
                <w:b/>
                <w:bCs/>
                <w:iCs/>
                <w:noProof/>
                <w:color w:val="245F95" w:themeColor="text2"/>
              </w:rPr>
            </w:pPr>
            <w:r>
              <w:rPr>
                <w:rFonts w:asciiTheme="minorHAnsi" w:hAnsiTheme="minorHAnsi"/>
                <w:b/>
                <w:noProof/>
                <w:color w:val="245F95" w:themeColor="text2"/>
                <w:sz w:val="22"/>
              </w:rPr>
              <w:t>DOCHODY OGÓŁEM</w:t>
            </w:r>
          </w:p>
        </w:tc>
        <w:tc>
          <w:tcPr>
            <w:tcW w:w="288" w:type="pct"/>
            <w:tcBorders>
              <w:top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CE1D9" w:themeFill="accent2" w:themeFillTint="33"/>
            <w:vAlign w:val="center"/>
          </w:tcPr>
          <w:p w14:paraId="680EEBDB" w14:textId="36165E71" w:rsidR="00EB0E9F" w:rsidRPr="006437CF" w:rsidRDefault="00EB0E9F" w:rsidP="000D6B02">
            <w:pPr>
              <w:spacing w:before="100" w:after="100"/>
              <w:jc w:val="center"/>
              <w:rPr>
                <w:b/>
                <w:bCs/>
                <w:iCs/>
                <w:noProof/>
                <w:color w:val="245F95" w:themeColor="text2"/>
              </w:rPr>
            </w:pPr>
            <w:r>
              <w:rPr>
                <w:rFonts w:asciiTheme="minorHAnsi" w:hAnsiTheme="minorHAnsi"/>
                <w:b/>
                <w:noProof/>
                <w:color w:val="245F95" w:themeColor="text2"/>
                <w:sz w:val="22"/>
              </w:rPr>
              <w:t>d+e</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CE1D9" w:themeFill="accent2" w:themeFillTint="33"/>
            <w:vAlign w:val="center"/>
          </w:tcPr>
          <w:p w14:paraId="1F7B0D66" w14:textId="06840B00" w:rsidR="00EB0E9F" w:rsidRPr="006437CF" w:rsidRDefault="00035027" w:rsidP="005301DF">
            <w:pPr>
              <w:spacing w:before="100" w:after="100"/>
              <w:jc w:val="center"/>
              <w:rPr>
                <w:b/>
                <w:bCs/>
                <w:iCs/>
                <w:noProof/>
                <w:color w:val="245F95" w:themeColor="text2"/>
              </w:rPr>
            </w:pPr>
            <w:r>
              <w:rPr>
                <w:rFonts w:asciiTheme="minorHAnsi" w:hAnsiTheme="minorHAnsi"/>
                <w:b/>
                <w:noProof/>
                <w:color w:val="245F95" w:themeColor="text2"/>
                <w:sz w:val="22"/>
              </w:rPr>
              <w:t>152,7</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CE1D9" w:themeFill="accent2" w:themeFillTint="33"/>
            <w:vAlign w:val="center"/>
          </w:tcPr>
          <w:p w14:paraId="4EBDB78E" w14:textId="10283645" w:rsidR="00EB0E9F" w:rsidRPr="006437CF" w:rsidRDefault="00EB0E9F" w:rsidP="005301DF">
            <w:pPr>
              <w:spacing w:before="100" w:after="100"/>
              <w:jc w:val="center"/>
              <w:rPr>
                <w:b/>
                <w:bCs/>
                <w:iCs/>
                <w:noProof/>
                <w:color w:val="245F95" w:themeColor="text2"/>
              </w:rPr>
            </w:pPr>
            <w:r>
              <w:rPr>
                <w:rFonts w:asciiTheme="minorHAnsi" w:hAnsiTheme="minorHAnsi"/>
                <w:b/>
                <w:noProof/>
                <w:color w:val="245F95" w:themeColor="text2"/>
                <w:sz w:val="22"/>
              </w:rPr>
              <w:t>185,6</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CE1D9" w:themeFill="accent2" w:themeFillTint="33"/>
            <w:vAlign w:val="center"/>
          </w:tcPr>
          <w:p w14:paraId="5F379096" w14:textId="71B6B727" w:rsidR="00EB0E9F" w:rsidRPr="006437CF" w:rsidRDefault="00EB0E9F" w:rsidP="005301DF">
            <w:pPr>
              <w:spacing w:before="100" w:after="100"/>
              <w:jc w:val="center"/>
              <w:rPr>
                <w:b/>
                <w:bCs/>
                <w:iCs/>
                <w:noProof/>
                <w:color w:val="245F95" w:themeColor="text2"/>
              </w:rPr>
            </w:pPr>
            <w:r>
              <w:rPr>
                <w:rFonts w:asciiTheme="minorHAnsi" w:hAnsiTheme="minorHAnsi"/>
                <w:b/>
                <w:noProof/>
                <w:color w:val="245F95" w:themeColor="text2"/>
                <w:sz w:val="22"/>
              </w:rPr>
              <w:t>197,7</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CE1D9" w:themeFill="accent2" w:themeFillTint="33"/>
            <w:vAlign w:val="center"/>
          </w:tcPr>
          <w:p w14:paraId="71B2A7B3" w14:textId="099D34F4" w:rsidR="00EB0E9F" w:rsidRPr="006437CF" w:rsidRDefault="00EB0E9F" w:rsidP="005301DF">
            <w:pPr>
              <w:spacing w:before="100" w:after="100"/>
              <w:jc w:val="center"/>
              <w:rPr>
                <w:b/>
                <w:bCs/>
                <w:iCs/>
                <w:noProof/>
                <w:color w:val="245F95" w:themeColor="text2"/>
              </w:rPr>
            </w:pPr>
            <w:r>
              <w:rPr>
                <w:rFonts w:asciiTheme="minorHAnsi" w:hAnsiTheme="minorHAnsi"/>
                <w:b/>
                <w:noProof/>
                <w:color w:val="245F95" w:themeColor="text2"/>
                <w:sz w:val="22"/>
              </w:rPr>
              <w:t>144,7</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CE1D9" w:themeFill="accent2" w:themeFillTint="33"/>
            <w:vAlign w:val="center"/>
          </w:tcPr>
          <w:p w14:paraId="6DD87CBB" w14:textId="6F0529C3" w:rsidR="00EB0E9F" w:rsidRPr="006437CF" w:rsidRDefault="00EB0E9F" w:rsidP="005301DF">
            <w:pPr>
              <w:spacing w:before="100" w:after="100"/>
              <w:jc w:val="center"/>
              <w:rPr>
                <w:b/>
                <w:bCs/>
                <w:iCs/>
                <w:noProof/>
                <w:color w:val="245F95" w:themeColor="text2"/>
              </w:rPr>
            </w:pPr>
            <w:r>
              <w:rPr>
                <w:rFonts w:asciiTheme="minorHAnsi" w:hAnsiTheme="minorHAnsi"/>
                <w:b/>
                <w:noProof/>
                <w:color w:val="245F95" w:themeColor="text2"/>
                <w:sz w:val="22"/>
              </w:rPr>
              <w:t>123,3</w:t>
            </w:r>
          </w:p>
        </w:tc>
        <w:tc>
          <w:tcPr>
            <w:tcW w:w="523" w:type="pct"/>
            <w:tcBorders>
              <w:top w:val="single" w:sz="6" w:space="0" w:color="BFBFBF" w:themeColor="background1" w:themeShade="BF"/>
              <w:bottom w:val="single" w:sz="6" w:space="0" w:color="BFBFBF" w:themeColor="background1" w:themeShade="BF"/>
            </w:tcBorders>
            <w:shd w:val="clear" w:color="auto" w:fill="FCE1D9" w:themeFill="accent2" w:themeFillTint="33"/>
            <w:vAlign w:val="center"/>
          </w:tcPr>
          <w:p w14:paraId="2535F1C5" w14:textId="4DEE4C06" w:rsidR="00EB0E9F" w:rsidRPr="006437CF" w:rsidRDefault="00FA5770" w:rsidP="005301DF">
            <w:pPr>
              <w:spacing w:before="100" w:after="100"/>
              <w:jc w:val="center"/>
              <w:rPr>
                <w:b/>
                <w:bCs/>
                <w:iCs/>
                <w:noProof/>
                <w:color w:val="245F95" w:themeColor="text2"/>
              </w:rPr>
            </w:pPr>
            <w:r>
              <w:rPr>
                <w:rFonts w:asciiTheme="minorHAnsi" w:hAnsiTheme="minorHAnsi"/>
                <w:b/>
                <w:noProof/>
                <w:color w:val="245F95" w:themeColor="text2"/>
                <w:sz w:val="22"/>
              </w:rPr>
              <w:t>804,1</w:t>
            </w:r>
          </w:p>
        </w:tc>
      </w:tr>
      <w:tr w:rsidR="00CC6B5D" w:rsidRPr="00704A3C" w14:paraId="3C9DDAB9" w14:textId="77777777" w:rsidTr="0050317D">
        <w:trPr>
          <w:trHeight w:val="300"/>
        </w:trPr>
        <w:tc>
          <w:tcPr>
            <w:tcW w:w="1571"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4861312" w14:textId="3919B8C5" w:rsidR="00EB0E9F" w:rsidRPr="00704A3C" w:rsidRDefault="00EB0E9F" w:rsidP="006437CF">
            <w:pPr>
              <w:spacing w:before="100" w:after="100"/>
              <w:rPr>
                <w:b/>
                <w:iCs/>
                <w:noProof/>
                <w:color w:val="245F95" w:themeColor="text2"/>
              </w:rPr>
            </w:pPr>
            <w:r>
              <w:rPr>
                <w:rFonts w:asciiTheme="minorHAnsi" w:hAnsiTheme="minorHAnsi"/>
                <w:b/>
                <w:noProof/>
                <w:color w:val="245F95" w:themeColor="text2"/>
                <w:sz w:val="22"/>
              </w:rPr>
              <w:t>Dostępny margines</w:t>
            </w:r>
            <w:r w:rsidR="00C56AFD">
              <w:rPr>
                <w:rFonts w:asciiTheme="minorHAnsi" w:hAnsiTheme="minorHAnsi"/>
                <w:b/>
                <w:noProof/>
                <w:color w:val="245F95" w:themeColor="text2"/>
                <w:sz w:val="22"/>
              </w:rPr>
              <w:t xml:space="preserve"> w</w:t>
            </w:r>
            <w:r w:rsidR="00C56AFD">
              <w:rPr>
                <w:rFonts w:ascii="Calibri" w:hAnsi="Calibri" w:cs="Calibri"/>
                <w:b/>
                <w:noProof/>
                <w:color w:val="245F95" w:themeColor="text2"/>
                <w:sz w:val="22"/>
              </w:rPr>
              <w:t> </w:t>
            </w:r>
            <w:r w:rsidR="00C56AFD">
              <w:rPr>
                <w:rFonts w:asciiTheme="minorHAnsi" w:hAnsiTheme="minorHAnsi"/>
                <w:b/>
                <w:noProof/>
                <w:color w:val="245F95" w:themeColor="text2"/>
                <w:sz w:val="22"/>
              </w:rPr>
              <w:t>ram</w:t>
            </w:r>
            <w:r>
              <w:rPr>
                <w:rFonts w:asciiTheme="minorHAnsi" w:hAnsiTheme="minorHAnsi"/>
                <w:b/>
                <w:noProof/>
                <w:color w:val="245F95" w:themeColor="text2"/>
                <w:sz w:val="22"/>
              </w:rPr>
              <w:t xml:space="preserve">ach </w:t>
            </w:r>
            <w:r>
              <w:rPr>
                <w:noProof/>
              </w:rPr>
              <w:br/>
            </w:r>
            <w:r>
              <w:rPr>
                <w:rFonts w:asciiTheme="minorHAnsi" w:hAnsiTheme="minorHAnsi"/>
                <w:b/>
                <w:noProof/>
                <w:color w:val="245F95" w:themeColor="text2"/>
                <w:sz w:val="22"/>
              </w:rPr>
              <w:t xml:space="preserve">pułapu zasobów własnych </w:t>
            </w:r>
          </w:p>
        </w:tc>
        <w:tc>
          <w:tcPr>
            <w:tcW w:w="288"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966332" w14:textId="55367174" w:rsidR="00EB0E9F" w:rsidRPr="00704A3C" w:rsidRDefault="00EB0E9F" w:rsidP="000D6B02">
            <w:pPr>
              <w:spacing w:before="100" w:after="100"/>
              <w:jc w:val="center"/>
              <w:rPr>
                <w:b/>
                <w:iCs/>
                <w:noProof/>
              </w:rPr>
            </w:pPr>
            <w:r>
              <w:rPr>
                <w:rFonts w:asciiTheme="minorHAnsi" w:hAnsiTheme="minorHAnsi"/>
                <w:b/>
                <w:noProof/>
                <w:sz w:val="22"/>
              </w:rPr>
              <w:t>a–d</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683DD9" w14:textId="543502C7" w:rsidR="00EB0E9F" w:rsidRPr="00704A3C" w:rsidRDefault="00EB0E9F" w:rsidP="005301DF">
            <w:pPr>
              <w:spacing w:before="100" w:after="100"/>
              <w:jc w:val="center"/>
              <w:rPr>
                <w:b/>
                <w:iCs/>
                <w:noProof/>
              </w:rPr>
            </w:pPr>
            <w:r>
              <w:rPr>
                <w:rFonts w:asciiTheme="minorHAnsi" w:hAnsiTheme="minorHAnsi"/>
                <w:b/>
                <w:noProof/>
                <w:sz w:val="22"/>
              </w:rPr>
              <w:t>220,1</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1968A7" w14:textId="09C5E0B9" w:rsidR="00EB0E9F" w:rsidRPr="00704A3C" w:rsidRDefault="00B129F8" w:rsidP="005301DF">
            <w:pPr>
              <w:spacing w:before="100" w:after="100"/>
              <w:jc w:val="center"/>
              <w:rPr>
                <w:b/>
                <w:iCs/>
                <w:noProof/>
              </w:rPr>
            </w:pPr>
            <w:r>
              <w:rPr>
                <w:rFonts w:asciiTheme="minorHAnsi" w:hAnsiTheme="minorHAnsi"/>
                <w:b/>
                <w:noProof/>
                <w:sz w:val="22"/>
              </w:rPr>
              <w:t>199,8</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D098B3" w14:textId="074AD694" w:rsidR="00EB0E9F" w:rsidRPr="00704A3C" w:rsidRDefault="00EB0E9F" w:rsidP="005301DF">
            <w:pPr>
              <w:spacing w:before="100" w:after="100"/>
              <w:jc w:val="center"/>
              <w:rPr>
                <w:b/>
                <w:iCs/>
                <w:noProof/>
              </w:rPr>
            </w:pPr>
            <w:r>
              <w:rPr>
                <w:rFonts w:asciiTheme="minorHAnsi" w:hAnsiTheme="minorHAnsi"/>
                <w:b/>
                <w:noProof/>
                <w:sz w:val="22"/>
              </w:rPr>
              <w:t>200,2</w:t>
            </w: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7ED030" w14:textId="77777777" w:rsidR="00EB0E9F" w:rsidRPr="00704A3C" w:rsidRDefault="00EB0E9F" w:rsidP="005301DF">
            <w:pPr>
              <w:spacing w:before="100" w:after="100"/>
              <w:jc w:val="center"/>
              <w:rPr>
                <w:b/>
                <w:iCs/>
                <w:noProof/>
              </w:rPr>
            </w:pPr>
          </w:p>
        </w:tc>
        <w:tc>
          <w:tcPr>
            <w:tcW w:w="523" w:type="pct"/>
            <w:tcBorders>
              <w:top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058E04" w14:textId="77777777" w:rsidR="00EB0E9F" w:rsidRPr="00704A3C" w:rsidRDefault="00EB0E9F" w:rsidP="005301DF">
            <w:pPr>
              <w:spacing w:before="100" w:after="100"/>
              <w:jc w:val="center"/>
              <w:rPr>
                <w:b/>
                <w:iCs/>
                <w:noProof/>
              </w:rPr>
            </w:pPr>
          </w:p>
        </w:tc>
        <w:tc>
          <w:tcPr>
            <w:tcW w:w="523" w:type="pct"/>
            <w:tcBorders>
              <w:top w:val="single" w:sz="6" w:space="0" w:color="BFBFBF" w:themeColor="background1" w:themeShade="BF"/>
              <w:bottom w:val="single" w:sz="6" w:space="0" w:color="BFBFBF" w:themeColor="background1" w:themeShade="BF"/>
            </w:tcBorders>
            <w:vAlign w:val="center"/>
          </w:tcPr>
          <w:p w14:paraId="0225FB5C" w14:textId="210B8D80" w:rsidR="00EB0E9F" w:rsidRPr="00704A3C" w:rsidRDefault="00EB0E9F" w:rsidP="005301DF">
            <w:pPr>
              <w:spacing w:before="100" w:after="100"/>
              <w:jc w:val="center"/>
              <w:rPr>
                <w:b/>
                <w:iCs/>
                <w:noProof/>
              </w:rPr>
            </w:pPr>
            <w:r>
              <w:rPr>
                <w:rFonts w:asciiTheme="minorHAnsi" w:hAnsiTheme="minorHAnsi"/>
                <w:b/>
                <w:noProof/>
                <w:sz w:val="22"/>
              </w:rPr>
              <w:t>Nie dotyczy</w:t>
            </w:r>
          </w:p>
        </w:tc>
      </w:tr>
      <w:tr w:rsidR="00CC6B5D" w:rsidRPr="006437CF" w14:paraId="0B236E51" w14:textId="77777777" w:rsidTr="0050317D">
        <w:trPr>
          <w:trHeight w:val="300"/>
        </w:trPr>
        <w:tc>
          <w:tcPr>
            <w:tcW w:w="1571" w:type="pct"/>
            <w:tcBorders>
              <w:top w:val="single" w:sz="6" w:space="0" w:color="BFBFBF" w:themeColor="background1" w:themeShade="BF"/>
              <w:right w:val="single" w:sz="6" w:space="0" w:color="BFBFBF" w:themeColor="background1" w:themeShade="BF"/>
            </w:tcBorders>
            <w:vAlign w:val="center"/>
          </w:tcPr>
          <w:p w14:paraId="3894B395" w14:textId="5E34E80A" w:rsidR="00EB0E9F" w:rsidRPr="000D6B02" w:rsidRDefault="00EB0E9F" w:rsidP="000D6B02">
            <w:pPr>
              <w:spacing w:before="100" w:after="100"/>
              <w:ind w:left="170"/>
              <w:rPr>
                <w:b/>
                <w:bCs/>
                <w:iCs/>
                <w:noProof/>
                <w:color w:val="245F95" w:themeColor="text2"/>
              </w:rPr>
            </w:pPr>
            <w:r>
              <w:rPr>
                <w:rFonts w:asciiTheme="minorHAnsi" w:hAnsiTheme="minorHAnsi"/>
                <w:noProof/>
                <w:color w:val="245F95" w:themeColor="text2"/>
                <w:sz w:val="22"/>
              </w:rPr>
              <w:t>w tym margines</w:t>
            </w:r>
            <w:r w:rsidR="00C56AFD">
              <w:rPr>
                <w:rFonts w:asciiTheme="minorHAnsi" w:hAnsiTheme="minorHAnsi"/>
                <w:noProof/>
                <w:color w:val="245F95" w:themeColor="text2"/>
                <w:sz w:val="22"/>
              </w:rPr>
              <w:t xml:space="preserve"> w</w:t>
            </w:r>
            <w:r w:rsidR="00C56AFD">
              <w:rPr>
                <w:rFonts w:ascii="Calibri" w:hAnsi="Calibri" w:cs="Calibri"/>
                <w:noProof/>
                <w:color w:val="245F95" w:themeColor="text2"/>
                <w:sz w:val="22"/>
              </w:rPr>
              <w:t> </w:t>
            </w:r>
            <w:r w:rsidR="00C56AFD">
              <w:rPr>
                <w:rFonts w:asciiTheme="minorHAnsi" w:hAnsiTheme="minorHAnsi"/>
                <w:noProof/>
                <w:color w:val="245F95" w:themeColor="text2"/>
                <w:sz w:val="22"/>
              </w:rPr>
              <w:t>ram</w:t>
            </w:r>
            <w:r>
              <w:rPr>
                <w:rFonts w:asciiTheme="minorHAnsi" w:hAnsiTheme="minorHAnsi"/>
                <w:noProof/>
                <w:color w:val="245F95" w:themeColor="text2"/>
                <w:sz w:val="22"/>
              </w:rPr>
              <w:t>ach tymczasowego wzrostu</w:t>
            </w:r>
            <w:r w:rsidR="00C56AFD">
              <w:rPr>
                <w:rFonts w:asciiTheme="minorHAnsi" w:hAnsiTheme="minorHAnsi"/>
                <w:noProof/>
                <w:color w:val="245F95" w:themeColor="text2"/>
                <w:sz w:val="22"/>
              </w:rPr>
              <w:t xml:space="preserve"> w</w:t>
            </w:r>
            <w:r w:rsidR="00C56AFD">
              <w:rPr>
                <w:rFonts w:ascii="Calibri" w:hAnsi="Calibri" w:cs="Calibri"/>
                <w:noProof/>
                <w:color w:val="245F95" w:themeColor="text2"/>
                <w:sz w:val="22"/>
              </w:rPr>
              <w:t> </w:t>
            </w:r>
            <w:r w:rsidR="00C56AFD">
              <w:rPr>
                <w:rFonts w:asciiTheme="minorHAnsi" w:hAnsiTheme="minorHAnsi"/>
                <w:noProof/>
                <w:color w:val="245F95" w:themeColor="text2"/>
                <w:sz w:val="22"/>
              </w:rPr>
              <w:t>odn</w:t>
            </w:r>
            <w:r>
              <w:rPr>
                <w:rFonts w:asciiTheme="minorHAnsi" w:hAnsiTheme="minorHAnsi"/>
                <w:noProof/>
                <w:color w:val="245F95" w:themeColor="text2"/>
                <w:sz w:val="22"/>
              </w:rPr>
              <w:t>iesieniu do NGEU</w:t>
            </w:r>
          </w:p>
        </w:tc>
        <w:tc>
          <w:tcPr>
            <w:tcW w:w="288" w:type="pct"/>
            <w:tcBorders>
              <w:top w:val="single" w:sz="6" w:space="0" w:color="BFBFBF" w:themeColor="background1" w:themeShade="BF"/>
              <w:right w:val="single" w:sz="6" w:space="0" w:color="BFBFBF" w:themeColor="background1" w:themeShade="BF"/>
            </w:tcBorders>
            <w:vAlign w:val="center"/>
          </w:tcPr>
          <w:p w14:paraId="3BBA2216" w14:textId="604038FF" w:rsidR="00EB0E9F" w:rsidRPr="006437CF" w:rsidRDefault="00EB0E9F" w:rsidP="000D6B02">
            <w:pPr>
              <w:spacing w:before="100" w:after="100"/>
              <w:jc w:val="center"/>
              <w:rPr>
                <w:b/>
                <w:bCs/>
                <w:iCs/>
                <w:noProof/>
              </w:rPr>
            </w:pPr>
            <w:r>
              <w:rPr>
                <w:rFonts w:asciiTheme="minorHAnsi" w:hAnsiTheme="minorHAnsi"/>
                <w:noProof/>
                <w:sz w:val="22"/>
              </w:rPr>
              <w:t>a’–d’</w:t>
            </w:r>
          </w:p>
        </w:tc>
        <w:tc>
          <w:tcPr>
            <w:tcW w:w="523" w:type="pct"/>
            <w:tcBorders>
              <w:top w:val="single" w:sz="6" w:space="0" w:color="BFBFBF" w:themeColor="background1" w:themeShade="BF"/>
              <w:right w:val="single" w:sz="6" w:space="0" w:color="BFBFBF" w:themeColor="background1" w:themeShade="BF"/>
            </w:tcBorders>
            <w:vAlign w:val="center"/>
          </w:tcPr>
          <w:p w14:paraId="6EBA805A" w14:textId="6956EC7A" w:rsidR="00EB0E9F" w:rsidRPr="006437CF" w:rsidRDefault="00EB0E9F" w:rsidP="005301DF">
            <w:pPr>
              <w:spacing w:before="100" w:after="100"/>
              <w:jc w:val="center"/>
              <w:rPr>
                <w:b/>
                <w:bCs/>
                <w:iCs/>
                <w:noProof/>
              </w:rPr>
            </w:pPr>
            <w:r>
              <w:rPr>
                <w:rFonts w:asciiTheme="minorHAnsi" w:hAnsiTheme="minorHAnsi"/>
                <w:noProof/>
                <w:sz w:val="22"/>
              </w:rPr>
              <w:t>105,4</w:t>
            </w:r>
          </w:p>
        </w:tc>
        <w:tc>
          <w:tcPr>
            <w:tcW w:w="523" w:type="pct"/>
            <w:tcBorders>
              <w:top w:val="single" w:sz="6" w:space="0" w:color="BFBFBF" w:themeColor="background1" w:themeShade="BF"/>
              <w:right w:val="single" w:sz="6" w:space="0" w:color="BFBFBF" w:themeColor="background1" w:themeShade="BF"/>
            </w:tcBorders>
            <w:vAlign w:val="center"/>
          </w:tcPr>
          <w:p w14:paraId="03DAFF26" w14:textId="55C43700" w:rsidR="00EB0E9F" w:rsidRPr="006437CF" w:rsidRDefault="00EB0E9F" w:rsidP="005301DF">
            <w:pPr>
              <w:spacing w:before="100" w:after="100"/>
              <w:jc w:val="center"/>
              <w:rPr>
                <w:b/>
                <w:bCs/>
                <w:iCs/>
                <w:noProof/>
              </w:rPr>
            </w:pPr>
            <w:r>
              <w:rPr>
                <w:rFonts w:asciiTheme="minorHAnsi" w:hAnsiTheme="minorHAnsi"/>
                <w:noProof/>
                <w:sz w:val="22"/>
              </w:rPr>
              <w:t>110,7</w:t>
            </w:r>
          </w:p>
        </w:tc>
        <w:tc>
          <w:tcPr>
            <w:tcW w:w="523" w:type="pct"/>
            <w:tcBorders>
              <w:top w:val="single" w:sz="6" w:space="0" w:color="BFBFBF" w:themeColor="background1" w:themeShade="BF"/>
              <w:right w:val="single" w:sz="6" w:space="0" w:color="BFBFBF" w:themeColor="background1" w:themeShade="BF"/>
            </w:tcBorders>
            <w:vAlign w:val="center"/>
          </w:tcPr>
          <w:p w14:paraId="037B116D" w14:textId="637ECF5E" w:rsidR="00EB0E9F" w:rsidRPr="006437CF" w:rsidRDefault="00EB0E9F" w:rsidP="005301DF">
            <w:pPr>
              <w:spacing w:before="100" w:after="100"/>
              <w:jc w:val="center"/>
              <w:rPr>
                <w:b/>
                <w:bCs/>
                <w:iCs/>
                <w:noProof/>
              </w:rPr>
            </w:pPr>
            <w:r>
              <w:rPr>
                <w:rFonts w:asciiTheme="minorHAnsi" w:hAnsiTheme="minorHAnsi"/>
                <w:noProof/>
                <w:sz w:val="22"/>
              </w:rPr>
              <w:t>113,3</w:t>
            </w:r>
          </w:p>
        </w:tc>
        <w:tc>
          <w:tcPr>
            <w:tcW w:w="523" w:type="pct"/>
            <w:tcBorders>
              <w:top w:val="single" w:sz="6" w:space="0" w:color="BFBFBF" w:themeColor="background1" w:themeShade="BF"/>
              <w:right w:val="single" w:sz="6" w:space="0" w:color="BFBFBF" w:themeColor="background1" w:themeShade="BF"/>
            </w:tcBorders>
            <w:vAlign w:val="center"/>
          </w:tcPr>
          <w:p w14:paraId="2358340D" w14:textId="77777777" w:rsidR="00EB0E9F" w:rsidRPr="006437CF" w:rsidRDefault="00EB0E9F" w:rsidP="005301DF">
            <w:pPr>
              <w:spacing w:before="100" w:after="100"/>
              <w:jc w:val="center"/>
              <w:rPr>
                <w:b/>
                <w:bCs/>
                <w:iCs/>
                <w:noProof/>
              </w:rPr>
            </w:pPr>
          </w:p>
        </w:tc>
        <w:tc>
          <w:tcPr>
            <w:tcW w:w="523" w:type="pct"/>
            <w:tcBorders>
              <w:top w:val="single" w:sz="6" w:space="0" w:color="BFBFBF" w:themeColor="background1" w:themeShade="BF"/>
              <w:right w:val="single" w:sz="6" w:space="0" w:color="BFBFBF" w:themeColor="background1" w:themeShade="BF"/>
            </w:tcBorders>
            <w:vAlign w:val="center"/>
          </w:tcPr>
          <w:p w14:paraId="09D1AC12" w14:textId="77777777" w:rsidR="00EB0E9F" w:rsidRPr="006437CF" w:rsidRDefault="00EB0E9F" w:rsidP="005301DF">
            <w:pPr>
              <w:spacing w:before="100" w:after="100"/>
              <w:jc w:val="center"/>
              <w:rPr>
                <w:b/>
                <w:bCs/>
                <w:iCs/>
                <w:noProof/>
              </w:rPr>
            </w:pPr>
          </w:p>
        </w:tc>
        <w:tc>
          <w:tcPr>
            <w:tcW w:w="523" w:type="pct"/>
            <w:tcBorders>
              <w:top w:val="single" w:sz="6" w:space="0" w:color="BFBFBF" w:themeColor="background1" w:themeShade="BF"/>
            </w:tcBorders>
            <w:vAlign w:val="center"/>
          </w:tcPr>
          <w:p w14:paraId="4BC2DDBE" w14:textId="12E63739" w:rsidR="00EB0E9F" w:rsidRPr="006437CF" w:rsidRDefault="00EB0E9F" w:rsidP="005301DF">
            <w:pPr>
              <w:spacing w:before="100" w:after="100"/>
              <w:jc w:val="center"/>
              <w:rPr>
                <w:b/>
                <w:bCs/>
                <w:iCs/>
                <w:noProof/>
              </w:rPr>
            </w:pPr>
            <w:r>
              <w:rPr>
                <w:rFonts w:asciiTheme="minorHAnsi" w:hAnsiTheme="minorHAnsi"/>
                <w:noProof/>
                <w:sz w:val="22"/>
              </w:rPr>
              <w:t>Nie dotyczy</w:t>
            </w:r>
          </w:p>
        </w:tc>
      </w:tr>
    </w:tbl>
    <w:p w14:paraId="21171987" w14:textId="173CEFEE" w:rsidR="00861C1C" w:rsidRPr="006F4008" w:rsidRDefault="003B6DC2" w:rsidP="00124B49">
      <w:pPr>
        <w:spacing w:after="120"/>
        <w:rPr>
          <w:i/>
          <w:noProof/>
          <w:sz w:val="16"/>
          <w:szCs w:val="16"/>
        </w:rPr>
      </w:pPr>
      <w:r>
        <w:rPr>
          <w:i/>
          <w:noProof/>
          <w:sz w:val="16"/>
        </w:rPr>
        <w:t>* Pułap zasobów własnych – obliczony na podstawie prognozy gospodarczej</w:t>
      </w:r>
      <w:r w:rsidR="00C56AFD">
        <w:rPr>
          <w:i/>
          <w:noProof/>
          <w:sz w:val="16"/>
        </w:rPr>
        <w:t xml:space="preserve"> z</w:t>
      </w:r>
      <w:r w:rsidR="00C56AFD">
        <w:rPr>
          <w:rFonts w:ascii="Calibri" w:hAnsi="Calibri" w:cs="Calibri"/>
          <w:i/>
          <w:noProof/>
          <w:sz w:val="16"/>
        </w:rPr>
        <w:t> </w:t>
      </w:r>
      <w:r w:rsidR="00C56AFD">
        <w:rPr>
          <w:i/>
          <w:noProof/>
          <w:sz w:val="16"/>
        </w:rPr>
        <w:t>wio</w:t>
      </w:r>
      <w:r>
        <w:rPr>
          <w:i/>
          <w:noProof/>
          <w:sz w:val="16"/>
        </w:rPr>
        <w:t>sny 20</w:t>
      </w:r>
      <w:r w:rsidRPr="00C56AFD">
        <w:rPr>
          <w:i/>
          <w:noProof/>
          <w:sz w:val="16"/>
        </w:rPr>
        <w:t>24</w:t>
      </w:r>
      <w:r w:rsidR="00C56AFD" w:rsidRPr="00C56AFD">
        <w:rPr>
          <w:rFonts w:ascii="Calibri" w:hAnsi="Calibri" w:cs="Calibri"/>
          <w:i/>
          <w:noProof/>
          <w:sz w:val="16"/>
        </w:rPr>
        <w:t> </w:t>
      </w:r>
      <w:r w:rsidRPr="00C56AFD">
        <w:rPr>
          <w:i/>
          <w:noProof/>
          <w:sz w:val="16"/>
        </w:rPr>
        <w:t>r.</w:t>
      </w:r>
      <w:r>
        <w:rPr>
          <w:i/>
          <w:noProof/>
          <w:sz w:val="16"/>
        </w:rPr>
        <w:t xml:space="preserve"> dotyczącej dochodu narodowego brutto UE-27 </w:t>
      </w:r>
    </w:p>
    <w:p w14:paraId="0E3B0791" w14:textId="226A8695" w:rsidR="00861C1C" w:rsidRPr="006F4008" w:rsidRDefault="003B6DC2" w:rsidP="0050317D">
      <w:pPr>
        <w:spacing w:before="0" w:after="120"/>
        <w:rPr>
          <w:i/>
          <w:noProof/>
          <w:sz w:val="16"/>
          <w:szCs w:val="16"/>
        </w:rPr>
      </w:pPr>
      <w:r>
        <w:rPr>
          <w:i/>
          <w:noProof/>
          <w:sz w:val="16"/>
        </w:rPr>
        <w:t>** Tradycyjne zasoby własne szacuje się na podstawie wskaźnika zatrzymania kosztów poboru wynoszącego 2</w:t>
      </w:r>
      <w:r w:rsidRPr="00C56AFD">
        <w:rPr>
          <w:i/>
          <w:noProof/>
          <w:sz w:val="16"/>
        </w:rPr>
        <w:t>5</w:t>
      </w:r>
      <w:r w:rsidR="00C56AFD" w:rsidRPr="00C56AFD">
        <w:rPr>
          <w:rFonts w:ascii="Calibri" w:hAnsi="Calibri" w:cs="Calibri"/>
          <w:i/>
          <w:noProof/>
          <w:sz w:val="16"/>
        </w:rPr>
        <w:t> </w:t>
      </w:r>
      <w:r w:rsidRPr="00C56AFD">
        <w:rPr>
          <w:i/>
          <w:noProof/>
          <w:sz w:val="16"/>
        </w:rPr>
        <w:t>%</w:t>
      </w:r>
      <w:r>
        <w:rPr>
          <w:i/>
          <w:noProof/>
          <w:sz w:val="16"/>
        </w:rPr>
        <w:t xml:space="preserve">. </w:t>
      </w:r>
    </w:p>
    <w:bookmarkEnd w:id="84"/>
    <w:p w14:paraId="237297A2" w14:textId="7243B7FD" w:rsidR="00B90728" w:rsidRDefault="00971308" w:rsidP="00124B49">
      <w:pPr>
        <w:spacing w:before="0"/>
        <w:rPr>
          <w:i/>
          <w:noProof/>
          <w:sz w:val="16"/>
          <w:szCs w:val="16"/>
        </w:rPr>
      </w:pPr>
      <w:r>
        <w:rPr>
          <w:i/>
          <w:noProof/>
          <w:sz w:val="16"/>
        </w:rPr>
        <w:t>*** Kwoty zasobów własnych opartych na DNB na lata 2028</w:t>
      </w:r>
      <w:r w:rsidR="00C56AFD">
        <w:rPr>
          <w:i/>
          <w:noProof/>
          <w:sz w:val="16"/>
        </w:rPr>
        <w:t xml:space="preserve"> i</w:t>
      </w:r>
      <w:r w:rsidR="00C56AFD">
        <w:rPr>
          <w:rFonts w:ascii="Calibri" w:hAnsi="Calibri" w:cs="Calibri"/>
          <w:i/>
          <w:noProof/>
          <w:sz w:val="16"/>
        </w:rPr>
        <w:t> </w:t>
      </w:r>
      <w:r w:rsidR="00C56AFD">
        <w:rPr>
          <w:i/>
          <w:noProof/>
          <w:sz w:val="16"/>
        </w:rPr>
        <w:t>2</w:t>
      </w:r>
      <w:r>
        <w:rPr>
          <w:i/>
          <w:noProof/>
          <w:sz w:val="16"/>
        </w:rPr>
        <w:t>029 są niedoszacowane, ponieważ prognoza nie uwzględnia wydatków</w:t>
      </w:r>
      <w:r w:rsidR="00C56AFD">
        <w:rPr>
          <w:i/>
          <w:noProof/>
          <w:sz w:val="16"/>
        </w:rPr>
        <w:t xml:space="preserve"> w</w:t>
      </w:r>
      <w:r w:rsidR="00C56AFD">
        <w:rPr>
          <w:rFonts w:ascii="Calibri" w:hAnsi="Calibri" w:cs="Calibri"/>
          <w:i/>
          <w:noProof/>
          <w:sz w:val="16"/>
        </w:rPr>
        <w:t> </w:t>
      </w:r>
      <w:r w:rsidR="00C56AFD">
        <w:rPr>
          <w:i/>
          <w:noProof/>
          <w:sz w:val="16"/>
        </w:rPr>
        <w:t>nas</w:t>
      </w:r>
      <w:r>
        <w:rPr>
          <w:i/>
          <w:noProof/>
          <w:sz w:val="16"/>
        </w:rPr>
        <w:t>tępnych WRF. Dodatkowe wydatki</w:t>
      </w:r>
      <w:r w:rsidR="00C56AFD">
        <w:rPr>
          <w:i/>
          <w:noProof/>
          <w:sz w:val="16"/>
        </w:rPr>
        <w:t xml:space="preserve"> w</w:t>
      </w:r>
      <w:r w:rsidR="00C56AFD">
        <w:rPr>
          <w:rFonts w:ascii="Calibri" w:hAnsi="Calibri" w:cs="Calibri"/>
          <w:i/>
          <w:noProof/>
          <w:sz w:val="16"/>
        </w:rPr>
        <w:t> </w:t>
      </w:r>
      <w:r w:rsidR="00C56AFD">
        <w:rPr>
          <w:i/>
          <w:noProof/>
          <w:sz w:val="16"/>
        </w:rPr>
        <w:t>nas</w:t>
      </w:r>
      <w:r>
        <w:rPr>
          <w:i/>
          <w:noProof/>
          <w:sz w:val="16"/>
        </w:rPr>
        <w:t>tępnych WRF musiałyby zostać pokryte</w:t>
      </w:r>
      <w:r w:rsidR="00C56AFD">
        <w:rPr>
          <w:i/>
          <w:noProof/>
          <w:sz w:val="16"/>
        </w:rPr>
        <w:t xml:space="preserve"> z</w:t>
      </w:r>
      <w:r w:rsidR="00C56AFD">
        <w:rPr>
          <w:rFonts w:ascii="Calibri" w:hAnsi="Calibri" w:cs="Calibri"/>
          <w:i/>
          <w:noProof/>
          <w:sz w:val="16"/>
        </w:rPr>
        <w:t> </w:t>
      </w:r>
      <w:r w:rsidR="00C56AFD">
        <w:rPr>
          <w:i/>
          <w:noProof/>
          <w:sz w:val="16"/>
        </w:rPr>
        <w:t>dod</w:t>
      </w:r>
      <w:r>
        <w:rPr>
          <w:i/>
          <w:noProof/>
          <w:sz w:val="16"/>
        </w:rPr>
        <w:t>atkowych wkładów</w:t>
      </w:r>
      <w:r w:rsidR="00C56AFD">
        <w:rPr>
          <w:i/>
          <w:noProof/>
          <w:sz w:val="16"/>
        </w:rPr>
        <w:t xml:space="preserve"> z</w:t>
      </w:r>
      <w:r w:rsidR="00C56AFD">
        <w:rPr>
          <w:rFonts w:ascii="Calibri" w:hAnsi="Calibri" w:cs="Calibri"/>
          <w:i/>
          <w:noProof/>
          <w:sz w:val="16"/>
        </w:rPr>
        <w:t> </w:t>
      </w:r>
      <w:r w:rsidR="00C56AFD">
        <w:rPr>
          <w:i/>
          <w:noProof/>
          <w:sz w:val="16"/>
        </w:rPr>
        <w:t>tyt</w:t>
      </w:r>
      <w:r>
        <w:rPr>
          <w:i/>
          <w:noProof/>
          <w:sz w:val="16"/>
        </w:rPr>
        <w:t>ułu zasobów własnych opartych na DNB, aby zapewnić zrównoważony budżet.</w:t>
      </w:r>
    </w:p>
    <w:p w14:paraId="7D8FCB21" w14:textId="24A613FA" w:rsidR="0079155E" w:rsidRPr="0050317D" w:rsidRDefault="00B541D9" w:rsidP="0050317D">
      <w:pPr>
        <w:spacing w:before="0"/>
        <w:rPr>
          <w:i/>
          <w:noProof/>
          <w:sz w:val="16"/>
        </w:rPr>
      </w:pPr>
      <w:r>
        <w:rPr>
          <w:i/>
          <w:noProof/>
          <w:sz w:val="16"/>
        </w:rPr>
        <w:t>**** Na lata 2026</w:t>
      </w:r>
      <w:r w:rsidR="00C56AFD">
        <w:rPr>
          <w:i/>
          <w:noProof/>
          <w:sz w:val="16"/>
        </w:rPr>
        <w:t xml:space="preserve"> i</w:t>
      </w:r>
      <w:r w:rsidR="00C56AFD">
        <w:rPr>
          <w:rFonts w:ascii="Calibri" w:hAnsi="Calibri" w:cs="Calibri"/>
          <w:i/>
          <w:noProof/>
          <w:sz w:val="16"/>
        </w:rPr>
        <w:t> </w:t>
      </w:r>
      <w:r w:rsidR="00C56AFD">
        <w:rPr>
          <w:i/>
          <w:noProof/>
          <w:sz w:val="16"/>
        </w:rPr>
        <w:t>2</w:t>
      </w:r>
      <w:r>
        <w:rPr>
          <w:i/>
          <w:noProof/>
          <w:sz w:val="16"/>
        </w:rPr>
        <w:t>027 na podstawie obecnego programowania finansowego.</w:t>
      </w:r>
    </w:p>
    <w:sectPr w:rsidR="0079155E" w:rsidRPr="0050317D">
      <w:headerReference w:type="even" r:id="rId41"/>
      <w:headerReference w:type="default" r:id="rId42"/>
      <w:footerReference w:type="even" r:id="rId43"/>
      <w:footerReference w:type="default" r:id="rId44"/>
      <w:headerReference w:type="first" r:id="rId45"/>
      <w:footerReference w:type="first" r:id="rId46"/>
      <w:pgSz w:w="11906" w:h="16838"/>
      <w:pgMar w:top="1321" w:right="1151" w:bottom="1440" w:left="11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383A4" w14:textId="77777777" w:rsidR="00D014F9" w:rsidRDefault="00D014F9">
      <w:r>
        <w:separator/>
      </w:r>
    </w:p>
    <w:p w14:paraId="77EDEE89" w14:textId="77777777" w:rsidR="00D014F9" w:rsidRDefault="00D014F9"/>
    <w:p w14:paraId="7DE4F44D" w14:textId="77777777" w:rsidR="00D014F9" w:rsidRDefault="00D014F9"/>
  </w:endnote>
  <w:endnote w:type="continuationSeparator" w:id="0">
    <w:p w14:paraId="06722E4D" w14:textId="77777777" w:rsidR="00D014F9" w:rsidRDefault="00D014F9">
      <w:r>
        <w:continuationSeparator/>
      </w:r>
    </w:p>
    <w:p w14:paraId="656702F5" w14:textId="77777777" w:rsidR="00D014F9" w:rsidRDefault="00D014F9"/>
    <w:p w14:paraId="3BE959AE" w14:textId="77777777" w:rsidR="00D014F9" w:rsidRDefault="00D014F9"/>
  </w:endnote>
  <w:endnote w:type="continuationNotice" w:id="1">
    <w:p w14:paraId="75DFAED1" w14:textId="77777777" w:rsidR="00D014F9" w:rsidRDefault="00D014F9"/>
    <w:p w14:paraId="214279F9" w14:textId="77777777" w:rsidR="00D014F9" w:rsidRDefault="00D014F9"/>
    <w:p w14:paraId="0E4DFB2F" w14:textId="77777777" w:rsidR="00D014F9" w:rsidRDefault="00D014F9"/>
  </w:endnote>
  <w:endnote w:id="2">
    <w:p w14:paraId="3A08614C" w14:textId="77777777" w:rsidR="00861C1C" w:rsidRDefault="003B6DC2" w:rsidP="00EA71BB">
      <w:pPr>
        <w:pStyle w:val="EndnoteText"/>
        <w:spacing w:line="276" w:lineRule="auto"/>
        <w:jc w:val="both"/>
      </w:pPr>
      <w:r>
        <w:rPr>
          <w:rStyle w:val="EndnoteReference"/>
        </w:rPr>
        <w:endnoteRef/>
      </w:r>
      <w:r>
        <w:t xml:space="preserve"> Rozporządzenie Parlamentu Europejskiego i Rady (UE, Euratom)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 Dz.U. L 193 z 30.7.2018, s. 1.</w:t>
      </w:r>
    </w:p>
  </w:endnote>
  <w:endnote w:id="3">
    <w:p w14:paraId="60FC9FB8" w14:textId="0168F392" w:rsidR="00C3162D" w:rsidRDefault="00C3162D" w:rsidP="00D26971">
      <w:pPr>
        <w:pStyle w:val="EndnoteText"/>
        <w:spacing w:line="276" w:lineRule="auto"/>
        <w:jc w:val="both"/>
      </w:pPr>
      <w:r>
        <w:rPr>
          <w:rStyle w:val="EndnoteReference"/>
        </w:rPr>
        <w:endnoteRef/>
      </w:r>
      <w:r>
        <w:t xml:space="preserve"> COM(2021) 343 z 30.6.2021. Jest to pierwsze wydanie niniejszego sprawozdania za okres WRF 2021–2027.</w:t>
      </w:r>
    </w:p>
  </w:endnote>
  <w:endnote w:id="4">
    <w:p w14:paraId="1B241D6C" w14:textId="77777777" w:rsidR="00894044" w:rsidRDefault="00894044" w:rsidP="00894044">
      <w:pPr>
        <w:pStyle w:val="EndnoteText"/>
        <w:spacing w:line="276" w:lineRule="auto"/>
        <w:jc w:val="both"/>
        <w:rPr>
          <w:highlight w:val="yellow"/>
        </w:rPr>
      </w:pPr>
      <w:r>
        <w:rPr>
          <w:rStyle w:val="EndnoteReference"/>
        </w:rPr>
        <w:endnoteRef/>
      </w:r>
      <w:r>
        <w:t xml:space="preserve"> Rozporządzenie Rady (UE, Euratom) 2020/2093 określające wieloletnie ramy finansowe na lata 2021–2027, Dz.U. L 433I z 22.12.2020, s. 11.</w:t>
      </w:r>
    </w:p>
  </w:endnote>
  <w:endnote w:id="5">
    <w:p w14:paraId="2B08E101" w14:textId="77777777" w:rsidR="00861C1C" w:rsidRDefault="003B6DC2" w:rsidP="00EA71BB">
      <w:pPr>
        <w:pStyle w:val="EndnoteText"/>
        <w:spacing w:line="276" w:lineRule="auto"/>
        <w:jc w:val="both"/>
        <w:rPr>
          <w:highlight w:val="yellow"/>
        </w:rPr>
      </w:pPr>
      <w:r>
        <w:rPr>
          <w:rStyle w:val="EndnoteReference"/>
        </w:rPr>
        <w:endnoteRef/>
      </w:r>
      <w:r>
        <w:t xml:space="preserve"> Rozporządzenie Rady (UE) 2020/2094 ustanawiające Instrument Unii Europejskiej na rzecz Odbudowy w celu wsparcia odbudowy w następstwie kryzysu związanego z COVID-19, Dz.U. L 433I z 22.12.2020, s. 23 („NextGenerationEU”).</w:t>
      </w:r>
    </w:p>
  </w:endnote>
  <w:endnote w:id="6">
    <w:p w14:paraId="0BB846F1" w14:textId="77777777" w:rsidR="00861C1C" w:rsidRDefault="003B6DC2" w:rsidP="00D26971">
      <w:pPr>
        <w:pStyle w:val="EndnoteText"/>
        <w:spacing w:line="276" w:lineRule="auto"/>
        <w:jc w:val="both"/>
      </w:pPr>
      <w:r>
        <w:rPr>
          <w:rStyle w:val="EndnoteReference"/>
        </w:rPr>
        <w:endnoteRef/>
      </w:r>
      <w:r>
        <w:t xml:space="preserve"> O ile nie wskazano inaczej, wszystkie kwoty w sprawozdaniu wyrażone są w cenach bieżących.</w:t>
      </w:r>
    </w:p>
  </w:endnote>
  <w:endnote w:id="7">
    <w:p w14:paraId="09C8D251" w14:textId="5FB5B87D" w:rsidR="00C62FD6" w:rsidRDefault="00C62FD6">
      <w:pPr>
        <w:pStyle w:val="EndnoteText"/>
      </w:pPr>
      <w:r>
        <w:rPr>
          <w:rStyle w:val="EndnoteReference"/>
        </w:rPr>
        <w:endnoteRef/>
      </w:r>
      <w:r>
        <w:t xml:space="preserve"> Komunikat Komisji do Parlamentu Europejskiego i Rady  „Dostosowanie techniczne wieloletnich ram finansowych na 2025 r. zgodnie z art. 4 rozporządzenia Rady (UE, Euratom) 2020/2093 określającego wieloletnie ramy finansowe na lata 2021–2027”. COM(2024) 120 final</w:t>
      </w:r>
    </w:p>
  </w:endnote>
  <w:endnote w:id="8">
    <w:p w14:paraId="429B897C" w14:textId="65DFFF78" w:rsidR="00861C1C" w:rsidRPr="0050317D" w:rsidRDefault="003B6DC2" w:rsidP="00D26971">
      <w:pPr>
        <w:pStyle w:val="EndnoteText"/>
        <w:spacing w:line="276" w:lineRule="auto"/>
        <w:jc w:val="both"/>
      </w:pPr>
      <w:r>
        <w:rPr>
          <w:rStyle w:val="EndnoteReference"/>
        </w:rPr>
        <w:endnoteRef/>
      </w:r>
      <w:r>
        <w:t xml:space="preserve"> Preliminarz Komisji Europejskiej na rok budżetowy 2025. SEC(2024) 250.</w:t>
      </w:r>
    </w:p>
  </w:endnote>
  <w:endnote w:id="9">
    <w:p w14:paraId="0E0D9CF1" w14:textId="5CBAB4A6" w:rsidR="00894044" w:rsidRDefault="00894044">
      <w:pPr>
        <w:pStyle w:val="EndnoteText"/>
      </w:pPr>
      <w:r>
        <w:rPr>
          <w:rStyle w:val="EndnoteReference"/>
        </w:rPr>
        <w:endnoteRef/>
      </w:r>
      <w:r>
        <w:t xml:space="preserve"> Rozporządzenie Rady (UE, Euratom) 2024/765 z dnia 29 lutego 2024 r. w sprawie zmiany rozporządzenia (UE, Euratom) 2020/2093 określającego wieloletnie ramy finansowe na lata 2021–2027 (Dz.U. L, 2024/765, 29.2.2024).</w:t>
      </w:r>
    </w:p>
  </w:endnote>
  <w:endnote w:id="10">
    <w:p w14:paraId="63F62AF8" w14:textId="77777777" w:rsidR="00861C1C" w:rsidRDefault="003B6DC2" w:rsidP="00D26971">
      <w:pPr>
        <w:pStyle w:val="EndnoteText"/>
        <w:spacing w:line="276" w:lineRule="auto"/>
        <w:jc w:val="both"/>
      </w:pPr>
      <w:r>
        <w:rPr>
          <w:rStyle w:val="EndnoteReference"/>
        </w:rPr>
        <w:endnoteRef/>
      </w:r>
      <w:r>
        <w:t xml:space="preserve"> W art. 5 rozporządzenia w sprawie WRF przewidziano dodatkowy przydział środków na zobowiązania i środków na płatności w ramach wcześniej określonego wykazu programów – na kwotę równoważną niektórym rodzajom grzywien.</w:t>
      </w:r>
    </w:p>
  </w:endnote>
  <w:endnote w:id="11">
    <w:p w14:paraId="75DB4C86" w14:textId="77777777" w:rsidR="00861C1C" w:rsidRDefault="003B6DC2" w:rsidP="00D26971">
      <w:pPr>
        <w:pStyle w:val="EndnoteText"/>
        <w:spacing w:line="276" w:lineRule="auto"/>
        <w:jc w:val="both"/>
      </w:pPr>
      <w:r>
        <w:rPr>
          <w:vertAlign w:val="superscript"/>
        </w:rPr>
        <w:endnoteRef/>
      </w:r>
      <w:r>
        <w:t xml:space="preserve"> Art. 15 ust. 3 rozporządzenia finansowego stanowi, że środki na zobowiązania odpowiadające kwocie umorzeń dokonanych w związku z projektami badawczymi mogą być ponownie udostępnione.</w:t>
      </w:r>
    </w:p>
  </w:endnote>
  <w:endnote w:id="12">
    <w:p w14:paraId="3564F43D" w14:textId="1B4BCBF6" w:rsidR="00A725FF" w:rsidRDefault="00A725FF">
      <w:pPr>
        <w:pStyle w:val="EndnoteText"/>
      </w:pPr>
      <w:r>
        <w:rPr>
          <w:rStyle w:val="EndnoteReference"/>
        </w:rPr>
        <w:endnoteRef/>
      </w:r>
      <w:r>
        <w:t xml:space="preserve"> Wpływ śródokresowego przeglądu przedstawiono szczegółowo w projekcie budżetu na 2025 r.</w:t>
      </w:r>
    </w:p>
  </w:endnote>
  <w:endnote w:id="13">
    <w:p w14:paraId="6E816E56" w14:textId="64B4CBCC" w:rsidR="00496632" w:rsidRDefault="00496632">
      <w:pPr>
        <w:pStyle w:val="EndnoteText"/>
      </w:pPr>
      <w:r>
        <w:rPr>
          <w:rStyle w:val="EndnoteReference"/>
        </w:rPr>
        <w:endnoteRef/>
      </w:r>
      <w:r>
        <w:t xml:space="preserve"> Wspólne oświadczenie Parlamentu Europejskiego, Rady i Komisji w sprawie ponownego wykorzystania umorzonych środków finansowych w związku z programem badawczym (C/2024/1972), Dz.U. C, C/2024/1972, 29.2.2024.</w:t>
      </w:r>
    </w:p>
  </w:endnote>
  <w:endnote w:id="14">
    <w:p w14:paraId="3915FBBF" w14:textId="7B73E9FF" w:rsidR="00403FE4" w:rsidRDefault="00403FE4">
      <w:pPr>
        <w:pStyle w:val="EndnoteText"/>
      </w:pPr>
      <w:r>
        <w:rPr>
          <w:rStyle w:val="EndnoteReference"/>
        </w:rPr>
        <w:endnoteRef/>
      </w:r>
      <w:r>
        <w:t xml:space="preserve"> Dodatkowe informacje na temat tych instrumentów są dostępne w projekcie budżetu na 2025 r. oraz w dostosowaniu technicznym WRF na 2025 r.</w:t>
      </w:r>
    </w:p>
  </w:endnote>
  <w:endnote w:id="15">
    <w:p w14:paraId="44D65C66" w14:textId="77777777" w:rsidR="000745D3" w:rsidRDefault="000745D3" w:rsidP="000745D3">
      <w:pPr>
        <w:pStyle w:val="EndnoteText"/>
      </w:pPr>
      <w:r>
        <w:rPr>
          <w:rStyle w:val="EndnoteReference"/>
        </w:rPr>
        <w:endnoteRef/>
      </w:r>
      <w:r>
        <w:t xml:space="preserve"> Rozporządzenie Parlamentu Europejskiego i Rady (UE) 2024/795 z dnia 29 lutego 2024 r. w sprawie ustanowienia Platformy na rzecz Technologii Strategicznych dla Europy (STEP) oraz zmiany dyrektywy 2003/87/WE oraz rozporządzeń (UE) 2021/1058, (UE) 2021/1056, (UE) 2021/1057, (UE) nr 1303/2013, (UE) nr 223/2014, (UE) 2021/1060, (UE) 2021/523, (UE) 2021/695, (UE) 2021/697 i (UE) 2021/241, Dz.U. L, 2024/795, 29.2.2024.</w:t>
      </w:r>
    </w:p>
  </w:endnote>
  <w:endnote w:id="16">
    <w:p w14:paraId="7913A81D" w14:textId="77777777" w:rsidR="00861C1C" w:rsidRDefault="003B6DC2" w:rsidP="00D26971">
      <w:pPr>
        <w:pStyle w:val="NormalWeb"/>
        <w:spacing w:before="0" w:beforeAutospacing="0" w:after="0" w:afterAutospacing="0" w:line="276" w:lineRule="auto"/>
        <w:jc w:val="both"/>
      </w:pPr>
      <w:r>
        <w:rPr>
          <w:rStyle w:val="EndnoteReference"/>
        </w:rPr>
        <w:endnoteRef/>
      </w:r>
      <w:r>
        <w:t xml:space="preserve"> </w:t>
      </w:r>
      <w:r>
        <w:rPr>
          <w:rFonts w:ascii="EC Square Sans Pro" w:hAnsi="EC Square Sans Pro"/>
          <w:sz w:val="20"/>
        </w:rPr>
        <w:t>Decyzja Rady (UE, Euratom) 2020/2053 z dnia 14 grudnia 2020 r. w sprawie systemu zasobów własnych Unii Europejskiej oraz uchylająca decyzję 2014/335/UE, Euratom, Dz.U. L 424 z 15.12.2020, s. 1.</w:t>
      </w:r>
    </w:p>
  </w:endnote>
  <w:endnote w:id="17">
    <w:p w14:paraId="02254F0F" w14:textId="1F2E0C53" w:rsidR="00861C1C" w:rsidRPr="0050317D" w:rsidRDefault="003B6DC2" w:rsidP="00EA71BB">
      <w:pPr>
        <w:pStyle w:val="EndnoteText"/>
        <w:tabs>
          <w:tab w:val="left" w:pos="8134"/>
        </w:tabs>
        <w:spacing w:line="276" w:lineRule="auto"/>
        <w:jc w:val="both"/>
      </w:pPr>
      <w:r>
        <w:rPr>
          <w:rStyle w:val="EndnoteReference"/>
        </w:rPr>
        <w:endnoteRef/>
      </w:r>
      <w:r w:rsidR="00560EFA">
        <w:t xml:space="preserve"> </w:t>
      </w:r>
      <w:r>
        <w:t>Dz.U. C 66 I z 19.2.2019, s. 1.</w:t>
      </w:r>
      <w:r>
        <w:tab/>
      </w:r>
    </w:p>
  </w:endnote>
  <w:endnote w:id="18">
    <w:p w14:paraId="15552A03" w14:textId="30562256" w:rsidR="00C647B5" w:rsidRDefault="00C647B5">
      <w:pPr>
        <w:pStyle w:val="EndnoteText"/>
      </w:pPr>
      <w:r>
        <w:rPr>
          <w:rStyle w:val="EndnoteReference"/>
        </w:rPr>
        <w:endnoteRef/>
      </w:r>
      <w:r>
        <w:t xml:space="preserve"> Kwotę tę uzupełniają dotacje w wysokości 20 mld EUR w ramach REPowerEU finansowane w ramach systemu handlu uprawnieniami do emisji (ETS) oraz 2,1 mld EUR w postaci przesunięć z pobrexitowej rezerwy dostosowawczej (BAR).</w:t>
      </w:r>
    </w:p>
  </w:endnote>
  <w:endnote w:id="19">
    <w:p w14:paraId="5A31848A" w14:textId="04753670" w:rsidR="00D62803" w:rsidRDefault="00D62803">
      <w:pPr>
        <w:pStyle w:val="EndnoteText"/>
      </w:pPr>
      <w:r>
        <w:rPr>
          <w:rStyle w:val="EndnoteReference"/>
        </w:rPr>
        <w:endnoteRef/>
      </w:r>
      <w:r>
        <w:t xml:space="preserve"> Kwota ta obejmuje zmniejszenie o 1 mld EUR uwzględnione w zmienionym rozporządzeniu w sprawie WRF w następstwie śródokresowego przeglądu WRF.</w:t>
      </w:r>
    </w:p>
  </w:endnote>
  <w:endnote w:id="20">
    <w:p w14:paraId="3F69731C" w14:textId="40641A3A" w:rsidR="00A1058F" w:rsidRDefault="00A1058F">
      <w:pPr>
        <w:pStyle w:val="EndnoteText"/>
      </w:pPr>
      <w:r>
        <w:rPr>
          <w:rStyle w:val="EndnoteReference"/>
        </w:rPr>
        <w:endnoteRef/>
      </w:r>
      <w:r>
        <w:t xml:space="preserve"> Sprawozdanie Komisji dla Parlamentu Europejskiego i Rady, Prognoza długoterminowa przyszłych wpływów do budżetu UE i wypływów z tego budżetu (2024-2028). COM(2023) 390 final.</w:t>
      </w:r>
    </w:p>
  </w:endnote>
  <w:endnote w:id="21">
    <w:p w14:paraId="64E24774" w14:textId="6D9520EA" w:rsidR="00E47939" w:rsidRPr="0050317D" w:rsidRDefault="00E47939" w:rsidP="00D26971">
      <w:pPr>
        <w:pStyle w:val="EndnoteText"/>
        <w:spacing w:line="276" w:lineRule="auto"/>
        <w:jc w:val="both"/>
      </w:pPr>
      <w:r>
        <w:rPr>
          <w:rStyle w:val="EndnoteReference"/>
        </w:rPr>
        <w:endnoteRef/>
      </w:r>
      <w:r>
        <w:t xml:space="preserve"> Państwa członkowskie podjęły decyzję o przesunięciu środków między płatnościami bezpośrednimi a rozwojem obszarów wiejskich. Wyniki przedstawiono w rozporządzeniu delegowanym Komisji (UE) 2023/813 z dnia 8 lutego 2023 r.</w:t>
      </w:r>
    </w:p>
  </w:endnote>
  <w:endnote w:id="22">
    <w:p w14:paraId="5B90899C" w14:textId="3AA5FC7D" w:rsidR="00306CCB" w:rsidRDefault="00306CCB">
      <w:pPr>
        <w:pStyle w:val="EndnoteText"/>
      </w:pPr>
      <w:r>
        <w:rPr>
          <w:rStyle w:val="EndnoteReference"/>
        </w:rPr>
        <w:endnoteRef/>
      </w:r>
      <w:r>
        <w:t xml:space="preserve"> Rozporządzenie Parlamentu Europejskiego i Rady (UE) 2024/792 z dnia 29 lutego 2024 r. ustanawiające Instrument na rzecz Ukrainy, Dz.U. L, 2024/792, 29.2.2024.</w:t>
      </w:r>
    </w:p>
  </w:endnote>
  <w:endnote w:id="23">
    <w:p w14:paraId="716543EA" w14:textId="7C8812EA" w:rsidR="00736B85" w:rsidRDefault="00736B85">
      <w:pPr>
        <w:pStyle w:val="EndnoteText"/>
      </w:pPr>
      <w:r>
        <w:rPr>
          <w:rStyle w:val="EndnoteReference"/>
        </w:rPr>
        <w:endnoteRef/>
      </w:r>
      <w:r>
        <w:t xml:space="preserve"> Z wyjątkiem tych ponownie wykorzystanych w programach pochodzenia, zgodnie z mającymi zastosowanie przepisami (np. „Horyzont”, ISWMR). Z kwoty tej wykluczono potencjalne umorzenia wynikające z programów, których przepisy przewidują automatyczne ponowne wykorzystanie.</w:t>
      </w:r>
    </w:p>
  </w:endnote>
  <w:endnote w:id="24">
    <w:p w14:paraId="00B35532" w14:textId="2FD3ED52" w:rsidR="00C9617B" w:rsidRDefault="00C9617B">
      <w:pPr>
        <w:pStyle w:val="EndnoteText"/>
      </w:pPr>
      <w:r>
        <w:rPr>
          <w:rStyle w:val="EndnoteReference"/>
        </w:rPr>
        <w:endnoteRef/>
      </w:r>
      <w:r>
        <w:t xml:space="preserve"> Datą graniczną dla danych NextGenerationEU jest 16 maja 2024 r.</w:t>
      </w:r>
    </w:p>
  </w:endnote>
  <w:endnote w:id="25">
    <w:p w14:paraId="06B72DD9" w14:textId="300F5C5D" w:rsidR="003217CE" w:rsidRDefault="003217CE">
      <w:pPr>
        <w:pStyle w:val="EndnoteText"/>
      </w:pPr>
      <w:r>
        <w:rPr>
          <w:rStyle w:val="EndnoteReference"/>
        </w:rPr>
        <w:endnoteRef/>
      </w:r>
      <w:r>
        <w:t xml:space="preserve"> Ze względu na to, że mechanizm realizacji elementu pożyczkowego Instrumentu na rzecz Odbudowy i Zwiększania Odporności jest stymulowany popytem, nie są dostępne prognozy dotyczące tego elementu (podobnie jak w przypadku innych instrumentów pożyczkowych wdrażanych poza budżetem).</w:t>
      </w:r>
    </w:p>
  </w:endnote>
  <w:endnote w:id="26">
    <w:p w14:paraId="1AEEE587" w14:textId="5CA7D7E4" w:rsidR="00560CA4" w:rsidRDefault="00560CA4">
      <w:pPr>
        <w:pStyle w:val="EndnoteText"/>
      </w:pPr>
      <w:r>
        <w:rPr>
          <w:rStyle w:val="EndnoteReference"/>
        </w:rPr>
        <w:endnoteRef/>
      </w:r>
      <w:r>
        <w:t xml:space="preserve"> Bezzwrotne wsparcie w ramach RRF finansowane z kredytów NGEU, z wyłączeniem ETS i pobrexitowej rezerwy dostosowawczej. Oczekuje się, że z uwzględnieniem dodatkowych dotacji finansowanych w ramach REPowerEU ETS i pobrexitowej rezerwy dostosowawczej wypłaty wyniosą 69,4 mld EUR w 2025 r. i 74,6 mld EUR w 2026 r.</w:t>
      </w:r>
    </w:p>
  </w:endnote>
  <w:endnote w:id="27">
    <w:p w14:paraId="06011A35" w14:textId="098153E0" w:rsidR="00E43629" w:rsidRPr="0050317D" w:rsidRDefault="00E43629">
      <w:pPr>
        <w:pStyle w:val="EndnoteText"/>
      </w:pPr>
      <w:r>
        <w:rPr>
          <w:rStyle w:val="EndnoteReference"/>
        </w:rPr>
        <w:endnoteRef/>
      </w:r>
      <w:r>
        <w:t xml:space="preserve"> COM(2022) 145 final z 23.3.2022.</w:t>
      </w:r>
    </w:p>
  </w:endnote>
  <w:endnote w:id="28">
    <w:p w14:paraId="207C8DB1" w14:textId="77777777" w:rsidR="00861C1C" w:rsidRDefault="003B6DC2" w:rsidP="00D26971">
      <w:pPr>
        <w:pStyle w:val="EndnoteText"/>
        <w:spacing w:line="276" w:lineRule="auto"/>
        <w:jc w:val="both"/>
      </w:pPr>
      <w:r>
        <w:rPr>
          <w:rStyle w:val="EndnoteReference"/>
        </w:rPr>
        <w:endnoteRef/>
      </w:r>
      <w:r>
        <w:t xml:space="preserve"> COM(2021) 250 final z 14.4.2021.</w:t>
      </w:r>
    </w:p>
  </w:endnote>
  <w:endnote w:id="29">
    <w:p w14:paraId="35A1BDC6" w14:textId="77777777" w:rsidR="3DCEF89C" w:rsidRPr="0050317D" w:rsidRDefault="3DCEF89C" w:rsidP="00D26971">
      <w:pPr>
        <w:pStyle w:val="EndnoteText"/>
        <w:jc w:val="both"/>
      </w:pPr>
      <w:r>
        <w:rPr>
          <w:rStyle w:val="EndnoteReference"/>
        </w:rPr>
        <w:endnoteRef/>
      </w:r>
      <w:r>
        <w:t xml:space="preserve"> Decyzja Rady (UE, Euratom) 2020/2053 z dnia 14 grudnia 2020 r., Dz.U. L 424 z 15.12.2020, s. 1.</w:t>
      </w:r>
    </w:p>
  </w:endnote>
  <w:endnote w:id="30">
    <w:p w14:paraId="65547180" w14:textId="5E0B049B" w:rsidR="00861C1C" w:rsidRPr="009C194A" w:rsidRDefault="003B6DC2" w:rsidP="00D26971">
      <w:pPr>
        <w:pStyle w:val="EndnoteText"/>
        <w:spacing w:line="276" w:lineRule="auto"/>
        <w:jc w:val="both"/>
      </w:pPr>
      <w:r>
        <w:rPr>
          <w:rStyle w:val="EndnoteReference"/>
        </w:rPr>
        <w:endnoteRef/>
      </w:r>
      <w:r>
        <w:t xml:space="preserve"> COM(2023) 330 final z 20.6.2023.</w:t>
      </w:r>
    </w:p>
  </w:endnote>
  <w:endnote w:id="31">
    <w:p w14:paraId="70AB8DFA" w14:textId="4BDBA7EA" w:rsidR="00861C1C" w:rsidRDefault="003B6DC2" w:rsidP="00D26971">
      <w:pPr>
        <w:pStyle w:val="FootnoteText"/>
        <w:jc w:val="both"/>
      </w:pPr>
      <w:r>
        <w:rPr>
          <w:rStyle w:val="EndnoteReference"/>
        </w:rPr>
        <w:endnoteRef/>
      </w:r>
      <w:r>
        <w:t xml:space="preserve"> Komisja Europejska, European Economic Forecast Spring 2024 [Europejska prognoza gospodarcza – wiosna 2024 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 Square Sans Pro">
    <w:altName w:val="Bahnschrift Light"/>
    <w:charset w:val="00"/>
    <w:family w:val="swiss"/>
    <w:pitch w:val="variable"/>
    <w:sig w:usb0="00000001" w:usb1="00000001" w:usb2="00000000" w:usb3="00000000" w:csb0="0000019F" w:csb1="00000000"/>
  </w:font>
  <w:font w:name="Tunga">
    <w:altName w:val="Courier New"/>
    <w:panose1 w:val="00000400000000000000"/>
    <w:charset w:val="00"/>
    <w:family w:val="swiss"/>
    <w:pitch w:val="variable"/>
    <w:sig w:usb0="00000003" w:usb1="00000000" w:usb2="00000000" w:usb3="00000000" w:csb0="00000001" w:csb1="00000000"/>
  </w:font>
  <w:font w:name="Proxima Nova">
    <w:altName w:val="EC Square Sans Pro Medium"/>
    <w:panose1 w:val="00000000000000000000"/>
    <w:charset w:val="00"/>
    <w:family w:val="modern"/>
    <w:notTrueType/>
    <w:pitch w:val="variable"/>
    <w:sig w:usb0="00000001" w:usb1="5000E0F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EC Square Sans Cond Pro Medium">
    <w:charset w:val="00"/>
    <w:family w:val="swiss"/>
    <w:pitch w:val="variable"/>
    <w:sig w:usb0="20000287" w:usb1="00000001" w:usb2="00000000" w:usb3="00000000" w:csb0="0000019F" w:csb1="00000000"/>
  </w:font>
  <w:font w:name="EC Square Sans Pro Light">
    <w:charset w:val="00"/>
    <w:family w:val="swiss"/>
    <w:pitch w:val="variable"/>
    <w:sig w:usb0="20000287" w:usb1="00000001" w:usb2="00000000" w:usb3="00000000" w:csb0="0000019F" w:csb1="00000000"/>
  </w:font>
  <w:font w:name="EUAlbertina">
    <w:altName w:val="Cambria"/>
    <w:charset w:val="00"/>
    <w:family w:val="auto"/>
    <w:pitch w:val="variable"/>
    <w:sig w:usb0="00000001" w:usb1="1000E0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83454" w14:textId="4219A231" w:rsidR="007D1FD8" w:rsidRPr="007D1FD8" w:rsidRDefault="007D1FD8" w:rsidP="007D1FD8">
    <w:pPr>
      <w:pStyle w:val="FooterCoverPage"/>
      <w:rPr>
        <w:rFonts w:ascii="Arial" w:hAnsi="Arial" w:cs="Arial"/>
        <w:b/>
        <w:sz w:val="48"/>
      </w:rPr>
    </w:pPr>
    <w:r w:rsidRPr="007D1FD8">
      <w:rPr>
        <w:rFonts w:ascii="Arial" w:hAnsi="Arial" w:cs="Arial"/>
        <w:b/>
        <w:sz w:val="48"/>
      </w:rPr>
      <w:t>PL</w:t>
    </w:r>
    <w:r w:rsidRPr="007D1FD8">
      <w:rPr>
        <w:rFonts w:ascii="Arial" w:hAnsi="Arial" w:cs="Arial"/>
        <w:b/>
        <w:sz w:val="48"/>
      </w:rPr>
      <w:tab/>
    </w:r>
    <w:r w:rsidRPr="007D1FD8">
      <w:rPr>
        <w:rFonts w:ascii="Arial" w:hAnsi="Arial" w:cs="Arial"/>
        <w:b/>
        <w:sz w:val="48"/>
      </w:rPr>
      <w:tab/>
    </w:r>
    <w:r w:rsidRPr="007D1FD8">
      <w:tab/>
    </w:r>
    <w:r w:rsidRPr="007D1FD8">
      <w:rPr>
        <w:rFonts w:ascii="Arial" w:hAnsi="Arial" w:cs="Arial"/>
        <w:b/>
        <w:sz w:val="48"/>
      </w:rPr>
      <w:t>PL</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74124" w14:textId="77777777" w:rsidR="00861C1C" w:rsidRDefault="003B6DC2">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t>20</w:t>
    </w:r>
    <w:r>
      <w:rPr>
        <w:color w:val="2B579A"/>
        <w:shd w:val="clear" w:color="auto" w:fill="E6E6E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384086"/>
      <w:docPartObj>
        <w:docPartGallery w:val="Page Numbers (Bottom of Page)"/>
        <w:docPartUnique/>
      </w:docPartObj>
    </w:sdtPr>
    <w:sdtEndPr/>
    <w:sdtContent>
      <w:p w14:paraId="6E2222E7" w14:textId="77777777" w:rsidR="00861C1C" w:rsidRDefault="003B6DC2" w:rsidP="00967E56">
        <w:pPr>
          <w:pStyle w:val="Footer"/>
        </w:pPr>
        <w:r w:rsidRPr="00F47142">
          <w:rPr>
            <w:shd w:val="clear" w:color="auto" w:fill="FFFFFF" w:themeFill="background1"/>
          </w:rPr>
          <w:fldChar w:fldCharType="begin"/>
        </w:r>
        <w:r w:rsidRPr="002C358C">
          <w:rPr>
            <w:shd w:val="clear" w:color="auto" w:fill="FFFFFF" w:themeFill="background1"/>
          </w:rPr>
          <w:instrText xml:space="preserve"> PAGE   \* MERGEFORMAT </w:instrText>
        </w:r>
        <w:r w:rsidRPr="00F47142">
          <w:rPr>
            <w:shd w:val="clear" w:color="auto" w:fill="FFFFFF" w:themeFill="background1"/>
          </w:rPr>
          <w:fldChar w:fldCharType="separate"/>
        </w:r>
        <w:r w:rsidRPr="002C358C">
          <w:rPr>
            <w:shd w:val="clear" w:color="auto" w:fill="FFFFFF" w:themeFill="background1"/>
          </w:rPr>
          <w:t>20</w:t>
        </w:r>
        <w:r w:rsidRPr="00F47142">
          <w:rPr>
            <w:shd w:val="clear" w:color="auto" w:fill="FFFFFF" w:themeFill="background1"/>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C9750" w14:textId="77777777" w:rsidR="00861C1C" w:rsidRDefault="00861C1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C79F4" w14:textId="77777777" w:rsidR="00861C1C" w:rsidRDefault="00861C1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09441"/>
      <w:docPartObj>
        <w:docPartGallery w:val="Page Numbers (Bottom of Page)"/>
        <w:docPartUnique/>
      </w:docPartObj>
    </w:sdtPr>
    <w:sdtEndPr/>
    <w:sdtContent>
      <w:p w14:paraId="0077EFE7" w14:textId="77777777" w:rsidR="00861C1C" w:rsidRDefault="003B6DC2" w:rsidP="00F35BB7">
        <w:pPr>
          <w:pStyle w:val="Footer"/>
        </w:pPr>
        <w:r w:rsidRPr="00F47142">
          <w:rPr>
            <w:shd w:val="clear" w:color="auto" w:fill="FFFFFF" w:themeFill="background1"/>
          </w:rPr>
          <w:fldChar w:fldCharType="begin"/>
        </w:r>
        <w:r w:rsidRPr="002C358C">
          <w:rPr>
            <w:shd w:val="clear" w:color="auto" w:fill="FFFFFF" w:themeFill="background1"/>
          </w:rPr>
          <w:instrText xml:space="preserve"> PAGE   \* MERGEFORMAT </w:instrText>
        </w:r>
        <w:r w:rsidRPr="00F47142">
          <w:rPr>
            <w:shd w:val="clear" w:color="auto" w:fill="FFFFFF" w:themeFill="background1"/>
          </w:rPr>
          <w:fldChar w:fldCharType="separate"/>
        </w:r>
        <w:r w:rsidRPr="002C358C">
          <w:rPr>
            <w:shd w:val="clear" w:color="auto" w:fill="FFFFFF" w:themeFill="background1"/>
          </w:rPr>
          <w:t>24</w:t>
        </w:r>
        <w:r w:rsidRPr="00F47142">
          <w:rPr>
            <w:shd w:val="clear" w:color="auto" w:fill="FFFFFF" w:themeFill="background1"/>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5E057" w14:textId="77777777" w:rsidR="00861C1C" w:rsidRDefault="00861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9AD0A" w14:textId="17FED34C" w:rsidR="007D1FD8" w:rsidRPr="007D1FD8" w:rsidRDefault="007D1FD8" w:rsidP="007D1FD8">
    <w:pPr>
      <w:pStyle w:val="FooterCoverPage"/>
      <w:rPr>
        <w:rFonts w:ascii="Arial" w:hAnsi="Arial" w:cs="Arial"/>
        <w:b/>
        <w:sz w:val="48"/>
      </w:rPr>
    </w:pPr>
    <w:r w:rsidRPr="007D1FD8">
      <w:rPr>
        <w:rFonts w:ascii="Arial" w:hAnsi="Arial" w:cs="Arial"/>
        <w:b/>
        <w:sz w:val="48"/>
      </w:rPr>
      <w:t>PL</w:t>
    </w:r>
    <w:r w:rsidRPr="007D1FD8">
      <w:rPr>
        <w:rFonts w:ascii="Arial" w:hAnsi="Arial" w:cs="Arial"/>
        <w:b/>
        <w:sz w:val="48"/>
      </w:rPr>
      <w:tab/>
    </w:r>
    <w:r w:rsidRPr="007D1FD8">
      <w:rPr>
        <w:rFonts w:ascii="Arial" w:hAnsi="Arial" w:cs="Arial"/>
        <w:b/>
        <w:sz w:val="48"/>
      </w:rPr>
      <w:tab/>
    </w:r>
    <w:r w:rsidRPr="007D1FD8">
      <w:tab/>
    </w:r>
    <w:r w:rsidRPr="007D1FD8">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D8F1" w14:textId="77777777" w:rsidR="007D1FD8" w:rsidRPr="007D1FD8" w:rsidRDefault="007D1FD8" w:rsidP="007D1FD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F7275" w14:textId="77777777" w:rsidR="00861C1C" w:rsidRDefault="003B6DC2">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t>1</w:t>
    </w:r>
    <w:r>
      <w:rPr>
        <w:color w:val="2B579A"/>
        <w:shd w:val="clear" w:color="auto" w:fill="E6E6E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709605"/>
      <w:docPartObj>
        <w:docPartGallery w:val="Page Numbers (Bottom of Page)"/>
        <w:docPartUnique/>
      </w:docPartObj>
    </w:sdtPr>
    <w:sdtEndPr/>
    <w:sdtContent>
      <w:p w14:paraId="719339A1" w14:textId="6DDE20F1" w:rsidR="00861C1C" w:rsidRDefault="003B6DC2">
        <w:pPr>
          <w:pStyle w:val="Footer"/>
        </w:pPr>
        <w:r>
          <w:fldChar w:fldCharType="begin"/>
        </w:r>
        <w:r>
          <w:instrText xml:space="preserve"> PAGE   \* MERGEFORMAT </w:instrText>
        </w:r>
        <w:r>
          <w:fldChar w:fldCharType="separate"/>
        </w:r>
        <w:r w:rsidR="007D1FD8">
          <w:t>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9DC92" w14:textId="77777777" w:rsidR="00861C1C" w:rsidRDefault="00861C1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58034" w14:textId="77777777" w:rsidR="00050DD7" w:rsidRDefault="00050DD7">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t>1</w:t>
    </w:r>
    <w:r>
      <w:rPr>
        <w:color w:val="2B579A"/>
        <w:shd w:val="clear" w:color="auto" w:fill="E6E6E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728872"/>
      <w:docPartObj>
        <w:docPartGallery w:val="Page Numbers (Bottom of Page)"/>
        <w:docPartUnique/>
      </w:docPartObj>
    </w:sdtPr>
    <w:sdtEndPr/>
    <w:sdtContent>
      <w:p w14:paraId="3385A930" w14:textId="58832549" w:rsidR="00050DD7" w:rsidRDefault="00050DD7">
        <w:pPr>
          <w:pStyle w:val="Footer"/>
        </w:pPr>
        <w:r>
          <w:fldChar w:fldCharType="begin"/>
        </w:r>
        <w:r>
          <w:instrText xml:space="preserve"> PAGE   \* MERGEFORMAT </w:instrText>
        </w:r>
        <w:r>
          <w:fldChar w:fldCharType="separate"/>
        </w:r>
        <w:r w:rsidR="007D1FD8">
          <w:t>1</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1BB66" w14:textId="77777777" w:rsidR="00050DD7" w:rsidRDefault="00050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A77D0" w14:textId="77777777" w:rsidR="00D014F9" w:rsidRDefault="00D014F9">
      <w:r>
        <w:separator/>
      </w:r>
    </w:p>
  </w:footnote>
  <w:footnote w:type="continuationSeparator" w:id="0">
    <w:p w14:paraId="0635B001" w14:textId="77777777" w:rsidR="00D014F9" w:rsidRDefault="00D014F9">
      <w:r>
        <w:continuationSeparator/>
      </w:r>
    </w:p>
  </w:footnote>
  <w:footnote w:type="continuationNotice" w:id="1">
    <w:p w14:paraId="2CBD10E8" w14:textId="77777777" w:rsidR="00D014F9" w:rsidRDefault="00D014F9">
      <w:pPr>
        <w:pStyle w:val="Footer"/>
        <w:jc w:val="lef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81342" w14:textId="77777777" w:rsidR="007D1FD8" w:rsidRPr="007D1FD8" w:rsidRDefault="007D1FD8" w:rsidP="007D1FD8">
    <w:pPr>
      <w:pStyle w:val="HeaderCoverPag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C5024" w14:textId="77777777" w:rsidR="00861C1C" w:rsidRDefault="00861C1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A1FEF" w14:textId="29C96470" w:rsidR="00861C1C" w:rsidRDefault="00697C8D">
    <w:pPr>
      <w:pStyle w:val="Header"/>
    </w:pPr>
    <w:r>
      <w:rPr>
        <w:noProof/>
        <w:color w:val="2B579A"/>
        <w:shd w:val="clear" w:color="auto" w:fill="E6E6E6"/>
        <w:lang w:val="en-GB" w:eastAsia="en-GB"/>
      </w:rPr>
      <mc:AlternateContent>
        <mc:Choice Requires="wps">
          <w:drawing>
            <wp:anchor distT="0" distB="0" distL="114300" distR="114300" simplePos="0" relativeHeight="251652608" behindDoc="0" locked="1" layoutInCell="1" allowOverlap="1" wp14:anchorId="7652CC88" wp14:editId="055F3679">
              <wp:simplePos x="0" y="0"/>
              <wp:positionH relativeFrom="page">
                <wp:posOffset>-52705</wp:posOffset>
              </wp:positionH>
              <wp:positionV relativeFrom="page">
                <wp:posOffset>-635</wp:posOffset>
              </wp:positionV>
              <wp:extent cx="7620635" cy="212090"/>
              <wp:effectExtent l="0" t="0" r="0" b="0"/>
              <wp:wrapNone/>
              <wp:docPr id="1825826825" name="Rectangle 18258268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620635" cy="212090"/>
                      </a:xfrm>
                      <a:prstGeom prst="rect">
                        <a:avLst/>
                      </a:prstGeom>
                      <a:solidFill>
                        <a:srgbClr val="FDB9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http://schemas.openxmlformats.org/drawingml/2006/main">
          <w:pict>
            <v:rect id="Rectangle 1825826825" style="position:absolute;margin-left:-4.15pt;margin-top:-.05pt;width:600.05pt;height:16.7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fdb933"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" w14:anchorId="0B20C3A3">
              <o:lock v:ext="edit" aspectratio="t"/>
              <w10:wrap anchorx="page" anchory="page"/>
              <w10:anchorlock/>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9CE3C" w14:textId="77777777" w:rsidR="00861C1C" w:rsidRDefault="00861C1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3ED37" w14:textId="77777777" w:rsidR="00861C1C" w:rsidRDefault="00861C1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0E674" w14:textId="77777777" w:rsidR="00861C1C" w:rsidRDefault="00861C1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BAD35" w14:textId="77777777" w:rsidR="00861C1C" w:rsidRDefault="00861C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9FAE7" w14:textId="77777777" w:rsidR="007D1FD8" w:rsidRPr="007D1FD8" w:rsidRDefault="007D1FD8" w:rsidP="007D1FD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5C98B" w14:textId="77777777" w:rsidR="007D1FD8" w:rsidRPr="007D1FD8" w:rsidRDefault="007D1FD8" w:rsidP="007D1FD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5A063" w14:textId="77777777" w:rsidR="00861C1C" w:rsidRDefault="00861C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2A754" w14:textId="0BD29C78" w:rsidR="00861C1C" w:rsidRDefault="00861C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9AF9A" w14:textId="77777777" w:rsidR="00861C1C" w:rsidRDefault="00861C1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948AB" w14:textId="77777777" w:rsidR="00050DD7" w:rsidRDefault="00050DD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037C3" w14:textId="77777777" w:rsidR="00D22273" w:rsidRDefault="00891AFF">
    <w:pPr>
      <w:pStyle w:val="Header"/>
    </w:pPr>
    <w:r>
      <w:rPr>
        <w:noProof/>
        <w:color w:val="2B579A"/>
        <w:shd w:val="clear" w:color="auto" w:fill="E6E6E6"/>
        <w:lang w:val="en-GB" w:eastAsia="en-GB"/>
      </w:rPr>
      <mc:AlternateContent>
        <mc:Choice Requires="wps">
          <w:drawing>
            <wp:anchor distT="0" distB="0" distL="114300" distR="114300" simplePos="0" relativeHeight="251667968" behindDoc="0" locked="1" layoutInCell="1" allowOverlap="1" wp14:anchorId="3A27F900" wp14:editId="7130381C">
              <wp:simplePos x="0" y="0"/>
              <wp:positionH relativeFrom="page">
                <wp:posOffset>-31115</wp:posOffset>
              </wp:positionH>
              <wp:positionV relativeFrom="page">
                <wp:posOffset>0</wp:posOffset>
              </wp:positionV>
              <wp:extent cx="7620635" cy="212090"/>
              <wp:effectExtent l="0" t="0" r="0" b="0"/>
              <wp:wrapNone/>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620635" cy="212090"/>
                      </a:xfrm>
                      <a:prstGeom prst="rect">
                        <a:avLst/>
                      </a:prstGeom>
                      <a:solidFill>
                        <a:srgbClr val="FDB9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http://schemas.openxmlformats.org/drawingml/2006/main">
          <w:pict>
            <v:rect id="Rectangle 4" style="position:absolute;margin-left:-2.45pt;margin-top:0;width:600.05pt;height:16.7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fdb933"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" w14:anchorId="0561CB70">
              <o:lock v:ext="edit" aspectratio="t"/>
              <w10:wrap anchorx="page" anchory="page"/>
              <w10:anchorlock/>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7ACEE" w14:textId="77777777" w:rsidR="00050DD7" w:rsidRDefault="00050DD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DA011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B8B6D3F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249579D"/>
    <w:multiLevelType w:val="multilevel"/>
    <w:tmpl w:val="A08C8E34"/>
    <w:styleLink w:val="amprLIST-Ordered"/>
    <w:lvl w:ilvl="0">
      <w:start w:val="1"/>
      <w:numFmt w:val="decimal"/>
      <w:pStyle w:val="amprLISTOrdered-L1"/>
      <w:lvlText w:val="%1."/>
      <w:lvlJc w:val="left"/>
      <w:pPr>
        <w:ind w:left="714" w:hanging="357"/>
      </w:pPr>
      <w:rPr>
        <w:rFonts w:hint="default"/>
      </w:rPr>
    </w:lvl>
    <w:lvl w:ilvl="1">
      <w:start w:val="1"/>
      <w:numFmt w:val="decimal"/>
      <w:pStyle w:val="amprLISTOrdered-L2"/>
      <w:lvlText w:val="%1.%2."/>
      <w:lvlJc w:val="left"/>
      <w:pPr>
        <w:ind w:left="1185" w:hanging="471"/>
      </w:pPr>
      <w:rPr>
        <w:rFonts w:hint="default"/>
      </w:rPr>
    </w:lvl>
    <w:lvl w:ilvl="2">
      <w:start w:val="1"/>
      <w:numFmt w:val="decimal"/>
      <w:pStyle w:val="amprLISTOrdered-L3"/>
      <w:lvlText w:val="%1.%2.%3."/>
      <w:lvlJc w:val="left"/>
      <w:pPr>
        <w:ind w:left="1769" w:hanging="584"/>
      </w:pPr>
      <w:rPr>
        <w:rFonts w:hint="default"/>
      </w:rPr>
    </w:lvl>
    <w:lvl w:ilvl="3">
      <w:start w:val="1"/>
      <w:numFmt w:val="decimal"/>
      <w:pStyle w:val="amprLISTOrdered-L4"/>
      <w:lvlText w:val="%1.%2.%3.%4."/>
      <w:lvlJc w:val="left"/>
      <w:pPr>
        <w:ind w:left="2466" w:hanging="6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1B48C7"/>
    <w:multiLevelType w:val="hybridMultilevel"/>
    <w:tmpl w:val="D6D43D2A"/>
    <w:lvl w:ilvl="0" w:tplc="24482FE6">
      <w:start w:val="3"/>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2AF0196"/>
    <w:multiLevelType w:val="multilevel"/>
    <w:tmpl w:val="D6C29086"/>
    <w:styleLink w:val="amprHLISTNumberedheadings"/>
    <w:lvl w:ilvl="0">
      <w:start w:val="1"/>
      <w:numFmt w:val="decimal"/>
      <w:pStyle w:val="amprH2TITLE1-Numbered-1"/>
      <w:lvlText w:val="%1."/>
      <w:lvlJc w:val="left"/>
      <w:pPr>
        <w:ind w:left="578" w:hanging="578"/>
      </w:pPr>
      <w:rPr>
        <w:rFonts w:hint="default"/>
      </w:rPr>
    </w:lvl>
    <w:lvl w:ilvl="1">
      <w:start w:val="1"/>
      <w:numFmt w:val="decimal"/>
      <w:pStyle w:val="amprH3Title2-Numbered-11"/>
      <w:lvlText w:val="%1.%2."/>
      <w:lvlJc w:val="left"/>
      <w:pPr>
        <w:ind w:left="1928" w:hanging="578"/>
      </w:pPr>
      <w:rPr>
        <w:rFonts w:hint="default"/>
      </w:rPr>
    </w:lvl>
    <w:lvl w:ilvl="2">
      <w:start w:val="1"/>
      <w:numFmt w:val="decimal"/>
      <w:pStyle w:val="amprH4Subhead1-Numbered-111"/>
      <w:lvlText w:val="%1.%2.%3."/>
      <w:lvlJc w:val="left"/>
      <w:pPr>
        <w:ind w:left="578" w:hanging="578"/>
      </w:pPr>
      <w:rPr>
        <w:rFonts w:hint="default"/>
      </w:rPr>
    </w:lvl>
    <w:lvl w:ilvl="3">
      <w:start w:val="1"/>
      <w:numFmt w:val="decimal"/>
      <w:pStyle w:val="amprH5Subhead2-Numbered-1111"/>
      <w:lvlText w:val="%1.%2.%3.%4."/>
      <w:lvlJc w:val="left"/>
      <w:pPr>
        <w:ind w:left="578" w:hanging="578"/>
      </w:pPr>
      <w:rPr>
        <w:rFonts w:hint="default"/>
      </w:rPr>
    </w:lvl>
    <w:lvl w:ilvl="4">
      <w:start w:val="1"/>
      <w:numFmt w:val="lowerLetter"/>
      <w:lvlText w:val="(%5)"/>
      <w:lvlJc w:val="left"/>
      <w:pPr>
        <w:ind w:left="578" w:hanging="578"/>
      </w:pPr>
      <w:rPr>
        <w:rFonts w:hint="default"/>
      </w:rPr>
    </w:lvl>
    <w:lvl w:ilvl="5">
      <w:start w:val="1"/>
      <w:numFmt w:val="lowerRoman"/>
      <w:lvlText w:val="(%6)"/>
      <w:lvlJc w:val="left"/>
      <w:pPr>
        <w:ind w:left="578" w:hanging="578"/>
      </w:pPr>
      <w:rPr>
        <w:rFonts w:hint="default"/>
      </w:rPr>
    </w:lvl>
    <w:lvl w:ilvl="6">
      <w:start w:val="1"/>
      <w:numFmt w:val="decimal"/>
      <w:lvlText w:val="%7."/>
      <w:lvlJc w:val="left"/>
      <w:pPr>
        <w:ind w:left="578" w:hanging="578"/>
      </w:pPr>
      <w:rPr>
        <w:rFonts w:hint="default"/>
      </w:rPr>
    </w:lvl>
    <w:lvl w:ilvl="7">
      <w:start w:val="1"/>
      <w:numFmt w:val="lowerLetter"/>
      <w:lvlText w:val="%8."/>
      <w:lvlJc w:val="left"/>
      <w:pPr>
        <w:ind w:left="578" w:hanging="578"/>
      </w:pPr>
      <w:rPr>
        <w:rFonts w:hint="default"/>
      </w:rPr>
    </w:lvl>
    <w:lvl w:ilvl="8">
      <w:start w:val="1"/>
      <w:numFmt w:val="lowerRoman"/>
      <w:lvlText w:val="%9."/>
      <w:lvlJc w:val="left"/>
      <w:pPr>
        <w:ind w:left="578" w:hanging="578"/>
      </w:pPr>
      <w:rPr>
        <w:rFonts w:hint="default"/>
      </w:rPr>
    </w:lvl>
  </w:abstractNum>
  <w:abstractNum w:abstractNumId="5" w15:restartNumberingAfterBreak="0">
    <w:nsid w:val="151578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1327C8"/>
    <w:multiLevelType w:val="hybridMultilevel"/>
    <w:tmpl w:val="B8AAD2A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8" w15:restartNumberingAfterBreak="0">
    <w:nsid w:val="1C47181D"/>
    <w:multiLevelType w:val="multilevel"/>
    <w:tmpl w:val="2A9AD0EE"/>
    <w:styleLink w:val="amprLISTblackbullets"/>
    <w:lvl w:ilvl="0">
      <w:start w:val="1"/>
      <w:numFmt w:val="bullet"/>
      <w:pStyle w:val="amprLISTblackbullets-L1"/>
      <w:lvlText w:val=""/>
      <w:lvlJc w:val="left"/>
      <w:pPr>
        <w:ind w:left="714" w:hanging="357"/>
      </w:pPr>
      <w:rPr>
        <w:rFonts w:ascii="Symbol" w:hAnsi="Symbol" w:hint="default"/>
      </w:rPr>
    </w:lvl>
    <w:lvl w:ilvl="1">
      <w:start w:val="1"/>
      <w:numFmt w:val="bullet"/>
      <w:pStyle w:val="amprLISTblackbullets-L2"/>
      <w:lvlText w:val="—"/>
      <w:lvlJc w:val="left"/>
      <w:pPr>
        <w:ind w:left="1435" w:hanging="358"/>
      </w:pPr>
      <w:rPr>
        <w:rFonts w:ascii="EC Square Sans Pro" w:hAnsi="EC Square Sans Pro" w:hint="default"/>
      </w:rPr>
    </w:lvl>
    <w:lvl w:ilvl="2">
      <w:start w:val="1"/>
      <w:numFmt w:val="bullet"/>
      <w:lvlText w:val=""/>
      <w:lvlJc w:val="left"/>
      <w:pPr>
        <w:ind w:left="2155" w:hanging="355"/>
      </w:pPr>
      <w:rPr>
        <w:rFonts w:ascii="Wingdings" w:hAnsi="Wingdings" w:hint="default"/>
      </w:rPr>
    </w:lvl>
    <w:lvl w:ilvl="3">
      <w:start w:val="1"/>
      <w:numFmt w:val="bullet"/>
      <w:lvlText w:val=""/>
      <w:lvlJc w:val="left"/>
      <w:pPr>
        <w:ind w:left="2875" w:hanging="355"/>
      </w:pPr>
      <w:rPr>
        <w:rFonts w:ascii="Symbol" w:hAnsi="Symbol" w:hint="default"/>
      </w:rPr>
    </w:lvl>
    <w:lvl w:ilvl="4">
      <w:start w:val="1"/>
      <w:numFmt w:val="bullet"/>
      <w:lvlText w:val="o"/>
      <w:lvlJc w:val="left"/>
      <w:pPr>
        <w:ind w:left="3595" w:hanging="355"/>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C25113"/>
    <w:multiLevelType w:val="hybridMultilevel"/>
    <w:tmpl w:val="8D1E1EAC"/>
    <w:lvl w:ilvl="0" w:tplc="9BC6A976">
      <w:numFmt w:val="bullet"/>
      <w:lvlText w:val="-"/>
      <w:lvlJc w:val="left"/>
      <w:pPr>
        <w:ind w:left="720" w:hanging="360"/>
      </w:pPr>
      <w:rPr>
        <w:rFonts w:ascii="EC Square Sans Pro" w:eastAsiaTheme="minorHAnsi" w:hAnsi="EC Square Sans Pro"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AB22A4D"/>
    <w:multiLevelType w:val="multilevel"/>
    <w:tmpl w:val="78248A56"/>
    <w:numStyleLink w:val="amprLISTgreenbullets"/>
  </w:abstractNum>
  <w:abstractNum w:abstractNumId="12" w15:restartNumberingAfterBreak="0">
    <w:nsid w:val="2CB72C6E"/>
    <w:multiLevelType w:val="singleLevel"/>
    <w:tmpl w:val="10ACD464"/>
    <w:name w:val="Bullet 3"/>
    <w:lvl w:ilvl="0">
      <w:start w:val="1"/>
      <w:numFmt w:val="bullet"/>
      <w:lvlRestart w:val="0"/>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lvlText w:val="–"/>
      <w:lvlJc w:val="left"/>
      <w:pPr>
        <w:tabs>
          <w:tab w:val="num" w:pos="2551"/>
        </w:tabs>
        <w:ind w:left="2551" w:hanging="567"/>
      </w:pPr>
    </w:lvl>
  </w:abstractNum>
  <w:abstractNum w:abstractNumId="14" w15:restartNumberingAfterBreak="0">
    <w:nsid w:val="309C18B6"/>
    <w:multiLevelType w:val="multilevel"/>
    <w:tmpl w:val="6110FEBA"/>
    <w:name w:val="ListNumberNonindentedNumbering65"/>
    <w:styleLink w:val="amprLIST-Mixed"/>
    <w:lvl w:ilvl="0">
      <w:start w:val="1"/>
      <w:numFmt w:val="decimal"/>
      <w:pStyle w:val="amprLISTMixed-L1"/>
      <w:lvlText w:val="%1."/>
      <w:lvlJc w:val="left"/>
      <w:pPr>
        <w:ind w:left="714" w:hanging="357"/>
      </w:pPr>
      <w:rPr>
        <w:rFonts w:hint="default"/>
      </w:rPr>
    </w:lvl>
    <w:lvl w:ilvl="1">
      <w:start w:val="1"/>
      <w:numFmt w:val="lowerLetter"/>
      <w:pStyle w:val="amprLISTMixed-L2"/>
      <w:lvlText w:val="(%2)"/>
      <w:lvlJc w:val="left"/>
      <w:pPr>
        <w:ind w:left="1071" w:hanging="357"/>
      </w:pPr>
      <w:rPr>
        <w:rFonts w:hint="default"/>
      </w:rPr>
    </w:lvl>
    <w:lvl w:ilvl="2">
      <w:start w:val="1"/>
      <w:numFmt w:val="bullet"/>
      <w:pStyle w:val="amprLISTMixed-L3"/>
      <w:lvlText w:val="—"/>
      <w:lvlJc w:val="left"/>
      <w:pPr>
        <w:ind w:left="1428" w:hanging="357"/>
      </w:pPr>
      <w:rPr>
        <w:rFonts w:ascii="Proxima Nova" w:hAnsi="Proxima Nova" w:hint="default"/>
        <w:color w:val="auto"/>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lef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left"/>
      <w:pPr>
        <w:ind w:left="3570" w:hanging="357"/>
      </w:pPr>
      <w:rPr>
        <w:rFonts w:hint="default"/>
      </w:rPr>
    </w:lvl>
  </w:abstractNum>
  <w:abstractNum w:abstractNumId="15" w15:restartNumberingAfterBreak="0">
    <w:nsid w:val="32CE3C72"/>
    <w:multiLevelType w:val="hybridMultilevel"/>
    <w:tmpl w:val="39E0BB52"/>
    <w:lvl w:ilvl="0" w:tplc="CA606920">
      <w:start w:val="1"/>
      <w:numFmt w:val="bullet"/>
      <w:pStyle w:val="amprboxBLUEdashed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81849"/>
    <w:multiLevelType w:val="hybridMultilevel"/>
    <w:tmpl w:val="84682B5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77125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AF61F8"/>
    <w:multiLevelType w:val="multilevel"/>
    <w:tmpl w:val="60A07854"/>
    <w:styleLink w:val="Style1"/>
    <w:lvl w:ilvl="0">
      <w:start w:val="1"/>
      <w:numFmt w:val="decimal"/>
      <w:lvlText w:val="%1"/>
      <w:lvlJc w:val="left"/>
      <w:pPr>
        <w:ind w:left="432" w:hanging="432"/>
      </w:pPr>
      <w:rPr>
        <w:rFonts w:hint="default"/>
        <w:caps/>
        <w:strike w:val="0"/>
        <w:dstrike w:val="0"/>
        <w:vanish/>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B1A17B2"/>
    <w:multiLevelType w:val="multilevel"/>
    <w:tmpl w:val="6110FEBA"/>
    <w:numStyleLink w:val="amprLIST-Mixed"/>
  </w:abstractNum>
  <w:abstractNum w:abstractNumId="20" w15:restartNumberingAfterBreak="0">
    <w:nsid w:val="3BE4536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457F5F"/>
    <w:multiLevelType w:val="hybridMultilevel"/>
    <w:tmpl w:val="50B6E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D57A2B"/>
    <w:multiLevelType w:val="hybridMultilevel"/>
    <w:tmpl w:val="BD16A592"/>
    <w:lvl w:ilvl="0" w:tplc="AE2A3438">
      <w:numFmt w:val="bullet"/>
      <w:lvlText w:val="-"/>
      <w:lvlJc w:val="left"/>
      <w:pPr>
        <w:ind w:left="360" w:hanging="36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24" w15:restartNumberingAfterBreak="0">
    <w:nsid w:val="42FC0772"/>
    <w:multiLevelType w:val="singleLevel"/>
    <w:tmpl w:val="4128FCF8"/>
    <w:name w:val="Tiret 4"/>
    <w:lvl w:ilvl="0">
      <w:start w:val="1"/>
      <w:numFmt w:val="bullet"/>
      <w:lvlRestart w:val="0"/>
      <w:lvlText w:val="–"/>
      <w:lvlJc w:val="left"/>
      <w:pPr>
        <w:tabs>
          <w:tab w:val="num" w:pos="3118"/>
        </w:tabs>
        <w:ind w:left="3118" w:hanging="567"/>
      </w:pPr>
    </w:lvl>
  </w:abstractNum>
  <w:abstractNum w:abstractNumId="25" w15:restartNumberingAfterBreak="0">
    <w:nsid w:val="4552127F"/>
    <w:multiLevelType w:val="singleLevel"/>
    <w:tmpl w:val="057A5296"/>
    <w:name w:val="Bullet 0"/>
    <w:lvl w:ilvl="0">
      <w:start w:val="1"/>
      <w:numFmt w:val="bullet"/>
      <w:lvlRestart w:val="0"/>
      <w:lvlText w:val=""/>
      <w:lvlJc w:val="left"/>
      <w:pPr>
        <w:tabs>
          <w:tab w:val="num" w:pos="850"/>
        </w:tabs>
        <w:ind w:left="850" w:hanging="850"/>
      </w:pPr>
      <w:rPr>
        <w:rFonts w:ascii="Symbol" w:hAnsi="Symbol" w:hint="default"/>
      </w:rPr>
    </w:lvl>
  </w:abstractNum>
  <w:abstractNum w:abstractNumId="26" w15:restartNumberingAfterBreak="0">
    <w:nsid w:val="469C0FD1"/>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7CC1762"/>
    <w:multiLevelType w:val="hybridMultilevel"/>
    <w:tmpl w:val="62A833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89956A0"/>
    <w:multiLevelType w:val="singleLevel"/>
    <w:tmpl w:val="6520E3F6"/>
    <w:lvl w:ilvl="0">
      <w:start w:val="1"/>
      <w:numFmt w:val="bullet"/>
      <w:lvlRestart w:val="0"/>
      <w:pStyle w:val="Tiret0"/>
      <w:lvlText w:val="–"/>
      <w:lvlJc w:val="left"/>
      <w:pPr>
        <w:tabs>
          <w:tab w:val="num" w:pos="850"/>
        </w:tabs>
        <w:ind w:left="850" w:hanging="850"/>
      </w:pPr>
    </w:lvl>
  </w:abstractNum>
  <w:abstractNum w:abstractNumId="29" w15:restartNumberingAfterBreak="0">
    <w:nsid w:val="52B23671"/>
    <w:multiLevelType w:val="multilevel"/>
    <w:tmpl w:val="3E4EA4C8"/>
    <w:lvl w:ilvl="0">
      <w:start w:val="1"/>
      <w:numFmt w:val="bullet"/>
      <w:pStyle w:val="amprboxGREENdashedbulletlis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56E1D63"/>
    <w:multiLevelType w:val="singleLevel"/>
    <w:tmpl w:val="493AAFF0"/>
    <w:name w:val="Bullet 4"/>
    <w:lvl w:ilvl="0">
      <w:start w:val="1"/>
      <w:numFmt w:val="bullet"/>
      <w:lvlRestart w:val="0"/>
      <w:lvlText w:val=""/>
      <w:lvlJc w:val="left"/>
      <w:pPr>
        <w:tabs>
          <w:tab w:val="num" w:pos="3118"/>
        </w:tabs>
        <w:ind w:left="3118" w:hanging="567"/>
      </w:pPr>
      <w:rPr>
        <w:rFonts w:ascii="Symbol" w:hAnsi="Symbol" w:hint="default"/>
      </w:rPr>
    </w:lvl>
  </w:abstractNum>
  <w:abstractNum w:abstractNumId="31" w15:restartNumberingAfterBreak="0">
    <w:nsid w:val="59BB2205"/>
    <w:multiLevelType w:val="multilevel"/>
    <w:tmpl w:val="78248A56"/>
    <w:styleLink w:val="amprLISTgreenbullets"/>
    <w:lvl w:ilvl="0">
      <w:start w:val="1"/>
      <w:numFmt w:val="bullet"/>
      <w:pStyle w:val="amprLISTgreenbullets-L1"/>
      <w:lvlText w:val=""/>
      <w:lvlJc w:val="left"/>
      <w:pPr>
        <w:ind w:left="714" w:hanging="357"/>
      </w:pPr>
      <w:rPr>
        <w:rFonts w:ascii="Symbol" w:hAnsi="Symbol" w:hint="default"/>
        <w:color w:val="02847D" w:themeColor="accent1"/>
      </w:rPr>
    </w:lvl>
    <w:lvl w:ilvl="1">
      <w:start w:val="1"/>
      <w:numFmt w:val="bullet"/>
      <w:pStyle w:val="amprLISTgreenbullets-L2"/>
      <w:lvlText w:val="—"/>
      <w:lvlJc w:val="left"/>
      <w:pPr>
        <w:ind w:left="1435" w:hanging="358"/>
      </w:pPr>
      <w:rPr>
        <w:rFonts w:ascii="EC Square Sans Pro" w:hAnsi="EC Square Sans Pro" w:hint="default"/>
        <w:color w:val="02847D" w:themeColor="accent1"/>
      </w:rPr>
    </w:lvl>
    <w:lvl w:ilvl="2">
      <w:start w:val="1"/>
      <w:numFmt w:val="bullet"/>
      <w:lvlText w:val=""/>
      <w:lvlJc w:val="left"/>
      <w:pPr>
        <w:ind w:left="2155" w:hanging="358"/>
      </w:pPr>
      <w:rPr>
        <w:rFonts w:ascii="Wingdings" w:hAnsi="Wingdings" w:hint="default"/>
      </w:rPr>
    </w:lvl>
    <w:lvl w:ilvl="3">
      <w:start w:val="1"/>
      <w:numFmt w:val="bullet"/>
      <w:lvlText w:val=""/>
      <w:lvlJc w:val="left"/>
      <w:pPr>
        <w:ind w:left="2875" w:hanging="358"/>
      </w:pPr>
      <w:rPr>
        <w:rFonts w:ascii="Symbol" w:hAnsi="Symbol" w:hint="default"/>
      </w:rPr>
    </w:lvl>
    <w:lvl w:ilvl="4">
      <w:start w:val="1"/>
      <w:numFmt w:val="bullet"/>
      <w:lvlText w:val="o"/>
      <w:lvlJc w:val="left"/>
      <w:pPr>
        <w:ind w:left="3595" w:hanging="357"/>
      </w:pPr>
      <w:rPr>
        <w:rFonts w:ascii="Courier New" w:hAnsi="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32" w15:restartNumberingAfterBreak="0">
    <w:nsid w:val="5B395AAA"/>
    <w:multiLevelType w:val="singleLevel"/>
    <w:tmpl w:val="96D02E8A"/>
    <w:name w:val="Bullet 1"/>
    <w:lvl w:ilvl="0">
      <w:start w:val="1"/>
      <w:numFmt w:val="bullet"/>
      <w:lvlRestart w:val="0"/>
      <w:lvlText w:val=""/>
      <w:lvlJc w:val="left"/>
      <w:pPr>
        <w:tabs>
          <w:tab w:val="num" w:pos="1417"/>
        </w:tabs>
        <w:ind w:left="1417" w:hanging="567"/>
      </w:pPr>
      <w:rPr>
        <w:rFonts w:ascii="Symbol" w:hAnsi="Symbol" w:hint="default"/>
      </w:rPr>
    </w:lvl>
  </w:abstractNum>
  <w:abstractNum w:abstractNumId="33" w15:restartNumberingAfterBreak="0">
    <w:nsid w:val="5C056EE5"/>
    <w:multiLevelType w:val="singleLevel"/>
    <w:tmpl w:val="3378D27C"/>
    <w:name w:val="Bullet 2"/>
    <w:lvl w:ilvl="0">
      <w:start w:val="1"/>
      <w:numFmt w:val="bullet"/>
      <w:lvlRestart w:val="0"/>
      <w:lvlText w:val=""/>
      <w:lvlJc w:val="left"/>
      <w:pPr>
        <w:tabs>
          <w:tab w:val="num" w:pos="1984"/>
        </w:tabs>
        <w:ind w:left="1984" w:hanging="567"/>
      </w:pPr>
      <w:rPr>
        <w:rFonts w:ascii="Symbol" w:hAnsi="Symbol" w:hint="default"/>
      </w:rPr>
    </w:lvl>
  </w:abstractNum>
  <w:abstractNum w:abstractNumId="34"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35" w15:restartNumberingAfterBreak="0">
    <w:nsid w:val="5EA810B0"/>
    <w:multiLevelType w:val="multilevel"/>
    <w:tmpl w:val="D6C29086"/>
    <w:numStyleLink w:val="amprHLISTNumberedheadings"/>
  </w:abstractNum>
  <w:abstractNum w:abstractNumId="36" w15:restartNumberingAfterBreak="0">
    <w:nsid w:val="6227387F"/>
    <w:multiLevelType w:val="multilevel"/>
    <w:tmpl w:val="2A9AD0EE"/>
    <w:numStyleLink w:val="amprLISTblackbullets"/>
  </w:abstractNum>
  <w:abstractNum w:abstractNumId="37"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7B856F6"/>
    <w:multiLevelType w:val="singleLevel"/>
    <w:tmpl w:val="0AB28E9C"/>
    <w:name w:val="Tiret 2"/>
    <w:lvl w:ilvl="0">
      <w:start w:val="1"/>
      <w:numFmt w:val="bullet"/>
      <w:lvlRestart w:val="0"/>
      <w:lvlText w:val="–"/>
      <w:lvlJc w:val="left"/>
      <w:pPr>
        <w:tabs>
          <w:tab w:val="num" w:pos="1984"/>
        </w:tabs>
        <w:ind w:left="1984" w:hanging="567"/>
      </w:pPr>
    </w:lvl>
  </w:abstractNum>
  <w:abstractNum w:abstractNumId="39" w15:restartNumberingAfterBreak="0">
    <w:nsid w:val="6D786367"/>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CBE4812"/>
    <w:multiLevelType w:val="singleLevel"/>
    <w:tmpl w:val="23C821E4"/>
    <w:name w:val="Considérant"/>
    <w:lvl w:ilvl="0">
      <w:start w:val="1"/>
      <w:numFmt w:val="decimal"/>
      <w:lvlRestart w:val="0"/>
      <w:lvlText w:val="(%1)"/>
      <w:lvlJc w:val="left"/>
      <w:pPr>
        <w:tabs>
          <w:tab w:val="num" w:pos="709"/>
        </w:tabs>
        <w:ind w:left="709" w:hanging="709"/>
      </w:pPr>
    </w:lvl>
  </w:abstractNum>
  <w:abstractNum w:abstractNumId="41" w15:restartNumberingAfterBreak="0">
    <w:nsid w:val="7ECE6A82"/>
    <w:multiLevelType w:val="multilevel"/>
    <w:tmpl w:val="C7520AF0"/>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18"/>
  </w:num>
  <w:num w:numId="4">
    <w:abstractNumId w:val="8"/>
  </w:num>
  <w:num w:numId="5">
    <w:abstractNumId w:val="36"/>
  </w:num>
  <w:num w:numId="6">
    <w:abstractNumId w:val="31"/>
  </w:num>
  <w:num w:numId="7">
    <w:abstractNumId w:val="29"/>
  </w:num>
  <w:num w:numId="8">
    <w:abstractNumId w:val="20"/>
  </w:num>
  <w:num w:numId="9">
    <w:abstractNumId w:val="26"/>
  </w:num>
  <w:num w:numId="10">
    <w:abstractNumId w:val="39"/>
  </w:num>
  <w:num w:numId="11">
    <w:abstractNumId w:val="11"/>
  </w:num>
  <w:num w:numId="12">
    <w:abstractNumId w:val="4"/>
  </w:num>
  <w:num w:numId="13">
    <w:abstractNumId w:val="35"/>
    <w:lvlOverride w:ilvl="0">
      <w:lvl w:ilvl="0">
        <w:start w:val="1"/>
        <w:numFmt w:val="decimal"/>
        <w:pStyle w:val="amprH2TITLE1-Numbered-1"/>
        <w:lvlText w:val="%1."/>
        <w:lvlJc w:val="left"/>
        <w:pPr>
          <w:ind w:left="578" w:hanging="578"/>
        </w:pPr>
        <w:rPr>
          <w:rFonts w:hint="default"/>
        </w:rPr>
      </w:lvl>
    </w:lvlOverride>
    <w:lvlOverride w:ilvl="1">
      <w:lvl w:ilvl="1">
        <w:start w:val="1"/>
        <w:numFmt w:val="decimal"/>
        <w:pStyle w:val="amprH3Title2-Numbered-11"/>
        <w:lvlText w:val="%1.%2."/>
        <w:lvlJc w:val="left"/>
        <w:pPr>
          <w:ind w:left="3129" w:hanging="578"/>
        </w:pPr>
        <w:rPr>
          <w:rFonts w:hint="default"/>
        </w:rPr>
      </w:lvl>
    </w:lvlOverride>
    <w:lvlOverride w:ilvl="2">
      <w:lvl w:ilvl="2">
        <w:start w:val="1"/>
        <w:numFmt w:val="decimal"/>
        <w:pStyle w:val="amprH4Subhead1-Numbered-111"/>
        <w:lvlText w:val="%1.%2.%3."/>
        <w:lvlJc w:val="left"/>
        <w:pPr>
          <w:ind w:left="578" w:hanging="578"/>
        </w:pPr>
        <w:rPr>
          <w:rFonts w:hint="default"/>
        </w:rPr>
      </w:lvl>
    </w:lvlOverride>
    <w:lvlOverride w:ilvl="3">
      <w:lvl w:ilvl="3">
        <w:start w:val="1"/>
        <w:numFmt w:val="decimal"/>
        <w:pStyle w:val="amprH5Subhead2-Numbered-1111"/>
        <w:lvlText w:val="%1.%2.%3.%4."/>
        <w:lvlJc w:val="left"/>
        <w:pPr>
          <w:ind w:left="578" w:hanging="578"/>
        </w:pPr>
        <w:rPr>
          <w:rFonts w:hint="default"/>
        </w:rPr>
      </w:lvl>
    </w:lvlOverride>
    <w:lvlOverride w:ilvl="4">
      <w:lvl w:ilvl="4">
        <w:start w:val="1"/>
        <w:numFmt w:val="lowerLetter"/>
        <w:lvlText w:val="(%5)"/>
        <w:lvlJc w:val="left"/>
        <w:pPr>
          <w:ind w:left="578" w:hanging="578"/>
        </w:pPr>
        <w:rPr>
          <w:rFonts w:hint="default"/>
        </w:rPr>
      </w:lvl>
    </w:lvlOverride>
    <w:lvlOverride w:ilvl="5">
      <w:lvl w:ilvl="5">
        <w:start w:val="1"/>
        <w:numFmt w:val="lowerRoman"/>
        <w:lvlText w:val="(%6)"/>
        <w:lvlJc w:val="left"/>
        <w:pPr>
          <w:ind w:left="578" w:hanging="578"/>
        </w:pPr>
        <w:rPr>
          <w:rFonts w:hint="default"/>
        </w:rPr>
      </w:lvl>
    </w:lvlOverride>
    <w:lvlOverride w:ilvl="6">
      <w:lvl w:ilvl="6">
        <w:start w:val="1"/>
        <w:numFmt w:val="decimal"/>
        <w:lvlText w:val="%7."/>
        <w:lvlJc w:val="left"/>
        <w:pPr>
          <w:ind w:left="578" w:hanging="578"/>
        </w:pPr>
        <w:rPr>
          <w:rFonts w:hint="default"/>
        </w:rPr>
      </w:lvl>
    </w:lvlOverride>
    <w:lvlOverride w:ilvl="7">
      <w:lvl w:ilvl="7">
        <w:start w:val="1"/>
        <w:numFmt w:val="lowerLetter"/>
        <w:lvlText w:val="%8."/>
        <w:lvlJc w:val="left"/>
        <w:pPr>
          <w:ind w:left="578" w:hanging="578"/>
        </w:pPr>
        <w:rPr>
          <w:rFonts w:hint="default"/>
        </w:rPr>
      </w:lvl>
    </w:lvlOverride>
    <w:lvlOverride w:ilvl="8">
      <w:lvl w:ilvl="8">
        <w:start w:val="1"/>
        <w:numFmt w:val="lowerRoman"/>
        <w:lvlText w:val="%9."/>
        <w:lvlJc w:val="left"/>
        <w:pPr>
          <w:ind w:left="578" w:hanging="578"/>
        </w:pPr>
        <w:rPr>
          <w:rFonts w:hint="default"/>
        </w:rPr>
      </w:lvl>
    </w:lvlOverride>
  </w:num>
  <w:num w:numId="14">
    <w:abstractNumId w:val="15"/>
  </w:num>
  <w:num w:numId="15">
    <w:abstractNumId w:val="2"/>
  </w:num>
  <w:num w:numId="16">
    <w:abstractNumId w:val="14"/>
  </w:num>
  <w:num w:numId="17">
    <w:abstractNumId w:val="19"/>
  </w:num>
  <w:num w:numId="18">
    <w:abstractNumId w:val="28"/>
  </w:num>
  <w:num w:numId="19">
    <w:abstractNumId w:val="5"/>
  </w:num>
  <w:num w:numId="20">
    <w:abstractNumId w:val="17"/>
  </w:num>
  <w:num w:numId="21">
    <w:abstractNumId w:val="22"/>
  </w:num>
  <w:num w:numId="22">
    <w:abstractNumId w:val="41"/>
  </w:num>
  <w:num w:numId="23">
    <w:abstractNumId w:val="3"/>
  </w:num>
  <w:num w:numId="24">
    <w:abstractNumId w:val="35"/>
    <w:lvlOverride w:ilvl="0">
      <w:startOverride w:val="1"/>
      <w:lvl w:ilvl="0">
        <w:start w:val="1"/>
        <w:numFmt w:val="decimal"/>
        <w:pStyle w:val="amprH2TITLE1-Numbered-1"/>
        <w:lvlText w:val="%1."/>
        <w:lvlJc w:val="left"/>
        <w:pPr>
          <w:ind w:left="578" w:hanging="578"/>
        </w:pPr>
        <w:rPr>
          <w:rFonts w:hint="default"/>
        </w:rPr>
      </w:lvl>
    </w:lvlOverride>
    <w:lvlOverride w:ilvl="1">
      <w:startOverride w:val="1"/>
      <w:lvl w:ilvl="1">
        <w:start w:val="1"/>
        <w:numFmt w:val="decimal"/>
        <w:pStyle w:val="amprH3Title2-Numbered-11"/>
        <w:lvlText w:val="%1.%2."/>
        <w:lvlJc w:val="left"/>
        <w:pPr>
          <w:ind w:left="1928" w:hanging="578"/>
        </w:pPr>
        <w:rPr>
          <w:rFonts w:hint="default"/>
        </w:rPr>
      </w:lvl>
    </w:lvlOverride>
    <w:lvlOverride w:ilvl="2">
      <w:startOverride w:val="1"/>
      <w:lvl w:ilvl="2">
        <w:start w:val="1"/>
        <w:numFmt w:val="decimal"/>
        <w:pStyle w:val="amprH4Subhead1-Numbered-111"/>
        <w:lvlText w:val="%1.%2.%3."/>
        <w:lvlJc w:val="left"/>
        <w:pPr>
          <w:ind w:left="578" w:hanging="578"/>
        </w:pPr>
        <w:rPr>
          <w:rFonts w:hint="default"/>
        </w:rPr>
      </w:lvl>
    </w:lvlOverride>
    <w:lvlOverride w:ilvl="3">
      <w:startOverride w:val="1"/>
      <w:lvl w:ilvl="3">
        <w:start w:val="1"/>
        <w:numFmt w:val="decimal"/>
        <w:pStyle w:val="amprH5Subhead2-Numbered-1111"/>
        <w:lvlText w:val="%1.%2.%3.%4."/>
        <w:lvlJc w:val="left"/>
        <w:pPr>
          <w:ind w:left="578" w:hanging="578"/>
        </w:pPr>
        <w:rPr>
          <w:rFonts w:hint="default"/>
        </w:rPr>
      </w:lvl>
    </w:lvlOverride>
    <w:lvlOverride w:ilvl="4">
      <w:startOverride w:val="1"/>
      <w:lvl w:ilvl="4">
        <w:start w:val="1"/>
        <w:numFmt w:val="lowerLetter"/>
        <w:lvlText w:val="(%5)"/>
        <w:lvlJc w:val="left"/>
        <w:pPr>
          <w:ind w:left="578" w:hanging="578"/>
        </w:pPr>
        <w:rPr>
          <w:rFonts w:hint="default"/>
        </w:rPr>
      </w:lvl>
    </w:lvlOverride>
    <w:lvlOverride w:ilvl="5">
      <w:startOverride w:val="1"/>
      <w:lvl w:ilvl="5">
        <w:start w:val="1"/>
        <w:numFmt w:val="lowerRoman"/>
        <w:lvlText w:val="(%6)"/>
        <w:lvlJc w:val="left"/>
        <w:pPr>
          <w:ind w:left="578" w:hanging="578"/>
        </w:pPr>
        <w:rPr>
          <w:rFonts w:hint="default"/>
        </w:rPr>
      </w:lvl>
    </w:lvlOverride>
    <w:lvlOverride w:ilvl="6">
      <w:startOverride w:val="1"/>
      <w:lvl w:ilvl="6">
        <w:start w:val="1"/>
        <w:numFmt w:val="decimal"/>
        <w:lvlText w:val="%7."/>
        <w:lvlJc w:val="left"/>
        <w:pPr>
          <w:ind w:left="578" w:hanging="578"/>
        </w:pPr>
        <w:rPr>
          <w:rFonts w:hint="default"/>
        </w:rPr>
      </w:lvl>
    </w:lvlOverride>
    <w:lvlOverride w:ilvl="7">
      <w:startOverride w:val="1"/>
      <w:lvl w:ilvl="7">
        <w:start w:val="1"/>
        <w:numFmt w:val="lowerLetter"/>
        <w:lvlText w:val="%8."/>
        <w:lvlJc w:val="left"/>
        <w:pPr>
          <w:ind w:left="578" w:hanging="578"/>
        </w:pPr>
        <w:rPr>
          <w:rFonts w:hint="default"/>
        </w:rPr>
      </w:lvl>
    </w:lvlOverride>
    <w:lvlOverride w:ilvl="8">
      <w:startOverride w:val="1"/>
      <w:lvl w:ilvl="8">
        <w:start w:val="1"/>
        <w:numFmt w:val="lowerRoman"/>
        <w:lvlText w:val="%9."/>
        <w:lvlJc w:val="left"/>
        <w:pPr>
          <w:ind w:left="578" w:hanging="578"/>
        </w:pPr>
        <w:rPr>
          <w:rFonts w:hint="default"/>
        </w:rPr>
      </w:lvl>
    </w:lvlOverride>
  </w:num>
  <w:num w:numId="25">
    <w:abstractNumId w:val="16"/>
  </w:num>
  <w:num w:numId="26">
    <w:abstractNumId w:val="27"/>
  </w:num>
  <w:num w:numId="27">
    <w:abstractNumId w:val="6"/>
  </w:num>
  <w:num w:numId="28">
    <w:abstractNumId w:val="10"/>
  </w:num>
  <w:num w:numId="29">
    <w:abstractNumId w:val="35"/>
    <w:lvlOverride w:ilvl="0">
      <w:lvl w:ilvl="0">
        <w:start w:val="1"/>
        <w:numFmt w:val="decimal"/>
        <w:pStyle w:val="amprH2TITLE1-Numbered-1"/>
        <w:lvlText w:val="%1."/>
        <w:lvlJc w:val="left"/>
        <w:pPr>
          <w:ind w:left="578" w:hanging="578"/>
        </w:pPr>
        <w:rPr>
          <w:rFonts w:hint="default"/>
        </w:rPr>
      </w:lvl>
    </w:lvlOverride>
    <w:lvlOverride w:ilvl="1">
      <w:lvl w:ilvl="1">
        <w:start w:val="1"/>
        <w:numFmt w:val="decimal"/>
        <w:pStyle w:val="amprH3Title2-Numbered-11"/>
        <w:lvlText w:val="%1.%2."/>
        <w:lvlJc w:val="left"/>
        <w:pPr>
          <w:ind w:left="3129" w:hanging="578"/>
        </w:pPr>
        <w:rPr>
          <w:rFonts w:hint="default"/>
        </w:rPr>
      </w:lvl>
    </w:lvlOverride>
    <w:lvlOverride w:ilvl="2">
      <w:lvl w:ilvl="2">
        <w:start w:val="1"/>
        <w:numFmt w:val="decimal"/>
        <w:pStyle w:val="amprH4Subhead1-Numbered-111"/>
        <w:lvlText w:val="%1.%2.%3."/>
        <w:lvlJc w:val="left"/>
        <w:pPr>
          <w:ind w:left="578" w:hanging="578"/>
        </w:pPr>
        <w:rPr>
          <w:rFonts w:hint="default"/>
        </w:rPr>
      </w:lvl>
    </w:lvlOverride>
    <w:lvlOverride w:ilvl="3">
      <w:lvl w:ilvl="3">
        <w:start w:val="1"/>
        <w:numFmt w:val="decimal"/>
        <w:pStyle w:val="amprH5Subhead2-Numbered-1111"/>
        <w:lvlText w:val="%1.%2.%3.%4."/>
        <w:lvlJc w:val="left"/>
        <w:pPr>
          <w:ind w:left="578" w:hanging="578"/>
        </w:pPr>
        <w:rPr>
          <w:rFonts w:hint="default"/>
        </w:rPr>
      </w:lvl>
    </w:lvlOverride>
    <w:lvlOverride w:ilvl="4">
      <w:lvl w:ilvl="4">
        <w:start w:val="1"/>
        <w:numFmt w:val="lowerLetter"/>
        <w:lvlText w:val="(%5)"/>
        <w:lvlJc w:val="left"/>
        <w:pPr>
          <w:ind w:left="578" w:hanging="578"/>
        </w:pPr>
        <w:rPr>
          <w:rFonts w:hint="default"/>
        </w:rPr>
      </w:lvl>
    </w:lvlOverride>
    <w:lvlOverride w:ilvl="5">
      <w:lvl w:ilvl="5">
        <w:start w:val="1"/>
        <w:numFmt w:val="lowerRoman"/>
        <w:lvlText w:val="(%6)"/>
        <w:lvlJc w:val="left"/>
        <w:pPr>
          <w:ind w:left="578" w:hanging="578"/>
        </w:pPr>
        <w:rPr>
          <w:rFonts w:hint="default"/>
        </w:rPr>
      </w:lvl>
    </w:lvlOverride>
    <w:lvlOverride w:ilvl="6">
      <w:lvl w:ilvl="6">
        <w:start w:val="1"/>
        <w:numFmt w:val="decimal"/>
        <w:lvlText w:val="%7."/>
        <w:lvlJc w:val="left"/>
        <w:pPr>
          <w:ind w:left="578" w:hanging="578"/>
        </w:pPr>
        <w:rPr>
          <w:rFonts w:hint="default"/>
        </w:rPr>
      </w:lvl>
    </w:lvlOverride>
    <w:lvlOverride w:ilvl="7">
      <w:lvl w:ilvl="7">
        <w:start w:val="1"/>
        <w:numFmt w:val="lowerLetter"/>
        <w:lvlText w:val="%8."/>
        <w:lvlJc w:val="left"/>
        <w:pPr>
          <w:ind w:left="578" w:hanging="578"/>
        </w:pPr>
        <w:rPr>
          <w:rFonts w:hint="default"/>
        </w:rPr>
      </w:lvl>
    </w:lvlOverride>
    <w:lvlOverride w:ilvl="8">
      <w:lvl w:ilvl="8">
        <w:start w:val="1"/>
        <w:numFmt w:val="lowerRoman"/>
        <w:lvlText w:val="%9."/>
        <w:lvlJc w:val="left"/>
        <w:pPr>
          <w:ind w:left="578" w:hanging="578"/>
        </w:pPr>
        <w:rPr>
          <w:rFonts w:hint="default"/>
        </w:rPr>
      </w:lvl>
    </w:lvlOverride>
  </w:num>
  <w:num w:numId="30">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0" w:nlCheck="1" w:checkStyle="0"/>
  <w:activeWritingStyle w:appName="MSWord" w:lang="en-IE" w:vendorID="64" w:dllVersion="0" w:nlCheck="1" w:checkStyle="0"/>
  <w:activeWritingStyle w:appName="MSWord" w:lang="en-GB" w:vendorID="64" w:dllVersion="0" w:nlCheck="1" w:checkStyle="0"/>
  <w:activeWritingStyle w:appName="MSWord" w:lang="pt-PT" w:vendorID="64" w:dllVersion="0" w:nlCheck="1" w:checkStyle="0"/>
  <w:activeWritingStyle w:appName="MSWord" w:lang="pl-PL" w:vendorID="64" w:dllVersion="0" w:nlCheck="1" w:checkStyle="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IP_META_DOC_TBL00001" w:val="&lt;OBJECT&gt;&lt;META&gt;&lt;ID&gt;&lt;/ID&gt;&lt;NAME&gt;DOC_TBL00001&lt;/NAME&gt;&lt;TYPE&gt;&lt;ID&gt;19&lt;/ID&gt;&lt;FRIENDLYNAME&gt;Table&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NAME_DOC_TBL00001" w:val="DOC_TBL00001"/>
    <w:docVar w:name="DocStatus" w:val="Green"/>
    <w:docVar w:name="LW_CORRIGENDUM" w:val="&lt;UNUSED&gt;"/>
    <w:docVar w:name="LW_COVERPAGE_EXISTS" w:val="True"/>
    <w:docVar w:name="LW_COVERPAGE_GUID" w:val="1848F091-82B3-4135-A51E-C8A86AE2A7CA"/>
    <w:docVar w:name="LW_COVERPAGE_TYPE" w:val="1"/>
    <w:docVar w:name="LW_CROSSREFERENCE" w:val="{SWD(2024) 163 final}"/>
    <w:docVar w:name="LW_DocType" w:val="NORMAL"/>
    <w:docVar w:name="LW_EMISSION" w:val="26.6.2024"/>
    <w:docVar w:name="LW_EMISSION_ISODATE" w:val="2024-06-26"/>
    <w:docVar w:name="LW_EMISSION_LOCATION" w:val="BRX"/>
    <w:docVar w:name="LW_EMISSION_PREFIX" w:val="Bruksela, dnia "/>
    <w:docVar w:name="LW_EMISSION_SUFFIX" w:val=" r."/>
    <w:docVar w:name="LW_ID_DOCTYPE_NONLW" w:val="CP-006"/>
    <w:docVar w:name="LW_LANGUE" w:val="PL"/>
    <w:docVar w:name="LW_LEVEL_OF_SENSITIVITY" w:val="Standard treatmen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24) 276"/>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rognoza d\u322?ugoterminowa przysz\u322?ych wp\u322?ywów do bud\u380?etu UE i wyp\u322?ywów z tego bud\u380?etu (2025\u8211?2029)"/>
    <w:docVar w:name="LW_TYPE.DOC.CP" w:val="SPRAWOZDANIE KOMISJI DLA PARLAMENTU EUROPEJSKIEGO I RADY"/>
    <w:docVar w:name="LwApiVersions" w:val="LW4CoDe 1.24.5.0; LW 9.0, Build 20240221"/>
  </w:docVars>
  <w:rsids>
    <w:rsidRoot w:val="00861C1C"/>
    <w:rsid w:val="00000084"/>
    <w:rsid w:val="000006C8"/>
    <w:rsid w:val="00000A29"/>
    <w:rsid w:val="00000ABA"/>
    <w:rsid w:val="00000CC3"/>
    <w:rsid w:val="000016BA"/>
    <w:rsid w:val="0000173A"/>
    <w:rsid w:val="00002920"/>
    <w:rsid w:val="000031C6"/>
    <w:rsid w:val="00005B30"/>
    <w:rsid w:val="000060EE"/>
    <w:rsid w:val="00006591"/>
    <w:rsid w:val="00007BC5"/>
    <w:rsid w:val="00010DF7"/>
    <w:rsid w:val="00010E4A"/>
    <w:rsid w:val="000116FD"/>
    <w:rsid w:val="000120AC"/>
    <w:rsid w:val="000121F6"/>
    <w:rsid w:val="000129A3"/>
    <w:rsid w:val="00012CFE"/>
    <w:rsid w:val="0001333B"/>
    <w:rsid w:val="00013455"/>
    <w:rsid w:val="000136FA"/>
    <w:rsid w:val="00013B09"/>
    <w:rsid w:val="00013E11"/>
    <w:rsid w:val="00014562"/>
    <w:rsid w:val="000149E8"/>
    <w:rsid w:val="0001532D"/>
    <w:rsid w:val="000154A5"/>
    <w:rsid w:val="000160AA"/>
    <w:rsid w:val="00016A9C"/>
    <w:rsid w:val="00017485"/>
    <w:rsid w:val="00017A93"/>
    <w:rsid w:val="00021B76"/>
    <w:rsid w:val="00021C39"/>
    <w:rsid w:val="00022828"/>
    <w:rsid w:val="00022B2C"/>
    <w:rsid w:val="00022C6A"/>
    <w:rsid w:val="00022CC8"/>
    <w:rsid w:val="000234DE"/>
    <w:rsid w:val="0002356E"/>
    <w:rsid w:val="00023933"/>
    <w:rsid w:val="0002515B"/>
    <w:rsid w:val="000251AC"/>
    <w:rsid w:val="00025D24"/>
    <w:rsid w:val="00026389"/>
    <w:rsid w:val="000269EA"/>
    <w:rsid w:val="000275AB"/>
    <w:rsid w:val="00027D7F"/>
    <w:rsid w:val="000307A6"/>
    <w:rsid w:val="0003120C"/>
    <w:rsid w:val="000312DE"/>
    <w:rsid w:val="00031960"/>
    <w:rsid w:val="00031DEF"/>
    <w:rsid w:val="00032124"/>
    <w:rsid w:val="00032437"/>
    <w:rsid w:val="00032FDA"/>
    <w:rsid w:val="00033473"/>
    <w:rsid w:val="00033ED2"/>
    <w:rsid w:val="000347AC"/>
    <w:rsid w:val="000347D7"/>
    <w:rsid w:val="00034BBD"/>
    <w:rsid w:val="00034DE6"/>
    <w:rsid w:val="00035027"/>
    <w:rsid w:val="0003512E"/>
    <w:rsid w:val="0003526F"/>
    <w:rsid w:val="00035780"/>
    <w:rsid w:val="0003581B"/>
    <w:rsid w:val="000359A2"/>
    <w:rsid w:val="00035A48"/>
    <w:rsid w:val="000372D4"/>
    <w:rsid w:val="000401E3"/>
    <w:rsid w:val="0004056F"/>
    <w:rsid w:val="00040958"/>
    <w:rsid w:val="00041435"/>
    <w:rsid w:val="00041CFB"/>
    <w:rsid w:val="00041D38"/>
    <w:rsid w:val="0004237E"/>
    <w:rsid w:val="00042F93"/>
    <w:rsid w:val="0004515C"/>
    <w:rsid w:val="00045447"/>
    <w:rsid w:val="00045929"/>
    <w:rsid w:val="00046419"/>
    <w:rsid w:val="00046765"/>
    <w:rsid w:val="00046A82"/>
    <w:rsid w:val="000479B8"/>
    <w:rsid w:val="00047DC6"/>
    <w:rsid w:val="00047F43"/>
    <w:rsid w:val="00050030"/>
    <w:rsid w:val="000504A1"/>
    <w:rsid w:val="00050DD7"/>
    <w:rsid w:val="00051114"/>
    <w:rsid w:val="00051EC2"/>
    <w:rsid w:val="00051FEE"/>
    <w:rsid w:val="000524D3"/>
    <w:rsid w:val="00053368"/>
    <w:rsid w:val="0005372A"/>
    <w:rsid w:val="00053911"/>
    <w:rsid w:val="000545C8"/>
    <w:rsid w:val="00054867"/>
    <w:rsid w:val="00055777"/>
    <w:rsid w:val="000564D5"/>
    <w:rsid w:val="0005737A"/>
    <w:rsid w:val="00057816"/>
    <w:rsid w:val="00057D8B"/>
    <w:rsid w:val="000606B3"/>
    <w:rsid w:val="000610C7"/>
    <w:rsid w:val="00061293"/>
    <w:rsid w:val="000618A9"/>
    <w:rsid w:val="00061A38"/>
    <w:rsid w:val="00061E61"/>
    <w:rsid w:val="00062ECB"/>
    <w:rsid w:val="00062FF7"/>
    <w:rsid w:val="00064732"/>
    <w:rsid w:val="00064E5D"/>
    <w:rsid w:val="00066052"/>
    <w:rsid w:val="000662F1"/>
    <w:rsid w:val="00066549"/>
    <w:rsid w:val="000665D4"/>
    <w:rsid w:val="00066964"/>
    <w:rsid w:val="00066994"/>
    <w:rsid w:val="00066F44"/>
    <w:rsid w:val="0006716E"/>
    <w:rsid w:val="00067D7E"/>
    <w:rsid w:val="00067F0D"/>
    <w:rsid w:val="00070A1F"/>
    <w:rsid w:val="0007179C"/>
    <w:rsid w:val="00071890"/>
    <w:rsid w:val="00071C29"/>
    <w:rsid w:val="000720E1"/>
    <w:rsid w:val="000730B3"/>
    <w:rsid w:val="00073220"/>
    <w:rsid w:val="000734B5"/>
    <w:rsid w:val="00074316"/>
    <w:rsid w:val="000743C1"/>
    <w:rsid w:val="0007454A"/>
    <w:rsid w:val="000745D3"/>
    <w:rsid w:val="000745FE"/>
    <w:rsid w:val="00074948"/>
    <w:rsid w:val="00074C13"/>
    <w:rsid w:val="00074F20"/>
    <w:rsid w:val="00075C07"/>
    <w:rsid w:val="00076BF1"/>
    <w:rsid w:val="00077191"/>
    <w:rsid w:val="00077BC2"/>
    <w:rsid w:val="0008086D"/>
    <w:rsid w:val="0008152E"/>
    <w:rsid w:val="00081A23"/>
    <w:rsid w:val="00081AF3"/>
    <w:rsid w:val="00082D5D"/>
    <w:rsid w:val="00084648"/>
    <w:rsid w:val="00084E4F"/>
    <w:rsid w:val="00084FDF"/>
    <w:rsid w:val="00086654"/>
    <w:rsid w:val="000869E8"/>
    <w:rsid w:val="00087161"/>
    <w:rsid w:val="00087DB3"/>
    <w:rsid w:val="00087E64"/>
    <w:rsid w:val="00090774"/>
    <w:rsid w:val="00090941"/>
    <w:rsid w:val="00090BBD"/>
    <w:rsid w:val="000910BD"/>
    <w:rsid w:val="00091E21"/>
    <w:rsid w:val="00091E6C"/>
    <w:rsid w:val="000929A2"/>
    <w:rsid w:val="00092CEE"/>
    <w:rsid w:val="00093323"/>
    <w:rsid w:val="00093736"/>
    <w:rsid w:val="000938FC"/>
    <w:rsid w:val="00093CB9"/>
    <w:rsid w:val="000943D1"/>
    <w:rsid w:val="00094F80"/>
    <w:rsid w:val="00095E62"/>
    <w:rsid w:val="00096193"/>
    <w:rsid w:val="00096199"/>
    <w:rsid w:val="000974A7"/>
    <w:rsid w:val="00097BCE"/>
    <w:rsid w:val="000A00D5"/>
    <w:rsid w:val="000A0959"/>
    <w:rsid w:val="000A0EDD"/>
    <w:rsid w:val="000A0FBF"/>
    <w:rsid w:val="000A2830"/>
    <w:rsid w:val="000A2BF8"/>
    <w:rsid w:val="000A327D"/>
    <w:rsid w:val="000A36C4"/>
    <w:rsid w:val="000A3928"/>
    <w:rsid w:val="000A3D27"/>
    <w:rsid w:val="000A429A"/>
    <w:rsid w:val="000A447A"/>
    <w:rsid w:val="000A4EE2"/>
    <w:rsid w:val="000A55CE"/>
    <w:rsid w:val="000A612F"/>
    <w:rsid w:val="000A618C"/>
    <w:rsid w:val="000A6B20"/>
    <w:rsid w:val="000A774A"/>
    <w:rsid w:val="000B081F"/>
    <w:rsid w:val="000B0C18"/>
    <w:rsid w:val="000B0DE2"/>
    <w:rsid w:val="000B119F"/>
    <w:rsid w:val="000B1704"/>
    <w:rsid w:val="000B21E8"/>
    <w:rsid w:val="000B26C8"/>
    <w:rsid w:val="000B2A7A"/>
    <w:rsid w:val="000B455D"/>
    <w:rsid w:val="000B557F"/>
    <w:rsid w:val="000B587F"/>
    <w:rsid w:val="000B590E"/>
    <w:rsid w:val="000B5D95"/>
    <w:rsid w:val="000B713E"/>
    <w:rsid w:val="000B716E"/>
    <w:rsid w:val="000B7BB2"/>
    <w:rsid w:val="000C0170"/>
    <w:rsid w:val="000C0A0B"/>
    <w:rsid w:val="000C0B70"/>
    <w:rsid w:val="000C216A"/>
    <w:rsid w:val="000C2486"/>
    <w:rsid w:val="000C3008"/>
    <w:rsid w:val="000C304E"/>
    <w:rsid w:val="000C3988"/>
    <w:rsid w:val="000C3FEB"/>
    <w:rsid w:val="000C45E0"/>
    <w:rsid w:val="000C4AED"/>
    <w:rsid w:val="000C5746"/>
    <w:rsid w:val="000C6BDD"/>
    <w:rsid w:val="000C719C"/>
    <w:rsid w:val="000D0C52"/>
    <w:rsid w:val="000D0CC4"/>
    <w:rsid w:val="000D0DD8"/>
    <w:rsid w:val="000D12F6"/>
    <w:rsid w:val="000D24A0"/>
    <w:rsid w:val="000D2DB2"/>
    <w:rsid w:val="000D33A2"/>
    <w:rsid w:val="000D3854"/>
    <w:rsid w:val="000D3B83"/>
    <w:rsid w:val="000D414F"/>
    <w:rsid w:val="000D4675"/>
    <w:rsid w:val="000D4F3B"/>
    <w:rsid w:val="000D5073"/>
    <w:rsid w:val="000D6B02"/>
    <w:rsid w:val="000D730A"/>
    <w:rsid w:val="000D761E"/>
    <w:rsid w:val="000E0B7C"/>
    <w:rsid w:val="000E1C22"/>
    <w:rsid w:val="000E1FA5"/>
    <w:rsid w:val="000E333B"/>
    <w:rsid w:val="000E3863"/>
    <w:rsid w:val="000E3BCE"/>
    <w:rsid w:val="000E4004"/>
    <w:rsid w:val="000E4F78"/>
    <w:rsid w:val="000E505C"/>
    <w:rsid w:val="000E6D78"/>
    <w:rsid w:val="000E6E2D"/>
    <w:rsid w:val="000E7211"/>
    <w:rsid w:val="000E76F7"/>
    <w:rsid w:val="000F0036"/>
    <w:rsid w:val="000F0AC0"/>
    <w:rsid w:val="000F0ED7"/>
    <w:rsid w:val="000F0F55"/>
    <w:rsid w:val="000F0FD4"/>
    <w:rsid w:val="000F16BF"/>
    <w:rsid w:val="000F19BC"/>
    <w:rsid w:val="000F1B6B"/>
    <w:rsid w:val="000F3138"/>
    <w:rsid w:val="000F3B85"/>
    <w:rsid w:val="000F533A"/>
    <w:rsid w:val="000F5600"/>
    <w:rsid w:val="000F6403"/>
    <w:rsid w:val="000F7FC2"/>
    <w:rsid w:val="000F7FE0"/>
    <w:rsid w:val="000FF74C"/>
    <w:rsid w:val="00100F4A"/>
    <w:rsid w:val="001015FB"/>
    <w:rsid w:val="0010199A"/>
    <w:rsid w:val="00101BDF"/>
    <w:rsid w:val="00101C7E"/>
    <w:rsid w:val="00101D97"/>
    <w:rsid w:val="00101F0F"/>
    <w:rsid w:val="00102AE9"/>
    <w:rsid w:val="0010345E"/>
    <w:rsid w:val="00103527"/>
    <w:rsid w:val="00103AB5"/>
    <w:rsid w:val="00103D4F"/>
    <w:rsid w:val="00103EBF"/>
    <w:rsid w:val="00104CCB"/>
    <w:rsid w:val="0010689B"/>
    <w:rsid w:val="00107282"/>
    <w:rsid w:val="00107B6A"/>
    <w:rsid w:val="00107B7A"/>
    <w:rsid w:val="001104DC"/>
    <w:rsid w:val="001104FB"/>
    <w:rsid w:val="00110615"/>
    <w:rsid w:val="00110887"/>
    <w:rsid w:val="00110D03"/>
    <w:rsid w:val="00110DAD"/>
    <w:rsid w:val="001113C8"/>
    <w:rsid w:val="001118B7"/>
    <w:rsid w:val="00111A24"/>
    <w:rsid w:val="00111C38"/>
    <w:rsid w:val="00111E6F"/>
    <w:rsid w:val="00113604"/>
    <w:rsid w:val="00114BE9"/>
    <w:rsid w:val="001151CE"/>
    <w:rsid w:val="0011536A"/>
    <w:rsid w:val="001163D7"/>
    <w:rsid w:val="0011721E"/>
    <w:rsid w:val="00117494"/>
    <w:rsid w:val="00117E8C"/>
    <w:rsid w:val="00120992"/>
    <w:rsid w:val="00121624"/>
    <w:rsid w:val="00121872"/>
    <w:rsid w:val="00122173"/>
    <w:rsid w:val="0012270B"/>
    <w:rsid w:val="001229C2"/>
    <w:rsid w:val="0012367F"/>
    <w:rsid w:val="00123B55"/>
    <w:rsid w:val="00123DED"/>
    <w:rsid w:val="00124B49"/>
    <w:rsid w:val="00125185"/>
    <w:rsid w:val="00125196"/>
    <w:rsid w:val="001256CF"/>
    <w:rsid w:val="001259FC"/>
    <w:rsid w:val="001268F8"/>
    <w:rsid w:val="00126EBC"/>
    <w:rsid w:val="00127E20"/>
    <w:rsid w:val="00130297"/>
    <w:rsid w:val="0013061F"/>
    <w:rsid w:val="00130C93"/>
    <w:rsid w:val="00131691"/>
    <w:rsid w:val="00131BAA"/>
    <w:rsid w:val="00131C3D"/>
    <w:rsid w:val="001333DB"/>
    <w:rsid w:val="0013387B"/>
    <w:rsid w:val="00133888"/>
    <w:rsid w:val="001338BC"/>
    <w:rsid w:val="00133C0C"/>
    <w:rsid w:val="00133D6B"/>
    <w:rsid w:val="00134393"/>
    <w:rsid w:val="00134495"/>
    <w:rsid w:val="001346F7"/>
    <w:rsid w:val="001354E7"/>
    <w:rsid w:val="00135507"/>
    <w:rsid w:val="001362B9"/>
    <w:rsid w:val="001367DD"/>
    <w:rsid w:val="00136A7A"/>
    <w:rsid w:val="0013760E"/>
    <w:rsid w:val="0013789C"/>
    <w:rsid w:val="001406A5"/>
    <w:rsid w:val="00140C66"/>
    <w:rsid w:val="00140F3D"/>
    <w:rsid w:val="00141993"/>
    <w:rsid w:val="00141D62"/>
    <w:rsid w:val="00141EFF"/>
    <w:rsid w:val="0014232A"/>
    <w:rsid w:val="001425F5"/>
    <w:rsid w:val="00143809"/>
    <w:rsid w:val="001444AB"/>
    <w:rsid w:val="001458C2"/>
    <w:rsid w:val="00145DC3"/>
    <w:rsid w:val="00145E04"/>
    <w:rsid w:val="00147D5C"/>
    <w:rsid w:val="001500D7"/>
    <w:rsid w:val="00150326"/>
    <w:rsid w:val="001506F3"/>
    <w:rsid w:val="00150CDA"/>
    <w:rsid w:val="0015139C"/>
    <w:rsid w:val="001514C1"/>
    <w:rsid w:val="001522E0"/>
    <w:rsid w:val="0015255E"/>
    <w:rsid w:val="00152ABF"/>
    <w:rsid w:val="00153799"/>
    <w:rsid w:val="00154AA0"/>
    <w:rsid w:val="00154B38"/>
    <w:rsid w:val="00155439"/>
    <w:rsid w:val="00155F33"/>
    <w:rsid w:val="00156A43"/>
    <w:rsid w:val="00156A98"/>
    <w:rsid w:val="00156DB7"/>
    <w:rsid w:val="00157914"/>
    <w:rsid w:val="00157E6F"/>
    <w:rsid w:val="00157EB7"/>
    <w:rsid w:val="001600D5"/>
    <w:rsid w:val="00160213"/>
    <w:rsid w:val="001616DD"/>
    <w:rsid w:val="00161995"/>
    <w:rsid w:val="001623E1"/>
    <w:rsid w:val="00162B95"/>
    <w:rsid w:val="00163375"/>
    <w:rsid w:val="0016421D"/>
    <w:rsid w:val="00164270"/>
    <w:rsid w:val="00164A6B"/>
    <w:rsid w:val="00164E0D"/>
    <w:rsid w:val="00165115"/>
    <w:rsid w:val="00165893"/>
    <w:rsid w:val="00165BC1"/>
    <w:rsid w:val="00165CB5"/>
    <w:rsid w:val="0016683D"/>
    <w:rsid w:val="00166ED4"/>
    <w:rsid w:val="0016722E"/>
    <w:rsid w:val="00167F53"/>
    <w:rsid w:val="00170D10"/>
    <w:rsid w:val="001713D8"/>
    <w:rsid w:val="00171592"/>
    <w:rsid w:val="00171BCE"/>
    <w:rsid w:val="00172090"/>
    <w:rsid w:val="00173367"/>
    <w:rsid w:val="0017361E"/>
    <w:rsid w:val="0017527D"/>
    <w:rsid w:val="00175676"/>
    <w:rsid w:val="001756CA"/>
    <w:rsid w:val="00176191"/>
    <w:rsid w:val="001762C0"/>
    <w:rsid w:val="001764DA"/>
    <w:rsid w:val="001769DE"/>
    <w:rsid w:val="00176A6E"/>
    <w:rsid w:val="00176D3B"/>
    <w:rsid w:val="00176F2D"/>
    <w:rsid w:val="00177400"/>
    <w:rsid w:val="00177514"/>
    <w:rsid w:val="00177B4A"/>
    <w:rsid w:val="00177D53"/>
    <w:rsid w:val="00177F4C"/>
    <w:rsid w:val="0018062F"/>
    <w:rsid w:val="00180738"/>
    <w:rsid w:val="00180A68"/>
    <w:rsid w:val="0018135B"/>
    <w:rsid w:val="00181A0E"/>
    <w:rsid w:val="00181E45"/>
    <w:rsid w:val="00182197"/>
    <w:rsid w:val="001828C1"/>
    <w:rsid w:val="00183C34"/>
    <w:rsid w:val="00184729"/>
    <w:rsid w:val="00184813"/>
    <w:rsid w:val="00185389"/>
    <w:rsid w:val="0018623E"/>
    <w:rsid w:val="001862E3"/>
    <w:rsid w:val="00186E7A"/>
    <w:rsid w:val="0018730D"/>
    <w:rsid w:val="0018731E"/>
    <w:rsid w:val="001873BE"/>
    <w:rsid w:val="0018778F"/>
    <w:rsid w:val="00187A20"/>
    <w:rsid w:val="00190138"/>
    <w:rsid w:val="001903EA"/>
    <w:rsid w:val="0019049D"/>
    <w:rsid w:val="001906FE"/>
    <w:rsid w:val="00190EB6"/>
    <w:rsid w:val="00190F9A"/>
    <w:rsid w:val="00191B0A"/>
    <w:rsid w:val="001920B0"/>
    <w:rsid w:val="00192409"/>
    <w:rsid w:val="0019402C"/>
    <w:rsid w:val="001943E6"/>
    <w:rsid w:val="00194512"/>
    <w:rsid w:val="001959CF"/>
    <w:rsid w:val="00195FBD"/>
    <w:rsid w:val="001963F1"/>
    <w:rsid w:val="00196FCA"/>
    <w:rsid w:val="00197209"/>
    <w:rsid w:val="00197DC9"/>
    <w:rsid w:val="001A0594"/>
    <w:rsid w:val="001A08B9"/>
    <w:rsid w:val="001A0F11"/>
    <w:rsid w:val="001A161E"/>
    <w:rsid w:val="001A2A18"/>
    <w:rsid w:val="001A2A58"/>
    <w:rsid w:val="001A2E65"/>
    <w:rsid w:val="001A3179"/>
    <w:rsid w:val="001A3816"/>
    <w:rsid w:val="001A3F43"/>
    <w:rsid w:val="001A4258"/>
    <w:rsid w:val="001A4437"/>
    <w:rsid w:val="001A5D5E"/>
    <w:rsid w:val="001A638E"/>
    <w:rsid w:val="001B1575"/>
    <w:rsid w:val="001B1A8A"/>
    <w:rsid w:val="001B1B60"/>
    <w:rsid w:val="001B1D0A"/>
    <w:rsid w:val="001B3859"/>
    <w:rsid w:val="001B3CFE"/>
    <w:rsid w:val="001B404D"/>
    <w:rsid w:val="001B4092"/>
    <w:rsid w:val="001B42E9"/>
    <w:rsid w:val="001B45AF"/>
    <w:rsid w:val="001B4850"/>
    <w:rsid w:val="001B548A"/>
    <w:rsid w:val="001B57A4"/>
    <w:rsid w:val="001B5AC4"/>
    <w:rsid w:val="001B5CD3"/>
    <w:rsid w:val="001B5D6D"/>
    <w:rsid w:val="001B5EF4"/>
    <w:rsid w:val="001B65A8"/>
    <w:rsid w:val="001B65F3"/>
    <w:rsid w:val="001B6F59"/>
    <w:rsid w:val="001B7013"/>
    <w:rsid w:val="001B7596"/>
    <w:rsid w:val="001C044B"/>
    <w:rsid w:val="001C1283"/>
    <w:rsid w:val="001C1415"/>
    <w:rsid w:val="001C2108"/>
    <w:rsid w:val="001C2347"/>
    <w:rsid w:val="001C23EA"/>
    <w:rsid w:val="001C25F4"/>
    <w:rsid w:val="001C2BAE"/>
    <w:rsid w:val="001C3113"/>
    <w:rsid w:val="001C3222"/>
    <w:rsid w:val="001C37A9"/>
    <w:rsid w:val="001C3D86"/>
    <w:rsid w:val="001C4CCD"/>
    <w:rsid w:val="001C4EBD"/>
    <w:rsid w:val="001C504A"/>
    <w:rsid w:val="001C57F4"/>
    <w:rsid w:val="001C617C"/>
    <w:rsid w:val="001C66D4"/>
    <w:rsid w:val="001C75A7"/>
    <w:rsid w:val="001C7ABA"/>
    <w:rsid w:val="001C7CD9"/>
    <w:rsid w:val="001C7E93"/>
    <w:rsid w:val="001D0213"/>
    <w:rsid w:val="001D1322"/>
    <w:rsid w:val="001D2728"/>
    <w:rsid w:val="001D29C8"/>
    <w:rsid w:val="001D2C2A"/>
    <w:rsid w:val="001D2F5A"/>
    <w:rsid w:val="001D3313"/>
    <w:rsid w:val="001D3C4E"/>
    <w:rsid w:val="001D4056"/>
    <w:rsid w:val="001D4261"/>
    <w:rsid w:val="001D4ED9"/>
    <w:rsid w:val="001D5890"/>
    <w:rsid w:val="001D59B9"/>
    <w:rsid w:val="001D5E98"/>
    <w:rsid w:val="001D79E5"/>
    <w:rsid w:val="001D7B9D"/>
    <w:rsid w:val="001E076C"/>
    <w:rsid w:val="001E09A5"/>
    <w:rsid w:val="001E0B63"/>
    <w:rsid w:val="001E0E41"/>
    <w:rsid w:val="001E1A8F"/>
    <w:rsid w:val="001E2136"/>
    <w:rsid w:val="001E33B1"/>
    <w:rsid w:val="001E3410"/>
    <w:rsid w:val="001E3632"/>
    <w:rsid w:val="001E38E9"/>
    <w:rsid w:val="001E3CBC"/>
    <w:rsid w:val="001E4049"/>
    <w:rsid w:val="001E4D06"/>
    <w:rsid w:val="001E5955"/>
    <w:rsid w:val="001E661C"/>
    <w:rsid w:val="001E6C5E"/>
    <w:rsid w:val="001E77CF"/>
    <w:rsid w:val="001E77D4"/>
    <w:rsid w:val="001F011A"/>
    <w:rsid w:val="001F1740"/>
    <w:rsid w:val="001F2D7E"/>
    <w:rsid w:val="001F305F"/>
    <w:rsid w:val="001F3308"/>
    <w:rsid w:val="001F35E1"/>
    <w:rsid w:val="001F39B3"/>
    <w:rsid w:val="001F3D07"/>
    <w:rsid w:val="001F473C"/>
    <w:rsid w:val="001F48EA"/>
    <w:rsid w:val="001F494E"/>
    <w:rsid w:val="001F5DDA"/>
    <w:rsid w:val="001F62A9"/>
    <w:rsid w:val="001F6487"/>
    <w:rsid w:val="001F6499"/>
    <w:rsid w:val="001F6B41"/>
    <w:rsid w:val="001F79EF"/>
    <w:rsid w:val="00200056"/>
    <w:rsid w:val="0020008E"/>
    <w:rsid w:val="00200C24"/>
    <w:rsid w:val="002011EB"/>
    <w:rsid w:val="002012D1"/>
    <w:rsid w:val="002024DB"/>
    <w:rsid w:val="00202632"/>
    <w:rsid w:val="00203057"/>
    <w:rsid w:val="002031AF"/>
    <w:rsid w:val="00203F98"/>
    <w:rsid w:val="00205761"/>
    <w:rsid w:val="00205ABD"/>
    <w:rsid w:val="00206E3E"/>
    <w:rsid w:val="00206E8F"/>
    <w:rsid w:val="002070C4"/>
    <w:rsid w:val="00207BD6"/>
    <w:rsid w:val="00207EF3"/>
    <w:rsid w:val="002102DF"/>
    <w:rsid w:val="0021057B"/>
    <w:rsid w:val="002109CB"/>
    <w:rsid w:val="00210E55"/>
    <w:rsid w:val="002114A7"/>
    <w:rsid w:val="00211A91"/>
    <w:rsid w:val="00211E6F"/>
    <w:rsid w:val="002120BF"/>
    <w:rsid w:val="002133A8"/>
    <w:rsid w:val="00214C19"/>
    <w:rsid w:val="002152B5"/>
    <w:rsid w:val="0021555D"/>
    <w:rsid w:val="00216545"/>
    <w:rsid w:val="00216A09"/>
    <w:rsid w:val="00217376"/>
    <w:rsid w:val="00217DF9"/>
    <w:rsid w:val="0021F446"/>
    <w:rsid w:val="00220DEF"/>
    <w:rsid w:val="00221485"/>
    <w:rsid w:val="002218E0"/>
    <w:rsid w:val="00221937"/>
    <w:rsid w:val="00221A9D"/>
    <w:rsid w:val="002228FE"/>
    <w:rsid w:val="00223D65"/>
    <w:rsid w:val="00223D8C"/>
    <w:rsid w:val="00223F15"/>
    <w:rsid w:val="00224769"/>
    <w:rsid w:val="0022546A"/>
    <w:rsid w:val="0022556F"/>
    <w:rsid w:val="00225A45"/>
    <w:rsid w:val="00225CDB"/>
    <w:rsid w:val="00225F5D"/>
    <w:rsid w:val="00226289"/>
    <w:rsid w:val="00226400"/>
    <w:rsid w:val="00226D67"/>
    <w:rsid w:val="002272F7"/>
    <w:rsid w:val="00230D6A"/>
    <w:rsid w:val="0023129E"/>
    <w:rsid w:val="00231AF7"/>
    <w:rsid w:val="00232EE8"/>
    <w:rsid w:val="002337D5"/>
    <w:rsid w:val="0023439E"/>
    <w:rsid w:val="00234F6B"/>
    <w:rsid w:val="002361B4"/>
    <w:rsid w:val="00236C5D"/>
    <w:rsid w:val="00236C6D"/>
    <w:rsid w:val="00237DC3"/>
    <w:rsid w:val="00240209"/>
    <w:rsid w:val="002408BE"/>
    <w:rsid w:val="00240908"/>
    <w:rsid w:val="00240EB9"/>
    <w:rsid w:val="00240F1B"/>
    <w:rsid w:val="00241140"/>
    <w:rsid w:val="0024154C"/>
    <w:rsid w:val="00241D1D"/>
    <w:rsid w:val="00241EA7"/>
    <w:rsid w:val="00242505"/>
    <w:rsid w:val="00242967"/>
    <w:rsid w:val="00242EBC"/>
    <w:rsid w:val="002432C3"/>
    <w:rsid w:val="00243791"/>
    <w:rsid w:val="002438A5"/>
    <w:rsid w:val="00243B69"/>
    <w:rsid w:val="00244261"/>
    <w:rsid w:val="0024457E"/>
    <w:rsid w:val="00244764"/>
    <w:rsid w:val="002456C6"/>
    <w:rsid w:val="002466D6"/>
    <w:rsid w:val="00247143"/>
    <w:rsid w:val="00250614"/>
    <w:rsid w:val="00250DE1"/>
    <w:rsid w:val="002516C2"/>
    <w:rsid w:val="00251F02"/>
    <w:rsid w:val="00252651"/>
    <w:rsid w:val="00252746"/>
    <w:rsid w:val="00252C9F"/>
    <w:rsid w:val="0025322E"/>
    <w:rsid w:val="00253F61"/>
    <w:rsid w:val="0025410E"/>
    <w:rsid w:val="00254442"/>
    <w:rsid w:val="00255EE9"/>
    <w:rsid w:val="002565FB"/>
    <w:rsid w:val="00257055"/>
    <w:rsid w:val="0025715C"/>
    <w:rsid w:val="0025745E"/>
    <w:rsid w:val="002575BD"/>
    <w:rsid w:val="00257F99"/>
    <w:rsid w:val="0025B48C"/>
    <w:rsid w:val="0026049A"/>
    <w:rsid w:val="0026070E"/>
    <w:rsid w:val="00260841"/>
    <w:rsid w:val="00260C35"/>
    <w:rsid w:val="00260D39"/>
    <w:rsid w:val="0026210A"/>
    <w:rsid w:val="002623F6"/>
    <w:rsid w:val="00262468"/>
    <w:rsid w:val="002624B8"/>
    <w:rsid w:val="002626DF"/>
    <w:rsid w:val="002629F0"/>
    <w:rsid w:val="00262DB1"/>
    <w:rsid w:val="00263E25"/>
    <w:rsid w:val="002641FB"/>
    <w:rsid w:val="00264575"/>
    <w:rsid w:val="002648D0"/>
    <w:rsid w:val="00264BB6"/>
    <w:rsid w:val="00264FD1"/>
    <w:rsid w:val="002650C5"/>
    <w:rsid w:val="0026552C"/>
    <w:rsid w:val="0026584D"/>
    <w:rsid w:val="00265AA2"/>
    <w:rsid w:val="00265CBF"/>
    <w:rsid w:val="00265E0E"/>
    <w:rsid w:val="00266DC9"/>
    <w:rsid w:val="002675A9"/>
    <w:rsid w:val="00267874"/>
    <w:rsid w:val="002705BC"/>
    <w:rsid w:val="0027196F"/>
    <w:rsid w:val="00271F23"/>
    <w:rsid w:val="002725D4"/>
    <w:rsid w:val="00272B91"/>
    <w:rsid w:val="002730F0"/>
    <w:rsid w:val="0027372E"/>
    <w:rsid w:val="002741C2"/>
    <w:rsid w:val="002747A3"/>
    <w:rsid w:val="00274ADB"/>
    <w:rsid w:val="00275EC5"/>
    <w:rsid w:val="00276052"/>
    <w:rsid w:val="0027660C"/>
    <w:rsid w:val="00276B24"/>
    <w:rsid w:val="00276B4C"/>
    <w:rsid w:val="0027752B"/>
    <w:rsid w:val="00277D1C"/>
    <w:rsid w:val="002820C8"/>
    <w:rsid w:val="002820CC"/>
    <w:rsid w:val="00282A98"/>
    <w:rsid w:val="00282BEF"/>
    <w:rsid w:val="00282CC5"/>
    <w:rsid w:val="00283BC5"/>
    <w:rsid w:val="00283C52"/>
    <w:rsid w:val="00283F43"/>
    <w:rsid w:val="00285268"/>
    <w:rsid w:val="002857D1"/>
    <w:rsid w:val="00285A71"/>
    <w:rsid w:val="002864EF"/>
    <w:rsid w:val="002866CF"/>
    <w:rsid w:val="00286BBF"/>
    <w:rsid w:val="00287833"/>
    <w:rsid w:val="00287AD0"/>
    <w:rsid w:val="00287EF3"/>
    <w:rsid w:val="00287F94"/>
    <w:rsid w:val="002903C6"/>
    <w:rsid w:val="002905BF"/>
    <w:rsid w:val="002913B3"/>
    <w:rsid w:val="002914F4"/>
    <w:rsid w:val="002922B1"/>
    <w:rsid w:val="0029302D"/>
    <w:rsid w:val="0029352F"/>
    <w:rsid w:val="00293532"/>
    <w:rsid w:val="00293ADF"/>
    <w:rsid w:val="00294167"/>
    <w:rsid w:val="002948AC"/>
    <w:rsid w:val="00295E0C"/>
    <w:rsid w:val="002964B0"/>
    <w:rsid w:val="00297203"/>
    <w:rsid w:val="002979C5"/>
    <w:rsid w:val="002A00F5"/>
    <w:rsid w:val="002A0145"/>
    <w:rsid w:val="002A125B"/>
    <w:rsid w:val="002A1EF4"/>
    <w:rsid w:val="002A1FF3"/>
    <w:rsid w:val="002A21B8"/>
    <w:rsid w:val="002A2240"/>
    <w:rsid w:val="002A239A"/>
    <w:rsid w:val="002A2A2E"/>
    <w:rsid w:val="002A2BE1"/>
    <w:rsid w:val="002A2C39"/>
    <w:rsid w:val="002A3CAE"/>
    <w:rsid w:val="002A41DF"/>
    <w:rsid w:val="002A438B"/>
    <w:rsid w:val="002A4EDC"/>
    <w:rsid w:val="002A5003"/>
    <w:rsid w:val="002A57FA"/>
    <w:rsid w:val="002A689F"/>
    <w:rsid w:val="002A6C02"/>
    <w:rsid w:val="002A70A4"/>
    <w:rsid w:val="002A7280"/>
    <w:rsid w:val="002A7514"/>
    <w:rsid w:val="002B07FC"/>
    <w:rsid w:val="002B1381"/>
    <w:rsid w:val="002B1385"/>
    <w:rsid w:val="002B13C0"/>
    <w:rsid w:val="002B1EBF"/>
    <w:rsid w:val="002B1F16"/>
    <w:rsid w:val="002B238D"/>
    <w:rsid w:val="002B2E24"/>
    <w:rsid w:val="002B30E8"/>
    <w:rsid w:val="002B3C4F"/>
    <w:rsid w:val="002B3DE2"/>
    <w:rsid w:val="002B436E"/>
    <w:rsid w:val="002B585C"/>
    <w:rsid w:val="002B5FB2"/>
    <w:rsid w:val="002B67B5"/>
    <w:rsid w:val="002B7410"/>
    <w:rsid w:val="002B7672"/>
    <w:rsid w:val="002C00C4"/>
    <w:rsid w:val="002C042B"/>
    <w:rsid w:val="002C0482"/>
    <w:rsid w:val="002C0A11"/>
    <w:rsid w:val="002C0B69"/>
    <w:rsid w:val="002C13EF"/>
    <w:rsid w:val="002C16C3"/>
    <w:rsid w:val="002C1B3D"/>
    <w:rsid w:val="002C1E58"/>
    <w:rsid w:val="002C22A7"/>
    <w:rsid w:val="002C22C2"/>
    <w:rsid w:val="002C23F4"/>
    <w:rsid w:val="002C2A93"/>
    <w:rsid w:val="002C2ADF"/>
    <w:rsid w:val="002C2D3E"/>
    <w:rsid w:val="002C33FD"/>
    <w:rsid w:val="002C358C"/>
    <w:rsid w:val="002C3682"/>
    <w:rsid w:val="002C370A"/>
    <w:rsid w:val="002C39C7"/>
    <w:rsid w:val="002C4043"/>
    <w:rsid w:val="002C4D9F"/>
    <w:rsid w:val="002C5015"/>
    <w:rsid w:val="002C6170"/>
    <w:rsid w:val="002C74DE"/>
    <w:rsid w:val="002C783E"/>
    <w:rsid w:val="002C7BA8"/>
    <w:rsid w:val="002D0B50"/>
    <w:rsid w:val="002D0B99"/>
    <w:rsid w:val="002D0BD9"/>
    <w:rsid w:val="002D0CFE"/>
    <w:rsid w:val="002D1804"/>
    <w:rsid w:val="002D223B"/>
    <w:rsid w:val="002D2917"/>
    <w:rsid w:val="002D2D93"/>
    <w:rsid w:val="002D318A"/>
    <w:rsid w:val="002D33BC"/>
    <w:rsid w:val="002D35A3"/>
    <w:rsid w:val="002D3B55"/>
    <w:rsid w:val="002D3EFC"/>
    <w:rsid w:val="002D47C8"/>
    <w:rsid w:val="002D4917"/>
    <w:rsid w:val="002D5575"/>
    <w:rsid w:val="002D5585"/>
    <w:rsid w:val="002D55C0"/>
    <w:rsid w:val="002D5CCB"/>
    <w:rsid w:val="002D6005"/>
    <w:rsid w:val="002D730A"/>
    <w:rsid w:val="002D74DD"/>
    <w:rsid w:val="002D7F35"/>
    <w:rsid w:val="002DE30F"/>
    <w:rsid w:val="002E015A"/>
    <w:rsid w:val="002E02C9"/>
    <w:rsid w:val="002E061E"/>
    <w:rsid w:val="002E0EDA"/>
    <w:rsid w:val="002E0FB4"/>
    <w:rsid w:val="002E1196"/>
    <w:rsid w:val="002E18B3"/>
    <w:rsid w:val="002E1EDE"/>
    <w:rsid w:val="002E1F3B"/>
    <w:rsid w:val="002E20C8"/>
    <w:rsid w:val="002E3BC3"/>
    <w:rsid w:val="002E51FC"/>
    <w:rsid w:val="002E5409"/>
    <w:rsid w:val="002E57C0"/>
    <w:rsid w:val="002E5C52"/>
    <w:rsid w:val="002E5CDB"/>
    <w:rsid w:val="002E6592"/>
    <w:rsid w:val="002E6A99"/>
    <w:rsid w:val="002E6FD5"/>
    <w:rsid w:val="002E6FF0"/>
    <w:rsid w:val="002E6FF3"/>
    <w:rsid w:val="002F0713"/>
    <w:rsid w:val="002F0BFF"/>
    <w:rsid w:val="002F0D5C"/>
    <w:rsid w:val="002F11A0"/>
    <w:rsid w:val="002F19BC"/>
    <w:rsid w:val="002F19F8"/>
    <w:rsid w:val="002F2285"/>
    <w:rsid w:val="002F27B5"/>
    <w:rsid w:val="002F3675"/>
    <w:rsid w:val="002F3E07"/>
    <w:rsid w:val="002F4112"/>
    <w:rsid w:val="002F5622"/>
    <w:rsid w:val="002F57A3"/>
    <w:rsid w:val="002F5949"/>
    <w:rsid w:val="002F5C2C"/>
    <w:rsid w:val="002F6620"/>
    <w:rsid w:val="002F7EF0"/>
    <w:rsid w:val="003002C2"/>
    <w:rsid w:val="0030205B"/>
    <w:rsid w:val="0030251E"/>
    <w:rsid w:val="00302E5E"/>
    <w:rsid w:val="00302F64"/>
    <w:rsid w:val="00303E88"/>
    <w:rsid w:val="0030409C"/>
    <w:rsid w:val="003049E0"/>
    <w:rsid w:val="00304F5B"/>
    <w:rsid w:val="00306022"/>
    <w:rsid w:val="003063F8"/>
    <w:rsid w:val="003064E2"/>
    <w:rsid w:val="00306792"/>
    <w:rsid w:val="00306C26"/>
    <w:rsid w:val="00306CCB"/>
    <w:rsid w:val="00306F49"/>
    <w:rsid w:val="00307490"/>
    <w:rsid w:val="0030778D"/>
    <w:rsid w:val="00310071"/>
    <w:rsid w:val="0031021F"/>
    <w:rsid w:val="00310994"/>
    <w:rsid w:val="00310DF2"/>
    <w:rsid w:val="00311B9E"/>
    <w:rsid w:val="00312988"/>
    <w:rsid w:val="00312C98"/>
    <w:rsid w:val="00313320"/>
    <w:rsid w:val="003136B0"/>
    <w:rsid w:val="00313BC1"/>
    <w:rsid w:val="003140D9"/>
    <w:rsid w:val="00314647"/>
    <w:rsid w:val="00314658"/>
    <w:rsid w:val="00314B2F"/>
    <w:rsid w:val="003151E0"/>
    <w:rsid w:val="00315522"/>
    <w:rsid w:val="0031659A"/>
    <w:rsid w:val="003168DF"/>
    <w:rsid w:val="00320E02"/>
    <w:rsid w:val="003217CE"/>
    <w:rsid w:val="00321F2E"/>
    <w:rsid w:val="00322D0B"/>
    <w:rsid w:val="003231EC"/>
    <w:rsid w:val="003234C1"/>
    <w:rsid w:val="0032407C"/>
    <w:rsid w:val="00324B08"/>
    <w:rsid w:val="00325C40"/>
    <w:rsid w:val="00325CAC"/>
    <w:rsid w:val="003265D6"/>
    <w:rsid w:val="0032708A"/>
    <w:rsid w:val="003270B7"/>
    <w:rsid w:val="00327406"/>
    <w:rsid w:val="00327BDF"/>
    <w:rsid w:val="003309C8"/>
    <w:rsid w:val="00332FDC"/>
    <w:rsid w:val="003334FE"/>
    <w:rsid w:val="00333AF0"/>
    <w:rsid w:val="00334244"/>
    <w:rsid w:val="00334655"/>
    <w:rsid w:val="003348CD"/>
    <w:rsid w:val="00334C60"/>
    <w:rsid w:val="0033502C"/>
    <w:rsid w:val="003363E8"/>
    <w:rsid w:val="00336717"/>
    <w:rsid w:val="00336B84"/>
    <w:rsid w:val="00337648"/>
    <w:rsid w:val="00337891"/>
    <w:rsid w:val="00337BA5"/>
    <w:rsid w:val="00337C41"/>
    <w:rsid w:val="00340465"/>
    <w:rsid w:val="00340506"/>
    <w:rsid w:val="003415DE"/>
    <w:rsid w:val="003417F2"/>
    <w:rsid w:val="00342D95"/>
    <w:rsid w:val="00342F28"/>
    <w:rsid w:val="00343856"/>
    <w:rsid w:val="00343EBF"/>
    <w:rsid w:val="00343FC8"/>
    <w:rsid w:val="003442F1"/>
    <w:rsid w:val="0034434A"/>
    <w:rsid w:val="00344521"/>
    <w:rsid w:val="003447A4"/>
    <w:rsid w:val="0034488E"/>
    <w:rsid w:val="00344B2B"/>
    <w:rsid w:val="003461A1"/>
    <w:rsid w:val="00346F78"/>
    <w:rsid w:val="00347795"/>
    <w:rsid w:val="00347B8A"/>
    <w:rsid w:val="00350552"/>
    <w:rsid w:val="003516CF"/>
    <w:rsid w:val="00351DAF"/>
    <w:rsid w:val="00352A62"/>
    <w:rsid w:val="00353344"/>
    <w:rsid w:val="00353936"/>
    <w:rsid w:val="003539BF"/>
    <w:rsid w:val="00353E0B"/>
    <w:rsid w:val="00353F9D"/>
    <w:rsid w:val="00354211"/>
    <w:rsid w:val="003542C2"/>
    <w:rsid w:val="00354420"/>
    <w:rsid w:val="00354503"/>
    <w:rsid w:val="003548F1"/>
    <w:rsid w:val="00355CD1"/>
    <w:rsid w:val="00355DD6"/>
    <w:rsid w:val="0035674C"/>
    <w:rsid w:val="003569B0"/>
    <w:rsid w:val="00356E74"/>
    <w:rsid w:val="003576D1"/>
    <w:rsid w:val="003582F1"/>
    <w:rsid w:val="003606A4"/>
    <w:rsid w:val="00360A6A"/>
    <w:rsid w:val="00360D67"/>
    <w:rsid w:val="0036110D"/>
    <w:rsid w:val="00361111"/>
    <w:rsid w:val="00361D0B"/>
    <w:rsid w:val="00361EC2"/>
    <w:rsid w:val="00362C6D"/>
    <w:rsid w:val="0036347B"/>
    <w:rsid w:val="003638CB"/>
    <w:rsid w:val="00364606"/>
    <w:rsid w:val="00364B24"/>
    <w:rsid w:val="00364F4C"/>
    <w:rsid w:val="003658F3"/>
    <w:rsid w:val="00365A4C"/>
    <w:rsid w:val="00365C8F"/>
    <w:rsid w:val="00365D6E"/>
    <w:rsid w:val="00365DFF"/>
    <w:rsid w:val="00366008"/>
    <w:rsid w:val="003664F1"/>
    <w:rsid w:val="00366742"/>
    <w:rsid w:val="00366784"/>
    <w:rsid w:val="00366C46"/>
    <w:rsid w:val="00367725"/>
    <w:rsid w:val="00370A01"/>
    <w:rsid w:val="003711F5"/>
    <w:rsid w:val="00371385"/>
    <w:rsid w:val="00372E5E"/>
    <w:rsid w:val="00373881"/>
    <w:rsid w:val="00374117"/>
    <w:rsid w:val="00375690"/>
    <w:rsid w:val="00376123"/>
    <w:rsid w:val="003766F6"/>
    <w:rsid w:val="00377B30"/>
    <w:rsid w:val="00380687"/>
    <w:rsid w:val="0038083E"/>
    <w:rsid w:val="00380CF9"/>
    <w:rsid w:val="00380E04"/>
    <w:rsid w:val="00380F1C"/>
    <w:rsid w:val="00381255"/>
    <w:rsid w:val="003817E3"/>
    <w:rsid w:val="003818D6"/>
    <w:rsid w:val="00382129"/>
    <w:rsid w:val="0038255C"/>
    <w:rsid w:val="003825BF"/>
    <w:rsid w:val="0038280F"/>
    <w:rsid w:val="0038299E"/>
    <w:rsid w:val="0038303B"/>
    <w:rsid w:val="00383380"/>
    <w:rsid w:val="00383D6C"/>
    <w:rsid w:val="00383F74"/>
    <w:rsid w:val="0038406F"/>
    <w:rsid w:val="00384D50"/>
    <w:rsid w:val="00385099"/>
    <w:rsid w:val="00385312"/>
    <w:rsid w:val="00385675"/>
    <w:rsid w:val="00385682"/>
    <w:rsid w:val="00385975"/>
    <w:rsid w:val="0038628F"/>
    <w:rsid w:val="003875C6"/>
    <w:rsid w:val="003907BE"/>
    <w:rsid w:val="0039098E"/>
    <w:rsid w:val="00390C2C"/>
    <w:rsid w:val="00390EB1"/>
    <w:rsid w:val="003911AF"/>
    <w:rsid w:val="00391E49"/>
    <w:rsid w:val="00391EE0"/>
    <w:rsid w:val="0039236A"/>
    <w:rsid w:val="00392C42"/>
    <w:rsid w:val="00394802"/>
    <w:rsid w:val="003948C5"/>
    <w:rsid w:val="00394920"/>
    <w:rsid w:val="0039614F"/>
    <w:rsid w:val="003968E6"/>
    <w:rsid w:val="00396ABB"/>
    <w:rsid w:val="00396B5A"/>
    <w:rsid w:val="00397440"/>
    <w:rsid w:val="00397603"/>
    <w:rsid w:val="00397B49"/>
    <w:rsid w:val="00397B72"/>
    <w:rsid w:val="00397BC7"/>
    <w:rsid w:val="00397FA1"/>
    <w:rsid w:val="003A09E7"/>
    <w:rsid w:val="003A11F8"/>
    <w:rsid w:val="003A1C53"/>
    <w:rsid w:val="003A203D"/>
    <w:rsid w:val="003A2446"/>
    <w:rsid w:val="003A25F2"/>
    <w:rsid w:val="003A2F31"/>
    <w:rsid w:val="003A358D"/>
    <w:rsid w:val="003A40C5"/>
    <w:rsid w:val="003A422C"/>
    <w:rsid w:val="003A4702"/>
    <w:rsid w:val="003A496A"/>
    <w:rsid w:val="003A5B0C"/>
    <w:rsid w:val="003A5D1A"/>
    <w:rsid w:val="003A5DEE"/>
    <w:rsid w:val="003A62EA"/>
    <w:rsid w:val="003A6532"/>
    <w:rsid w:val="003A7846"/>
    <w:rsid w:val="003A7B70"/>
    <w:rsid w:val="003A7D37"/>
    <w:rsid w:val="003A7D6D"/>
    <w:rsid w:val="003A7F85"/>
    <w:rsid w:val="003B0473"/>
    <w:rsid w:val="003B04DD"/>
    <w:rsid w:val="003B11D5"/>
    <w:rsid w:val="003B14B2"/>
    <w:rsid w:val="003B2F8E"/>
    <w:rsid w:val="003B39CA"/>
    <w:rsid w:val="003B3E47"/>
    <w:rsid w:val="003B4368"/>
    <w:rsid w:val="003B49F7"/>
    <w:rsid w:val="003B4E74"/>
    <w:rsid w:val="003B58C3"/>
    <w:rsid w:val="003B62B5"/>
    <w:rsid w:val="003B6DC2"/>
    <w:rsid w:val="003B6F07"/>
    <w:rsid w:val="003B7363"/>
    <w:rsid w:val="003B794D"/>
    <w:rsid w:val="003C03EB"/>
    <w:rsid w:val="003C0421"/>
    <w:rsid w:val="003C04B0"/>
    <w:rsid w:val="003C0792"/>
    <w:rsid w:val="003C08A3"/>
    <w:rsid w:val="003C138B"/>
    <w:rsid w:val="003C176A"/>
    <w:rsid w:val="003C1B8F"/>
    <w:rsid w:val="003C1CA5"/>
    <w:rsid w:val="003C1D19"/>
    <w:rsid w:val="003C2059"/>
    <w:rsid w:val="003C2474"/>
    <w:rsid w:val="003C25A3"/>
    <w:rsid w:val="003C2B1A"/>
    <w:rsid w:val="003C4A4B"/>
    <w:rsid w:val="003C5859"/>
    <w:rsid w:val="003C5C52"/>
    <w:rsid w:val="003C5E24"/>
    <w:rsid w:val="003C6153"/>
    <w:rsid w:val="003C6A81"/>
    <w:rsid w:val="003C6FD6"/>
    <w:rsid w:val="003C7F0C"/>
    <w:rsid w:val="003D018B"/>
    <w:rsid w:val="003D034C"/>
    <w:rsid w:val="003D15CF"/>
    <w:rsid w:val="003D1DE3"/>
    <w:rsid w:val="003D1EAB"/>
    <w:rsid w:val="003D31A0"/>
    <w:rsid w:val="003D32AA"/>
    <w:rsid w:val="003D3C42"/>
    <w:rsid w:val="003D41C5"/>
    <w:rsid w:val="003D4A96"/>
    <w:rsid w:val="003D4C86"/>
    <w:rsid w:val="003D5C9F"/>
    <w:rsid w:val="003D5E93"/>
    <w:rsid w:val="003D5F7D"/>
    <w:rsid w:val="003D61DA"/>
    <w:rsid w:val="003D643E"/>
    <w:rsid w:val="003D6DFF"/>
    <w:rsid w:val="003D6ED1"/>
    <w:rsid w:val="003E0E76"/>
    <w:rsid w:val="003E0E99"/>
    <w:rsid w:val="003E1545"/>
    <w:rsid w:val="003E174D"/>
    <w:rsid w:val="003E1AD8"/>
    <w:rsid w:val="003E1CF5"/>
    <w:rsid w:val="003E3242"/>
    <w:rsid w:val="003E36B2"/>
    <w:rsid w:val="003E3F13"/>
    <w:rsid w:val="003E40E0"/>
    <w:rsid w:val="003E476E"/>
    <w:rsid w:val="003E4AEF"/>
    <w:rsid w:val="003E51A1"/>
    <w:rsid w:val="003E5CCD"/>
    <w:rsid w:val="003E6C8F"/>
    <w:rsid w:val="003E71B4"/>
    <w:rsid w:val="003E7814"/>
    <w:rsid w:val="003E782F"/>
    <w:rsid w:val="003E7D34"/>
    <w:rsid w:val="003F0005"/>
    <w:rsid w:val="003F11EC"/>
    <w:rsid w:val="003F1DDA"/>
    <w:rsid w:val="003F1ECE"/>
    <w:rsid w:val="003F2204"/>
    <w:rsid w:val="003F3219"/>
    <w:rsid w:val="003F323A"/>
    <w:rsid w:val="003F32FB"/>
    <w:rsid w:val="003F3311"/>
    <w:rsid w:val="003F38C1"/>
    <w:rsid w:val="003F3A9A"/>
    <w:rsid w:val="003F564D"/>
    <w:rsid w:val="003F5936"/>
    <w:rsid w:val="003F5B46"/>
    <w:rsid w:val="003F5C4A"/>
    <w:rsid w:val="003F5E38"/>
    <w:rsid w:val="003F647C"/>
    <w:rsid w:val="003F670F"/>
    <w:rsid w:val="003F6BD7"/>
    <w:rsid w:val="0040015A"/>
    <w:rsid w:val="004001E4"/>
    <w:rsid w:val="00400B47"/>
    <w:rsid w:val="00401A27"/>
    <w:rsid w:val="00401D64"/>
    <w:rsid w:val="00401F60"/>
    <w:rsid w:val="004021E0"/>
    <w:rsid w:val="00402B08"/>
    <w:rsid w:val="00402C0B"/>
    <w:rsid w:val="00402D7D"/>
    <w:rsid w:val="00402FF5"/>
    <w:rsid w:val="0040310C"/>
    <w:rsid w:val="004038C6"/>
    <w:rsid w:val="00403AFA"/>
    <w:rsid w:val="00403FBA"/>
    <w:rsid w:val="00403FE4"/>
    <w:rsid w:val="00404737"/>
    <w:rsid w:val="00405576"/>
    <w:rsid w:val="00405737"/>
    <w:rsid w:val="0040716D"/>
    <w:rsid w:val="00407AB1"/>
    <w:rsid w:val="00407D9D"/>
    <w:rsid w:val="00407E62"/>
    <w:rsid w:val="00407F97"/>
    <w:rsid w:val="00410496"/>
    <w:rsid w:val="00410A72"/>
    <w:rsid w:val="00410F1B"/>
    <w:rsid w:val="00411C4C"/>
    <w:rsid w:val="00413457"/>
    <w:rsid w:val="004135F4"/>
    <w:rsid w:val="00413B4C"/>
    <w:rsid w:val="00413BD7"/>
    <w:rsid w:val="00413BE5"/>
    <w:rsid w:val="0041419B"/>
    <w:rsid w:val="004151A6"/>
    <w:rsid w:val="00415F0D"/>
    <w:rsid w:val="0041603F"/>
    <w:rsid w:val="004168F3"/>
    <w:rsid w:val="004177D6"/>
    <w:rsid w:val="00417803"/>
    <w:rsid w:val="00417A32"/>
    <w:rsid w:val="004206EA"/>
    <w:rsid w:val="00420971"/>
    <w:rsid w:val="00420A13"/>
    <w:rsid w:val="0042128A"/>
    <w:rsid w:val="0042193C"/>
    <w:rsid w:val="0042202B"/>
    <w:rsid w:val="00422ECC"/>
    <w:rsid w:val="004232AD"/>
    <w:rsid w:val="0042338B"/>
    <w:rsid w:val="00423439"/>
    <w:rsid w:val="00424BCB"/>
    <w:rsid w:val="0042504B"/>
    <w:rsid w:val="004254CF"/>
    <w:rsid w:val="004257A9"/>
    <w:rsid w:val="00425AF4"/>
    <w:rsid w:val="00425D75"/>
    <w:rsid w:val="00426681"/>
    <w:rsid w:val="004270D0"/>
    <w:rsid w:val="00427A71"/>
    <w:rsid w:val="00430643"/>
    <w:rsid w:val="004309C1"/>
    <w:rsid w:val="004311BD"/>
    <w:rsid w:val="004313CE"/>
    <w:rsid w:val="004317D6"/>
    <w:rsid w:val="00431D7B"/>
    <w:rsid w:val="004323D0"/>
    <w:rsid w:val="0043286F"/>
    <w:rsid w:val="004355E2"/>
    <w:rsid w:val="00436DE5"/>
    <w:rsid w:val="0043753E"/>
    <w:rsid w:val="004378F3"/>
    <w:rsid w:val="00440689"/>
    <w:rsid w:val="0044156F"/>
    <w:rsid w:val="004431FC"/>
    <w:rsid w:val="004437AB"/>
    <w:rsid w:val="004440FE"/>
    <w:rsid w:val="00444559"/>
    <w:rsid w:val="00445124"/>
    <w:rsid w:val="004454FF"/>
    <w:rsid w:val="00445BC5"/>
    <w:rsid w:val="004464FD"/>
    <w:rsid w:val="00447539"/>
    <w:rsid w:val="00447595"/>
    <w:rsid w:val="004478D7"/>
    <w:rsid w:val="00450A11"/>
    <w:rsid w:val="00451846"/>
    <w:rsid w:val="00452751"/>
    <w:rsid w:val="004539A9"/>
    <w:rsid w:val="00454E3A"/>
    <w:rsid w:val="00455410"/>
    <w:rsid w:val="00455945"/>
    <w:rsid w:val="00456B6C"/>
    <w:rsid w:val="00456DB3"/>
    <w:rsid w:val="00456E01"/>
    <w:rsid w:val="004576F0"/>
    <w:rsid w:val="00460190"/>
    <w:rsid w:val="004602EC"/>
    <w:rsid w:val="0046043D"/>
    <w:rsid w:val="004605A2"/>
    <w:rsid w:val="00460B5D"/>
    <w:rsid w:val="00460F1A"/>
    <w:rsid w:val="00462143"/>
    <w:rsid w:val="0046292B"/>
    <w:rsid w:val="004632B2"/>
    <w:rsid w:val="00463847"/>
    <w:rsid w:val="004639A5"/>
    <w:rsid w:val="00463A4D"/>
    <w:rsid w:val="00463B69"/>
    <w:rsid w:val="00463F86"/>
    <w:rsid w:val="00463FA6"/>
    <w:rsid w:val="00464003"/>
    <w:rsid w:val="004642B1"/>
    <w:rsid w:val="004642BD"/>
    <w:rsid w:val="00464387"/>
    <w:rsid w:val="004644C0"/>
    <w:rsid w:val="00465DFB"/>
    <w:rsid w:val="0046605B"/>
    <w:rsid w:val="004663B8"/>
    <w:rsid w:val="004667B8"/>
    <w:rsid w:val="004670C7"/>
    <w:rsid w:val="00467AB0"/>
    <w:rsid w:val="004701F6"/>
    <w:rsid w:val="00470665"/>
    <w:rsid w:val="004706E7"/>
    <w:rsid w:val="00471CFF"/>
    <w:rsid w:val="00471E26"/>
    <w:rsid w:val="004725A0"/>
    <w:rsid w:val="004725AB"/>
    <w:rsid w:val="00472FAC"/>
    <w:rsid w:val="004730C5"/>
    <w:rsid w:val="004734DC"/>
    <w:rsid w:val="00473AD9"/>
    <w:rsid w:val="00473D52"/>
    <w:rsid w:val="00475011"/>
    <w:rsid w:val="004751BB"/>
    <w:rsid w:val="004754E4"/>
    <w:rsid w:val="00476B76"/>
    <w:rsid w:val="00476E2D"/>
    <w:rsid w:val="00477F75"/>
    <w:rsid w:val="0047A202"/>
    <w:rsid w:val="0047AAE4"/>
    <w:rsid w:val="004809E5"/>
    <w:rsid w:val="0048132A"/>
    <w:rsid w:val="004814F6"/>
    <w:rsid w:val="00481609"/>
    <w:rsid w:val="0048180B"/>
    <w:rsid w:val="0048267D"/>
    <w:rsid w:val="00482E51"/>
    <w:rsid w:val="0048329C"/>
    <w:rsid w:val="00484AE3"/>
    <w:rsid w:val="004850DE"/>
    <w:rsid w:val="00485126"/>
    <w:rsid w:val="004854CD"/>
    <w:rsid w:val="00486D2E"/>
    <w:rsid w:val="0048704D"/>
    <w:rsid w:val="0048765A"/>
    <w:rsid w:val="00491512"/>
    <w:rsid w:val="00491571"/>
    <w:rsid w:val="004915B2"/>
    <w:rsid w:val="00492FAD"/>
    <w:rsid w:val="0049380A"/>
    <w:rsid w:val="00493A2E"/>
    <w:rsid w:val="00493A30"/>
    <w:rsid w:val="004943AF"/>
    <w:rsid w:val="00494527"/>
    <w:rsid w:val="0049489C"/>
    <w:rsid w:val="0049492C"/>
    <w:rsid w:val="00496632"/>
    <w:rsid w:val="0049720E"/>
    <w:rsid w:val="0049763D"/>
    <w:rsid w:val="00497D7E"/>
    <w:rsid w:val="004A01DE"/>
    <w:rsid w:val="004A0364"/>
    <w:rsid w:val="004A0C81"/>
    <w:rsid w:val="004A1692"/>
    <w:rsid w:val="004A1752"/>
    <w:rsid w:val="004A1BC3"/>
    <w:rsid w:val="004A292A"/>
    <w:rsid w:val="004A3281"/>
    <w:rsid w:val="004A3418"/>
    <w:rsid w:val="004A3679"/>
    <w:rsid w:val="004A38A8"/>
    <w:rsid w:val="004A3C85"/>
    <w:rsid w:val="004A3CA7"/>
    <w:rsid w:val="004A4007"/>
    <w:rsid w:val="004A4955"/>
    <w:rsid w:val="004A5D0E"/>
    <w:rsid w:val="004A62C4"/>
    <w:rsid w:val="004A63A0"/>
    <w:rsid w:val="004A6A5D"/>
    <w:rsid w:val="004A6D1C"/>
    <w:rsid w:val="004A77DB"/>
    <w:rsid w:val="004A7A63"/>
    <w:rsid w:val="004A7F17"/>
    <w:rsid w:val="004B059D"/>
    <w:rsid w:val="004B066C"/>
    <w:rsid w:val="004B0814"/>
    <w:rsid w:val="004B107C"/>
    <w:rsid w:val="004B1522"/>
    <w:rsid w:val="004B2520"/>
    <w:rsid w:val="004B2BCA"/>
    <w:rsid w:val="004B322A"/>
    <w:rsid w:val="004B3F9A"/>
    <w:rsid w:val="004B4074"/>
    <w:rsid w:val="004B40E7"/>
    <w:rsid w:val="004B51B5"/>
    <w:rsid w:val="004B5433"/>
    <w:rsid w:val="004B5FF0"/>
    <w:rsid w:val="004B60D4"/>
    <w:rsid w:val="004B62C7"/>
    <w:rsid w:val="004B6A38"/>
    <w:rsid w:val="004B6F7F"/>
    <w:rsid w:val="004C07A9"/>
    <w:rsid w:val="004C07C6"/>
    <w:rsid w:val="004C08AD"/>
    <w:rsid w:val="004C1D68"/>
    <w:rsid w:val="004C3300"/>
    <w:rsid w:val="004C3B89"/>
    <w:rsid w:val="004C3BD1"/>
    <w:rsid w:val="004C4122"/>
    <w:rsid w:val="004C480C"/>
    <w:rsid w:val="004C4953"/>
    <w:rsid w:val="004C4D5C"/>
    <w:rsid w:val="004C510E"/>
    <w:rsid w:val="004C680A"/>
    <w:rsid w:val="004C739D"/>
    <w:rsid w:val="004C7584"/>
    <w:rsid w:val="004C75BE"/>
    <w:rsid w:val="004D0E5E"/>
    <w:rsid w:val="004D104E"/>
    <w:rsid w:val="004D1397"/>
    <w:rsid w:val="004D1D86"/>
    <w:rsid w:val="004D29FB"/>
    <w:rsid w:val="004D30A4"/>
    <w:rsid w:val="004D370D"/>
    <w:rsid w:val="004D3DEE"/>
    <w:rsid w:val="004D4849"/>
    <w:rsid w:val="004D48C6"/>
    <w:rsid w:val="004D4C3C"/>
    <w:rsid w:val="004D4F2D"/>
    <w:rsid w:val="004D56EC"/>
    <w:rsid w:val="004D57BB"/>
    <w:rsid w:val="004D5C14"/>
    <w:rsid w:val="004D5D61"/>
    <w:rsid w:val="004D5E2C"/>
    <w:rsid w:val="004D63C2"/>
    <w:rsid w:val="004D6BD1"/>
    <w:rsid w:val="004D74A2"/>
    <w:rsid w:val="004D7CAA"/>
    <w:rsid w:val="004D7FEE"/>
    <w:rsid w:val="004E0044"/>
    <w:rsid w:val="004E01FF"/>
    <w:rsid w:val="004E0768"/>
    <w:rsid w:val="004E0949"/>
    <w:rsid w:val="004E100C"/>
    <w:rsid w:val="004E190A"/>
    <w:rsid w:val="004E1DBA"/>
    <w:rsid w:val="004E20DA"/>
    <w:rsid w:val="004E30CB"/>
    <w:rsid w:val="004E3A55"/>
    <w:rsid w:val="004E57B5"/>
    <w:rsid w:val="004E5EF3"/>
    <w:rsid w:val="004E5FC7"/>
    <w:rsid w:val="004E6AA0"/>
    <w:rsid w:val="004E6DB4"/>
    <w:rsid w:val="004E6FF0"/>
    <w:rsid w:val="004E7BE3"/>
    <w:rsid w:val="004F0970"/>
    <w:rsid w:val="004F11C5"/>
    <w:rsid w:val="004F18CD"/>
    <w:rsid w:val="004F1BE5"/>
    <w:rsid w:val="004F1C83"/>
    <w:rsid w:val="004F2028"/>
    <w:rsid w:val="004F236E"/>
    <w:rsid w:val="004F26BF"/>
    <w:rsid w:val="004F3242"/>
    <w:rsid w:val="004F3477"/>
    <w:rsid w:val="004F3C74"/>
    <w:rsid w:val="004F4697"/>
    <w:rsid w:val="004F4737"/>
    <w:rsid w:val="004F4E02"/>
    <w:rsid w:val="004F55D0"/>
    <w:rsid w:val="004F5CEC"/>
    <w:rsid w:val="004F6324"/>
    <w:rsid w:val="004F71A3"/>
    <w:rsid w:val="00501CED"/>
    <w:rsid w:val="0050225F"/>
    <w:rsid w:val="0050287C"/>
    <w:rsid w:val="00502CA3"/>
    <w:rsid w:val="00502F19"/>
    <w:rsid w:val="0050317D"/>
    <w:rsid w:val="0050336D"/>
    <w:rsid w:val="00503750"/>
    <w:rsid w:val="00503AFF"/>
    <w:rsid w:val="0050516C"/>
    <w:rsid w:val="005062CD"/>
    <w:rsid w:val="005068C4"/>
    <w:rsid w:val="00507A67"/>
    <w:rsid w:val="00510198"/>
    <w:rsid w:val="00510715"/>
    <w:rsid w:val="0051079F"/>
    <w:rsid w:val="00510FC0"/>
    <w:rsid w:val="00511292"/>
    <w:rsid w:val="00511E54"/>
    <w:rsid w:val="00511E80"/>
    <w:rsid w:val="0051245F"/>
    <w:rsid w:val="005135CF"/>
    <w:rsid w:val="00513642"/>
    <w:rsid w:val="0051423B"/>
    <w:rsid w:val="005147D7"/>
    <w:rsid w:val="00514864"/>
    <w:rsid w:val="00514E03"/>
    <w:rsid w:val="00515052"/>
    <w:rsid w:val="005153CC"/>
    <w:rsid w:val="00515462"/>
    <w:rsid w:val="005157A9"/>
    <w:rsid w:val="005167C5"/>
    <w:rsid w:val="00516D08"/>
    <w:rsid w:val="00516DFB"/>
    <w:rsid w:val="005170DF"/>
    <w:rsid w:val="005179EA"/>
    <w:rsid w:val="00517C7C"/>
    <w:rsid w:val="005209B1"/>
    <w:rsid w:val="00521D13"/>
    <w:rsid w:val="005231FF"/>
    <w:rsid w:val="00523334"/>
    <w:rsid w:val="00523696"/>
    <w:rsid w:val="00523C63"/>
    <w:rsid w:val="0052440D"/>
    <w:rsid w:val="00524577"/>
    <w:rsid w:val="00524FD6"/>
    <w:rsid w:val="00525300"/>
    <w:rsid w:val="00525AB4"/>
    <w:rsid w:val="00527080"/>
    <w:rsid w:val="00527288"/>
    <w:rsid w:val="00527524"/>
    <w:rsid w:val="00527828"/>
    <w:rsid w:val="00527A55"/>
    <w:rsid w:val="005301DF"/>
    <w:rsid w:val="005313B8"/>
    <w:rsid w:val="0053186B"/>
    <w:rsid w:val="00531BCA"/>
    <w:rsid w:val="005328FF"/>
    <w:rsid w:val="00532F70"/>
    <w:rsid w:val="005336E5"/>
    <w:rsid w:val="00534373"/>
    <w:rsid w:val="00534A90"/>
    <w:rsid w:val="00535D9F"/>
    <w:rsid w:val="005363BC"/>
    <w:rsid w:val="005370BF"/>
    <w:rsid w:val="005374C5"/>
    <w:rsid w:val="005405E1"/>
    <w:rsid w:val="00540E19"/>
    <w:rsid w:val="00541142"/>
    <w:rsid w:val="005413B8"/>
    <w:rsid w:val="00542017"/>
    <w:rsid w:val="00542163"/>
    <w:rsid w:val="005427DF"/>
    <w:rsid w:val="0054298E"/>
    <w:rsid w:val="00542D5F"/>
    <w:rsid w:val="00542D6E"/>
    <w:rsid w:val="005433D9"/>
    <w:rsid w:val="005434A7"/>
    <w:rsid w:val="005434E9"/>
    <w:rsid w:val="00543915"/>
    <w:rsid w:val="00543C23"/>
    <w:rsid w:val="00543CB3"/>
    <w:rsid w:val="00544044"/>
    <w:rsid w:val="005446F0"/>
    <w:rsid w:val="0054581D"/>
    <w:rsid w:val="00545EDA"/>
    <w:rsid w:val="00546BDF"/>
    <w:rsid w:val="0054787B"/>
    <w:rsid w:val="005478FE"/>
    <w:rsid w:val="00547B59"/>
    <w:rsid w:val="00547CF9"/>
    <w:rsid w:val="00547F31"/>
    <w:rsid w:val="00550971"/>
    <w:rsid w:val="00550EDA"/>
    <w:rsid w:val="005513D5"/>
    <w:rsid w:val="00551B29"/>
    <w:rsid w:val="00551B33"/>
    <w:rsid w:val="00551EEC"/>
    <w:rsid w:val="005528F6"/>
    <w:rsid w:val="00552910"/>
    <w:rsid w:val="00552DE3"/>
    <w:rsid w:val="00553467"/>
    <w:rsid w:val="005538FC"/>
    <w:rsid w:val="00553913"/>
    <w:rsid w:val="00553A8F"/>
    <w:rsid w:val="00553FC0"/>
    <w:rsid w:val="0055477B"/>
    <w:rsid w:val="00554D4D"/>
    <w:rsid w:val="00554EB0"/>
    <w:rsid w:val="005564B8"/>
    <w:rsid w:val="00556B95"/>
    <w:rsid w:val="00556C5E"/>
    <w:rsid w:val="005578CF"/>
    <w:rsid w:val="00560AFC"/>
    <w:rsid w:val="00560C63"/>
    <w:rsid w:val="00560CA4"/>
    <w:rsid w:val="00560DEE"/>
    <w:rsid w:val="00560EFA"/>
    <w:rsid w:val="0056166E"/>
    <w:rsid w:val="00561CF3"/>
    <w:rsid w:val="00562433"/>
    <w:rsid w:val="00563100"/>
    <w:rsid w:val="00563523"/>
    <w:rsid w:val="005636B2"/>
    <w:rsid w:val="005638B3"/>
    <w:rsid w:val="00564939"/>
    <w:rsid w:val="00565039"/>
    <w:rsid w:val="005653FE"/>
    <w:rsid w:val="005654A5"/>
    <w:rsid w:val="005656C2"/>
    <w:rsid w:val="00566184"/>
    <w:rsid w:val="0056648E"/>
    <w:rsid w:val="00566DFC"/>
    <w:rsid w:val="005673DE"/>
    <w:rsid w:val="00570447"/>
    <w:rsid w:val="005709B8"/>
    <w:rsid w:val="00570F68"/>
    <w:rsid w:val="0057178D"/>
    <w:rsid w:val="00571ADB"/>
    <w:rsid w:val="00572171"/>
    <w:rsid w:val="00572992"/>
    <w:rsid w:val="00572D78"/>
    <w:rsid w:val="0057311A"/>
    <w:rsid w:val="00573CC4"/>
    <w:rsid w:val="00573F7B"/>
    <w:rsid w:val="00574250"/>
    <w:rsid w:val="005744B5"/>
    <w:rsid w:val="005745AA"/>
    <w:rsid w:val="00575094"/>
    <w:rsid w:val="0057534C"/>
    <w:rsid w:val="00575FFE"/>
    <w:rsid w:val="0057619D"/>
    <w:rsid w:val="00576C3D"/>
    <w:rsid w:val="00577069"/>
    <w:rsid w:val="00577E20"/>
    <w:rsid w:val="00580D66"/>
    <w:rsid w:val="00580F6E"/>
    <w:rsid w:val="00580F7D"/>
    <w:rsid w:val="005819EC"/>
    <w:rsid w:val="00581C15"/>
    <w:rsid w:val="00581C1C"/>
    <w:rsid w:val="00581C25"/>
    <w:rsid w:val="0058249F"/>
    <w:rsid w:val="00582E36"/>
    <w:rsid w:val="00582FB0"/>
    <w:rsid w:val="005837E2"/>
    <w:rsid w:val="00584438"/>
    <w:rsid w:val="005845A7"/>
    <w:rsid w:val="00584A2E"/>
    <w:rsid w:val="00584C85"/>
    <w:rsid w:val="0058665E"/>
    <w:rsid w:val="0058670D"/>
    <w:rsid w:val="0058684B"/>
    <w:rsid w:val="00586D17"/>
    <w:rsid w:val="0058731B"/>
    <w:rsid w:val="0058751E"/>
    <w:rsid w:val="00587E37"/>
    <w:rsid w:val="005904C9"/>
    <w:rsid w:val="005904CF"/>
    <w:rsid w:val="005907DB"/>
    <w:rsid w:val="00590817"/>
    <w:rsid w:val="00590CDC"/>
    <w:rsid w:val="005914FB"/>
    <w:rsid w:val="00591C89"/>
    <w:rsid w:val="0059208D"/>
    <w:rsid w:val="0059231D"/>
    <w:rsid w:val="005923D2"/>
    <w:rsid w:val="0059253B"/>
    <w:rsid w:val="005934B2"/>
    <w:rsid w:val="00593C2B"/>
    <w:rsid w:val="0059401F"/>
    <w:rsid w:val="0059592A"/>
    <w:rsid w:val="00595AB2"/>
    <w:rsid w:val="00596537"/>
    <w:rsid w:val="005977C0"/>
    <w:rsid w:val="00597B49"/>
    <w:rsid w:val="00597BDF"/>
    <w:rsid w:val="005A01E6"/>
    <w:rsid w:val="005A2E41"/>
    <w:rsid w:val="005A403F"/>
    <w:rsid w:val="005A5586"/>
    <w:rsid w:val="005A5EDE"/>
    <w:rsid w:val="005A65D5"/>
    <w:rsid w:val="005A66CB"/>
    <w:rsid w:val="005A6791"/>
    <w:rsid w:val="005A6814"/>
    <w:rsid w:val="005A6E81"/>
    <w:rsid w:val="005A713B"/>
    <w:rsid w:val="005B089A"/>
    <w:rsid w:val="005B0C50"/>
    <w:rsid w:val="005B1182"/>
    <w:rsid w:val="005B18FA"/>
    <w:rsid w:val="005B1DD6"/>
    <w:rsid w:val="005B29C6"/>
    <w:rsid w:val="005B29E6"/>
    <w:rsid w:val="005B2F28"/>
    <w:rsid w:val="005B3226"/>
    <w:rsid w:val="005B3E3B"/>
    <w:rsid w:val="005B3FF0"/>
    <w:rsid w:val="005B4164"/>
    <w:rsid w:val="005B450D"/>
    <w:rsid w:val="005B4B80"/>
    <w:rsid w:val="005B675F"/>
    <w:rsid w:val="005B678B"/>
    <w:rsid w:val="005B7ACA"/>
    <w:rsid w:val="005C0316"/>
    <w:rsid w:val="005C0C79"/>
    <w:rsid w:val="005C1537"/>
    <w:rsid w:val="005C1636"/>
    <w:rsid w:val="005C1B9B"/>
    <w:rsid w:val="005C1CC6"/>
    <w:rsid w:val="005C259B"/>
    <w:rsid w:val="005C2619"/>
    <w:rsid w:val="005C2734"/>
    <w:rsid w:val="005C2CAD"/>
    <w:rsid w:val="005C39A4"/>
    <w:rsid w:val="005C3C96"/>
    <w:rsid w:val="005C4DB0"/>
    <w:rsid w:val="005C4E25"/>
    <w:rsid w:val="005C5E97"/>
    <w:rsid w:val="005C6713"/>
    <w:rsid w:val="005C7012"/>
    <w:rsid w:val="005C7F5D"/>
    <w:rsid w:val="005D01E1"/>
    <w:rsid w:val="005D050C"/>
    <w:rsid w:val="005D0F4A"/>
    <w:rsid w:val="005D0F59"/>
    <w:rsid w:val="005D144D"/>
    <w:rsid w:val="005D1B9C"/>
    <w:rsid w:val="005D2536"/>
    <w:rsid w:val="005D26DF"/>
    <w:rsid w:val="005D2BB0"/>
    <w:rsid w:val="005D2F8D"/>
    <w:rsid w:val="005D352E"/>
    <w:rsid w:val="005D4419"/>
    <w:rsid w:val="005D5E94"/>
    <w:rsid w:val="005E048C"/>
    <w:rsid w:val="005E05AF"/>
    <w:rsid w:val="005E17D2"/>
    <w:rsid w:val="005E25B8"/>
    <w:rsid w:val="005E265F"/>
    <w:rsid w:val="005E3B03"/>
    <w:rsid w:val="005E4193"/>
    <w:rsid w:val="005E43C5"/>
    <w:rsid w:val="005E4CD4"/>
    <w:rsid w:val="005E4DA3"/>
    <w:rsid w:val="005E5AB5"/>
    <w:rsid w:val="005E5C76"/>
    <w:rsid w:val="005E6240"/>
    <w:rsid w:val="005E6331"/>
    <w:rsid w:val="005E6464"/>
    <w:rsid w:val="005E68AA"/>
    <w:rsid w:val="005E6EC9"/>
    <w:rsid w:val="005E6F5A"/>
    <w:rsid w:val="005E788F"/>
    <w:rsid w:val="005F0116"/>
    <w:rsid w:val="005F0E91"/>
    <w:rsid w:val="005F16B0"/>
    <w:rsid w:val="005F22D3"/>
    <w:rsid w:val="005F2863"/>
    <w:rsid w:val="005F2925"/>
    <w:rsid w:val="005F2BA6"/>
    <w:rsid w:val="005F2DB9"/>
    <w:rsid w:val="005F31CE"/>
    <w:rsid w:val="005F3557"/>
    <w:rsid w:val="005F3671"/>
    <w:rsid w:val="005F44CA"/>
    <w:rsid w:val="005F48D5"/>
    <w:rsid w:val="005F4E92"/>
    <w:rsid w:val="005F502B"/>
    <w:rsid w:val="005F5143"/>
    <w:rsid w:val="005F51C6"/>
    <w:rsid w:val="005F51F2"/>
    <w:rsid w:val="005F5239"/>
    <w:rsid w:val="005F5E86"/>
    <w:rsid w:val="005F635C"/>
    <w:rsid w:val="005F65D9"/>
    <w:rsid w:val="005F6752"/>
    <w:rsid w:val="005F6E81"/>
    <w:rsid w:val="005F705E"/>
    <w:rsid w:val="006007CC"/>
    <w:rsid w:val="00600ACD"/>
    <w:rsid w:val="00600BA0"/>
    <w:rsid w:val="00600C67"/>
    <w:rsid w:val="00600F00"/>
    <w:rsid w:val="00601851"/>
    <w:rsid w:val="00602B11"/>
    <w:rsid w:val="00602F05"/>
    <w:rsid w:val="00603248"/>
    <w:rsid w:val="006035CD"/>
    <w:rsid w:val="0060430C"/>
    <w:rsid w:val="00605040"/>
    <w:rsid w:val="00605B59"/>
    <w:rsid w:val="00605C53"/>
    <w:rsid w:val="006060BA"/>
    <w:rsid w:val="006063A7"/>
    <w:rsid w:val="006066B4"/>
    <w:rsid w:val="0060739E"/>
    <w:rsid w:val="00607B18"/>
    <w:rsid w:val="00610249"/>
    <w:rsid w:val="00610B71"/>
    <w:rsid w:val="00610FFB"/>
    <w:rsid w:val="00611069"/>
    <w:rsid w:val="006113B7"/>
    <w:rsid w:val="00611DE7"/>
    <w:rsid w:val="0061201F"/>
    <w:rsid w:val="00612113"/>
    <w:rsid w:val="006121BF"/>
    <w:rsid w:val="00613154"/>
    <w:rsid w:val="006132CB"/>
    <w:rsid w:val="00613A2E"/>
    <w:rsid w:val="00613E05"/>
    <w:rsid w:val="00614473"/>
    <w:rsid w:val="00614813"/>
    <w:rsid w:val="00614FD4"/>
    <w:rsid w:val="00615669"/>
    <w:rsid w:val="006158A2"/>
    <w:rsid w:val="00616795"/>
    <w:rsid w:val="006168D0"/>
    <w:rsid w:val="00616B71"/>
    <w:rsid w:val="00616C48"/>
    <w:rsid w:val="00617885"/>
    <w:rsid w:val="006178D0"/>
    <w:rsid w:val="0062078F"/>
    <w:rsid w:val="00620A1A"/>
    <w:rsid w:val="00620EE2"/>
    <w:rsid w:val="00620FF4"/>
    <w:rsid w:val="006215C5"/>
    <w:rsid w:val="00621A35"/>
    <w:rsid w:val="00621E7E"/>
    <w:rsid w:val="00623C53"/>
    <w:rsid w:val="006249A0"/>
    <w:rsid w:val="006250C9"/>
    <w:rsid w:val="00625362"/>
    <w:rsid w:val="00625998"/>
    <w:rsid w:val="00625B75"/>
    <w:rsid w:val="00627413"/>
    <w:rsid w:val="00627747"/>
    <w:rsid w:val="00630371"/>
    <w:rsid w:val="00630489"/>
    <w:rsid w:val="006304DD"/>
    <w:rsid w:val="0063058B"/>
    <w:rsid w:val="006306C5"/>
    <w:rsid w:val="00633A0C"/>
    <w:rsid w:val="00633B13"/>
    <w:rsid w:val="006359B2"/>
    <w:rsid w:val="00635C39"/>
    <w:rsid w:val="00636237"/>
    <w:rsid w:val="00636ACA"/>
    <w:rsid w:val="00637CC7"/>
    <w:rsid w:val="0063EECE"/>
    <w:rsid w:val="0064042E"/>
    <w:rsid w:val="00640D1F"/>
    <w:rsid w:val="006410F8"/>
    <w:rsid w:val="00642501"/>
    <w:rsid w:val="006425DE"/>
    <w:rsid w:val="006428C2"/>
    <w:rsid w:val="006437CF"/>
    <w:rsid w:val="006447FD"/>
    <w:rsid w:val="00645292"/>
    <w:rsid w:val="006466CA"/>
    <w:rsid w:val="00646760"/>
    <w:rsid w:val="006469AE"/>
    <w:rsid w:val="00646C49"/>
    <w:rsid w:val="00646E3B"/>
    <w:rsid w:val="00647AF0"/>
    <w:rsid w:val="0065008C"/>
    <w:rsid w:val="00650AF0"/>
    <w:rsid w:val="00650DD0"/>
    <w:rsid w:val="00651998"/>
    <w:rsid w:val="006521C8"/>
    <w:rsid w:val="00652245"/>
    <w:rsid w:val="00652B6F"/>
    <w:rsid w:val="00653710"/>
    <w:rsid w:val="00653CC7"/>
    <w:rsid w:val="00653FE8"/>
    <w:rsid w:val="006543A1"/>
    <w:rsid w:val="00654C08"/>
    <w:rsid w:val="006555CE"/>
    <w:rsid w:val="006557FE"/>
    <w:rsid w:val="00655A36"/>
    <w:rsid w:val="006567EE"/>
    <w:rsid w:val="00656C64"/>
    <w:rsid w:val="00656EDF"/>
    <w:rsid w:val="00657BE4"/>
    <w:rsid w:val="00657C07"/>
    <w:rsid w:val="00657F43"/>
    <w:rsid w:val="00660730"/>
    <w:rsid w:val="00660EB8"/>
    <w:rsid w:val="00660FA3"/>
    <w:rsid w:val="006613AF"/>
    <w:rsid w:val="00661A5C"/>
    <w:rsid w:val="00661C8D"/>
    <w:rsid w:val="00662288"/>
    <w:rsid w:val="006624D9"/>
    <w:rsid w:val="00662D6B"/>
    <w:rsid w:val="00663629"/>
    <w:rsid w:val="00663D09"/>
    <w:rsid w:val="00664038"/>
    <w:rsid w:val="006643AB"/>
    <w:rsid w:val="0066499D"/>
    <w:rsid w:val="006649D1"/>
    <w:rsid w:val="00664EEC"/>
    <w:rsid w:val="00665F18"/>
    <w:rsid w:val="00665F80"/>
    <w:rsid w:val="00666A34"/>
    <w:rsid w:val="00666ADC"/>
    <w:rsid w:val="0066755D"/>
    <w:rsid w:val="00670932"/>
    <w:rsid w:val="006716B2"/>
    <w:rsid w:val="00671AE1"/>
    <w:rsid w:val="00671E14"/>
    <w:rsid w:val="006723C2"/>
    <w:rsid w:val="00672BFF"/>
    <w:rsid w:val="00672C49"/>
    <w:rsid w:val="00672CF2"/>
    <w:rsid w:val="00672EE0"/>
    <w:rsid w:val="00673DD7"/>
    <w:rsid w:val="00673F33"/>
    <w:rsid w:val="0067440D"/>
    <w:rsid w:val="00674BD2"/>
    <w:rsid w:val="0067513E"/>
    <w:rsid w:val="006758F6"/>
    <w:rsid w:val="00675D59"/>
    <w:rsid w:val="00675F4E"/>
    <w:rsid w:val="00676CF6"/>
    <w:rsid w:val="00677056"/>
    <w:rsid w:val="00677E48"/>
    <w:rsid w:val="006804C0"/>
    <w:rsid w:val="006808D5"/>
    <w:rsid w:val="006815A2"/>
    <w:rsid w:val="00681627"/>
    <w:rsid w:val="00681876"/>
    <w:rsid w:val="00681A69"/>
    <w:rsid w:val="00681AE1"/>
    <w:rsid w:val="00681B8A"/>
    <w:rsid w:val="00682165"/>
    <w:rsid w:val="006823C1"/>
    <w:rsid w:val="006824E1"/>
    <w:rsid w:val="00682537"/>
    <w:rsid w:val="00682679"/>
    <w:rsid w:val="00682C33"/>
    <w:rsid w:val="00682F0E"/>
    <w:rsid w:val="00682F86"/>
    <w:rsid w:val="00683DFF"/>
    <w:rsid w:val="00684775"/>
    <w:rsid w:val="00684FBC"/>
    <w:rsid w:val="00685EB5"/>
    <w:rsid w:val="00685ECB"/>
    <w:rsid w:val="00686281"/>
    <w:rsid w:val="0068695E"/>
    <w:rsid w:val="00686F07"/>
    <w:rsid w:val="006873AA"/>
    <w:rsid w:val="0068783F"/>
    <w:rsid w:val="00687D74"/>
    <w:rsid w:val="00687D75"/>
    <w:rsid w:val="00690DBC"/>
    <w:rsid w:val="00690FD3"/>
    <w:rsid w:val="006912FA"/>
    <w:rsid w:val="006918B7"/>
    <w:rsid w:val="0069234D"/>
    <w:rsid w:val="00692A6F"/>
    <w:rsid w:val="00692BDF"/>
    <w:rsid w:val="00692D3A"/>
    <w:rsid w:val="00692E5C"/>
    <w:rsid w:val="0069304A"/>
    <w:rsid w:val="0069429D"/>
    <w:rsid w:val="00694CAE"/>
    <w:rsid w:val="00695115"/>
    <w:rsid w:val="00695AAF"/>
    <w:rsid w:val="00695BDF"/>
    <w:rsid w:val="00695D9C"/>
    <w:rsid w:val="00695EC4"/>
    <w:rsid w:val="0069714E"/>
    <w:rsid w:val="00697C8D"/>
    <w:rsid w:val="006A0872"/>
    <w:rsid w:val="006A17CD"/>
    <w:rsid w:val="006A22E0"/>
    <w:rsid w:val="006A2523"/>
    <w:rsid w:val="006A3ACF"/>
    <w:rsid w:val="006A3C4B"/>
    <w:rsid w:val="006A4DCF"/>
    <w:rsid w:val="006A4FC1"/>
    <w:rsid w:val="006A54A6"/>
    <w:rsid w:val="006A5560"/>
    <w:rsid w:val="006A5A68"/>
    <w:rsid w:val="006A6AAF"/>
    <w:rsid w:val="006A7154"/>
    <w:rsid w:val="006B085A"/>
    <w:rsid w:val="006B1AC2"/>
    <w:rsid w:val="006B1DEC"/>
    <w:rsid w:val="006B21C0"/>
    <w:rsid w:val="006B2BEB"/>
    <w:rsid w:val="006B2CEB"/>
    <w:rsid w:val="006B2F21"/>
    <w:rsid w:val="006B3B26"/>
    <w:rsid w:val="006B3D98"/>
    <w:rsid w:val="006B4103"/>
    <w:rsid w:val="006B431C"/>
    <w:rsid w:val="006B4E03"/>
    <w:rsid w:val="006B5601"/>
    <w:rsid w:val="006B597C"/>
    <w:rsid w:val="006B5B1C"/>
    <w:rsid w:val="006B6C59"/>
    <w:rsid w:val="006B6F1E"/>
    <w:rsid w:val="006B70C4"/>
    <w:rsid w:val="006B726F"/>
    <w:rsid w:val="006B76D2"/>
    <w:rsid w:val="006C049E"/>
    <w:rsid w:val="006C2BD3"/>
    <w:rsid w:val="006C33DB"/>
    <w:rsid w:val="006C3BF3"/>
    <w:rsid w:val="006C45AF"/>
    <w:rsid w:val="006C569C"/>
    <w:rsid w:val="006C5E4C"/>
    <w:rsid w:val="006C5E65"/>
    <w:rsid w:val="006C5E69"/>
    <w:rsid w:val="006C62C5"/>
    <w:rsid w:val="006C68CA"/>
    <w:rsid w:val="006C6B27"/>
    <w:rsid w:val="006C73BB"/>
    <w:rsid w:val="006D0207"/>
    <w:rsid w:val="006D026F"/>
    <w:rsid w:val="006D04B5"/>
    <w:rsid w:val="006D0557"/>
    <w:rsid w:val="006D0A73"/>
    <w:rsid w:val="006D0CD9"/>
    <w:rsid w:val="006D15D3"/>
    <w:rsid w:val="006D1CA6"/>
    <w:rsid w:val="006D2067"/>
    <w:rsid w:val="006D2351"/>
    <w:rsid w:val="006D2B89"/>
    <w:rsid w:val="006D3743"/>
    <w:rsid w:val="006D3AE4"/>
    <w:rsid w:val="006D5A33"/>
    <w:rsid w:val="006D623F"/>
    <w:rsid w:val="006D663A"/>
    <w:rsid w:val="006D69D7"/>
    <w:rsid w:val="006D74D3"/>
    <w:rsid w:val="006E0699"/>
    <w:rsid w:val="006E0F9F"/>
    <w:rsid w:val="006E1476"/>
    <w:rsid w:val="006E14F5"/>
    <w:rsid w:val="006E1923"/>
    <w:rsid w:val="006E26DC"/>
    <w:rsid w:val="006E2C1E"/>
    <w:rsid w:val="006E36A5"/>
    <w:rsid w:val="006E381E"/>
    <w:rsid w:val="006E49B1"/>
    <w:rsid w:val="006E6AF2"/>
    <w:rsid w:val="006E6C3E"/>
    <w:rsid w:val="006E6FE4"/>
    <w:rsid w:val="006E7434"/>
    <w:rsid w:val="006E7B87"/>
    <w:rsid w:val="006F0282"/>
    <w:rsid w:val="006F06DE"/>
    <w:rsid w:val="006F07F2"/>
    <w:rsid w:val="006F1A62"/>
    <w:rsid w:val="006F2169"/>
    <w:rsid w:val="006F2788"/>
    <w:rsid w:val="006F3685"/>
    <w:rsid w:val="006F37EE"/>
    <w:rsid w:val="006F4008"/>
    <w:rsid w:val="006F402A"/>
    <w:rsid w:val="006F47C0"/>
    <w:rsid w:val="006F4DA5"/>
    <w:rsid w:val="006F4FD8"/>
    <w:rsid w:val="006F55DE"/>
    <w:rsid w:val="006F56E5"/>
    <w:rsid w:val="006F5ADB"/>
    <w:rsid w:val="006F5BDD"/>
    <w:rsid w:val="006F5F64"/>
    <w:rsid w:val="006F603F"/>
    <w:rsid w:val="006F703E"/>
    <w:rsid w:val="006F7FD7"/>
    <w:rsid w:val="0070097E"/>
    <w:rsid w:val="0070208D"/>
    <w:rsid w:val="007029E7"/>
    <w:rsid w:val="00702FF6"/>
    <w:rsid w:val="00703434"/>
    <w:rsid w:val="007038EF"/>
    <w:rsid w:val="007043C9"/>
    <w:rsid w:val="007049EF"/>
    <w:rsid w:val="00704A3C"/>
    <w:rsid w:val="00704CA6"/>
    <w:rsid w:val="00705890"/>
    <w:rsid w:val="00705A61"/>
    <w:rsid w:val="00706701"/>
    <w:rsid w:val="00706C06"/>
    <w:rsid w:val="007072F2"/>
    <w:rsid w:val="0071028B"/>
    <w:rsid w:val="00710879"/>
    <w:rsid w:val="007110F9"/>
    <w:rsid w:val="0071195E"/>
    <w:rsid w:val="007125C2"/>
    <w:rsid w:val="007130AF"/>
    <w:rsid w:val="0071310E"/>
    <w:rsid w:val="007139AA"/>
    <w:rsid w:val="00713B0A"/>
    <w:rsid w:val="00713EAE"/>
    <w:rsid w:val="00714E2C"/>
    <w:rsid w:val="00714E5C"/>
    <w:rsid w:val="007153ED"/>
    <w:rsid w:val="0071559B"/>
    <w:rsid w:val="007160BE"/>
    <w:rsid w:val="007165D1"/>
    <w:rsid w:val="00716706"/>
    <w:rsid w:val="00716DC4"/>
    <w:rsid w:val="00717009"/>
    <w:rsid w:val="007170DD"/>
    <w:rsid w:val="007179DE"/>
    <w:rsid w:val="0071BA43"/>
    <w:rsid w:val="0072015E"/>
    <w:rsid w:val="00720771"/>
    <w:rsid w:val="007207E7"/>
    <w:rsid w:val="00721BE9"/>
    <w:rsid w:val="00721D8C"/>
    <w:rsid w:val="00721EF2"/>
    <w:rsid w:val="0072204C"/>
    <w:rsid w:val="0072225F"/>
    <w:rsid w:val="0072279C"/>
    <w:rsid w:val="007242BA"/>
    <w:rsid w:val="007243ED"/>
    <w:rsid w:val="00724437"/>
    <w:rsid w:val="00724447"/>
    <w:rsid w:val="00724E53"/>
    <w:rsid w:val="0072598E"/>
    <w:rsid w:val="00725C2E"/>
    <w:rsid w:val="0072600B"/>
    <w:rsid w:val="007265B3"/>
    <w:rsid w:val="007278AE"/>
    <w:rsid w:val="00727924"/>
    <w:rsid w:val="00727BB3"/>
    <w:rsid w:val="00727C2E"/>
    <w:rsid w:val="0073052E"/>
    <w:rsid w:val="007306ED"/>
    <w:rsid w:val="007309A5"/>
    <w:rsid w:val="0073184A"/>
    <w:rsid w:val="007319CF"/>
    <w:rsid w:val="00731BA8"/>
    <w:rsid w:val="007327CD"/>
    <w:rsid w:val="00732EEC"/>
    <w:rsid w:val="00733563"/>
    <w:rsid w:val="007335BC"/>
    <w:rsid w:val="00734571"/>
    <w:rsid w:val="0073507C"/>
    <w:rsid w:val="00735A6D"/>
    <w:rsid w:val="007365BB"/>
    <w:rsid w:val="00736B85"/>
    <w:rsid w:val="00736EDF"/>
    <w:rsid w:val="00737120"/>
    <w:rsid w:val="007378E5"/>
    <w:rsid w:val="0074002F"/>
    <w:rsid w:val="0074057C"/>
    <w:rsid w:val="00740D3D"/>
    <w:rsid w:val="00740F3F"/>
    <w:rsid w:val="00741023"/>
    <w:rsid w:val="007417C1"/>
    <w:rsid w:val="00742316"/>
    <w:rsid w:val="00742A08"/>
    <w:rsid w:val="00742DFB"/>
    <w:rsid w:val="0074351E"/>
    <w:rsid w:val="0074410D"/>
    <w:rsid w:val="00745666"/>
    <w:rsid w:val="00746977"/>
    <w:rsid w:val="00747D1B"/>
    <w:rsid w:val="00750307"/>
    <w:rsid w:val="00750821"/>
    <w:rsid w:val="00750A82"/>
    <w:rsid w:val="00750AA6"/>
    <w:rsid w:val="00750AF0"/>
    <w:rsid w:val="00751899"/>
    <w:rsid w:val="00751BF1"/>
    <w:rsid w:val="00751D64"/>
    <w:rsid w:val="00751E0C"/>
    <w:rsid w:val="007528BC"/>
    <w:rsid w:val="00752D54"/>
    <w:rsid w:val="00752D75"/>
    <w:rsid w:val="00753345"/>
    <w:rsid w:val="0075355F"/>
    <w:rsid w:val="00753964"/>
    <w:rsid w:val="00753D75"/>
    <w:rsid w:val="00754777"/>
    <w:rsid w:val="0075515A"/>
    <w:rsid w:val="00755E9B"/>
    <w:rsid w:val="007566CC"/>
    <w:rsid w:val="00757061"/>
    <w:rsid w:val="00757214"/>
    <w:rsid w:val="007578A2"/>
    <w:rsid w:val="00757C8F"/>
    <w:rsid w:val="0075CDBB"/>
    <w:rsid w:val="00760CCA"/>
    <w:rsid w:val="007612CB"/>
    <w:rsid w:val="0076132F"/>
    <w:rsid w:val="0076167F"/>
    <w:rsid w:val="0076173B"/>
    <w:rsid w:val="00761AE3"/>
    <w:rsid w:val="0076330E"/>
    <w:rsid w:val="00763536"/>
    <w:rsid w:val="00764394"/>
    <w:rsid w:val="00764AC3"/>
    <w:rsid w:val="00765A3B"/>
    <w:rsid w:val="00766C97"/>
    <w:rsid w:val="00766E79"/>
    <w:rsid w:val="007673EA"/>
    <w:rsid w:val="00767B62"/>
    <w:rsid w:val="00767CA1"/>
    <w:rsid w:val="0076A8A0"/>
    <w:rsid w:val="007707F8"/>
    <w:rsid w:val="007715BF"/>
    <w:rsid w:val="0077172A"/>
    <w:rsid w:val="00771886"/>
    <w:rsid w:val="007722E3"/>
    <w:rsid w:val="007724F5"/>
    <w:rsid w:val="00773A5A"/>
    <w:rsid w:val="00773F89"/>
    <w:rsid w:val="00774967"/>
    <w:rsid w:val="00774C8F"/>
    <w:rsid w:val="00774FE6"/>
    <w:rsid w:val="00775809"/>
    <w:rsid w:val="007766F4"/>
    <w:rsid w:val="00776893"/>
    <w:rsid w:val="00777A1C"/>
    <w:rsid w:val="00777F73"/>
    <w:rsid w:val="00779D7B"/>
    <w:rsid w:val="00780B9A"/>
    <w:rsid w:val="00780D27"/>
    <w:rsid w:val="00781D2A"/>
    <w:rsid w:val="00781DBD"/>
    <w:rsid w:val="00782BA4"/>
    <w:rsid w:val="00783BDD"/>
    <w:rsid w:val="00783F51"/>
    <w:rsid w:val="0078450C"/>
    <w:rsid w:val="00785463"/>
    <w:rsid w:val="00786338"/>
    <w:rsid w:val="007876CE"/>
    <w:rsid w:val="007879C2"/>
    <w:rsid w:val="00787BB8"/>
    <w:rsid w:val="00787FE6"/>
    <w:rsid w:val="0079127E"/>
    <w:rsid w:val="007912FE"/>
    <w:rsid w:val="0079155E"/>
    <w:rsid w:val="0079181B"/>
    <w:rsid w:val="00791ACC"/>
    <w:rsid w:val="00792306"/>
    <w:rsid w:val="007927C2"/>
    <w:rsid w:val="00792B66"/>
    <w:rsid w:val="007935E5"/>
    <w:rsid w:val="00793678"/>
    <w:rsid w:val="0079378E"/>
    <w:rsid w:val="00793B06"/>
    <w:rsid w:val="00793CAF"/>
    <w:rsid w:val="00793D58"/>
    <w:rsid w:val="0079401D"/>
    <w:rsid w:val="00794039"/>
    <w:rsid w:val="007947C9"/>
    <w:rsid w:val="00794B94"/>
    <w:rsid w:val="00794FF6"/>
    <w:rsid w:val="0079515A"/>
    <w:rsid w:val="00795223"/>
    <w:rsid w:val="0079565B"/>
    <w:rsid w:val="00797239"/>
    <w:rsid w:val="00797C30"/>
    <w:rsid w:val="00797CC1"/>
    <w:rsid w:val="007A099A"/>
    <w:rsid w:val="007A1E3C"/>
    <w:rsid w:val="007A2BCB"/>
    <w:rsid w:val="007A3158"/>
    <w:rsid w:val="007A33BE"/>
    <w:rsid w:val="007A35B5"/>
    <w:rsid w:val="007A3AA6"/>
    <w:rsid w:val="007A3DCB"/>
    <w:rsid w:val="007A3EA2"/>
    <w:rsid w:val="007A3ED2"/>
    <w:rsid w:val="007A3FFA"/>
    <w:rsid w:val="007A4836"/>
    <w:rsid w:val="007A4976"/>
    <w:rsid w:val="007A529B"/>
    <w:rsid w:val="007A58D0"/>
    <w:rsid w:val="007A594D"/>
    <w:rsid w:val="007A5AB9"/>
    <w:rsid w:val="007A5B66"/>
    <w:rsid w:val="007A5BB8"/>
    <w:rsid w:val="007A5C32"/>
    <w:rsid w:val="007A644B"/>
    <w:rsid w:val="007A6459"/>
    <w:rsid w:val="007A65CD"/>
    <w:rsid w:val="007A6FE4"/>
    <w:rsid w:val="007B00E3"/>
    <w:rsid w:val="007B06AC"/>
    <w:rsid w:val="007B0791"/>
    <w:rsid w:val="007B0AE7"/>
    <w:rsid w:val="007B0ECB"/>
    <w:rsid w:val="007B113E"/>
    <w:rsid w:val="007B130A"/>
    <w:rsid w:val="007B14E8"/>
    <w:rsid w:val="007B1AEB"/>
    <w:rsid w:val="007B21EB"/>
    <w:rsid w:val="007B229C"/>
    <w:rsid w:val="007B3C0F"/>
    <w:rsid w:val="007B426D"/>
    <w:rsid w:val="007B49D9"/>
    <w:rsid w:val="007B4D07"/>
    <w:rsid w:val="007B4DE7"/>
    <w:rsid w:val="007B5164"/>
    <w:rsid w:val="007B527B"/>
    <w:rsid w:val="007B576D"/>
    <w:rsid w:val="007B5988"/>
    <w:rsid w:val="007B5A1A"/>
    <w:rsid w:val="007B6B39"/>
    <w:rsid w:val="007B70F3"/>
    <w:rsid w:val="007B7398"/>
    <w:rsid w:val="007B7432"/>
    <w:rsid w:val="007B7BBD"/>
    <w:rsid w:val="007B7CFD"/>
    <w:rsid w:val="007C0316"/>
    <w:rsid w:val="007C05EC"/>
    <w:rsid w:val="007C0867"/>
    <w:rsid w:val="007C0923"/>
    <w:rsid w:val="007C10B9"/>
    <w:rsid w:val="007C121E"/>
    <w:rsid w:val="007C197E"/>
    <w:rsid w:val="007C2462"/>
    <w:rsid w:val="007C289F"/>
    <w:rsid w:val="007C2F31"/>
    <w:rsid w:val="007C3CA0"/>
    <w:rsid w:val="007C3D3E"/>
    <w:rsid w:val="007C4850"/>
    <w:rsid w:val="007C48BE"/>
    <w:rsid w:val="007C49DB"/>
    <w:rsid w:val="007C4B46"/>
    <w:rsid w:val="007C4C15"/>
    <w:rsid w:val="007C4C2C"/>
    <w:rsid w:val="007C56C9"/>
    <w:rsid w:val="007C5824"/>
    <w:rsid w:val="007C5B4B"/>
    <w:rsid w:val="007C5D7E"/>
    <w:rsid w:val="007C64C8"/>
    <w:rsid w:val="007C68E0"/>
    <w:rsid w:val="007C6932"/>
    <w:rsid w:val="007C6F68"/>
    <w:rsid w:val="007C7D74"/>
    <w:rsid w:val="007D0317"/>
    <w:rsid w:val="007D095B"/>
    <w:rsid w:val="007D0FEC"/>
    <w:rsid w:val="007D1FD8"/>
    <w:rsid w:val="007D238F"/>
    <w:rsid w:val="007D26EC"/>
    <w:rsid w:val="007D2801"/>
    <w:rsid w:val="007D2D4F"/>
    <w:rsid w:val="007D3613"/>
    <w:rsid w:val="007D3DA1"/>
    <w:rsid w:val="007D416E"/>
    <w:rsid w:val="007D4534"/>
    <w:rsid w:val="007D45F8"/>
    <w:rsid w:val="007D495C"/>
    <w:rsid w:val="007D4CA3"/>
    <w:rsid w:val="007D5407"/>
    <w:rsid w:val="007D5AC3"/>
    <w:rsid w:val="007D704C"/>
    <w:rsid w:val="007D71DA"/>
    <w:rsid w:val="007D722E"/>
    <w:rsid w:val="007D7F8A"/>
    <w:rsid w:val="007E089B"/>
    <w:rsid w:val="007E0A3D"/>
    <w:rsid w:val="007E0BE8"/>
    <w:rsid w:val="007E1621"/>
    <w:rsid w:val="007E2620"/>
    <w:rsid w:val="007E2AAA"/>
    <w:rsid w:val="007E423B"/>
    <w:rsid w:val="007E57AA"/>
    <w:rsid w:val="007E5998"/>
    <w:rsid w:val="007E65F8"/>
    <w:rsid w:val="007E6C1A"/>
    <w:rsid w:val="007E6F9D"/>
    <w:rsid w:val="007E7AFC"/>
    <w:rsid w:val="007F26B7"/>
    <w:rsid w:val="007F2B1E"/>
    <w:rsid w:val="007F3948"/>
    <w:rsid w:val="007F7667"/>
    <w:rsid w:val="007F76EE"/>
    <w:rsid w:val="008002ED"/>
    <w:rsid w:val="00800688"/>
    <w:rsid w:val="00800721"/>
    <w:rsid w:val="00800E51"/>
    <w:rsid w:val="00801A21"/>
    <w:rsid w:val="00802385"/>
    <w:rsid w:val="0080250E"/>
    <w:rsid w:val="00802671"/>
    <w:rsid w:val="008030AA"/>
    <w:rsid w:val="0080315C"/>
    <w:rsid w:val="008031C7"/>
    <w:rsid w:val="00803810"/>
    <w:rsid w:val="00803E7F"/>
    <w:rsid w:val="00805827"/>
    <w:rsid w:val="008058C7"/>
    <w:rsid w:val="00805C5E"/>
    <w:rsid w:val="00806C9E"/>
    <w:rsid w:val="00806F4B"/>
    <w:rsid w:val="00807756"/>
    <w:rsid w:val="0080790F"/>
    <w:rsid w:val="00807D49"/>
    <w:rsid w:val="0081044E"/>
    <w:rsid w:val="0081048B"/>
    <w:rsid w:val="0081123C"/>
    <w:rsid w:val="00811616"/>
    <w:rsid w:val="00811667"/>
    <w:rsid w:val="008119D8"/>
    <w:rsid w:val="00811B17"/>
    <w:rsid w:val="00811BE6"/>
    <w:rsid w:val="00812786"/>
    <w:rsid w:val="008136EC"/>
    <w:rsid w:val="008139E5"/>
    <w:rsid w:val="008139E9"/>
    <w:rsid w:val="008140EF"/>
    <w:rsid w:val="0081501A"/>
    <w:rsid w:val="00815244"/>
    <w:rsid w:val="008160C5"/>
    <w:rsid w:val="008168A3"/>
    <w:rsid w:val="00816CD8"/>
    <w:rsid w:val="008171C3"/>
    <w:rsid w:val="00817502"/>
    <w:rsid w:val="008177FA"/>
    <w:rsid w:val="0082036E"/>
    <w:rsid w:val="00820899"/>
    <w:rsid w:val="008219DB"/>
    <w:rsid w:val="00821EE1"/>
    <w:rsid w:val="00822177"/>
    <w:rsid w:val="008223B4"/>
    <w:rsid w:val="00822D88"/>
    <w:rsid w:val="00823175"/>
    <w:rsid w:val="00823693"/>
    <w:rsid w:val="008238C2"/>
    <w:rsid w:val="00823C77"/>
    <w:rsid w:val="00823F13"/>
    <w:rsid w:val="00824AAB"/>
    <w:rsid w:val="00824BF6"/>
    <w:rsid w:val="00826407"/>
    <w:rsid w:val="0082730A"/>
    <w:rsid w:val="00827BAB"/>
    <w:rsid w:val="00831031"/>
    <w:rsid w:val="00831B71"/>
    <w:rsid w:val="00831F61"/>
    <w:rsid w:val="00832251"/>
    <w:rsid w:val="00832568"/>
    <w:rsid w:val="00832BD1"/>
    <w:rsid w:val="00832C07"/>
    <w:rsid w:val="0083440B"/>
    <w:rsid w:val="008345DA"/>
    <w:rsid w:val="00834AF4"/>
    <w:rsid w:val="00835070"/>
    <w:rsid w:val="00835F19"/>
    <w:rsid w:val="00835F1F"/>
    <w:rsid w:val="00835F2C"/>
    <w:rsid w:val="00836349"/>
    <w:rsid w:val="008371A8"/>
    <w:rsid w:val="00837258"/>
    <w:rsid w:val="008372B4"/>
    <w:rsid w:val="00837668"/>
    <w:rsid w:val="00837747"/>
    <w:rsid w:val="00837D64"/>
    <w:rsid w:val="00837DFC"/>
    <w:rsid w:val="00840A66"/>
    <w:rsid w:val="008418B0"/>
    <w:rsid w:val="00841E94"/>
    <w:rsid w:val="008426A4"/>
    <w:rsid w:val="0084313E"/>
    <w:rsid w:val="008431DE"/>
    <w:rsid w:val="00843309"/>
    <w:rsid w:val="00843556"/>
    <w:rsid w:val="00843E22"/>
    <w:rsid w:val="0084453E"/>
    <w:rsid w:val="0084584C"/>
    <w:rsid w:val="00845FDC"/>
    <w:rsid w:val="00846363"/>
    <w:rsid w:val="008468B5"/>
    <w:rsid w:val="00846B72"/>
    <w:rsid w:val="008472CD"/>
    <w:rsid w:val="00847341"/>
    <w:rsid w:val="008474AC"/>
    <w:rsid w:val="00847B18"/>
    <w:rsid w:val="00847D65"/>
    <w:rsid w:val="0084FFF5"/>
    <w:rsid w:val="00850148"/>
    <w:rsid w:val="00850A30"/>
    <w:rsid w:val="00850A58"/>
    <w:rsid w:val="00850AF5"/>
    <w:rsid w:val="00850C3E"/>
    <w:rsid w:val="00850E21"/>
    <w:rsid w:val="00851338"/>
    <w:rsid w:val="00851437"/>
    <w:rsid w:val="008518CC"/>
    <w:rsid w:val="00851C7C"/>
    <w:rsid w:val="0085232E"/>
    <w:rsid w:val="00852587"/>
    <w:rsid w:val="008528FF"/>
    <w:rsid w:val="00853CD8"/>
    <w:rsid w:val="008547D2"/>
    <w:rsid w:val="00854962"/>
    <w:rsid w:val="008550E1"/>
    <w:rsid w:val="00855157"/>
    <w:rsid w:val="00855271"/>
    <w:rsid w:val="00855F0F"/>
    <w:rsid w:val="0085634E"/>
    <w:rsid w:val="00856F5E"/>
    <w:rsid w:val="00857909"/>
    <w:rsid w:val="008602FC"/>
    <w:rsid w:val="008603E5"/>
    <w:rsid w:val="00861889"/>
    <w:rsid w:val="00861C1C"/>
    <w:rsid w:val="00862831"/>
    <w:rsid w:val="00862B0E"/>
    <w:rsid w:val="00862F7B"/>
    <w:rsid w:val="00862F9D"/>
    <w:rsid w:val="0086327E"/>
    <w:rsid w:val="008633BF"/>
    <w:rsid w:val="00863B24"/>
    <w:rsid w:val="00863D3C"/>
    <w:rsid w:val="00863E69"/>
    <w:rsid w:val="00864FA7"/>
    <w:rsid w:val="008654F2"/>
    <w:rsid w:val="0086569F"/>
    <w:rsid w:val="00865807"/>
    <w:rsid w:val="00865F36"/>
    <w:rsid w:val="0086642D"/>
    <w:rsid w:val="008665B2"/>
    <w:rsid w:val="008666B0"/>
    <w:rsid w:val="00867C2C"/>
    <w:rsid w:val="0086AAB2"/>
    <w:rsid w:val="00870538"/>
    <w:rsid w:val="00870A3D"/>
    <w:rsid w:val="00870B8D"/>
    <w:rsid w:val="00870E3A"/>
    <w:rsid w:val="0087125D"/>
    <w:rsid w:val="00871954"/>
    <w:rsid w:val="00871B21"/>
    <w:rsid w:val="00872148"/>
    <w:rsid w:val="0087265A"/>
    <w:rsid w:val="00872790"/>
    <w:rsid w:val="00872966"/>
    <w:rsid w:val="00873438"/>
    <w:rsid w:val="00873AE9"/>
    <w:rsid w:val="00874945"/>
    <w:rsid w:val="00874D3E"/>
    <w:rsid w:val="00874ED8"/>
    <w:rsid w:val="00875383"/>
    <w:rsid w:val="00875EBD"/>
    <w:rsid w:val="00876022"/>
    <w:rsid w:val="00876440"/>
    <w:rsid w:val="00876D5D"/>
    <w:rsid w:val="00877870"/>
    <w:rsid w:val="0088004C"/>
    <w:rsid w:val="00880373"/>
    <w:rsid w:val="00880F28"/>
    <w:rsid w:val="00881476"/>
    <w:rsid w:val="00881F0B"/>
    <w:rsid w:val="00882DD3"/>
    <w:rsid w:val="0088324F"/>
    <w:rsid w:val="00883C26"/>
    <w:rsid w:val="008843D4"/>
    <w:rsid w:val="00884FD0"/>
    <w:rsid w:val="00885311"/>
    <w:rsid w:val="0088598D"/>
    <w:rsid w:val="00886068"/>
    <w:rsid w:val="00886176"/>
    <w:rsid w:val="00886524"/>
    <w:rsid w:val="00887152"/>
    <w:rsid w:val="00890442"/>
    <w:rsid w:val="00890606"/>
    <w:rsid w:val="0089135E"/>
    <w:rsid w:val="00891705"/>
    <w:rsid w:val="00891907"/>
    <w:rsid w:val="00891AFF"/>
    <w:rsid w:val="00892470"/>
    <w:rsid w:val="00892D37"/>
    <w:rsid w:val="00892E8A"/>
    <w:rsid w:val="00894044"/>
    <w:rsid w:val="008943CC"/>
    <w:rsid w:val="00894984"/>
    <w:rsid w:val="008949A4"/>
    <w:rsid w:val="00894E22"/>
    <w:rsid w:val="008975BA"/>
    <w:rsid w:val="00897DF3"/>
    <w:rsid w:val="008A1639"/>
    <w:rsid w:val="008A23B1"/>
    <w:rsid w:val="008A3901"/>
    <w:rsid w:val="008A414C"/>
    <w:rsid w:val="008A427A"/>
    <w:rsid w:val="008A462A"/>
    <w:rsid w:val="008A4681"/>
    <w:rsid w:val="008A5180"/>
    <w:rsid w:val="008A5B87"/>
    <w:rsid w:val="008A64EE"/>
    <w:rsid w:val="008A6D87"/>
    <w:rsid w:val="008A7A0E"/>
    <w:rsid w:val="008A7E3A"/>
    <w:rsid w:val="008B04F8"/>
    <w:rsid w:val="008B0C0A"/>
    <w:rsid w:val="008B0D14"/>
    <w:rsid w:val="008B1906"/>
    <w:rsid w:val="008B1972"/>
    <w:rsid w:val="008B1CDF"/>
    <w:rsid w:val="008B1F95"/>
    <w:rsid w:val="008B2AD1"/>
    <w:rsid w:val="008B2BA4"/>
    <w:rsid w:val="008B3B8B"/>
    <w:rsid w:val="008B4433"/>
    <w:rsid w:val="008B48D6"/>
    <w:rsid w:val="008B4F08"/>
    <w:rsid w:val="008B514E"/>
    <w:rsid w:val="008B6AEF"/>
    <w:rsid w:val="008B7CB7"/>
    <w:rsid w:val="008C0E1A"/>
    <w:rsid w:val="008C0F84"/>
    <w:rsid w:val="008C1262"/>
    <w:rsid w:val="008C1C1B"/>
    <w:rsid w:val="008C2F97"/>
    <w:rsid w:val="008C338F"/>
    <w:rsid w:val="008C34B2"/>
    <w:rsid w:val="008C445C"/>
    <w:rsid w:val="008C4DB0"/>
    <w:rsid w:val="008C50DD"/>
    <w:rsid w:val="008C547F"/>
    <w:rsid w:val="008C5EDB"/>
    <w:rsid w:val="008C6001"/>
    <w:rsid w:val="008C6B5C"/>
    <w:rsid w:val="008C6E09"/>
    <w:rsid w:val="008C6ED4"/>
    <w:rsid w:val="008C7208"/>
    <w:rsid w:val="008C73C1"/>
    <w:rsid w:val="008C78BD"/>
    <w:rsid w:val="008C7D70"/>
    <w:rsid w:val="008D0097"/>
    <w:rsid w:val="008D05A0"/>
    <w:rsid w:val="008D0701"/>
    <w:rsid w:val="008D153A"/>
    <w:rsid w:val="008D1D6A"/>
    <w:rsid w:val="008D20D9"/>
    <w:rsid w:val="008D218D"/>
    <w:rsid w:val="008D27C4"/>
    <w:rsid w:val="008D2EFE"/>
    <w:rsid w:val="008D37EE"/>
    <w:rsid w:val="008D4E11"/>
    <w:rsid w:val="008D4FE8"/>
    <w:rsid w:val="008D5210"/>
    <w:rsid w:val="008D6839"/>
    <w:rsid w:val="008D6E55"/>
    <w:rsid w:val="008D6F96"/>
    <w:rsid w:val="008D6FCD"/>
    <w:rsid w:val="008D6FD5"/>
    <w:rsid w:val="008D7699"/>
    <w:rsid w:val="008D77BA"/>
    <w:rsid w:val="008D7976"/>
    <w:rsid w:val="008D7FD4"/>
    <w:rsid w:val="008E034D"/>
    <w:rsid w:val="008E076F"/>
    <w:rsid w:val="008E0E3D"/>
    <w:rsid w:val="008E0F33"/>
    <w:rsid w:val="008E0F5B"/>
    <w:rsid w:val="008E11D3"/>
    <w:rsid w:val="008E1E42"/>
    <w:rsid w:val="008E20A8"/>
    <w:rsid w:val="008E2AA2"/>
    <w:rsid w:val="008E2F54"/>
    <w:rsid w:val="008E3098"/>
    <w:rsid w:val="008E367E"/>
    <w:rsid w:val="008E3A89"/>
    <w:rsid w:val="008E4E6C"/>
    <w:rsid w:val="008E50F5"/>
    <w:rsid w:val="008E5187"/>
    <w:rsid w:val="008E5711"/>
    <w:rsid w:val="008E6106"/>
    <w:rsid w:val="008E678B"/>
    <w:rsid w:val="008E7465"/>
    <w:rsid w:val="008E7B28"/>
    <w:rsid w:val="008F00B3"/>
    <w:rsid w:val="008F0319"/>
    <w:rsid w:val="008F081D"/>
    <w:rsid w:val="008F0ED1"/>
    <w:rsid w:val="008F128B"/>
    <w:rsid w:val="008F12DC"/>
    <w:rsid w:val="008F1B04"/>
    <w:rsid w:val="008F2431"/>
    <w:rsid w:val="008F24DA"/>
    <w:rsid w:val="008F274F"/>
    <w:rsid w:val="008F34F9"/>
    <w:rsid w:val="008F351B"/>
    <w:rsid w:val="008F4885"/>
    <w:rsid w:val="008F5F35"/>
    <w:rsid w:val="008F60B5"/>
    <w:rsid w:val="008F7A3E"/>
    <w:rsid w:val="008F7C16"/>
    <w:rsid w:val="009008AB"/>
    <w:rsid w:val="00900BAD"/>
    <w:rsid w:val="00901AD8"/>
    <w:rsid w:val="00901D74"/>
    <w:rsid w:val="00902F30"/>
    <w:rsid w:val="00902FD1"/>
    <w:rsid w:val="00903057"/>
    <w:rsid w:val="0090319C"/>
    <w:rsid w:val="0090335A"/>
    <w:rsid w:val="00903F68"/>
    <w:rsid w:val="0090426D"/>
    <w:rsid w:val="009046E5"/>
    <w:rsid w:val="00904FCD"/>
    <w:rsid w:val="009050C4"/>
    <w:rsid w:val="00905239"/>
    <w:rsid w:val="0090534F"/>
    <w:rsid w:val="00905DA6"/>
    <w:rsid w:val="00905E33"/>
    <w:rsid w:val="0090676A"/>
    <w:rsid w:val="00907127"/>
    <w:rsid w:val="009074AE"/>
    <w:rsid w:val="009100E9"/>
    <w:rsid w:val="00910441"/>
    <w:rsid w:val="00910495"/>
    <w:rsid w:val="00910969"/>
    <w:rsid w:val="00910E86"/>
    <w:rsid w:val="009114BE"/>
    <w:rsid w:val="009114CC"/>
    <w:rsid w:val="009116EA"/>
    <w:rsid w:val="00912975"/>
    <w:rsid w:val="00913102"/>
    <w:rsid w:val="009136F3"/>
    <w:rsid w:val="00913F65"/>
    <w:rsid w:val="009143DC"/>
    <w:rsid w:val="009147E8"/>
    <w:rsid w:val="009147FB"/>
    <w:rsid w:val="0091495C"/>
    <w:rsid w:val="00915C01"/>
    <w:rsid w:val="00915F71"/>
    <w:rsid w:val="00916592"/>
    <w:rsid w:val="00916CD3"/>
    <w:rsid w:val="009172BA"/>
    <w:rsid w:val="009176CB"/>
    <w:rsid w:val="00917996"/>
    <w:rsid w:val="0091DCF3"/>
    <w:rsid w:val="00920BB1"/>
    <w:rsid w:val="009219C4"/>
    <w:rsid w:val="00921B0B"/>
    <w:rsid w:val="00921BE1"/>
    <w:rsid w:val="00921EC7"/>
    <w:rsid w:val="009220AB"/>
    <w:rsid w:val="0092223C"/>
    <w:rsid w:val="00922842"/>
    <w:rsid w:val="00923B52"/>
    <w:rsid w:val="009242D5"/>
    <w:rsid w:val="00924DF0"/>
    <w:rsid w:val="0092534A"/>
    <w:rsid w:val="009259BD"/>
    <w:rsid w:val="00926142"/>
    <w:rsid w:val="00926416"/>
    <w:rsid w:val="009269F9"/>
    <w:rsid w:val="00926F5E"/>
    <w:rsid w:val="0092713D"/>
    <w:rsid w:val="00927C3F"/>
    <w:rsid w:val="0093005A"/>
    <w:rsid w:val="009300C1"/>
    <w:rsid w:val="00931135"/>
    <w:rsid w:val="009315C5"/>
    <w:rsid w:val="00931732"/>
    <w:rsid w:val="00931BC6"/>
    <w:rsid w:val="00931F20"/>
    <w:rsid w:val="00932437"/>
    <w:rsid w:val="00934501"/>
    <w:rsid w:val="009346BD"/>
    <w:rsid w:val="00935DE0"/>
    <w:rsid w:val="00937159"/>
    <w:rsid w:val="00937411"/>
    <w:rsid w:val="00937EAD"/>
    <w:rsid w:val="00937EC1"/>
    <w:rsid w:val="00940506"/>
    <w:rsid w:val="009407C6"/>
    <w:rsid w:val="00941397"/>
    <w:rsid w:val="009415BA"/>
    <w:rsid w:val="0094174B"/>
    <w:rsid w:val="00942826"/>
    <w:rsid w:val="00942B86"/>
    <w:rsid w:val="00942C38"/>
    <w:rsid w:val="00943B86"/>
    <w:rsid w:val="00943E7F"/>
    <w:rsid w:val="00944180"/>
    <w:rsid w:val="0094425C"/>
    <w:rsid w:val="009448C6"/>
    <w:rsid w:val="00944AF3"/>
    <w:rsid w:val="00944CEB"/>
    <w:rsid w:val="00944E64"/>
    <w:rsid w:val="00944FC6"/>
    <w:rsid w:val="00945F8E"/>
    <w:rsid w:val="00947274"/>
    <w:rsid w:val="00947357"/>
    <w:rsid w:val="00947D20"/>
    <w:rsid w:val="0095057D"/>
    <w:rsid w:val="00951BA4"/>
    <w:rsid w:val="009527BC"/>
    <w:rsid w:val="00952DFC"/>
    <w:rsid w:val="0095378E"/>
    <w:rsid w:val="009539F9"/>
    <w:rsid w:val="00953F72"/>
    <w:rsid w:val="009541A3"/>
    <w:rsid w:val="00954CD1"/>
    <w:rsid w:val="009558BD"/>
    <w:rsid w:val="00955930"/>
    <w:rsid w:val="00955A9F"/>
    <w:rsid w:val="00955CC9"/>
    <w:rsid w:val="0095669D"/>
    <w:rsid w:val="00956CAB"/>
    <w:rsid w:val="00960AB1"/>
    <w:rsid w:val="0096111A"/>
    <w:rsid w:val="00961897"/>
    <w:rsid w:val="00961A15"/>
    <w:rsid w:val="00961F81"/>
    <w:rsid w:val="009621B2"/>
    <w:rsid w:val="009624DF"/>
    <w:rsid w:val="0096297D"/>
    <w:rsid w:val="009629E4"/>
    <w:rsid w:val="00962E8D"/>
    <w:rsid w:val="0096328B"/>
    <w:rsid w:val="009632DA"/>
    <w:rsid w:val="00964197"/>
    <w:rsid w:val="009643D6"/>
    <w:rsid w:val="0096479F"/>
    <w:rsid w:val="00965618"/>
    <w:rsid w:val="00965DF8"/>
    <w:rsid w:val="0096685A"/>
    <w:rsid w:val="00966BEF"/>
    <w:rsid w:val="00967E56"/>
    <w:rsid w:val="00970010"/>
    <w:rsid w:val="00970778"/>
    <w:rsid w:val="00971308"/>
    <w:rsid w:val="00972003"/>
    <w:rsid w:val="00972014"/>
    <w:rsid w:val="00972F24"/>
    <w:rsid w:val="0097439A"/>
    <w:rsid w:val="00974CD9"/>
    <w:rsid w:val="009750A6"/>
    <w:rsid w:val="0097517E"/>
    <w:rsid w:val="00975912"/>
    <w:rsid w:val="00976326"/>
    <w:rsid w:val="00976B2D"/>
    <w:rsid w:val="00976D9F"/>
    <w:rsid w:val="00977C7C"/>
    <w:rsid w:val="00977CD8"/>
    <w:rsid w:val="00980C3B"/>
    <w:rsid w:val="00981217"/>
    <w:rsid w:val="00981257"/>
    <w:rsid w:val="009815F0"/>
    <w:rsid w:val="00981D88"/>
    <w:rsid w:val="00982DC7"/>
    <w:rsid w:val="009830A1"/>
    <w:rsid w:val="009830CC"/>
    <w:rsid w:val="009838C1"/>
    <w:rsid w:val="009847AE"/>
    <w:rsid w:val="00985117"/>
    <w:rsid w:val="00985215"/>
    <w:rsid w:val="009854C8"/>
    <w:rsid w:val="00985EE3"/>
    <w:rsid w:val="009861B9"/>
    <w:rsid w:val="00986200"/>
    <w:rsid w:val="00986219"/>
    <w:rsid w:val="009862C7"/>
    <w:rsid w:val="0098699F"/>
    <w:rsid w:val="00986C86"/>
    <w:rsid w:val="00987500"/>
    <w:rsid w:val="00987518"/>
    <w:rsid w:val="0098779B"/>
    <w:rsid w:val="00987849"/>
    <w:rsid w:val="00987CE7"/>
    <w:rsid w:val="0099023E"/>
    <w:rsid w:val="009903C8"/>
    <w:rsid w:val="00990905"/>
    <w:rsid w:val="009920DD"/>
    <w:rsid w:val="00992716"/>
    <w:rsid w:val="009937BC"/>
    <w:rsid w:val="00993879"/>
    <w:rsid w:val="0099462F"/>
    <w:rsid w:val="00995018"/>
    <w:rsid w:val="009955E4"/>
    <w:rsid w:val="00995667"/>
    <w:rsid w:val="009956F0"/>
    <w:rsid w:val="0099613D"/>
    <w:rsid w:val="0099644A"/>
    <w:rsid w:val="00996498"/>
    <w:rsid w:val="00996697"/>
    <w:rsid w:val="00996971"/>
    <w:rsid w:val="00996CFE"/>
    <w:rsid w:val="00996EFA"/>
    <w:rsid w:val="00997C40"/>
    <w:rsid w:val="00997CB1"/>
    <w:rsid w:val="009A0617"/>
    <w:rsid w:val="009A0DAD"/>
    <w:rsid w:val="009A1B4B"/>
    <w:rsid w:val="009A29E3"/>
    <w:rsid w:val="009A2EE2"/>
    <w:rsid w:val="009A322D"/>
    <w:rsid w:val="009A3252"/>
    <w:rsid w:val="009A4090"/>
    <w:rsid w:val="009A4B20"/>
    <w:rsid w:val="009A4E9A"/>
    <w:rsid w:val="009A4FD3"/>
    <w:rsid w:val="009A6178"/>
    <w:rsid w:val="009A6791"/>
    <w:rsid w:val="009A6ADA"/>
    <w:rsid w:val="009A6D40"/>
    <w:rsid w:val="009A760C"/>
    <w:rsid w:val="009B001F"/>
    <w:rsid w:val="009B0595"/>
    <w:rsid w:val="009B0BA6"/>
    <w:rsid w:val="009B1071"/>
    <w:rsid w:val="009B15C5"/>
    <w:rsid w:val="009B27D8"/>
    <w:rsid w:val="009B2AFA"/>
    <w:rsid w:val="009B3274"/>
    <w:rsid w:val="009B3320"/>
    <w:rsid w:val="009B33FC"/>
    <w:rsid w:val="009B4058"/>
    <w:rsid w:val="009B47F3"/>
    <w:rsid w:val="009B4901"/>
    <w:rsid w:val="009B4AFA"/>
    <w:rsid w:val="009B5080"/>
    <w:rsid w:val="009B5176"/>
    <w:rsid w:val="009B562D"/>
    <w:rsid w:val="009B645D"/>
    <w:rsid w:val="009B69BC"/>
    <w:rsid w:val="009B6D41"/>
    <w:rsid w:val="009B7350"/>
    <w:rsid w:val="009B7852"/>
    <w:rsid w:val="009C0113"/>
    <w:rsid w:val="009C0132"/>
    <w:rsid w:val="009C03FB"/>
    <w:rsid w:val="009C0923"/>
    <w:rsid w:val="009C117D"/>
    <w:rsid w:val="009C1183"/>
    <w:rsid w:val="009C1309"/>
    <w:rsid w:val="009C194A"/>
    <w:rsid w:val="009C19BF"/>
    <w:rsid w:val="009C2217"/>
    <w:rsid w:val="009C3620"/>
    <w:rsid w:val="009C37ED"/>
    <w:rsid w:val="009C3BFF"/>
    <w:rsid w:val="009C4A5E"/>
    <w:rsid w:val="009C50C3"/>
    <w:rsid w:val="009C5BC0"/>
    <w:rsid w:val="009C6612"/>
    <w:rsid w:val="009C6708"/>
    <w:rsid w:val="009C6853"/>
    <w:rsid w:val="009C6B1E"/>
    <w:rsid w:val="009C76B1"/>
    <w:rsid w:val="009D02DF"/>
    <w:rsid w:val="009D0A41"/>
    <w:rsid w:val="009D0C6E"/>
    <w:rsid w:val="009D0CB0"/>
    <w:rsid w:val="009D0E27"/>
    <w:rsid w:val="009D0EDA"/>
    <w:rsid w:val="009D1F27"/>
    <w:rsid w:val="009D1FCF"/>
    <w:rsid w:val="009D209E"/>
    <w:rsid w:val="009D21E8"/>
    <w:rsid w:val="009D27E4"/>
    <w:rsid w:val="009D2A88"/>
    <w:rsid w:val="009D3580"/>
    <w:rsid w:val="009D3724"/>
    <w:rsid w:val="009D39DA"/>
    <w:rsid w:val="009D3F3B"/>
    <w:rsid w:val="009D4172"/>
    <w:rsid w:val="009D462D"/>
    <w:rsid w:val="009D4BA7"/>
    <w:rsid w:val="009D4ECC"/>
    <w:rsid w:val="009D56F1"/>
    <w:rsid w:val="009D5C33"/>
    <w:rsid w:val="009D6FE2"/>
    <w:rsid w:val="009DCC97"/>
    <w:rsid w:val="009E0F22"/>
    <w:rsid w:val="009E12A8"/>
    <w:rsid w:val="009E1B06"/>
    <w:rsid w:val="009E1F46"/>
    <w:rsid w:val="009E2026"/>
    <w:rsid w:val="009E205F"/>
    <w:rsid w:val="009E252A"/>
    <w:rsid w:val="009E276F"/>
    <w:rsid w:val="009E2981"/>
    <w:rsid w:val="009E2C22"/>
    <w:rsid w:val="009E2C9F"/>
    <w:rsid w:val="009E2DBB"/>
    <w:rsid w:val="009E3546"/>
    <w:rsid w:val="009E36C8"/>
    <w:rsid w:val="009E3746"/>
    <w:rsid w:val="009E3A86"/>
    <w:rsid w:val="009E4158"/>
    <w:rsid w:val="009E41F2"/>
    <w:rsid w:val="009E4F5E"/>
    <w:rsid w:val="009E50B5"/>
    <w:rsid w:val="009E511F"/>
    <w:rsid w:val="009E65B9"/>
    <w:rsid w:val="009E6A4A"/>
    <w:rsid w:val="009E6F35"/>
    <w:rsid w:val="009E6FA2"/>
    <w:rsid w:val="009E78E4"/>
    <w:rsid w:val="009F132F"/>
    <w:rsid w:val="009F178A"/>
    <w:rsid w:val="009F22E0"/>
    <w:rsid w:val="009F29D7"/>
    <w:rsid w:val="009F2F6E"/>
    <w:rsid w:val="009F467B"/>
    <w:rsid w:val="009F47F6"/>
    <w:rsid w:val="009F4969"/>
    <w:rsid w:val="009F5195"/>
    <w:rsid w:val="009F53F0"/>
    <w:rsid w:val="009F57C3"/>
    <w:rsid w:val="009F5DD9"/>
    <w:rsid w:val="009F66B6"/>
    <w:rsid w:val="009F66BC"/>
    <w:rsid w:val="00A006B3"/>
    <w:rsid w:val="00A01153"/>
    <w:rsid w:val="00A01E3A"/>
    <w:rsid w:val="00A0235C"/>
    <w:rsid w:val="00A02BAF"/>
    <w:rsid w:val="00A0365D"/>
    <w:rsid w:val="00A04647"/>
    <w:rsid w:val="00A04CDB"/>
    <w:rsid w:val="00A0568A"/>
    <w:rsid w:val="00A061E6"/>
    <w:rsid w:val="00A06BB3"/>
    <w:rsid w:val="00A074D9"/>
    <w:rsid w:val="00A10234"/>
    <w:rsid w:val="00A1058F"/>
    <w:rsid w:val="00A10B5A"/>
    <w:rsid w:val="00A10FD6"/>
    <w:rsid w:val="00A11240"/>
    <w:rsid w:val="00A113A4"/>
    <w:rsid w:val="00A11410"/>
    <w:rsid w:val="00A12675"/>
    <w:rsid w:val="00A128E6"/>
    <w:rsid w:val="00A12E7C"/>
    <w:rsid w:val="00A12F3C"/>
    <w:rsid w:val="00A13898"/>
    <w:rsid w:val="00A13FF1"/>
    <w:rsid w:val="00A14026"/>
    <w:rsid w:val="00A141F3"/>
    <w:rsid w:val="00A14803"/>
    <w:rsid w:val="00A14D4C"/>
    <w:rsid w:val="00A157D7"/>
    <w:rsid w:val="00A15E81"/>
    <w:rsid w:val="00A16C16"/>
    <w:rsid w:val="00A16F12"/>
    <w:rsid w:val="00A17730"/>
    <w:rsid w:val="00A179AC"/>
    <w:rsid w:val="00A21564"/>
    <w:rsid w:val="00A217BC"/>
    <w:rsid w:val="00A218A1"/>
    <w:rsid w:val="00A21C38"/>
    <w:rsid w:val="00A21CAB"/>
    <w:rsid w:val="00A223D8"/>
    <w:rsid w:val="00A22ACC"/>
    <w:rsid w:val="00A2319D"/>
    <w:rsid w:val="00A23754"/>
    <w:rsid w:val="00A23E2F"/>
    <w:rsid w:val="00A2440C"/>
    <w:rsid w:val="00A24CC7"/>
    <w:rsid w:val="00A24EB5"/>
    <w:rsid w:val="00A25286"/>
    <w:rsid w:val="00A25564"/>
    <w:rsid w:val="00A2576C"/>
    <w:rsid w:val="00A25DA5"/>
    <w:rsid w:val="00A26FCB"/>
    <w:rsid w:val="00A27322"/>
    <w:rsid w:val="00A273F0"/>
    <w:rsid w:val="00A2749E"/>
    <w:rsid w:val="00A27B3D"/>
    <w:rsid w:val="00A27BDE"/>
    <w:rsid w:val="00A30BA6"/>
    <w:rsid w:val="00A31A9B"/>
    <w:rsid w:val="00A31C39"/>
    <w:rsid w:val="00A3291B"/>
    <w:rsid w:val="00A330BA"/>
    <w:rsid w:val="00A33F5E"/>
    <w:rsid w:val="00A34230"/>
    <w:rsid w:val="00A34D98"/>
    <w:rsid w:val="00A34EA8"/>
    <w:rsid w:val="00A34F9B"/>
    <w:rsid w:val="00A35243"/>
    <w:rsid w:val="00A3543E"/>
    <w:rsid w:val="00A354C9"/>
    <w:rsid w:val="00A37C78"/>
    <w:rsid w:val="00A37E94"/>
    <w:rsid w:val="00A405AF"/>
    <w:rsid w:val="00A40E3B"/>
    <w:rsid w:val="00A40EF8"/>
    <w:rsid w:val="00A41004"/>
    <w:rsid w:val="00A417BB"/>
    <w:rsid w:val="00A41E65"/>
    <w:rsid w:val="00A42D7E"/>
    <w:rsid w:val="00A42F84"/>
    <w:rsid w:val="00A434B1"/>
    <w:rsid w:val="00A43EEF"/>
    <w:rsid w:val="00A44152"/>
    <w:rsid w:val="00A454B5"/>
    <w:rsid w:val="00A45BEB"/>
    <w:rsid w:val="00A465B6"/>
    <w:rsid w:val="00A466EE"/>
    <w:rsid w:val="00A46D5B"/>
    <w:rsid w:val="00A46E57"/>
    <w:rsid w:val="00A47C4A"/>
    <w:rsid w:val="00A5031D"/>
    <w:rsid w:val="00A50610"/>
    <w:rsid w:val="00A511B2"/>
    <w:rsid w:val="00A515EF"/>
    <w:rsid w:val="00A516B0"/>
    <w:rsid w:val="00A51C1D"/>
    <w:rsid w:val="00A52505"/>
    <w:rsid w:val="00A52E16"/>
    <w:rsid w:val="00A531E6"/>
    <w:rsid w:val="00A543C1"/>
    <w:rsid w:val="00A54B8D"/>
    <w:rsid w:val="00A556F0"/>
    <w:rsid w:val="00A55A17"/>
    <w:rsid w:val="00A56A14"/>
    <w:rsid w:val="00A56BC1"/>
    <w:rsid w:val="00A56C73"/>
    <w:rsid w:val="00A56D5F"/>
    <w:rsid w:val="00A56E7F"/>
    <w:rsid w:val="00A57CFD"/>
    <w:rsid w:val="00A58CAE"/>
    <w:rsid w:val="00A60037"/>
    <w:rsid w:val="00A60DBE"/>
    <w:rsid w:val="00A614A2"/>
    <w:rsid w:val="00A61FB9"/>
    <w:rsid w:val="00A61FEB"/>
    <w:rsid w:val="00A62E7C"/>
    <w:rsid w:val="00A63D24"/>
    <w:rsid w:val="00A64448"/>
    <w:rsid w:val="00A645EE"/>
    <w:rsid w:val="00A6475D"/>
    <w:rsid w:val="00A64BD4"/>
    <w:rsid w:val="00A65048"/>
    <w:rsid w:val="00A6570F"/>
    <w:rsid w:val="00A66214"/>
    <w:rsid w:val="00A66733"/>
    <w:rsid w:val="00A67192"/>
    <w:rsid w:val="00A67448"/>
    <w:rsid w:val="00A676C7"/>
    <w:rsid w:val="00A677C6"/>
    <w:rsid w:val="00A67900"/>
    <w:rsid w:val="00A7026B"/>
    <w:rsid w:val="00A7028C"/>
    <w:rsid w:val="00A702F9"/>
    <w:rsid w:val="00A71062"/>
    <w:rsid w:val="00A71A02"/>
    <w:rsid w:val="00A71F8E"/>
    <w:rsid w:val="00A725FF"/>
    <w:rsid w:val="00A72F73"/>
    <w:rsid w:val="00A736B6"/>
    <w:rsid w:val="00A73D5A"/>
    <w:rsid w:val="00A74031"/>
    <w:rsid w:val="00A74C95"/>
    <w:rsid w:val="00A752CD"/>
    <w:rsid w:val="00A755EE"/>
    <w:rsid w:val="00A75FFB"/>
    <w:rsid w:val="00A76FBF"/>
    <w:rsid w:val="00A771EC"/>
    <w:rsid w:val="00A77231"/>
    <w:rsid w:val="00A77333"/>
    <w:rsid w:val="00A7764F"/>
    <w:rsid w:val="00A80309"/>
    <w:rsid w:val="00A80317"/>
    <w:rsid w:val="00A803DB"/>
    <w:rsid w:val="00A80E61"/>
    <w:rsid w:val="00A818C9"/>
    <w:rsid w:val="00A81A24"/>
    <w:rsid w:val="00A824A7"/>
    <w:rsid w:val="00A82C10"/>
    <w:rsid w:val="00A82E0E"/>
    <w:rsid w:val="00A8391C"/>
    <w:rsid w:val="00A839E4"/>
    <w:rsid w:val="00A83E33"/>
    <w:rsid w:val="00A848EF"/>
    <w:rsid w:val="00A856CD"/>
    <w:rsid w:val="00A86F3C"/>
    <w:rsid w:val="00A872A0"/>
    <w:rsid w:val="00A872B2"/>
    <w:rsid w:val="00A90683"/>
    <w:rsid w:val="00A90E90"/>
    <w:rsid w:val="00A9154A"/>
    <w:rsid w:val="00A915AA"/>
    <w:rsid w:val="00A91635"/>
    <w:rsid w:val="00A92E6E"/>
    <w:rsid w:val="00A92F5A"/>
    <w:rsid w:val="00A9392C"/>
    <w:rsid w:val="00A942BB"/>
    <w:rsid w:val="00A9443D"/>
    <w:rsid w:val="00A95AFE"/>
    <w:rsid w:val="00A96335"/>
    <w:rsid w:val="00A96AEB"/>
    <w:rsid w:val="00A96C70"/>
    <w:rsid w:val="00A96CD9"/>
    <w:rsid w:val="00A9739A"/>
    <w:rsid w:val="00AA0466"/>
    <w:rsid w:val="00AA057D"/>
    <w:rsid w:val="00AA0A36"/>
    <w:rsid w:val="00AA1D49"/>
    <w:rsid w:val="00AA204F"/>
    <w:rsid w:val="00AA22E2"/>
    <w:rsid w:val="00AA3932"/>
    <w:rsid w:val="00AA3A45"/>
    <w:rsid w:val="00AA3A96"/>
    <w:rsid w:val="00AA43DA"/>
    <w:rsid w:val="00AA46D7"/>
    <w:rsid w:val="00AA475A"/>
    <w:rsid w:val="00AA5566"/>
    <w:rsid w:val="00AA5DA3"/>
    <w:rsid w:val="00AA6266"/>
    <w:rsid w:val="00AA7155"/>
    <w:rsid w:val="00AA7D32"/>
    <w:rsid w:val="00AA7D7A"/>
    <w:rsid w:val="00AA7F23"/>
    <w:rsid w:val="00AB08A4"/>
    <w:rsid w:val="00AB0D0D"/>
    <w:rsid w:val="00AB1A8F"/>
    <w:rsid w:val="00AB1D64"/>
    <w:rsid w:val="00AB2183"/>
    <w:rsid w:val="00AB21AC"/>
    <w:rsid w:val="00AB274F"/>
    <w:rsid w:val="00AB2847"/>
    <w:rsid w:val="00AB2B1F"/>
    <w:rsid w:val="00AB3024"/>
    <w:rsid w:val="00AB36A2"/>
    <w:rsid w:val="00AB37AC"/>
    <w:rsid w:val="00AB3933"/>
    <w:rsid w:val="00AB4117"/>
    <w:rsid w:val="00AB49C1"/>
    <w:rsid w:val="00AB4A8A"/>
    <w:rsid w:val="00AB5357"/>
    <w:rsid w:val="00AB66A9"/>
    <w:rsid w:val="00AB7719"/>
    <w:rsid w:val="00AC0435"/>
    <w:rsid w:val="00AC0A96"/>
    <w:rsid w:val="00AC0E5F"/>
    <w:rsid w:val="00AC1420"/>
    <w:rsid w:val="00AC18C6"/>
    <w:rsid w:val="00AC2DCE"/>
    <w:rsid w:val="00AC3266"/>
    <w:rsid w:val="00AC34B7"/>
    <w:rsid w:val="00AC35EF"/>
    <w:rsid w:val="00AC49AE"/>
    <w:rsid w:val="00AC4E7C"/>
    <w:rsid w:val="00AC5467"/>
    <w:rsid w:val="00AC54A4"/>
    <w:rsid w:val="00AC6BEF"/>
    <w:rsid w:val="00AC6F34"/>
    <w:rsid w:val="00AC751B"/>
    <w:rsid w:val="00AC7AC9"/>
    <w:rsid w:val="00AC7E9A"/>
    <w:rsid w:val="00AC7F7E"/>
    <w:rsid w:val="00AD075B"/>
    <w:rsid w:val="00AD0956"/>
    <w:rsid w:val="00AD167D"/>
    <w:rsid w:val="00AD22B9"/>
    <w:rsid w:val="00AD28A1"/>
    <w:rsid w:val="00AD3582"/>
    <w:rsid w:val="00AD401A"/>
    <w:rsid w:val="00AD4107"/>
    <w:rsid w:val="00AD4FC1"/>
    <w:rsid w:val="00AD4FF4"/>
    <w:rsid w:val="00AD512C"/>
    <w:rsid w:val="00AD5400"/>
    <w:rsid w:val="00AD5508"/>
    <w:rsid w:val="00AD5915"/>
    <w:rsid w:val="00AD5BCA"/>
    <w:rsid w:val="00AD5E9F"/>
    <w:rsid w:val="00AD6857"/>
    <w:rsid w:val="00AD6E06"/>
    <w:rsid w:val="00AE02C5"/>
    <w:rsid w:val="00AE061B"/>
    <w:rsid w:val="00AE0C43"/>
    <w:rsid w:val="00AE1DA4"/>
    <w:rsid w:val="00AE258C"/>
    <w:rsid w:val="00AE3249"/>
    <w:rsid w:val="00AE3484"/>
    <w:rsid w:val="00AE3804"/>
    <w:rsid w:val="00AE3A10"/>
    <w:rsid w:val="00AE3BC0"/>
    <w:rsid w:val="00AE4413"/>
    <w:rsid w:val="00AE4820"/>
    <w:rsid w:val="00AE4C45"/>
    <w:rsid w:val="00AE5CA3"/>
    <w:rsid w:val="00AE6C49"/>
    <w:rsid w:val="00AE7511"/>
    <w:rsid w:val="00AE78BD"/>
    <w:rsid w:val="00AE7BD5"/>
    <w:rsid w:val="00AE7C70"/>
    <w:rsid w:val="00AE7CA9"/>
    <w:rsid w:val="00AF124E"/>
    <w:rsid w:val="00AF1668"/>
    <w:rsid w:val="00AF18C8"/>
    <w:rsid w:val="00AF21D2"/>
    <w:rsid w:val="00AF27E0"/>
    <w:rsid w:val="00AF2DAB"/>
    <w:rsid w:val="00AF3424"/>
    <w:rsid w:val="00AF3674"/>
    <w:rsid w:val="00AF4036"/>
    <w:rsid w:val="00AF4167"/>
    <w:rsid w:val="00AF41CE"/>
    <w:rsid w:val="00AF4FCC"/>
    <w:rsid w:val="00AF51B8"/>
    <w:rsid w:val="00AF558E"/>
    <w:rsid w:val="00AF5D28"/>
    <w:rsid w:val="00AF6D6F"/>
    <w:rsid w:val="00AF6DE5"/>
    <w:rsid w:val="00AF6F94"/>
    <w:rsid w:val="00AF71F2"/>
    <w:rsid w:val="00AF7F0E"/>
    <w:rsid w:val="00AF7FA8"/>
    <w:rsid w:val="00B00A23"/>
    <w:rsid w:val="00B01A92"/>
    <w:rsid w:val="00B02ED9"/>
    <w:rsid w:val="00B033CB"/>
    <w:rsid w:val="00B03B35"/>
    <w:rsid w:val="00B047FF"/>
    <w:rsid w:val="00B0502C"/>
    <w:rsid w:val="00B056B6"/>
    <w:rsid w:val="00B06061"/>
    <w:rsid w:val="00B0698F"/>
    <w:rsid w:val="00B073A4"/>
    <w:rsid w:val="00B1003F"/>
    <w:rsid w:val="00B10274"/>
    <w:rsid w:val="00B10378"/>
    <w:rsid w:val="00B107DA"/>
    <w:rsid w:val="00B11BE4"/>
    <w:rsid w:val="00B11C86"/>
    <w:rsid w:val="00B129F8"/>
    <w:rsid w:val="00B12AE6"/>
    <w:rsid w:val="00B12BF4"/>
    <w:rsid w:val="00B12EE8"/>
    <w:rsid w:val="00B12FA3"/>
    <w:rsid w:val="00B13272"/>
    <w:rsid w:val="00B13C24"/>
    <w:rsid w:val="00B13E4F"/>
    <w:rsid w:val="00B148A3"/>
    <w:rsid w:val="00B14E15"/>
    <w:rsid w:val="00B15B7D"/>
    <w:rsid w:val="00B16F53"/>
    <w:rsid w:val="00B170A6"/>
    <w:rsid w:val="00B17E56"/>
    <w:rsid w:val="00B2001B"/>
    <w:rsid w:val="00B219CA"/>
    <w:rsid w:val="00B21AE8"/>
    <w:rsid w:val="00B21C65"/>
    <w:rsid w:val="00B21F9E"/>
    <w:rsid w:val="00B22BBC"/>
    <w:rsid w:val="00B22CE2"/>
    <w:rsid w:val="00B2317B"/>
    <w:rsid w:val="00B23626"/>
    <w:rsid w:val="00B23BD3"/>
    <w:rsid w:val="00B23F30"/>
    <w:rsid w:val="00B24444"/>
    <w:rsid w:val="00B24AA4"/>
    <w:rsid w:val="00B24DF6"/>
    <w:rsid w:val="00B2525E"/>
    <w:rsid w:val="00B25453"/>
    <w:rsid w:val="00B2718A"/>
    <w:rsid w:val="00B276B4"/>
    <w:rsid w:val="00B279B0"/>
    <w:rsid w:val="00B30C29"/>
    <w:rsid w:val="00B30E32"/>
    <w:rsid w:val="00B31814"/>
    <w:rsid w:val="00B31A17"/>
    <w:rsid w:val="00B31F2E"/>
    <w:rsid w:val="00B3267C"/>
    <w:rsid w:val="00B326C4"/>
    <w:rsid w:val="00B32A4D"/>
    <w:rsid w:val="00B32AE0"/>
    <w:rsid w:val="00B32BF1"/>
    <w:rsid w:val="00B33984"/>
    <w:rsid w:val="00B34C7D"/>
    <w:rsid w:val="00B34F3A"/>
    <w:rsid w:val="00B351A5"/>
    <w:rsid w:val="00B35585"/>
    <w:rsid w:val="00B35A26"/>
    <w:rsid w:val="00B36060"/>
    <w:rsid w:val="00B36190"/>
    <w:rsid w:val="00B407C8"/>
    <w:rsid w:val="00B40DAA"/>
    <w:rsid w:val="00B414FB"/>
    <w:rsid w:val="00B41585"/>
    <w:rsid w:val="00B42043"/>
    <w:rsid w:val="00B421B9"/>
    <w:rsid w:val="00B42424"/>
    <w:rsid w:val="00B42A03"/>
    <w:rsid w:val="00B43043"/>
    <w:rsid w:val="00B43408"/>
    <w:rsid w:val="00B435CC"/>
    <w:rsid w:val="00B446AD"/>
    <w:rsid w:val="00B450E8"/>
    <w:rsid w:val="00B457B3"/>
    <w:rsid w:val="00B458ED"/>
    <w:rsid w:val="00B46DE7"/>
    <w:rsid w:val="00B471D6"/>
    <w:rsid w:val="00B47951"/>
    <w:rsid w:val="00B50B08"/>
    <w:rsid w:val="00B51065"/>
    <w:rsid w:val="00B5109B"/>
    <w:rsid w:val="00B512F7"/>
    <w:rsid w:val="00B515A8"/>
    <w:rsid w:val="00B519F2"/>
    <w:rsid w:val="00B51D53"/>
    <w:rsid w:val="00B52948"/>
    <w:rsid w:val="00B5301D"/>
    <w:rsid w:val="00B53705"/>
    <w:rsid w:val="00B53BAD"/>
    <w:rsid w:val="00B53F94"/>
    <w:rsid w:val="00B541A8"/>
    <w:rsid w:val="00B541D9"/>
    <w:rsid w:val="00B5436B"/>
    <w:rsid w:val="00B5459D"/>
    <w:rsid w:val="00B549D0"/>
    <w:rsid w:val="00B550CF"/>
    <w:rsid w:val="00B57ED7"/>
    <w:rsid w:val="00B57FEC"/>
    <w:rsid w:val="00B60CA4"/>
    <w:rsid w:val="00B60D8C"/>
    <w:rsid w:val="00B610BB"/>
    <w:rsid w:val="00B619FC"/>
    <w:rsid w:val="00B62F7B"/>
    <w:rsid w:val="00B63128"/>
    <w:rsid w:val="00B636FF"/>
    <w:rsid w:val="00B64098"/>
    <w:rsid w:val="00B642CF"/>
    <w:rsid w:val="00B642EA"/>
    <w:rsid w:val="00B645F5"/>
    <w:rsid w:val="00B64781"/>
    <w:rsid w:val="00B648BE"/>
    <w:rsid w:val="00B657B4"/>
    <w:rsid w:val="00B65964"/>
    <w:rsid w:val="00B6630E"/>
    <w:rsid w:val="00B664BC"/>
    <w:rsid w:val="00B6780E"/>
    <w:rsid w:val="00B67B1F"/>
    <w:rsid w:val="00B703F4"/>
    <w:rsid w:val="00B71047"/>
    <w:rsid w:val="00B7166D"/>
    <w:rsid w:val="00B717A4"/>
    <w:rsid w:val="00B71841"/>
    <w:rsid w:val="00B72A36"/>
    <w:rsid w:val="00B73040"/>
    <w:rsid w:val="00B73B4C"/>
    <w:rsid w:val="00B73EFB"/>
    <w:rsid w:val="00B741F7"/>
    <w:rsid w:val="00B742B7"/>
    <w:rsid w:val="00B75D00"/>
    <w:rsid w:val="00B768E1"/>
    <w:rsid w:val="00B8130C"/>
    <w:rsid w:val="00B8183F"/>
    <w:rsid w:val="00B82A8E"/>
    <w:rsid w:val="00B833EC"/>
    <w:rsid w:val="00B8360E"/>
    <w:rsid w:val="00B8374C"/>
    <w:rsid w:val="00B8395C"/>
    <w:rsid w:val="00B84453"/>
    <w:rsid w:val="00B84864"/>
    <w:rsid w:val="00B853CD"/>
    <w:rsid w:val="00B85970"/>
    <w:rsid w:val="00B85EA6"/>
    <w:rsid w:val="00B860BB"/>
    <w:rsid w:val="00B86272"/>
    <w:rsid w:val="00B86EC1"/>
    <w:rsid w:val="00B8702D"/>
    <w:rsid w:val="00B9025F"/>
    <w:rsid w:val="00B9030F"/>
    <w:rsid w:val="00B90728"/>
    <w:rsid w:val="00B9094E"/>
    <w:rsid w:val="00B9102F"/>
    <w:rsid w:val="00B910CE"/>
    <w:rsid w:val="00B916D3"/>
    <w:rsid w:val="00B9179C"/>
    <w:rsid w:val="00B91E21"/>
    <w:rsid w:val="00B91EDA"/>
    <w:rsid w:val="00B92314"/>
    <w:rsid w:val="00B9253C"/>
    <w:rsid w:val="00B9285D"/>
    <w:rsid w:val="00B93595"/>
    <w:rsid w:val="00B93B76"/>
    <w:rsid w:val="00B944AC"/>
    <w:rsid w:val="00B94B33"/>
    <w:rsid w:val="00B94DCF"/>
    <w:rsid w:val="00B950CE"/>
    <w:rsid w:val="00B951F0"/>
    <w:rsid w:val="00B95A9E"/>
    <w:rsid w:val="00B95ADF"/>
    <w:rsid w:val="00B9651D"/>
    <w:rsid w:val="00B96F39"/>
    <w:rsid w:val="00B975A3"/>
    <w:rsid w:val="00B976A1"/>
    <w:rsid w:val="00B97736"/>
    <w:rsid w:val="00BA0E09"/>
    <w:rsid w:val="00BA0E0C"/>
    <w:rsid w:val="00BA0F5B"/>
    <w:rsid w:val="00BA12AE"/>
    <w:rsid w:val="00BA12B2"/>
    <w:rsid w:val="00BA160F"/>
    <w:rsid w:val="00BA1F24"/>
    <w:rsid w:val="00BA23B6"/>
    <w:rsid w:val="00BA26D3"/>
    <w:rsid w:val="00BA2851"/>
    <w:rsid w:val="00BA3141"/>
    <w:rsid w:val="00BA3149"/>
    <w:rsid w:val="00BA3D96"/>
    <w:rsid w:val="00BA3E5D"/>
    <w:rsid w:val="00BA46DA"/>
    <w:rsid w:val="00BA4C4F"/>
    <w:rsid w:val="00BA501B"/>
    <w:rsid w:val="00BA5226"/>
    <w:rsid w:val="00BA5249"/>
    <w:rsid w:val="00BA5598"/>
    <w:rsid w:val="00BA56C0"/>
    <w:rsid w:val="00BA596C"/>
    <w:rsid w:val="00BA6A59"/>
    <w:rsid w:val="00BA7593"/>
    <w:rsid w:val="00BA7BF9"/>
    <w:rsid w:val="00BA7F19"/>
    <w:rsid w:val="00BB023C"/>
    <w:rsid w:val="00BB05CE"/>
    <w:rsid w:val="00BB110B"/>
    <w:rsid w:val="00BB2373"/>
    <w:rsid w:val="00BB2678"/>
    <w:rsid w:val="00BB29E7"/>
    <w:rsid w:val="00BB3049"/>
    <w:rsid w:val="00BB3D82"/>
    <w:rsid w:val="00BB3E05"/>
    <w:rsid w:val="00BB4039"/>
    <w:rsid w:val="00BB4355"/>
    <w:rsid w:val="00BB4770"/>
    <w:rsid w:val="00BB5265"/>
    <w:rsid w:val="00BB545D"/>
    <w:rsid w:val="00BB6CBF"/>
    <w:rsid w:val="00BB767A"/>
    <w:rsid w:val="00BB787F"/>
    <w:rsid w:val="00BB78ED"/>
    <w:rsid w:val="00BB79F5"/>
    <w:rsid w:val="00BC00B6"/>
    <w:rsid w:val="00BC116A"/>
    <w:rsid w:val="00BC12F5"/>
    <w:rsid w:val="00BC135B"/>
    <w:rsid w:val="00BC2A0C"/>
    <w:rsid w:val="00BC2AF8"/>
    <w:rsid w:val="00BC2E96"/>
    <w:rsid w:val="00BC2F6F"/>
    <w:rsid w:val="00BC3DE6"/>
    <w:rsid w:val="00BC3F5D"/>
    <w:rsid w:val="00BC430F"/>
    <w:rsid w:val="00BC4ADA"/>
    <w:rsid w:val="00BC55BB"/>
    <w:rsid w:val="00BC5765"/>
    <w:rsid w:val="00BC5EB8"/>
    <w:rsid w:val="00BC65B0"/>
    <w:rsid w:val="00BC6BA7"/>
    <w:rsid w:val="00BC78E7"/>
    <w:rsid w:val="00BC7DEA"/>
    <w:rsid w:val="00BC7EB7"/>
    <w:rsid w:val="00BD003B"/>
    <w:rsid w:val="00BD087C"/>
    <w:rsid w:val="00BD0AF5"/>
    <w:rsid w:val="00BD0D48"/>
    <w:rsid w:val="00BD1AEC"/>
    <w:rsid w:val="00BD2968"/>
    <w:rsid w:val="00BD305F"/>
    <w:rsid w:val="00BD3836"/>
    <w:rsid w:val="00BD4B31"/>
    <w:rsid w:val="00BD4B95"/>
    <w:rsid w:val="00BD5E2C"/>
    <w:rsid w:val="00BD68E3"/>
    <w:rsid w:val="00BD6D8C"/>
    <w:rsid w:val="00BD6F18"/>
    <w:rsid w:val="00BD74A7"/>
    <w:rsid w:val="00BE04CB"/>
    <w:rsid w:val="00BE0E02"/>
    <w:rsid w:val="00BE0EA6"/>
    <w:rsid w:val="00BE1F9F"/>
    <w:rsid w:val="00BE21A9"/>
    <w:rsid w:val="00BE23A8"/>
    <w:rsid w:val="00BE283E"/>
    <w:rsid w:val="00BE3281"/>
    <w:rsid w:val="00BE3338"/>
    <w:rsid w:val="00BE35EA"/>
    <w:rsid w:val="00BE3E09"/>
    <w:rsid w:val="00BE4481"/>
    <w:rsid w:val="00BE4794"/>
    <w:rsid w:val="00BE4948"/>
    <w:rsid w:val="00BE5294"/>
    <w:rsid w:val="00BE5820"/>
    <w:rsid w:val="00BE6005"/>
    <w:rsid w:val="00BE64BD"/>
    <w:rsid w:val="00BE6945"/>
    <w:rsid w:val="00BE6C63"/>
    <w:rsid w:val="00BF008C"/>
    <w:rsid w:val="00BF102C"/>
    <w:rsid w:val="00BF1813"/>
    <w:rsid w:val="00BF21F5"/>
    <w:rsid w:val="00BF280A"/>
    <w:rsid w:val="00BF2CDA"/>
    <w:rsid w:val="00BF456B"/>
    <w:rsid w:val="00BF496E"/>
    <w:rsid w:val="00BF4AA9"/>
    <w:rsid w:val="00BF4EBB"/>
    <w:rsid w:val="00BF4FDE"/>
    <w:rsid w:val="00BF53BF"/>
    <w:rsid w:val="00BF5C73"/>
    <w:rsid w:val="00BF63CD"/>
    <w:rsid w:val="00BF65FF"/>
    <w:rsid w:val="00BF678D"/>
    <w:rsid w:val="00BF6828"/>
    <w:rsid w:val="00BF6BFF"/>
    <w:rsid w:val="00BF7537"/>
    <w:rsid w:val="00BF76ED"/>
    <w:rsid w:val="00BF7C03"/>
    <w:rsid w:val="00BF7C07"/>
    <w:rsid w:val="00BFB0AF"/>
    <w:rsid w:val="00C00285"/>
    <w:rsid w:val="00C0039A"/>
    <w:rsid w:val="00C008BB"/>
    <w:rsid w:val="00C0135A"/>
    <w:rsid w:val="00C026FF"/>
    <w:rsid w:val="00C030C4"/>
    <w:rsid w:val="00C0332A"/>
    <w:rsid w:val="00C03AE0"/>
    <w:rsid w:val="00C03B43"/>
    <w:rsid w:val="00C03ECD"/>
    <w:rsid w:val="00C049E3"/>
    <w:rsid w:val="00C04CFB"/>
    <w:rsid w:val="00C0527C"/>
    <w:rsid w:val="00C05305"/>
    <w:rsid w:val="00C05B33"/>
    <w:rsid w:val="00C0645C"/>
    <w:rsid w:val="00C07010"/>
    <w:rsid w:val="00C07846"/>
    <w:rsid w:val="00C07FF0"/>
    <w:rsid w:val="00C106DA"/>
    <w:rsid w:val="00C10AA3"/>
    <w:rsid w:val="00C112AF"/>
    <w:rsid w:val="00C117C5"/>
    <w:rsid w:val="00C11D8D"/>
    <w:rsid w:val="00C1279A"/>
    <w:rsid w:val="00C12C7F"/>
    <w:rsid w:val="00C12E00"/>
    <w:rsid w:val="00C13789"/>
    <w:rsid w:val="00C138A0"/>
    <w:rsid w:val="00C13A40"/>
    <w:rsid w:val="00C13CF5"/>
    <w:rsid w:val="00C14D3F"/>
    <w:rsid w:val="00C15457"/>
    <w:rsid w:val="00C15E6E"/>
    <w:rsid w:val="00C16324"/>
    <w:rsid w:val="00C167D9"/>
    <w:rsid w:val="00C17714"/>
    <w:rsid w:val="00C1784B"/>
    <w:rsid w:val="00C17889"/>
    <w:rsid w:val="00C17C78"/>
    <w:rsid w:val="00C1FB5A"/>
    <w:rsid w:val="00C20304"/>
    <w:rsid w:val="00C209D5"/>
    <w:rsid w:val="00C20B96"/>
    <w:rsid w:val="00C212F7"/>
    <w:rsid w:val="00C227B9"/>
    <w:rsid w:val="00C2355F"/>
    <w:rsid w:val="00C23A52"/>
    <w:rsid w:val="00C24CE7"/>
    <w:rsid w:val="00C24D48"/>
    <w:rsid w:val="00C259FA"/>
    <w:rsid w:val="00C25C21"/>
    <w:rsid w:val="00C26C82"/>
    <w:rsid w:val="00C26DD2"/>
    <w:rsid w:val="00C271B1"/>
    <w:rsid w:val="00C3069B"/>
    <w:rsid w:val="00C309C3"/>
    <w:rsid w:val="00C3105F"/>
    <w:rsid w:val="00C3162D"/>
    <w:rsid w:val="00C319FE"/>
    <w:rsid w:val="00C323DF"/>
    <w:rsid w:val="00C3250E"/>
    <w:rsid w:val="00C333FB"/>
    <w:rsid w:val="00C3466F"/>
    <w:rsid w:val="00C34681"/>
    <w:rsid w:val="00C34D5D"/>
    <w:rsid w:val="00C34D9D"/>
    <w:rsid w:val="00C34E72"/>
    <w:rsid w:val="00C353E8"/>
    <w:rsid w:val="00C35DFC"/>
    <w:rsid w:val="00C366FE"/>
    <w:rsid w:val="00C36D5B"/>
    <w:rsid w:val="00C37778"/>
    <w:rsid w:val="00C377F1"/>
    <w:rsid w:val="00C37B6E"/>
    <w:rsid w:val="00C37C89"/>
    <w:rsid w:val="00C37D95"/>
    <w:rsid w:val="00C40D57"/>
    <w:rsid w:val="00C412F0"/>
    <w:rsid w:val="00C4133C"/>
    <w:rsid w:val="00C41512"/>
    <w:rsid w:val="00C41A25"/>
    <w:rsid w:val="00C422E9"/>
    <w:rsid w:val="00C424C9"/>
    <w:rsid w:val="00C42544"/>
    <w:rsid w:val="00C437AC"/>
    <w:rsid w:val="00C44006"/>
    <w:rsid w:val="00C441E6"/>
    <w:rsid w:val="00C4459C"/>
    <w:rsid w:val="00C44B9E"/>
    <w:rsid w:val="00C44F35"/>
    <w:rsid w:val="00C46724"/>
    <w:rsid w:val="00C46B98"/>
    <w:rsid w:val="00C47F34"/>
    <w:rsid w:val="00C509B0"/>
    <w:rsid w:val="00C509C5"/>
    <w:rsid w:val="00C50B04"/>
    <w:rsid w:val="00C50CF2"/>
    <w:rsid w:val="00C50F10"/>
    <w:rsid w:val="00C5176C"/>
    <w:rsid w:val="00C518E6"/>
    <w:rsid w:val="00C51B8E"/>
    <w:rsid w:val="00C51D4B"/>
    <w:rsid w:val="00C51F65"/>
    <w:rsid w:val="00C52487"/>
    <w:rsid w:val="00C5255F"/>
    <w:rsid w:val="00C52FA1"/>
    <w:rsid w:val="00C53198"/>
    <w:rsid w:val="00C5350E"/>
    <w:rsid w:val="00C53961"/>
    <w:rsid w:val="00C53DC7"/>
    <w:rsid w:val="00C542C5"/>
    <w:rsid w:val="00C54D80"/>
    <w:rsid w:val="00C54DFC"/>
    <w:rsid w:val="00C55EB5"/>
    <w:rsid w:val="00C5607C"/>
    <w:rsid w:val="00C563B2"/>
    <w:rsid w:val="00C56600"/>
    <w:rsid w:val="00C56AFD"/>
    <w:rsid w:val="00C56E21"/>
    <w:rsid w:val="00C578A3"/>
    <w:rsid w:val="00C57909"/>
    <w:rsid w:val="00C57B1D"/>
    <w:rsid w:val="00C5E46F"/>
    <w:rsid w:val="00C6043F"/>
    <w:rsid w:val="00C605EE"/>
    <w:rsid w:val="00C60750"/>
    <w:rsid w:val="00C60D15"/>
    <w:rsid w:val="00C60D42"/>
    <w:rsid w:val="00C613EF"/>
    <w:rsid w:val="00C61A85"/>
    <w:rsid w:val="00C61B37"/>
    <w:rsid w:val="00C61E49"/>
    <w:rsid w:val="00C620DA"/>
    <w:rsid w:val="00C62323"/>
    <w:rsid w:val="00C6288D"/>
    <w:rsid w:val="00C62FD6"/>
    <w:rsid w:val="00C630E1"/>
    <w:rsid w:val="00C632CA"/>
    <w:rsid w:val="00C63368"/>
    <w:rsid w:val="00C63CA6"/>
    <w:rsid w:val="00C642ED"/>
    <w:rsid w:val="00C64671"/>
    <w:rsid w:val="00C647B5"/>
    <w:rsid w:val="00C65797"/>
    <w:rsid w:val="00C66624"/>
    <w:rsid w:val="00C66E65"/>
    <w:rsid w:val="00C67949"/>
    <w:rsid w:val="00C70474"/>
    <w:rsid w:val="00C7095D"/>
    <w:rsid w:val="00C710C6"/>
    <w:rsid w:val="00C71140"/>
    <w:rsid w:val="00C713BF"/>
    <w:rsid w:val="00C71CE2"/>
    <w:rsid w:val="00C722B0"/>
    <w:rsid w:val="00C72785"/>
    <w:rsid w:val="00C72A35"/>
    <w:rsid w:val="00C72FA7"/>
    <w:rsid w:val="00C735B6"/>
    <w:rsid w:val="00C73A26"/>
    <w:rsid w:val="00C73DB9"/>
    <w:rsid w:val="00C7438C"/>
    <w:rsid w:val="00C74AE7"/>
    <w:rsid w:val="00C751E7"/>
    <w:rsid w:val="00C7564B"/>
    <w:rsid w:val="00C75D9D"/>
    <w:rsid w:val="00C76A76"/>
    <w:rsid w:val="00C773E9"/>
    <w:rsid w:val="00C8044F"/>
    <w:rsid w:val="00C807B6"/>
    <w:rsid w:val="00C81213"/>
    <w:rsid w:val="00C81644"/>
    <w:rsid w:val="00C81C3A"/>
    <w:rsid w:val="00C826EB"/>
    <w:rsid w:val="00C827E3"/>
    <w:rsid w:val="00C831F3"/>
    <w:rsid w:val="00C83686"/>
    <w:rsid w:val="00C83B3A"/>
    <w:rsid w:val="00C842C9"/>
    <w:rsid w:val="00C85C02"/>
    <w:rsid w:val="00C86198"/>
    <w:rsid w:val="00C8620A"/>
    <w:rsid w:val="00C870F3"/>
    <w:rsid w:val="00C87C6E"/>
    <w:rsid w:val="00C9019F"/>
    <w:rsid w:val="00C90F3E"/>
    <w:rsid w:val="00C9106F"/>
    <w:rsid w:val="00C91E0D"/>
    <w:rsid w:val="00C92AFD"/>
    <w:rsid w:val="00C93091"/>
    <w:rsid w:val="00C9356D"/>
    <w:rsid w:val="00C93BF6"/>
    <w:rsid w:val="00C93EF4"/>
    <w:rsid w:val="00C941A2"/>
    <w:rsid w:val="00C9486F"/>
    <w:rsid w:val="00C94D8C"/>
    <w:rsid w:val="00C954E7"/>
    <w:rsid w:val="00C959E7"/>
    <w:rsid w:val="00C9617B"/>
    <w:rsid w:val="00C962E2"/>
    <w:rsid w:val="00C96581"/>
    <w:rsid w:val="00C975C2"/>
    <w:rsid w:val="00C9771A"/>
    <w:rsid w:val="00C97EAE"/>
    <w:rsid w:val="00CA057F"/>
    <w:rsid w:val="00CA0AFE"/>
    <w:rsid w:val="00CA0CF2"/>
    <w:rsid w:val="00CA1202"/>
    <w:rsid w:val="00CA2909"/>
    <w:rsid w:val="00CA2F6C"/>
    <w:rsid w:val="00CA3B9B"/>
    <w:rsid w:val="00CA44E7"/>
    <w:rsid w:val="00CA45EC"/>
    <w:rsid w:val="00CA5678"/>
    <w:rsid w:val="00CA7433"/>
    <w:rsid w:val="00CA74DB"/>
    <w:rsid w:val="00CA7682"/>
    <w:rsid w:val="00CA78F1"/>
    <w:rsid w:val="00CA7BD9"/>
    <w:rsid w:val="00CA7D5B"/>
    <w:rsid w:val="00CB0965"/>
    <w:rsid w:val="00CB098F"/>
    <w:rsid w:val="00CB133C"/>
    <w:rsid w:val="00CB1985"/>
    <w:rsid w:val="00CB1A4F"/>
    <w:rsid w:val="00CB269D"/>
    <w:rsid w:val="00CB316C"/>
    <w:rsid w:val="00CB3171"/>
    <w:rsid w:val="00CB3313"/>
    <w:rsid w:val="00CB337D"/>
    <w:rsid w:val="00CB344A"/>
    <w:rsid w:val="00CB3746"/>
    <w:rsid w:val="00CB3D15"/>
    <w:rsid w:val="00CB6C2E"/>
    <w:rsid w:val="00CB729E"/>
    <w:rsid w:val="00CC0937"/>
    <w:rsid w:val="00CC0AE9"/>
    <w:rsid w:val="00CC16A2"/>
    <w:rsid w:val="00CC1759"/>
    <w:rsid w:val="00CC1B2B"/>
    <w:rsid w:val="00CC348C"/>
    <w:rsid w:val="00CC392A"/>
    <w:rsid w:val="00CC3CA3"/>
    <w:rsid w:val="00CC4ABC"/>
    <w:rsid w:val="00CC50D8"/>
    <w:rsid w:val="00CC5DF4"/>
    <w:rsid w:val="00CC6B5D"/>
    <w:rsid w:val="00CC6C4A"/>
    <w:rsid w:val="00CC6E4B"/>
    <w:rsid w:val="00CD19F9"/>
    <w:rsid w:val="00CD19FF"/>
    <w:rsid w:val="00CD1F87"/>
    <w:rsid w:val="00CD2DB3"/>
    <w:rsid w:val="00CD4027"/>
    <w:rsid w:val="00CD5976"/>
    <w:rsid w:val="00CD61A8"/>
    <w:rsid w:val="00CD6382"/>
    <w:rsid w:val="00CD66D5"/>
    <w:rsid w:val="00CD69CB"/>
    <w:rsid w:val="00CD6C77"/>
    <w:rsid w:val="00CD70E8"/>
    <w:rsid w:val="00CD7C08"/>
    <w:rsid w:val="00CD7DDD"/>
    <w:rsid w:val="00CD89DE"/>
    <w:rsid w:val="00CE11E1"/>
    <w:rsid w:val="00CE15DA"/>
    <w:rsid w:val="00CE19EE"/>
    <w:rsid w:val="00CE21C6"/>
    <w:rsid w:val="00CE2CC0"/>
    <w:rsid w:val="00CE3BB5"/>
    <w:rsid w:val="00CE3D20"/>
    <w:rsid w:val="00CE58F0"/>
    <w:rsid w:val="00CE6BD4"/>
    <w:rsid w:val="00CE6EC9"/>
    <w:rsid w:val="00CE7275"/>
    <w:rsid w:val="00CE79AC"/>
    <w:rsid w:val="00CE7B7B"/>
    <w:rsid w:val="00CF0070"/>
    <w:rsid w:val="00CF015E"/>
    <w:rsid w:val="00CF0926"/>
    <w:rsid w:val="00CF0C79"/>
    <w:rsid w:val="00CF0CA7"/>
    <w:rsid w:val="00CF0D57"/>
    <w:rsid w:val="00CF1137"/>
    <w:rsid w:val="00CF163E"/>
    <w:rsid w:val="00CF179E"/>
    <w:rsid w:val="00CF1913"/>
    <w:rsid w:val="00CF1A1C"/>
    <w:rsid w:val="00CF22B1"/>
    <w:rsid w:val="00CF230F"/>
    <w:rsid w:val="00CF29D5"/>
    <w:rsid w:val="00CF4FB3"/>
    <w:rsid w:val="00CF544E"/>
    <w:rsid w:val="00CF6E04"/>
    <w:rsid w:val="00CF708F"/>
    <w:rsid w:val="00CF725C"/>
    <w:rsid w:val="00CF7468"/>
    <w:rsid w:val="00CF756A"/>
    <w:rsid w:val="00CF7E22"/>
    <w:rsid w:val="00D00CEC"/>
    <w:rsid w:val="00D0100B"/>
    <w:rsid w:val="00D01018"/>
    <w:rsid w:val="00D0124D"/>
    <w:rsid w:val="00D014F9"/>
    <w:rsid w:val="00D01C58"/>
    <w:rsid w:val="00D030D8"/>
    <w:rsid w:val="00D0313B"/>
    <w:rsid w:val="00D03253"/>
    <w:rsid w:val="00D03327"/>
    <w:rsid w:val="00D03B59"/>
    <w:rsid w:val="00D046E5"/>
    <w:rsid w:val="00D047CF"/>
    <w:rsid w:val="00D04ECC"/>
    <w:rsid w:val="00D053B7"/>
    <w:rsid w:val="00D056A9"/>
    <w:rsid w:val="00D05B62"/>
    <w:rsid w:val="00D05D40"/>
    <w:rsid w:val="00D0621E"/>
    <w:rsid w:val="00D07268"/>
    <w:rsid w:val="00D072E0"/>
    <w:rsid w:val="00D073B8"/>
    <w:rsid w:val="00D07E16"/>
    <w:rsid w:val="00D10212"/>
    <w:rsid w:val="00D10B4B"/>
    <w:rsid w:val="00D11F31"/>
    <w:rsid w:val="00D1260D"/>
    <w:rsid w:val="00D127F3"/>
    <w:rsid w:val="00D13454"/>
    <w:rsid w:val="00D13635"/>
    <w:rsid w:val="00D13D01"/>
    <w:rsid w:val="00D1404F"/>
    <w:rsid w:val="00D14293"/>
    <w:rsid w:val="00D144C5"/>
    <w:rsid w:val="00D14F76"/>
    <w:rsid w:val="00D153D1"/>
    <w:rsid w:val="00D15694"/>
    <w:rsid w:val="00D16276"/>
    <w:rsid w:val="00D16649"/>
    <w:rsid w:val="00D16F82"/>
    <w:rsid w:val="00D175C1"/>
    <w:rsid w:val="00D2008F"/>
    <w:rsid w:val="00D203B6"/>
    <w:rsid w:val="00D20532"/>
    <w:rsid w:val="00D20C34"/>
    <w:rsid w:val="00D21293"/>
    <w:rsid w:val="00D212B3"/>
    <w:rsid w:val="00D21DC2"/>
    <w:rsid w:val="00D22273"/>
    <w:rsid w:val="00D231F5"/>
    <w:rsid w:val="00D239A7"/>
    <w:rsid w:val="00D23E39"/>
    <w:rsid w:val="00D2504D"/>
    <w:rsid w:val="00D26039"/>
    <w:rsid w:val="00D2625E"/>
    <w:rsid w:val="00D262FF"/>
    <w:rsid w:val="00D2671D"/>
    <w:rsid w:val="00D26971"/>
    <w:rsid w:val="00D27510"/>
    <w:rsid w:val="00D27FA9"/>
    <w:rsid w:val="00D30582"/>
    <w:rsid w:val="00D30D22"/>
    <w:rsid w:val="00D30E41"/>
    <w:rsid w:val="00D3257E"/>
    <w:rsid w:val="00D32C67"/>
    <w:rsid w:val="00D330D7"/>
    <w:rsid w:val="00D33378"/>
    <w:rsid w:val="00D338FA"/>
    <w:rsid w:val="00D33B11"/>
    <w:rsid w:val="00D34209"/>
    <w:rsid w:val="00D3460F"/>
    <w:rsid w:val="00D34CAF"/>
    <w:rsid w:val="00D352B3"/>
    <w:rsid w:val="00D357C0"/>
    <w:rsid w:val="00D3651C"/>
    <w:rsid w:val="00D36F79"/>
    <w:rsid w:val="00D3767E"/>
    <w:rsid w:val="00D37B07"/>
    <w:rsid w:val="00D37E4E"/>
    <w:rsid w:val="00D40708"/>
    <w:rsid w:val="00D40F68"/>
    <w:rsid w:val="00D421E5"/>
    <w:rsid w:val="00D42398"/>
    <w:rsid w:val="00D430B4"/>
    <w:rsid w:val="00D438D3"/>
    <w:rsid w:val="00D43E39"/>
    <w:rsid w:val="00D43ECC"/>
    <w:rsid w:val="00D44482"/>
    <w:rsid w:val="00D44542"/>
    <w:rsid w:val="00D45C53"/>
    <w:rsid w:val="00D45DE9"/>
    <w:rsid w:val="00D46168"/>
    <w:rsid w:val="00D46423"/>
    <w:rsid w:val="00D475E5"/>
    <w:rsid w:val="00D477A0"/>
    <w:rsid w:val="00D507F2"/>
    <w:rsid w:val="00D514AF"/>
    <w:rsid w:val="00D51CCB"/>
    <w:rsid w:val="00D52428"/>
    <w:rsid w:val="00D52521"/>
    <w:rsid w:val="00D52DC2"/>
    <w:rsid w:val="00D54F95"/>
    <w:rsid w:val="00D55561"/>
    <w:rsid w:val="00D56216"/>
    <w:rsid w:val="00D56AC6"/>
    <w:rsid w:val="00D570AA"/>
    <w:rsid w:val="00D601CF"/>
    <w:rsid w:val="00D602BA"/>
    <w:rsid w:val="00D60F42"/>
    <w:rsid w:val="00D610C7"/>
    <w:rsid w:val="00D61190"/>
    <w:rsid w:val="00D61385"/>
    <w:rsid w:val="00D61580"/>
    <w:rsid w:val="00D61C53"/>
    <w:rsid w:val="00D620E3"/>
    <w:rsid w:val="00D623B3"/>
    <w:rsid w:val="00D62803"/>
    <w:rsid w:val="00D628C1"/>
    <w:rsid w:val="00D62DB1"/>
    <w:rsid w:val="00D6374E"/>
    <w:rsid w:val="00D64337"/>
    <w:rsid w:val="00D651B3"/>
    <w:rsid w:val="00D65301"/>
    <w:rsid w:val="00D654BD"/>
    <w:rsid w:val="00D70161"/>
    <w:rsid w:val="00D7127E"/>
    <w:rsid w:val="00D714D9"/>
    <w:rsid w:val="00D718E6"/>
    <w:rsid w:val="00D71A97"/>
    <w:rsid w:val="00D721AB"/>
    <w:rsid w:val="00D72370"/>
    <w:rsid w:val="00D72C23"/>
    <w:rsid w:val="00D73363"/>
    <w:rsid w:val="00D73FBE"/>
    <w:rsid w:val="00D74001"/>
    <w:rsid w:val="00D74686"/>
    <w:rsid w:val="00D7476B"/>
    <w:rsid w:val="00D74C74"/>
    <w:rsid w:val="00D74CD3"/>
    <w:rsid w:val="00D74EA5"/>
    <w:rsid w:val="00D8020E"/>
    <w:rsid w:val="00D8054F"/>
    <w:rsid w:val="00D81120"/>
    <w:rsid w:val="00D8142E"/>
    <w:rsid w:val="00D817C3"/>
    <w:rsid w:val="00D819B7"/>
    <w:rsid w:val="00D81C0E"/>
    <w:rsid w:val="00D83008"/>
    <w:rsid w:val="00D83AFA"/>
    <w:rsid w:val="00D84407"/>
    <w:rsid w:val="00D852FC"/>
    <w:rsid w:val="00D85404"/>
    <w:rsid w:val="00D8547D"/>
    <w:rsid w:val="00D85693"/>
    <w:rsid w:val="00D85AA3"/>
    <w:rsid w:val="00D8702F"/>
    <w:rsid w:val="00D870B2"/>
    <w:rsid w:val="00D87614"/>
    <w:rsid w:val="00D90442"/>
    <w:rsid w:val="00D90B75"/>
    <w:rsid w:val="00D910C4"/>
    <w:rsid w:val="00D913E6"/>
    <w:rsid w:val="00D91729"/>
    <w:rsid w:val="00D91A98"/>
    <w:rsid w:val="00D91FD3"/>
    <w:rsid w:val="00D923C6"/>
    <w:rsid w:val="00D925FB"/>
    <w:rsid w:val="00D93278"/>
    <w:rsid w:val="00D9327C"/>
    <w:rsid w:val="00D9451E"/>
    <w:rsid w:val="00D94D74"/>
    <w:rsid w:val="00D95293"/>
    <w:rsid w:val="00D954E7"/>
    <w:rsid w:val="00D956EA"/>
    <w:rsid w:val="00D95AB7"/>
    <w:rsid w:val="00D95C0B"/>
    <w:rsid w:val="00D95E89"/>
    <w:rsid w:val="00D972E8"/>
    <w:rsid w:val="00D97617"/>
    <w:rsid w:val="00D97A98"/>
    <w:rsid w:val="00D97F89"/>
    <w:rsid w:val="00DA15F5"/>
    <w:rsid w:val="00DA1CD6"/>
    <w:rsid w:val="00DA1D8A"/>
    <w:rsid w:val="00DA3495"/>
    <w:rsid w:val="00DA39AC"/>
    <w:rsid w:val="00DA3B9F"/>
    <w:rsid w:val="00DA55A8"/>
    <w:rsid w:val="00DA63D8"/>
    <w:rsid w:val="00DA66DB"/>
    <w:rsid w:val="00DA6C6E"/>
    <w:rsid w:val="00DA703F"/>
    <w:rsid w:val="00DA7160"/>
    <w:rsid w:val="00DA7232"/>
    <w:rsid w:val="00DB00DF"/>
    <w:rsid w:val="00DB02ED"/>
    <w:rsid w:val="00DB172F"/>
    <w:rsid w:val="00DB1C4E"/>
    <w:rsid w:val="00DB1CB3"/>
    <w:rsid w:val="00DB1DB3"/>
    <w:rsid w:val="00DB1F09"/>
    <w:rsid w:val="00DB2704"/>
    <w:rsid w:val="00DB2B03"/>
    <w:rsid w:val="00DB3360"/>
    <w:rsid w:val="00DB36CF"/>
    <w:rsid w:val="00DB3B16"/>
    <w:rsid w:val="00DB4CC9"/>
    <w:rsid w:val="00DB505C"/>
    <w:rsid w:val="00DB5AC6"/>
    <w:rsid w:val="00DB668A"/>
    <w:rsid w:val="00DB6794"/>
    <w:rsid w:val="00DB6C08"/>
    <w:rsid w:val="00DB6C3A"/>
    <w:rsid w:val="00DB77F8"/>
    <w:rsid w:val="00DB7AB5"/>
    <w:rsid w:val="00DB7B95"/>
    <w:rsid w:val="00DB7F84"/>
    <w:rsid w:val="00DB7FB4"/>
    <w:rsid w:val="00DC046D"/>
    <w:rsid w:val="00DC0596"/>
    <w:rsid w:val="00DC09EF"/>
    <w:rsid w:val="00DC0A63"/>
    <w:rsid w:val="00DC15E6"/>
    <w:rsid w:val="00DC1C97"/>
    <w:rsid w:val="00DC258A"/>
    <w:rsid w:val="00DC309C"/>
    <w:rsid w:val="00DC4429"/>
    <w:rsid w:val="00DC4E09"/>
    <w:rsid w:val="00DC4E56"/>
    <w:rsid w:val="00DC5B60"/>
    <w:rsid w:val="00DC664F"/>
    <w:rsid w:val="00DC6BA5"/>
    <w:rsid w:val="00DC7273"/>
    <w:rsid w:val="00DC7E02"/>
    <w:rsid w:val="00DD1006"/>
    <w:rsid w:val="00DD11C8"/>
    <w:rsid w:val="00DD1252"/>
    <w:rsid w:val="00DD18D9"/>
    <w:rsid w:val="00DD1AEB"/>
    <w:rsid w:val="00DD2099"/>
    <w:rsid w:val="00DD3512"/>
    <w:rsid w:val="00DD38A7"/>
    <w:rsid w:val="00DD470D"/>
    <w:rsid w:val="00DD4B0E"/>
    <w:rsid w:val="00DD4C33"/>
    <w:rsid w:val="00DD4CE8"/>
    <w:rsid w:val="00DD4D9E"/>
    <w:rsid w:val="00DD4F9F"/>
    <w:rsid w:val="00DD534D"/>
    <w:rsid w:val="00DD53EE"/>
    <w:rsid w:val="00DD5B11"/>
    <w:rsid w:val="00DD5B79"/>
    <w:rsid w:val="00DD5BE7"/>
    <w:rsid w:val="00DD62F4"/>
    <w:rsid w:val="00DD648C"/>
    <w:rsid w:val="00DD6A1A"/>
    <w:rsid w:val="00DD78E1"/>
    <w:rsid w:val="00DE0036"/>
    <w:rsid w:val="00DE00E3"/>
    <w:rsid w:val="00DE024D"/>
    <w:rsid w:val="00DE08A3"/>
    <w:rsid w:val="00DE09C0"/>
    <w:rsid w:val="00DE0E73"/>
    <w:rsid w:val="00DE12BF"/>
    <w:rsid w:val="00DE15AA"/>
    <w:rsid w:val="00DE3BF7"/>
    <w:rsid w:val="00DE44F1"/>
    <w:rsid w:val="00DE48B7"/>
    <w:rsid w:val="00DE50BC"/>
    <w:rsid w:val="00DE564D"/>
    <w:rsid w:val="00DE5877"/>
    <w:rsid w:val="00DE5FCB"/>
    <w:rsid w:val="00DE6253"/>
    <w:rsid w:val="00DE6CCB"/>
    <w:rsid w:val="00DE77F6"/>
    <w:rsid w:val="00DE7823"/>
    <w:rsid w:val="00DF0261"/>
    <w:rsid w:val="00DF0635"/>
    <w:rsid w:val="00DF0CD4"/>
    <w:rsid w:val="00DF0CE5"/>
    <w:rsid w:val="00DF1300"/>
    <w:rsid w:val="00DF2607"/>
    <w:rsid w:val="00DF2C14"/>
    <w:rsid w:val="00DF372E"/>
    <w:rsid w:val="00DF3945"/>
    <w:rsid w:val="00DF3E10"/>
    <w:rsid w:val="00DF472F"/>
    <w:rsid w:val="00DF5014"/>
    <w:rsid w:val="00DF581E"/>
    <w:rsid w:val="00DF6000"/>
    <w:rsid w:val="00DF63A5"/>
    <w:rsid w:val="00DF6CFA"/>
    <w:rsid w:val="00DF78CA"/>
    <w:rsid w:val="00E00BF5"/>
    <w:rsid w:val="00E00D90"/>
    <w:rsid w:val="00E00FD0"/>
    <w:rsid w:val="00E018E3"/>
    <w:rsid w:val="00E01900"/>
    <w:rsid w:val="00E01D3D"/>
    <w:rsid w:val="00E0323D"/>
    <w:rsid w:val="00E0418C"/>
    <w:rsid w:val="00E04E63"/>
    <w:rsid w:val="00E0514D"/>
    <w:rsid w:val="00E052F4"/>
    <w:rsid w:val="00E05849"/>
    <w:rsid w:val="00E0643D"/>
    <w:rsid w:val="00E06B8A"/>
    <w:rsid w:val="00E071DA"/>
    <w:rsid w:val="00E07A92"/>
    <w:rsid w:val="00E07C77"/>
    <w:rsid w:val="00E104DE"/>
    <w:rsid w:val="00E1051E"/>
    <w:rsid w:val="00E106ED"/>
    <w:rsid w:val="00E107CA"/>
    <w:rsid w:val="00E111F1"/>
    <w:rsid w:val="00E11811"/>
    <w:rsid w:val="00E11D0F"/>
    <w:rsid w:val="00E12081"/>
    <w:rsid w:val="00E1227F"/>
    <w:rsid w:val="00E12437"/>
    <w:rsid w:val="00E13493"/>
    <w:rsid w:val="00E13624"/>
    <w:rsid w:val="00E1369A"/>
    <w:rsid w:val="00E14F70"/>
    <w:rsid w:val="00E15216"/>
    <w:rsid w:val="00E154E6"/>
    <w:rsid w:val="00E1589A"/>
    <w:rsid w:val="00E15984"/>
    <w:rsid w:val="00E15CF8"/>
    <w:rsid w:val="00E165E9"/>
    <w:rsid w:val="00E171FF"/>
    <w:rsid w:val="00E1756B"/>
    <w:rsid w:val="00E177F1"/>
    <w:rsid w:val="00E17975"/>
    <w:rsid w:val="00E17EDE"/>
    <w:rsid w:val="00E17F9F"/>
    <w:rsid w:val="00E202D4"/>
    <w:rsid w:val="00E206B0"/>
    <w:rsid w:val="00E20AF4"/>
    <w:rsid w:val="00E20C73"/>
    <w:rsid w:val="00E212EC"/>
    <w:rsid w:val="00E21651"/>
    <w:rsid w:val="00E21B27"/>
    <w:rsid w:val="00E22113"/>
    <w:rsid w:val="00E22911"/>
    <w:rsid w:val="00E22C8A"/>
    <w:rsid w:val="00E2473A"/>
    <w:rsid w:val="00E269FC"/>
    <w:rsid w:val="00E305BF"/>
    <w:rsid w:val="00E3083A"/>
    <w:rsid w:val="00E308AE"/>
    <w:rsid w:val="00E30AA3"/>
    <w:rsid w:val="00E30E2C"/>
    <w:rsid w:val="00E31129"/>
    <w:rsid w:val="00E318E0"/>
    <w:rsid w:val="00E31E8A"/>
    <w:rsid w:val="00E3388E"/>
    <w:rsid w:val="00E33E6A"/>
    <w:rsid w:val="00E34707"/>
    <w:rsid w:val="00E34914"/>
    <w:rsid w:val="00E3495F"/>
    <w:rsid w:val="00E363FA"/>
    <w:rsid w:val="00E366B9"/>
    <w:rsid w:val="00E367EE"/>
    <w:rsid w:val="00E36ACC"/>
    <w:rsid w:val="00E40594"/>
    <w:rsid w:val="00E40747"/>
    <w:rsid w:val="00E4075E"/>
    <w:rsid w:val="00E40EAC"/>
    <w:rsid w:val="00E41816"/>
    <w:rsid w:val="00E41A20"/>
    <w:rsid w:val="00E41AA9"/>
    <w:rsid w:val="00E42831"/>
    <w:rsid w:val="00E42E87"/>
    <w:rsid w:val="00E43629"/>
    <w:rsid w:val="00E43717"/>
    <w:rsid w:val="00E438BB"/>
    <w:rsid w:val="00E44280"/>
    <w:rsid w:val="00E449E8"/>
    <w:rsid w:val="00E44C08"/>
    <w:rsid w:val="00E44D35"/>
    <w:rsid w:val="00E44D8C"/>
    <w:rsid w:val="00E463AD"/>
    <w:rsid w:val="00E46775"/>
    <w:rsid w:val="00E46C6E"/>
    <w:rsid w:val="00E47939"/>
    <w:rsid w:val="00E5015B"/>
    <w:rsid w:val="00E50A59"/>
    <w:rsid w:val="00E50B1B"/>
    <w:rsid w:val="00E50D5D"/>
    <w:rsid w:val="00E51488"/>
    <w:rsid w:val="00E5233A"/>
    <w:rsid w:val="00E52689"/>
    <w:rsid w:val="00E52715"/>
    <w:rsid w:val="00E529A3"/>
    <w:rsid w:val="00E52A9E"/>
    <w:rsid w:val="00E53720"/>
    <w:rsid w:val="00E53FFB"/>
    <w:rsid w:val="00E54137"/>
    <w:rsid w:val="00E54284"/>
    <w:rsid w:val="00E544AA"/>
    <w:rsid w:val="00E55143"/>
    <w:rsid w:val="00E55A22"/>
    <w:rsid w:val="00E563C0"/>
    <w:rsid w:val="00E566C6"/>
    <w:rsid w:val="00E566DF"/>
    <w:rsid w:val="00E5676A"/>
    <w:rsid w:val="00E567CB"/>
    <w:rsid w:val="00E5684A"/>
    <w:rsid w:val="00E56B33"/>
    <w:rsid w:val="00E57041"/>
    <w:rsid w:val="00E576B2"/>
    <w:rsid w:val="00E577E8"/>
    <w:rsid w:val="00E578E0"/>
    <w:rsid w:val="00E57E9E"/>
    <w:rsid w:val="00E60061"/>
    <w:rsid w:val="00E60194"/>
    <w:rsid w:val="00E6074E"/>
    <w:rsid w:val="00E6086D"/>
    <w:rsid w:val="00E60A93"/>
    <w:rsid w:val="00E61370"/>
    <w:rsid w:val="00E614EA"/>
    <w:rsid w:val="00E61898"/>
    <w:rsid w:val="00E62BB4"/>
    <w:rsid w:val="00E632EA"/>
    <w:rsid w:val="00E63F14"/>
    <w:rsid w:val="00E6478C"/>
    <w:rsid w:val="00E6538A"/>
    <w:rsid w:val="00E6573D"/>
    <w:rsid w:val="00E65D70"/>
    <w:rsid w:val="00E67430"/>
    <w:rsid w:val="00E674DD"/>
    <w:rsid w:val="00E6750D"/>
    <w:rsid w:val="00E71FB5"/>
    <w:rsid w:val="00E728AA"/>
    <w:rsid w:val="00E72E26"/>
    <w:rsid w:val="00E72F7F"/>
    <w:rsid w:val="00E7342D"/>
    <w:rsid w:val="00E7350F"/>
    <w:rsid w:val="00E73C52"/>
    <w:rsid w:val="00E74107"/>
    <w:rsid w:val="00E7446F"/>
    <w:rsid w:val="00E75466"/>
    <w:rsid w:val="00E75780"/>
    <w:rsid w:val="00E75B5D"/>
    <w:rsid w:val="00E75FC9"/>
    <w:rsid w:val="00E760EE"/>
    <w:rsid w:val="00E76219"/>
    <w:rsid w:val="00E77270"/>
    <w:rsid w:val="00E77670"/>
    <w:rsid w:val="00E779F9"/>
    <w:rsid w:val="00E800DA"/>
    <w:rsid w:val="00E80556"/>
    <w:rsid w:val="00E80A77"/>
    <w:rsid w:val="00E82BC7"/>
    <w:rsid w:val="00E82CDD"/>
    <w:rsid w:val="00E84C20"/>
    <w:rsid w:val="00E85DAF"/>
    <w:rsid w:val="00E85E2C"/>
    <w:rsid w:val="00E860DA"/>
    <w:rsid w:val="00E862A1"/>
    <w:rsid w:val="00E86748"/>
    <w:rsid w:val="00E86777"/>
    <w:rsid w:val="00E8678C"/>
    <w:rsid w:val="00E86DC8"/>
    <w:rsid w:val="00E86E80"/>
    <w:rsid w:val="00E86E81"/>
    <w:rsid w:val="00E8743F"/>
    <w:rsid w:val="00E87898"/>
    <w:rsid w:val="00E87E0D"/>
    <w:rsid w:val="00E8EE02"/>
    <w:rsid w:val="00E90444"/>
    <w:rsid w:val="00E9059B"/>
    <w:rsid w:val="00E9083B"/>
    <w:rsid w:val="00E90DA1"/>
    <w:rsid w:val="00E90DC3"/>
    <w:rsid w:val="00E91F49"/>
    <w:rsid w:val="00E921D3"/>
    <w:rsid w:val="00E9302D"/>
    <w:rsid w:val="00E943E1"/>
    <w:rsid w:val="00E94596"/>
    <w:rsid w:val="00E95458"/>
    <w:rsid w:val="00E960AF"/>
    <w:rsid w:val="00E96F24"/>
    <w:rsid w:val="00E97327"/>
    <w:rsid w:val="00E985A2"/>
    <w:rsid w:val="00EA0604"/>
    <w:rsid w:val="00EA0794"/>
    <w:rsid w:val="00EA0BB2"/>
    <w:rsid w:val="00EA0CDD"/>
    <w:rsid w:val="00EA180E"/>
    <w:rsid w:val="00EA1825"/>
    <w:rsid w:val="00EA2928"/>
    <w:rsid w:val="00EA386E"/>
    <w:rsid w:val="00EA412E"/>
    <w:rsid w:val="00EA5228"/>
    <w:rsid w:val="00EA5B59"/>
    <w:rsid w:val="00EA5BA5"/>
    <w:rsid w:val="00EA5E93"/>
    <w:rsid w:val="00EA6D02"/>
    <w:rsid w:val="00EA7187"/>
    <w:rsid w:val="00EA71BB"/>
    <w:rsid w:val="00EA7D7A"/>
    <w:rsid w:val="00EB022B"/>
    <w:rsid w:val="00EB03A1"/>
    <w:rsid w:val="00EB0A1E"/>
    <w:rsid w:val="00EB0E9F"/>
    <w:rsid w:val="00EB0FDE"/>
    <w:rsid w:val="00EB1483"/>
    <w:rsid w:val="00EB22DE"/>
    <w:rsid w:val="00EB26D9"/>
    <w:rsid w:val="00EB3567"/>
    <w:rsid w:val="00EB35AC"/>
    <w:rsid w:val="00EB375E"/>
    <w:rsid w:val="00EB3BDB"/>
    <w:rsid w:val="00EB3FD5"/>
    <w:rsid w:val="00EB43C2"/>
    <w:rsid w:val="00EB43E2"/>
    <w:rsid w:val="00EB575A"/>
    <w:rsid w:val="00EB6154"/>
    <w:rsid w:val="00EB63CA"/>
    <w:rsid w:val="00EB6C0E"/>
    <w:rsid w:val="00EB6EB2"/>
    <w:rsid w:val="00EB6F04"/>
    <w:rsid w:val="00EB7A9B"/>
    <w:rsid w:val="00EC01BF"/>
    <w:rsid w:val="00EC049E"/>
    <w:rsid w:val="00EC1158"/>
    <w:rsid w:val="00EC2007"/>
    <w:rsid w:val="00EC205B"/>
    <w:rsid w:val="00EC223C"/>
    <w:rsid w:val="00EC2A60"/>
    <w:rsid w:val="00EC391C"/>
    <w:rsid w:val="00EC3ACF"/>
    <w:rsid w:val="00EC3CC1"/>
    <w:rsid w:val="00EC3EEA"/>
    <w:rsid w:val="00EC4024"/>
    <w:rsid w:val="00EC431D"/>
    <w:rsid w:val="00EC488B"/>
    <w:rsid w:val="00EC504A"/>
    <w:rsid w:val="00EC5363"/>
    <w:rsid w:val="00EC5A0B"/>
    <w:rsid w:val="00EC5FAA"/>
    <w:rsid w:val="00EC6571"/>
    <w:rsid w:val="00EC69D1"/>
    <w:rsid w:val="00EC6D18"/>
    <w:rsid w:val="00EC75D2"/>
    <w:rsid w:val="00EC7A91"/>
    <w:rsid w:val="00EC7B3A"/>
    <w:rsid w:val="00EC7EC3"/>
    <w:rsid w:val="00ED0AB7"/>
    <w:rsid w:val="00ED1BB1"/>
    <w:rsid w:val="00ED1E96"/>
    <w:rsid w:val="00ED2405"/>
    <w:rsid w:val="00ED3AFD"/>
    <w:rsid w:val="00ED3CA1"/>
    <w:rsid w:val="00ED3E96"/>
    <w:rsid w:val="00ED3FC7"/>
    <w:rsid w:val="00ED4FEC"/>
    <w:rsid w:val="00ED4FF6"/>
    <w:rsid w:val="00ED50CD"/>
    <w:rsid w:val="00ED519A"/>
    <w:rsid w:val="00ED5392"/>
    <w:rsid w:val="00ED571B"/>
    <w:rsid w:val="00ED58A6"/>
    <w:rsid w:val="00ED5D1E"/>
    <w:rsid w:val="00ED6342"/>
    <w:rsid w:val="00ED6FE5"/>
    <w:rsid w:val="00ED7102"/>
    <w:rsid w:val="00ED79EE"/>
    <w:rsid w:val="00ED7F83"/>
    <w:rsid w:val="00EE06FF"/>
    <w:rsid w:val="00EE18B4"/>
    <w:rsid w:val="00EE18EC"/>
    <w:rsid w:val="00EE1BE1"/>
    <w:rsid w:val="00EE2A88"/>
    <w:rsid w:val="00EE3461"/>
    <w:rsid w:val="00EE3626"/>
    <w:rsid w:val="00EE3B5F"/>
    <w:rsid w:val="00EE3EDB"/>
    <w:rsid w:val="00EE44BC"/>
    <w:rsid w:val="00EE4EA7"/>
    <w:rsid w:val="00EE516A"/>
    <w:rsid w:val="00EE563C"/>
    <w:rsid w:val="00EE5939"/>
    <w:rsid w:val="00EE602F"/>
    <w:rsid w:val="00EE6271"/>
    <w:rsid w:val="00EE7256"/>
    <w:rsid w:val="00EE7AC9"/>
    <w:rsid w:val="00EE7D15"/>
    <w:rsid w:val="00EF0519"/>
    <w:rsid w:val="00EF0831"/>
    <w:rsid w:val="00EF0D9F"/>
    <w:rsid w:val="00EF15B9"/>
    <w:rsid w:val="00EF18C1"/>
    <w:rsid w:val="00EF1A6F"/>
    <w:rsid w:val="00EF1C9D"/>
    <w:rsid w:val="00EF1FCF"/>
    <w:rsid w:val="00EF39FA"/>
    <w:rsid w:val="00EF3EF6"/>
    <w:rsid w:val="00EF540B"/>
    <w:rsid w:val="00EF5764"/>
    <w:rsid w:val="00EF65B9"/>
    <w:rsid w:val="00EF67AB"/>
    <w:rsid w:val="00EF7BBE"/>
    <w:rsid w:val="00F01596"/>
    <w:rsid w:val="00F01CC9"/>
    <w:rsid w:val="00F02305"/>
    <w:rsid w:val="00F02495"/>
    <w:rsid w:val="00F026C7"/>
    <w:rsid w:val="00F02AD3"/>
    <w:rsid w:val="00F02E8A"/>
    <w:rsid w:val="00F03724"/>
    <w:rsid w:val="00F03EFB"/>
    <w:rsid w:val="00F047CA"/>
    <w:rsid w:val="00F049B8"/>
    <w:rsid w:val="00F04D15"/>
    <w:rsid w:val="00F04D3B"/>
    <w:rsid w:val="00F059CB"/>
    <w:rsid w:val="00F05CFA"/>
    <w:rsid w:val="00F07922"/>
    <w:rsid w:val="00F07B5D"/>
    <w:rsid w:val="00F10192"/>
    <w:rsid w:val="00F102F1"/>
    <w:rsid w:val="00F10583"/>
    <w:rsid w:val="00F10989"/>
    <w:rsid w:val="00F1121F"/>
    <w:rsid w:val="00F123A4"/>
    <w:rsid w:val="00F124B6"/>
    <w:rsid w:val="00F124F2"/>
    <w:rsid w:val="00F12C82"/>
    <w:rsid w:val="00F12D24"/>
    <w:rsid w:val="00F12EC8"/>
    <w:rsid w:val="00F13680"/>
    <w:rsid w:val="00F13979"/>
    <w:rsid w:val="00F13C35"/>
    <w:rsid w:val="00F145CB"/>
    <w:rsid w:val="00F14FB6"/>
    <w:rsid w:val="00F15453"/>
    <w:rsid w:val="00F15A3D"/>
    <w:rsid w:val="00F163FC"/>
    <w:rsid w:val="00F16C09"/>
    <w:rsid w:val="00F20EFE"/>
    <w:rsid w:val="00F216F4"/>
    <w:rsid w:val="00F21E84"/>
    <w:rsid w:val="00F22621"/>
    <w:rsid w:val="00F22AB0"/>
    <w:rsid w:val="00F22EB4"/>
    <w:rsid w:val="00F2320F"/>
    <w:rsid w:val="00F238E9"/>
    <w:rsid w:val="00F239D1"/>
    <w:rsid w:val="00F23B0A"/>
    <w:rsid w:val="00F24A2C"/>
    <w:rsid w:val="00F24D28"/>
    <w:rsid w:val="00F252F5"/>
    <w:rsid w:val="00F25FD4"/>
    <w:rsid w:val="00F2608C"/>
    <w:rsid w:val="00F26B1C"/>
    <w:rsid w:val="00F26B9A"/>
    <w:rsid w:val="00F27703"/>
    <w:rsid w:val="00F27AA3"/>
    <w:rsid w:val="00F30158"/>
    <w:rsid w:val="00F30AF4"/>
    <w:rsid w:val="00F30BAB"/>
    <w:rsid w:val="00F31184"/>
    <w:rsid w:val="00F3274E"/>
    <w:rsid w:val="00F32B44"/>
    <w:rsid w:val="00F32B94"/>
    <w:rsid w:val="00F32D8A"/>
    <w:rsid w:val="00F342A1"/>
    <w:rsid w:val="00F35505"/>
    <w:rsid w:val="00F35BB7"/>
    <w:rsid w:val="00F35D50"/>
    <w:rsid w:val="00F361EC"/>
    <w:rsid w:val="00F3671D"/>
    <w:rsid w:val="00F3717A"/>
    <w:rsid w:val="00F375F5"/>
    <w:rsid w:val="00F37E75"/>
    <w:rsid w:val="00F4002A"/>
    <w:rsid w:val="00F402B5"/>
    <w:rsid w:val="00F40ABD"/>
    <w:rsid w:val="00F41F9D"/>
    <w:rsid w:val="00F42042"/>
    <w:rsid w:val="00F421E7"/>
    <w:rsid w:val="00F42BE0"/>
    <w:rsid w:val="00F42D92"/>
    <w:rsid w:val="00F42ED1"/>
    <w:rsid w:val="00F437F4"/>
    <w:rsid w:val="00F438DB"/>
    <w:rsid w:val="00F4418E"/>
    <w:rsid w:val="00F4433B"/>
    <w:rsid w:val="00F44BAB"/>
    <w:rsid w:val="00F45883"/>
    <w:rsid w:val="00F45E06"/>
    <w:rsid w:val="00F460EA"/>
    <w:rsid w:val="00F461A6"/>
    <w:rsid w:val="00F46C2F"/>
    <w:rsid w:val="00F46C5D"/>
    <w:rsid w:val="00F47142"/>
    <w:rsid w:val="00F507B1"/>
    <w:rsid w:val="00F51357"/>
    <w:rsid w:val="00F51F1E"/>
    <w:rsid w:val="00F5272F"/>
    <w:rsid w:val="00F527BC"/>
    <w:rsid w:val="00F52F32"/>
    <w:rsid w:val="00F52F36"/>
    <w:rsid w:val="00F54016"/>
    <w:rsid w:val="00F5454B"/>
    <w:rsid w:val="00F5479A"/>
    <w:rsid w:val="00F54D6D"/>
    <w:rsid w:val="00F5530E"/>
    <w:rsid w:val="00F56083"/>
    <w:rsid w:val="00F5627D"/>
    <w:rsid w:val="00F56775"/>
    <w:rsid w:val="00F569A7"/>
    <w:rsid w:val="00F569E5"/>
    <w:rsid w:val="00F56A06"/>
    <w:rsid w:val="00F574AC"/>
    <w:rsid w:val="00F57DDD"/>
    <w:rsid w:val="00F601F6"/>
    <w:rsid w:val="00F60547"/>
    <w:rsid w:val="00F608C1"/>
    <w:rsid w:val="00F60EA6"/>
    <w:rsid w:val="00F614EB"/>
    <w:rsid w:val="00F62EA6"/>
    <w:rsid w:val="00F63A8E"/>
    <w:rsid w:val="00F63F1A"/>
    <w:rsid w:val="00F64A8C"/>
    <w:rsid w:val="00F64D7F"/>
    <w:rsid w:val="00F650B0"/>
    <w:rsid w:val="00F65E8C"/>
    <w:rsid w:val="00F6635C"/>
    <w:rsid w:val="00F667BD"/>
    <w:rsid w:val="00F67266"/>
    <w:rsid w:val="00F67578"/>
    <w:rsid w:val="00F70B78"/>
    <w:rsid w:val="00F70CA4"/>
    <w:rsid w:val="00F70FBD"/>
    <w:rsid w:val="00F71044"/>
    <w:rsid w:val="00F710CD"/>
    <w:rsid w:val="00F713AD"/>
    <w:rsid w:val="00F72A7F"/>
    <w:rsid w:val="00F737BD"/>
    <w:rsid w:val="00F73B1B"/>
    <w:rsid w:val="00F74275"/>
    <w:rsid w:val="00F74595"/>
    <w:rsid w:val="00F758D8"/>
    <w:rsid w:val="00F75A16"/>
    <w:rsid w:val="00F75B38"/>
    <w:rsid w:val="00F76110"/>
    <w:rsid w:val="00F763B3"/>
    <w:rsid w:val="00F768B9"/>
    <w:rsid w:val="00F76BE7"/>
    <w:rsid w:val="00F773C1"/>
    <w:rsid w:val="00F800C9"/>
    <w:rsid w:val="00F81200"/>
    <w:rsid w:val="00F826B7"/>
    <w:rsid w:val="00F8271C"/>
    <w:rsid w:val="00F8369F"/>
    <w:rsid w:val="00F83761"/>
    <w:rsid w:val="00F83F7A"/>
    <w:rsid w:val="00F8420C"/>
    <w:rsid w:val="00F843BE"/>
    <w:rsid w:val="00F8490F"/>
    <w:rsid w:val="00F84941"/>
    <w:rsid w:val="00F84D1D"/>
    <w:rsid w:val="00F85B28"/>
    <w:rsid w:val="00F90694"/>
    <w:rsid w:val="00F909B0"/>
    <w:rsid w:val="00F912DF"/>
    <w:rsid w:val="00F915C1"/>
    <w:rsid w:val="00F9175E"/>
    <w:rsid w:val="00F91C8E"/>
    <w:rsid w:val="00F91F08"/>
    <w:rsid w:val="00F920BE"/>
    <w:rsid w:val="00F9225C"/>
    <w:rsid w:val="00F935C0"/>
    <w:rsid w:val="00F93BB0"/>
    <w:rsid w:val="00F93D94"/>
    <w:rsid w:val="00F944AB"/>
    <w:rsid w:val="00F9485D"/>
    <w:rsid w:val="00F94EB9"/>
    <w:rsid w:val="00F9526F"/>
    <w:rsid w:val="00F958FF"/>
    <w:rsid w:val="00F9592C"/>
    <w:rsid w:val="00F95CC5"/>
    <w:rsid w:val="00F967AB"/>
    <w:rsid w:val="00F96C65"/>
    <w:rsid w:val="00F96FE9"/>
    <w:rsid w:val="00F977FB"/>
    <w:rsid w:val="00F97935"/>
    <w:rsid w:val="00F97E88"/>
    <w:rsid w:val="00FA008C"/>
    <w:rsid w:val="00FA0209"/>
    <w:rsid w:val="00FA0773"/>
    <w:rsid w:val="00FA11ED"/>
    <w:rsid w:val="00FA123F"/>
    <w:rsid w:val="00FA1671"/>
    <w:rsid w:val="00FA17DF"/>
    <w:rsid w:val="00FA1B13"/>
    <w:rsid w:val="00FA1DCB"/>
    <w:rsid w:val="00FA1E7C"/>
    <w:rsid w:val="00FA34B7"/>
    <w:rsid w:val="00FA3835"/>
    <w:rsid w:val="00FA3BDD"/>
    <w:rsid w:val="00FA5770"/>
    <w:rsid w:val="00FA59D9"/>
    <w:rsid w:val="00FA5B3E"/>
    <w:rsid w:val="00FA6105"/>
    <w:rsid w:val="00FA74CD"/>
    <w:rsid w:val="00FB098D"/>
    <w:rsid w:val="00FB0F9A"/>
    <w:rsid w:val="00FB12D8"/>
    <w:rsid w:val="00FB12FB"/>
    <w:rsid w:val="00FB1699"/>
    <w:rsid w:val="00FB1BB9"/>
    <w:rsid w:val="00FB1F2A"/>
    <w:rsid w:val="00FB3794"/>
    <w:rsid w:val="00FB3920"/>
    <w:rsid w:val="00FB4489"/>
    <w:rsid w:val="00FB4789"/>
    <w:rsid w:val="00FB4C13"/>
    <w:rsid w:val="00FB4DAD"/>
    <w:rsid w:val="00FB5149"/>
    <w:rsid w:val="00FB52D9"/>
    <w:rsid w:val="00FB6476"/>
    <w:rsid w:val="00FB6A53"/>
    <w:rsid w:val="00FB6BC0"/>
    <w:rsid w:val="00FB6C6F"/>
    <w:rsid w:val="00FB6D96"/>
    <w:rsid w:val="00FB743C"/>
    <w:rsid w:val="00FC00AF"/>
    <w:rsid w:val="00FC1C5B"/>
    <w:rsid w:val="00FC2AA4"/>
    <w:rsid w:val="00FC2C9C"/>
    <w:rsid w:val="00FC3143"/>
    <w:rsid w:val="00FC3DC9"/>
    <w:rsid w:val="00FC5063"/>
    <w:rsid w:val="00FC521A"/>
    <w:rsid w:val="00FC530C"/>
    <w:rsid w:val="00FC5A35"/>
    <w:rsid w:val="00FC5C1D"/>
    <w:rsid w:val="00FC64D3"/>
    <w:rsid w:val="00FC6948"/>
    <w:rsid w:val="00FC6B58"/>
    <w:rsid w:val="00FD0958"/>
    <w:rsid w:val="00FD0B11"/>
    <w:rsid w:val="00FD0F72"/>
    <w:rsid w:val="00FD1A26"/>
    <w:rsid w:val="00FD1FF5"/>
    <w:rsid w:val="00FD3A65"/>
    <w:rsid w:val="00FD3EDC"/>
    <w:rsid w:val="00FD457D"/>
    <w:rsid w:val="00FD5151"/>
    <w:rsid w:val="00FD6481"/>
    <w:rsid w:val="00FD666E"/>
    <w:rsid w:val="00FD70A5"/>
    <w:rsid w:val="00FD74DC"/>
    <w:rsid w:val="00FD7DEA"/>
    <w:rsid w:val="00FE0224"/>
    <w:rsid w:val="00FE0E44"/>
    <w:rsid w:val="00FE176B"/>
    <w:rsid w:val="00FE1D24"/>
    <w:rsid w:val="00FE2115"/>
    <w:rsid w:val="00FE2E31"/>
    <w:rsid w:val="00FE34A7"/>
    <w:rsid w:val="00FE353E"/>
    <w:rsid w:val="00FE3AD6"/>
    <w:rsid w:val="00FE3BD9"/>
    <w:rsid w:val="00FE4F39"/>
    <w:rsid w:val="00FE525C"/>
    <w:rsid w:val="00FE5280"/>
    <w:rsid w:val="00FE5CA3"/>
    <w:rsid w:val="00FE5F46"/>
    <w:rsid w:val="00FE6356"/>
    <w:rsid w:val="00FE6AC0"/>
    <w:rsid w:val="00FE6ECD"/>
    <w:rsid w:val="00FE7B87"/>
    <w:rsid w:val="00FF00BC"/>
    <w:rsid w:val="00FF138A"/>
    <w:rsid w:val="00FF13AB"/>
    <w:rsid w:val="00FF1683"/>
    <w:rsid w:val="00FF37C5"/>
    <w:rsid w:val="00FF3BA9"/>
    <w:rsid w:val="00FF47D3"/>
    <w:rsid w:val="00FF4BF5"/>
    <w:rsid w:val="00FF69E4"/>
    <w:rsid w:val="00FF6D05"/>
    <w:rsid w:val="00FF78B1"/>
    <w:rsid w:val="00FF7C7B"/>
    <w:rsid w:val="00FF7E9D"/>
    <w:rsid w:val="01022A96"/>
    <w:rsid w:val="0102EEB8"/>
    <w:rsid w:val="0104FBC1"/>
    <w:rsid w:val="010A8FF7"/>
    <w:rsid w:val="010D7501"/>
    <w:rsid w:val="010E2153"/>
    <w:rsid w:val="0113D941"/>
    <w:rsid w:val="0118D508"/>
    <w:rsid w:val="01203E3D"/>
    <w:rsid w:val="0121A449"/>
    <w:rsid w:val="0129319F"/>
    <w:rsid w:val="012E65CC"/>
    <w:rsid w:val="0130D79A"/>
    <w:rsid w:val="013728CE"/>
    <w:rsid w:val="013FC72A"/>
    <w:rsid w:val="0147370C"/>
    <w:rsid w:val="014A8D27"/>
    <w:rsid w:val="015950B6"/>
    <w:rsid w:val="015CA653"/>
    <w:rsid w:val="01628FCB"/>
    <w:rsid w:val="0164ED9C"/>
    <w:rsid w:val="01678C23"/>
    <w:rsid w:val="016BAFD6"/>
    <w:rsid w:val="017A5A34"/>
    <w:rsid w:val="017B0A71"/>
    <w:rsid w:val="017E14F2"/>
    <w:rsid w:val="017E4FC8"/>
    <w:rsid w:val="017FD33B"/>
    <w:rsid w:val="018AEA91"/>
    <w:rsid w:val="0192D38C"/>
    <w:rsid w:val="019E1EA0"/>
    <w:rsid w:val="019FA248"/>
    <w:rsid w:val="01A133AF"/>
    <w:rsid w:val="01A72E83"/>
    <w:rsid w:val="01A95339"/>
    <w:rsid w:val="01AE977C"/>
    <w:rsid w:val="01B90EF8"/>
    <w:rsid w:val="01C1E4B6"/>
    <w:rsid w:val="01C5F32D"/>
    <w:rsid w:val="01CA6350"/>
    <w:rsid w:val="01CB5274"/>
    <w:rsid w:val="01CB7478"/>
    <w:rsid w:val="01CBFAB4"/>
    <w:rsid w:val="01D8C657"/>
    <w:rsid w:val="01DE02AC"/>
    <w:rsid w:val="01DF4257"/>
    <w:rsid w:val="01E24B00"/>
    <w:rsid w:val="01E82C54"/>
    <w:rsid w:val="01E85360"/>
    <w:rsid w:val="01F0BA82"/>
    <w:rsid w:val="01F48484"/>
    <w:rsid w:val="01F50841"/>
    <w:rsid w:val="01F859E5"/>
    <w:rsid w:val="01FA14A6"/>
    <w:rsid w:val="0204FDE4"/>
    <w:rsid w:val="020956F6"/>
    <w:rsid w:val="020DB369"/>
    <w:rsid w:val="02103F44"/>
    <w:rsid w:val="02144E7A"/>
    <w:rsid w:val="0218980F"/>
    <w:rsid w:val="021CB012"/>
    <w:rsid w:val="02222F52"/>
    <w:rsid w:val="02252F6C"/>
    <w:rsid w:val="0228ABA5"/>
    <w:rsid w:val="022C92CF"/>
    <w:rsid w:val="023CB22A"/>
    <w:rsid w:val="023FDC39"/>
    <w:rsid w:val="0244EF90"/>
    <w:rsid w:val="0245FA91"/>
    <w:rsid w:val="024CF403"/>
    <w:rsid w:val="024E33EB"/>
    <w:rsid w:val="025998B5"/>
    <w:rsid w:val="0262BAAE"/>
    <w:rsid w:val="02723B3E"/>
    <w:rsid w:val="027562B2"/>
    <w:rsid w:val="027562DF"/>
    <w:rsid w:val="027FDD3F"/>
    <w:rsid w:val="02810D54"/>
    <w:rsid w:val="02885DEE"/>
    <w:rsid w:val="0288E832"/>
    <w:rsid w:val="0292877A"/>
    <w:rsid w:val="029B2671"/>
    <w:rsid w:val="02A0E640"/>
    <w:rsid w:val="02A9830C"/>
    <w:rsid w:val="02B581FF"/>
    <w:rsid w:val="02B58BFC"/>
    <w:rsid w:val="02B7EF12"/>
    <w:rsid w:val="02BC5ED1"/>
    <w:rsid w:val="02C427B0"/>
    <w:rsid w:val="02C78CBC"/>
    <w:rsid w:val="02CD44B3"/>
    <w:rsid w:val="02D483AD"/>
    <w:rsid w:val="02D5E85A"/>
    <w:rsid w:val="02DE4F51"/>
    <w:rsid w:val="02DF3051"/>
    <w:rsid w:val="02E1EA5B"/>
    <w:rsid w:val="02E1F0A1"/>
    <w:rsid w:val="02E69365"/>
    <w:rsid w:val="02EC4D9D"/>
    <w:rsid w:val="02EF2137"/>
    <w:rsid w:val="03005CF8"/>
    <w:rsid w:val="030068E2"/>
    <w:rsid w:val="0305E1CA"/>
    <w:rsid w:val="0307D792"/>
    <w:rsid w:val="0308835B"/>
    <w:rsid w:val="0308C39E"/>
    <w:rsid w:val="03122EA7"/>
    <w:rsid w:val="031F4A99"/>
    <w:rsid w:val="0321AE5F"/>
    <w:rsid w:val="0328CBDC"/>
    <w:rsid w:val="032D20FC"/>
    <w:rsid w:val="032F0BE1"/>
    <w:rsid w:val="0336AD88"/>
    <w:rsid w:val="0337EBE4"/>
    <w:rsid w:val="0344193D"/>
    <w:rsid w:val="03472458"/>
    <w:rsid w:val="034B2819"/>
    <w:rsid w:val="034FF86E"/>
    <w:rsid w:val="035062F2"/>
    <w:rsid w:val="03554FBB"/>
    <w:rsid w:val="035B8D46"/>
    <w:rsid w:val="0364D8C4"/>
    <w:rsid w:val="036A451A"/>
    <w:rsid w:val="036B432A"/>
    <w:rsid w:val="036F5A35"/>
    <w:rsid w:val="0373E1B8"/>
    <w:rsid w:val="037C703E"/>
    <w:rsid w:val="03802745"/>
    <w:rsid w:val="0387A94D"/>
    <w:rsid w:val="0389906F"/>
    <w:rsid w:val="0389AEE8"/>
    <w:rsid w:val="038BC653"/>
    <w:rsid w:val="0398DEF7"/>
    <w:rsid w:val="039B144B"/>
    <w:rsid w:val="039E6F6F"/>
    <w:rsid w:val="039EA6C5"/>
    <w:rsid w:val="03A5793C"/>
    <w:rsid w:val="03A92393"/>
    <w:rsid w:val="03ABD333"/>
    <w:rsid w:val="03ACB210"/>
    <w:rsid w:val="03B75FDE"/>
    <w:rsid w:val="03BE41FB"/>
    <w:rsid w:val="03C2E1B6"/>
    <w:rsid w:val="03C72FD6"/>
    <w:rsid w:val="03C93BA5"/>
    <w:rsid w:val="03CAFBF5"/>
    <w:rsid w:val="03CD785A"/>
    <w:rsid w:val="03D05E16"/>
    <w:rsid w:val="03DA0CC1"/>
    <w:rsid w:val="03DDF019"/>
    <w:rsid w:val="03E28B7E"/>
    <w:rsid w:val="03E2AC46"/>
    <w:rsid w:val="03E64459"/>
    <w:rsid w:val="03E7099C"/>
    <w:rsid w:val="03EC0190"/>
    <w:rsid w:val="03EC23A8"/>
    <w:rsid w:val="03EF6938"/>
    <w:rsid w:val="03FC4C2F"/>
    <w:rsid w:val="03FCE225"/>
    <w:rsid w:val="04077D0C"/>
    <w:rsid w:val="0413B489"/>
    <w:rsid w:val="041A0657"/>
    <w:rsid w:val="04239B50"/>
    <w:rsid w:val="0428222A"/>
    <w:rsid w:val="0432AA5E"/>
    <w:rsid w:val="04336C90"/>
    <w:rsid w:val="043BC57A"/>
    <w:rsid w:val="043C83D0"/>
    <w:rsid w:val="043DAAF6"/>
    <w:rsid w:val="043E6DB2"/>
    <w:rsid w:val="04438849"/>
    <w:rsid w:val="04494A96"/>
    <w:rsid w:val="0464F933"/>
    <w:rsid w:val="047673E4"/>
    <w:rsid w:val="04776973"/>
    <w:rsid w:val="04819C8E"/>
    <w:rsid w:val="04898A14"/>
    <w:rsid w:val="0489A837"/>
    <w:rsid w:val="0492F789"/>
    <w:rsid w:val="0496EB07"/>
    <w:rsid w:val="04B04F1D"/>
    <w:rsid w:val="04B2DF1B"/>
    <w:rsid w:val="04DAE967"/>
    <w:rsid w:val="04DDEB47"/>
    <w:rsid w:val="04E9B000"/>
    <w:rsid w:val="04EC14BF"/>
    <w:rsid w:val="04EE3DEB"/>
    <w:rsid w:val="04EF6A5E"/>
    <w:rsid w:val="04F7AAF1"/>
    <w:rsid w:val="050917C9"/>
    <w:rsid w:val="0516B25D"/>
    <w:rsid w:val="0526A72E"/>
    <w:rsid w:val="05319782"/>
    <w:rsid w:val="05351755"/>
    <w:rsid w:val="0536154B"/>
    <w:rsid w:val="053AA8D2"/>
    <w:rsid w:val="053FD2AA"/>
    <w:rsid w:val="0543383B"/>
    <w:rsid w:val="05473AA3"/>
    <w:rsid w:val="05495A6B"/>
    <w:rsid w:val="054C2CC0"/>
    <w:rsid w:val="054E4B02"/>
    <w:rsid w:val="0550F553"/>
    <w:rsid w:val="055AAB70"/>
    <w:rsid w:val="05615133"/>
    <w:rsid w:val="056B8E94"/>
    <w:rsid w:val="056D53F3"/>
    <w:rsid w:val="0572AB76"/>
    <w:rsid w:val="057E6080"/>
    <w:rsid w:val="0588499A"/>
    <w:rsid w:val="0588BB74"/>
    <w:rsid w:val="058B9544"/>
    <w:rsid w:val="058C00C8"/>
    <w:rsid w:val="058CB2C0"/>
    <w:rsid w:val="0591494A"/>
    <w:rsid w:val="05951E7E"/>
    <w:rsid w:val="05A2ABF3"/>
    <w:rsid w:val="05A690A6"/>
    <w:rsid w:val="05ABD9C8"/>
    <w:rsid w:val="05AC7A7E"/>
    <w:rsid w:val="05ADF5F9"/>
    <w:rsid w:val="05B3099E"/>
    <w:rsid w:val="05B73CE9"/>
    <w:rsid w:val="05BE37B1"/>
    <w:rsid w:val="05BE52E5"/>
    <w:rsid w:val="05BFF8BA"/>
    <w:rsid w:val="05C61615"/>
    <w:rsid w:val="05C87B09"/>
    <w:rsid w:val="05C8B186"/>
    <w:rsid w:val="05CEAFB2"/>
    <w:rsid w:val="05D6B100"/>
    <w:rsid w:val="05D90976"/>
    <w:rsid w:val="05E048B3"/>
    <w:rsid w:val="05EDCB10"/>
    <w:rsid w:val="05F03AEE"/>
    <w:rsid w:val="05F31C0C"/>
    <w:rsid w:val="05F42C90"/>
    <w:rsid w:val="05F9751C"/>
    <w:rsid w:val="05FB3C8D"/>
    <w:rsid w:val="060456E3"/>
    <w:rsid w:val="0606BD07"/>
    <w:rsid w:val="0608D511"/>
    <w:rsid w:val="0609D9B4"/>
    <w:rsid w:val="061038C6"/>
    <w:rsid w:val="06139937"/>
    <w:rsid w:val="06165DA6"/>
    <w:rsid w:val="0628B41C"/>
    <w:rsid w:val="062E9FB3"/>
    <w:rsid w:val="06371DB2"/>
    <w:rsid w:val="0639FDB2"/>
    <w:rsid w:val="0644D348"/>
    <w:rsid w:val="0652B6F7"/>
    <w:rsid w:val="065AA119"/>
    <w:rsid w:val="065E50FD"/>
    <w:rsid w:val="066269A3"/>
    <w:rsid w:val="0664E7F8"/>
    <w:rsid w:val="06692F56"/>
    <w:rsid w:val="067162BD"/>
    <w:rsid w:val="06718FC3"/>
    <w:rsid w:val="0679F53A"/>
    <w:rsid w:val="067A00AC"/>
    <w:rsid w:val="067A47EA"/>
    <w:rsid w:val="06900560"/>
    <w:rsid w:val="069C6D1C"/>
    <w:rsid w:val="06AA11D9"/>
    <w:rsid w:val="06AD4805"/>
    <w:rsid w:val="06B33928"/>
    <w:rsid w:val="06B349EA"/>
    <w:rsid w:val="06B52787"/>
    <w:rsid w:val="06B62ACA"/>
    <w:rsid w:val="06C23399"/>
    <w:rsid w:val="06D17D15"/>
    <w:rsid w:val="06D907C8"/>
    <w:rsid w:val="06E0BA29"/>
    <w:rsid w:val="06E19894"/>
    <w:rsid w:val="06EC7873"/>
    <w:rsid w:val="06ED6581"/>
    <w:rsid w:val="06F762E2"/>
    <w:rsid w:val="06FC7C58"/>
    <w:rsid w:val="06FE60F3"/>
    <w:rsid w:val="06FFBF11"/>
    <w:rsid w:val="07072C47"/>
    <w:rsid w:val="070D5070"/>
    <w:rsid w:val="070EAE73"/>
    <w:rsid w:val="071A58A4"/>
    <w:rsid w:val="071DFCFF"/>
    <w:rsid w:val="071E3A14"/>
    <w:rsid w:val="072174F6"/>
    <w:rsid w:val="0723FAFC"/>
    <w:rsid w:val="0739E997"/>
    <w:rsid w:val="073AB314"/>
    <w:rsid w:val="074723C5"/>
    <w:rsid w:val="07472984"/>
    <w:rsid w:val="074DA2B4"/>
    <w:rsid w:val="075DF401"/>
    <w:rsid w:val="075E3EF1"/>
    <w:rsid w:val="076658BB"/>
    <w:rsid w:val="077CF42F"/>
    <w:rsid w:val="0782126F"/>
    <w:rsid w:val="0782666D"/>
    <w:rsid w:val="078A450A"/>
    <w:rsid w:val="078EA9F3"/>
    <w:rsid w:val="0792D1B3"/>
    <w:rsid w:val="07A55E00"/>
    <w:rsid w:val="07AE9553"/>
    <w:rsid w:val="07AFD326"/>
    <w:rsid w:val="07B2A2CE"/>
    <w:rsid w:val="07BA29ED"/>
    <w:rsid w:val="07BCC5D1"/>
    <w:rsid w:val="07C2ABA8"/>
    <w:rsid w:val="07C607E4"/>
    <w:rsid w:val="07C9671B"/>
    <w:rsid w:val="07CA9C76"/>
    <w:rsid w:val="07CFAACC"/>
    <w:rsid w:val="07D5F719"/>
    <w:rsid w:val="07DAEAC9"/>
    <w:rsid w:val="07E1347B"/>
    <w:rsid w:val="07E1DA15"/>
    <w:rsid w:val="07E1F59B"/>
    <w:rsid w:val="07F0EB18"/>
    <w:rsid w:val="07F3FB77"/>
    <w:rsid w:val="07F66B63"/>
    <w:rsid w:val="07FFB8CD"/>
    <w:rsid w:val="080219BB"/>
    <w:rsid w:val="080468B6"/>
    <w:rsid w:val="0805AB3A"/>
    <w:rsid w:val="08075F42"/>
    <w:rsid w:val="0810AE92"/>
    <w:rsid w:val="08137CB5"/>
    <w:rsid w:val="081E72D3"/>
    <w:rsid w:val="0824102F"/>
    <w:rsid w:val="08242145"/>
    <w:rsid w:val="0826DA3A"/>
    <w:rsid w:val="0831D0F4"/>
    <w:rsid w:val="0832C05C"/>
    <w:rsid w:val="08404985"/>
    <w:rsid w:val="08461AE5"/>
    <w:rsid w:val="0856CE7D"/>
    <w:rsid w:val="08601599"/>
    <w:rsid w:val="0868C4B4"/>
    <w:rsid w:val="086D2694"/>
    <w:rsid w:val="087117FC"/>
    <w:rsid w:val="08782814"/>
    <w:rsid w:val="087A0AAE"/>
    <w:rsid w:val="08845DBE"/>
    <w:rsid w:val="08B50F45"/>
    <w:rsid w:val="08B8D882"/>
    <w:rsid w:val="08DEA5E2"/>
    <w:rsid w:val="08E36D17"/>
    <w:rsid w:val="08E76B06"/>
    <w:rsid w:val="08EEC97C"/>
    <w:rsid w:val="08F2C2CC"/>
    <w:rsid w:val="08F7D4A5"/>
    <w:rsid w:val="08FE9E9E"/>
    <w:rsid w:val="09015669"/>
    <w:rsid w:val="09024CA1"/>
    <w:rsid w:val="0903F9CF"/>
    <w:rsid w:val="090D8DCA"/>
    <w:rsid w:val="09118FFE"/>
    <w:rsid w:val="09286E41"/>
    <w:rsid w:val="092B7CA9"/>
    <w:rsid w:val="09403B79"/>
    <w:rsid w:val="0942A3EA"/>
    <w:rsid w:val="0943D2DA"/>
    <w:rsid w:val="09464E2B"/>
    <w:rsid w:val="095A735B"/>
    <w:rsid w:val="095E89D0"/>
    <w:rsid w:val="095E8B3F"/>
    <w:rsid w:val="095F1BC7"/>
    <w:rsid w:val="096CFF82"/>
    <w:rsid w:val="096D0EB2"/>
    <w:rsid w:val="097284F9"/>
    <w:rsid w:val="0978AA3F"/>
    <w:rsid w:val="097D69ED"/>
    <w:rsid w:val="0982D787"/>
    <w:rsid w:val="0987869E"/>
    <w:rsid w:val="09896300"/>
    <w:rsid w:val="098ADEC9"/>
    <w:rsid w:val="098D4873"/>
    <w:rsid w:val="098F32DC"/>
    <w:rsid w:val="099A9317"/>
    <w:rsid w:val="099F964E"/>
    <w:rsid w:val="09A073F1"/>
    <w:rsid w:val="09AC12C3"/>
    <w:rsid w:val="09BE526C"/>
    <w:rsid w:val="09CCC023"/>
    <w:rsid w:val="09CD3B91"/>
    <w:rsid w:val="09D1544B"/>
    <w:rsid w:val="09D4218F"/>
    <w:rsid w:val="09D6B7C3"/>
    <w:rsid w:val="09D8A308"/>
    <w:rsid w:val="09E515E6"/>
    <w:rsid w:val="09EF986C"/>
    <w:rsid w:val="0A0101A7"/>
    <w:rsid w:val="0A0508A5"/>
    <w:rsid w:val="0A0B7A8A"/>
    <w:rsid w:val="0A0F7A6D"/>
    <w:rsid w:val="0A0FEA14"/>
    <w:rsid w:val="0A1CD73E"/>
    <w:rsid w:val="0A2B443D"/>
    <w:rsid w:val="0A2F4F04"/>
    <w:rsid w:val="0A3324F1"/>
    <w:rsid w:val="0A37EEA8"/>
    <w:rsid w:val="0A38C2C1"/>
    <w:rsid w:val="0A41039E"/>
    <w:rsid w:val="0A52152E"/>
    <w:rsid w:val="0A58EB15"/>
    <w:rsid w:val="0A5B270D"/>
    <w:rsid w:val="0A5E05C7"/>
    <w:rsid w:val="0A5F7B46"/>
    <w:rsid w:val="0A6CF5C3"/>
    <w:rsid w:val="0A7522B8"/>
    <w:rsid w:val="0A8206A4"/>
    <w:rsid w:val="0A853C7C"/>
    <w:rsid w:val="0A8634E7"/>
    <w:rsid w:val="0A8AF6FD"/>
    <w:rsid w:val="0A8F776C"/>
    <w:rsid w:val="0A98E713"/>
    <w:rsid w:val="0AA3E3F0"/>
    <w:rsid w:val="0AA42E19"/>
    <w:rsid w:val="0AB9E06F"/>
    <w:rsid w:val="0ABD1188"/>
    <w:rsid w:val="0AC1FBC5"/>
    <w:rsid w:val="0ACB63BE"/>
    <w:rsid w:val="0ACD6F6C"/>
    <w:rsid w:val="0ACF0BFD"/>
    <w:rsid w:val="0AD0C881"/>
    <w:rsid w:val="0AD8FD05"/>
    <w:rsid w:val="0ADDDE11"/>
    <w:rsid w:val="0AE1220F"/>
    <w:rsid w:val="0AFA331C"/>
    <w:rsid w:val="0AFA57EC"/>
    <w:rsid w:val="0AFCCA02"/>
    <w:rsid w:val="0B0295A8"/>
    <w:rsid w:val="0B1DD235"/>
    <w:rsid w:val="0B243B6F"/>
    <w:rsid w:val="0B24B3A6"/>
    <w:rsid w:val="0B250C9D"/>
    <w:rsid w:val="0B2866EF"/>
    <w:rsid w:val="0B2D03C9"/>
    <w:rsid w:val="0B2D94BF"/>
    <w:rsid w:val="0B3A7A8D"/>
    <w:rsid w:val="0B4FAD96"/>
    <w:rsid w:val="0B528229"/>
    <w:rsid w:val="0B54C085"/>
    <w:rsid w:val="0B55D2B8"/>
    <w:rsid w:val="0B5A27AB"/>
    <w:rsid w:val="0B6305C1"/>
    <w:rsid w:val="0B654513"/>
    <w:rsid w:val="0B80743D"/>
    <w:rsid w:val="0B80B70D"/>
    <w:rsid w:val="0B816E4D"/>
    <w:rsid w:val="0B874A6D"/>
    <w:rsid w:val="0B8DA82F"/>
    <w:rsid w:val="0B93D4EC"/>
    <w:rsid w:val="0B968F29"/>
    <w:rsid w:val="0B98EE7F"/>
    <w:rsid w:val="0B9E397F"/>
    <w:rsid w:val="0BA0BAE8"/>
    <w:rsid w:val="0BAC6EEB"/>
    <w:rsid w:val="0BB29097"/>
    <w:rsid w:val="0BC9599C"/>
    <w:rsid w:val="0BC9A0A3"/>
    <w:rsid w:val="0BD5BFC6"/>
    <w:rsid w:val="0BD7A5A9"/>
    <w:rsid w:val="0BDC10FA"/>
    <w:rsid w:val="0BDCBB38"/>
    <w:rsid w:val="0BDFAA3F"/>
    <w:rsid w:val="0BE7D3E8"/>
    <w:rsid w:val="0BF59DB0"/>
    <w:rsid w:val="0BF672A3"/>
    <w:rsid w:val="0BFAA766"/>
    <w:rsid w:val="0C06C758"/>
    <w:rsid w:val="0C07A928"/>
    <w:rsid w:val="0C07BA65"/>
    <w:rsid w:val="0C0F1FA2"/>
    <w:rsid w:val="0C110CCB"/>
    <w:rsid w:val="0C2209AA"/>
    <w:rsid w:val="0C22D318"/>
    <w:rsid w:val="0C298C82"/>
    <w:rsid w:val="0C31B398"/>
    <w:rsid w:val="0C3262A2"/>
    <w:rsid w:val="0C355109"/>
    <w:rsid w:val="0C37C733"/>
    <w:rsid w:val="0C3F1F7C"/>
    <w:rsid w:val="0C43B864"/>
    <w:rsid w:val="0C45BAF0"/>
    <w:rsid w:val="0C4724AA"/>
    <w:rsid w:val="0C55D2D8"/>
    <w:rsid w:val="0C59188A"/>
    <w:rsid w:val="0C643B9D"/>
    <w:rsid w:val="0C659BE7"/>
    <w:rsid w:val="0C6ADC0F"/>
    <w:rsid w:val="0C8E54E0"/>
    <w:rsid w:val="0C9564B8"/>
    <w:rsid w:val="0CA4F7C4"/>
    <w:rsid w:val="0CA54EC9"/>
    <w:rsid w:val="0CA864B7"/>
    <w:rsid w:val="0CA9EEC2"/>
    <w:rsid w:val="0CADD78D"/>
    <w:rsid w:val="0CAEA221"/>
    <w:rsid w:val="0CB13410"/>
    <w:rsid w:val="0CB56828"/>
    <w:rsid w:val="0CBAB75D"/>
    <w:rsid w:val="0CC93249"/>
    <w:rsid w:val="0CD05673"/>
    <w:rsid w:val="0CD5F155"/>
    <w:rsid w:val="0CD7915A"/>
    <w:rsid w:val="0CD91F9D"/>
    <w:rsid w:val="0CDF4B0C"/>
    <w:rsid w:val="0CED557B"/>
    <w:rsid w:val="0CF2122C"/>
    <w:rsid w:val="0CF8E3A0"/>
    <w:rsid w:val="0CFAE57E"/>
    <w:rsid w:val="0D04DAF9"/>
    <w:rsid w:val="0D15AC91"/>
    <w:rsid w:val="0D1A1D69"/>
    <w:rsid w:val="0D1E3AC1"/>
    <w:rsid w:val="0D209D93"/>
    <w:rsid w:val="0D2EE97C"/>
    <w:rsid w:val="0D308645"/>
    <w:rsid w:val="0D36A057"/>
    <w:rsid w:val="0D36D70E"/>
    <w:rsid w:val="0D392C05"/>
    <w:rsid w:val="0D3CA967"/>
    <w:rsid w:val="0D43B7E1"/>
    <w:rsid w:val="0D4B7B70"/>
    <w:rsid w:val="0D50051B"/>
    <w:rsid w:val="0D50BD33"/>
    <w:rsid w:val="0D512BD0"/>
    <w:rsid w:val="0D516C16"/>
    <w:rsid w:val="0D540AA3"/>
    <w:rsid w:val="0D5CB71C"/>
    <w:rsid w:val="0D7016BE"/>
    <w:rsid w:val="0D819FCB"/>
    <w:rsid w:val="0D81C322"/>
    <w:rsid w:val="0D860328"/>
    <w:rsid w:val="0D8C2B81"/>
    <w:rsid w:val="0D9044B4"/>
    <w:rsid w:val="0D966B62"/>
    <w:rsid w:val="0D9B4F30"/>
    <w:rsid w:val="0DA26217"/>
    <w:rsid w:val="0DA6E9C9"/>
    <w:rsid w:val="0DAAF514"/>
    <w:rsid w:val="0DAB890A"/>
    <w:rsid w:val="0DABE5D9"/>
    <w:rsid w:val="0DB3ED9E"/>
    <w:rsid w:val="0DB4B40D"/>
    <w:rsid w:val="0DBA5226"/>
    <w:rsid w:val="0DBEF0EC"/>
    <w:rsid w:val="0DC5C6B4"/>
    <w:rsid w:val="0DC9BB03"/>
    <w:rsid w:val="0DCA7D6C"/>
    <w:rsid w:val="0DD2F694"/>
    <w:rsid w:val="0DD46546"/>
    <w:rsid w:val="0DD6C302"/>
    <w:rsid w:val="0DD853C8"/>
    <w:rsid w:val="0DDA7254"/>
    <w:rsid w:val="0DDD4FF7"/>
    <w:rsid w:val="0DDF88C5"/>
    <w:rsid w:val="0DF5D6F7"/>
    <w:rsid w:val="0DF7C8FA"/>
    <w:rsid w:val="0DFC359D"/>
    <w:rsid w:val="0DFE76AF"/>
    <w:rsid w:val="0DFF0EF3"/>
    <w:rsid w:val="0E070EE8"/>
    <w:rsid w:val="0E0BE040"/>
    <w:rsid w:val="0E0D8477"/>
    <w:rsid w:val="0E0DB267"/>
    <w:rsid w:val="0E0E86F1"/>
    <w:rsid w:val="0E11D6D9"/>
    <w:rsid w:val="0E1291C9"/>
    <w:rsid w:val="0E162901"/>
    <w:rsid w:val="0E199F6B"/>
    <w:rsid w:val="0E1CA26F"/>
    <w:rsid w:val="0E1EF729"/>
    <w:rsid w:val="0E2A99D2"/>
    <w:rsid w:val="0E2E2C88"/>
    <w:rsid w:val="0E353A05"/>
    <w:rsid w:val="0E3A6F31"/>
    <w:rsid w:val="0E409A8C"/>
    <w:rsid w:val="0E40FA09"/>
    <w:rsid w:val="0E4828CB"/>
    <w:rsid w:val="0E492EE9"/>
    <w:rsid w:val="0E493EF3"/>
    <w:rsid w:val="0E6737D0"/>
    <w:rsid w:val="0E6B213E"/>
    <w:rsid w:val="0E7016EC"/>
    <w:rsid w:val="0E70A629"/>
    <w:rsid w:val="0E711957"/>
    <w:rsid w:val="0E7192DB"/>
    <w:rsid w:val="0E72A9C3"/>
    <w:rsid w:val="0E794423"/>
    <w:rsid w:val="0E7B4DD8"/>
    <w:rsid w:val="0E7CA85B"/>
    <w:rsid w:val="0E837C36"/>
    <w:rsid w:val="0E8B0E95"/>
    <w:rsid w:val="0EA2E442"/>
    <w:rsid w:val="0EA70B65"/>
    <w:rsid w:val="0EAD9A06"/>
    <w:rsid w:val="0EADB944"/>
    <w:rsid w:val="0EAF920C"/>
    <w:rsid w:val="0EB032B8"/>
    <w:rsid w:val="0EB070C1"/>
    <w:rsid w:val="0EB493BC"/>
    <w:rsid w:val="0EB9133E"/>
    <w:rsid w:val="0EC1CD3D"/>
    <w:rsid w:val="0EC21B4F"/>
    <w:rsid w:val="0ED7446D"/>
    <w:rsid w:val="0EDF2AF8"/>
    <w:rsid w:val="0EE59202"/>
    <w:rsid w:val="0EE5C748"/>
    <w:rsid w:val="0EF70E64"/>
    <w:rsid w:val="0EFA4F81"/>
    <w:rsid w:val="0F036D6D"/>
    <w:rsid w:val="0F0856FD"/>
    <w:rsid w:val="0F10F270"/>
    <w:rsid w:val="0F124EF0"/>
    <w:rsid w:val="0F1AF978"/>
    <w:rsid w:val="0F1F1B5D"/>
    <w:rsid w:val="0F25FC0B"/>
    <w:rsid w:val="0F267CBC"/>
    <w:rsid w:val="0F290463"/>
    <w:rsid w:val="0F296E41"/>
    <w:rsid w:val="0F2EE5CC"/>
    <w:rsid w:val="0F30F7CD"/>
    <w:rsid w:val="0F3210D5"/>
    <w:rsid w:val="0F322219"/>
    <w:rsid w:val="0F3E9447"/>
    <w:rsid w:val="0F423121"/>
    <w:rsid w:val="0F4B6299"/>
    <w:rsid w:val="0F4DFA92"/>
    <w:rsid w:val="0F5004DB"/>
    <w:rsid w:val="0F529B39"/>
    <w:rsid w:val="0F5C08A6"/>
    <w:rsid w:val="0F5E6047"/>
    <w:rsid w:val="0F5F5DCD"/>
    <w:rsid w:val="0F65495B"/>
    <w:rsid w:val="0F6EE89E"/>
    <w:rsid w:val="0F7347C7"/>
    <w:rsid w:val="0F7A2659"/>
    <w:rsid w:val="0F7B5926"/>
    <w:rsid w:val="0F81C033"/>
    <w:rsid w:val="0F87CEA0"/>
    <w:rsid w:val="0F8E03EC"/>
    <w:rsid w:val="0FA262A8"/>
    <w:rsid w:val="0FA44630"/>
    <w:rsid w:val="0FAC5647"/>
    <w:rsid w:val="0FAEA95D"/>
    <w:rsid w:val="0FB0FE15"/>
    <w:rsid w:val="0FB274F1"/>
    <w:rsid w:val="0FB52985"/>
    <w:rsid w:val="0FBD834A"/>
    <w:rsid w:val="0FD591C5"/>
    <w:rsid w:val="0FD5FB0E"/>
    <w:rsid w:val="0FE690FB"/>
    <w:rsid w:val="0FEC8D13"/>
    <w:rsid w:val="0FECEF38"/>
    <w:rsid w:val="0FED08EA"/>
    <w:rsid w:val="0FF2D6AF"/>
    <w:rsid w:val="0FF43EFE"/>
    <w:rsid w:val="0FF84C82"/>
    <w:rsid w:val="0FFD42D7"/>
    <w:rsid w:val="0FFEC7BC"/>
    <w:rsid w:val="1005DAAE"/>
    <w:rsid w:val="1006DE73"/>
    <w:rsid w:val="101AF9AD"/>
    <w:rsid w:val="1024FB3C"/>
    <w:rsid w:val="10251A2B"/>
    <w:rsid w:val="102A4C05"/>
    <w:rsid w:val="102EA6B1"/>
    <w:rsid w:val="102F0BA6"/>
    <w:rsid w:val="103D1BA9"/>
    <w:rsid w:val="1048BB22"/>
    <w:rsid w:val="104CB3B2"/>
    <w:rsid w:val="105A370D"/>
    <w:rsid w:val="105CABC5"/>
    <w:rsid w:val="105E416E"/>
    <w:rsid w:val="105F552C"/>
    <w:rsid w:val="1061EF92"/>
    <w:rsid w:val="1063E552"/>
    <w:rsid w:val="106A71AC"/>
    <w:rsid w:val="106B2CCC"/>
    <w:rsid w:val="106C9862"/>
    <w:rsid w:val="106E867E"/>
    <w:rsid w:val="106F42FE"/>
    <w:rsid w:val="10742933"/>
    <w:rsid w:val="107A65D0"/>
    <w:rsid w:val="10860BD2"/>
    <w:rsid w:val="10901C9F"/>
    <w:rsid w:val="109F8188"/>
    <w:rsid w:val="10A1970B"/>
    <w:rsid w:val="10A5B857"/>
    <w:rsid w:val="10A5E409"/>
    <w:rsid w:val="10A65A4F"/>
    <w:rsid w:val="10AFAF12"/>
    <w:rsid w:val="10B34D08"/>
    <w:rsid w:val="10BC4089"/>
    <w:rsid w:val="10BE804A"/>
    <w:rsid w:val="10C32A8E"/>
    <w:rsid w:val="10D4D845"/>
    <w:rsid w:val="10D963EC"/>
    <w:rsid w:val="10E123CA"/>
    <w:rsid w:val="10F2F9FD"/>
    <w:rsid w:val="10FDBF37"/>
    <w:rsid w:val="11059581"/>
    <w:rsid w:val="11095679"/>
    <w:rsid w:val="111387C8"/>
    <w:rsid w:val="111923E9"/>
    <w:rsid w:val="11198F5E"/>
    <w:rsid w:val="111A3AD1"/>
    <w:rsid w:val="111CB82C"/>
    <w:rsid w:val="11232431"/>
    <w:rsid w:val="11249861"/>
    <w:rsid w:val="112EEE8A"/>
    <w:rsid w:val="11328C47"/>
    <w:rsid w:val="113C2406"/>
    <w:rsid w:val="113D02D0"/>
    <w:rsid w:val="113E02E1"/>
    <w:rsid w:val="1142B8AE"/>
    <w:rsid w:val="1149900D"/>
    <w:rsid w:val="114F2296"/>
    <w:rsid w:val="1150D2C0"/>
    <w:rsid w:val="1153C49E"/>
    <w:rsid w:val="115A4926"/>
    <w:rsid w:val="115A6EF0"/>
    <w:rsid w:val="115B973A"/>
    <w:rsid w:val="11606BFC"/>
    <w:rsid w:val="1168AA00"/>
    <w:rsid w:val="1169D10D"/>
    <w:rsid w:val="1174786B"/>
    <w:rsid w:val="1175331B"/>
    <w:rsid w:val="11763A75"/>
    <w:rsid w:val="117F096F"/>
    <w:rsid w:val="117F7814"/>
    <w:rsid w:val="118053FC"/>
    <w:rsid w:val="1187C8AE"/>
    <w:rsid w:val="1188F9CB"/>
    <w:rsid w:val="11924EA4"/>
    <w:rsid w:val="119D9C58"/>
    <w:rsid w:val="11AAE689"/>
    <w:rsid w:val="11AD89E2"/>
    <w:rsid w:val="11B085A7"/>
    <w:rsid w:val="11BF4C57"/>
    <w:rsid w:val="11C00F5A"/>
    <w:rsid w:val="11C92C0D"/>
    <w:rsid w:val="11DAC596"/>
    <w:rsid w:val="11DCE56A"/>
    <w:rsid w:val="11EFE422"/>
    <w:rsid w:val="11F14C3A"/>
    <w:rsid w:val="11F2E630"/>
    <w:rsid w:val="11F55DFC"/>
    <w:rsid w:val="120478EF"/>
    <w:rsid w:val="12062190"/>
    <w:rsid w:val="120E1F92"/>
    <w:rsid w:val="1213A30B"/>
    <w:rsid w:val="121F2F84"/>
    <w:rsid w:val="121F7E53"/>
    <w:rsid w:val="1227E17C"/>
    <w:rsid w:val="123C3DD5"/>
    <w:rsid w:val="124BFCBC"/>
    <w:rsid w:val="12576B0A"/>
    <w:rsid w:val="12614252"/>
    <w:rsid w:val="126EDA5D"/>
    <w:rsid w:val="127159D1"/>
    <w:rsid w:val="127F2FB0"/>
    <w:rsid w:val="1286215F"/>
    <w:rsid w:val="1286CA03"/>
    <w:rsid w:val="128943AD"/>
    <w:rsid w:val="128FC4C3"/>
    <w:rsid w:val="1298B0C1"/>
    <w:rsid w:val="129A99E7"/>
    <w:rsid w:val="12A0A4F6"/>
    <w:rsid w:val="12A392C9"/>
    <w:rsid w:val="12A7932B"/>
    <w:rsid w:val="12AA4DE5"/>
    <w:rsid w:val="12AA75A2"/>
    <w:rsid w:val="12AB275D"/>
    <w:rsid w:val="12B0060B"/>
    <w:rsid w:val="12B1C92C"/>
    <w:rsid w:val="12BD9DB6"/>
    <w:rsid w:val="12C254B8"/>
    <w:rsid w:val="12CE175C"/>
    <w:rsid w:val="12D07952"/>
    <w:rsid w:val="12D1D6E4"/>
    <w:rsid w:val="12D5740F"/>
    <w:rsid w:val="12E3C9EB"/>
    <w:rsid w:val="12EA65F6"/>
    <w:rsid w:val="12EB87ED"/>
    <w:rsid w:val="12F2BDC7"/>
    <w:rsid w:val="12F6B614"/>
    <w:rsid w:val="12FDAEDE"/>
    <w:rsid w:val="130062EE"/>
    <w:rsid w:val="1303FA90"/>
    <w:rsid w:val="13053C5E"/>
    <w:rsid w:val="13069176"/>
    <w:rsid w:val="1307A728"/>
    <w:rsid w:val="131E055F"/>
    <w:rsid w:val="13231AA0"/>
    <w:rsid w:val="132D6633"/>
    <w:rsid w:val="132F28E6"/>
    <w:rsid w:val="132FCDBA"/>
    <w:rsid w:val="13309246"/>
    <w:rsid w:val="133195A9"/>
    <w:rsid w:val="133FCA47"/>
    <w:rsid w:val="13447E3F"/>
    <w:rsid w:val="134C6B3D"/>
    <w:rsid w:val="134FFA31"/>
    <w:rsid w:val="13523438"/>
    <w:rsid w:val="135BDBDA"/>
    <w:rsid w:val="13695395"/>
    <w:rsid w:val="1373E2FC"/>
    <w:rsid w:val="1375D25B"/>
    <w:rsid w:val="137BB178"/>
    <w:rsid w:val="138553E6"/>
    <w:rsid w:val="13861670"/>
    <w:rsid w:val="13947433"/>
    <w:rsid w:val="139DCB46"/>
    <w:rsid w:val="13A70670"/>
    <w:rsid w:val="13C80940"/>
    <w:rsid w:val="13CC3199"/>
    <w:rsid w:val="13DA823E"/>
    <w:rsid w:val="13EB1538"/>
    <w:rsid w:val="13F4FA8F"/>
    <w:rsid w:val="13F82A0B"/>
    <w:rsid w:val="1403D64F"/>
    <w:rsid w:val="140B7E32"/>
    <w:rsid w:val="140E30D3"/>
    <w:rsid w:val="141A0404"/>
    <w:rsid w:val="1421E505"/>
    <w:rsid w:val="14282FF8"/>
    <w:rsid w:val="142D2B69"/>
    <w:rsid w:val="142FB740"/>
    <w:rsid w:val="1446F424"/>
    <w:rsid w:val="144B773C"/>
    <w:rsid w:val="144D1A68"/>
    <w:rsid w:val="145DA467"/>
    <w:rsid w:val="14601E41"/>
    <w:rsid w:val="146259E5"/>
    <w:rsid w:val="1479DBCE"/>
    <w:rsid w:val="14821E93"/>
    <w:rsid w:val="14846CED"/>
    <w:rsid w:val="1484CB49"/>
    <w:rsid w:val="14880181"/>
    <w:rsid w:val="1497E240"/>
    <w:rsid w:val="1499E21B"/>
    <w:rsid w:val="14A902E8"/>
    <w:rsid w:val="14ADBECD"/>
    <w:rsid w:val="14AF6EC0"/>
    <w:rsid w:val="14B0D2CE"/>
    <w:rsid w:val="14B44028"/>
    <w:rsid w:val="14BBB9C1"/>
    <w:rsid w:val="14BED922"/>
    <w:rsid w:val="14C1E6BC"/>
    <w:rsid w:val="14C4349D"/>
    <w:rsid w:val="14C6ACBD"/>
    <w:rsid w:val="14DDE47E"/>
    <w:rsid w:val="14F12808"/>
    <w:rsid w:val="14F5BF4E"/>
    <w:rsid w:val="14F8825A"/>
    <w:rsid w:val="14FC34BB"/>
    <w:rsid w:val="150359E4"/>
    <w:rsid w:val="150A79F9"/>
    <w:rsid w:val="150AD041"/>
    <w:rsid w:val="15115FD2"/>
    <w:rsid w:val="1512025F"/>
    <w:rsid w:val="152433C1"/>
    <w:rsid w:val="152F7B0C"/>
    <w:rsid w:val="1531E552"/>
    <w:rsid w:val="15328D69"/>
    <w:rsid w:val="153362FB"/>
    <w:rsid w:val="15394772"/>
    <w:rsid w:val="154495C8"/>
    <w:rsid w:val="1544A045"/>
    <w:rsid w:val="1546B9CB"/>
    <w:rsid w:val="154B1D9E"/>
    <w:rsid w:val="15593A07"/>
    <w:rsid w:val="155CF880"/>
    <w:rsid w:val="155FBBF0"/>
    <w:rsid w:val="15615357"/>
    <w:rsid w:val="1563D4F5"/>
    <w:rsid w:val="1567E690"/>
    <w:rsid w:val="156892A3"/>
    <w:rsid w:val="156E6982"/>
    <w:rsid w:val="15729598"/>
    <w:rsid w:val="157889EF"/>
    <w:rsid w:val="15878B6A"/>
    <w:rsid w:val="159A5D31"/>
    <w:rsid w:val="159B14A3"/>
    <w:rsid w:val="159D886B"/>
    <w:rsid w:val="15A317CB"/>
    <w:rsid w:val="15A7A58C"/>
    <w:rsid w:val="15B3C789"/>
    <w:rsid w:val="15B6132D"/>
    <w:rsid w:val="15C6428B"/>
    <w:rsid w:val="15E85CF3"/>
    <w:rsid w:val="15F5620A"/>
    <w:rsid w:val="15FAAA9D"/>
    <w:rsid w:val="15FB9B65"/>
    <w:rsid w:val="16002EF3"/>
    <w:rsid w:val="1600478B"/>
    <w:rsid w:val="16027EDC"/>
    <w:rsid w:val="160EDCD0"/>
    <w:rsid w:val="1620014D"/>
    <w:rsid w:val="162152FC"/>
    <w:rsid w:val="162319F3"/>
    <w:rsid w:val="1623889E"/>
    <w:rsid w:val="1628CF68"/>
    <w:rsid w:val="162E2E95"/>
    <w:rsid w:val="163329DB"/>
    <w:rsid w:val="16347BEF"/>
    <w:rsid w:val="163EC5A7"/>
    <w:rsid w:val="164514C8"/>
    <w:rsid w:val="164B2043"/>
    <w:rsid w:val="164C0148"/>
    <w:rsid w:val="164C9468"/>
    <w:rsid w:val="1653F446"/>
    <w:rsid w:val="165BFDEB"/>
    <w:rsid w:val="165D16FC"/>
    <w:rsid w:val="1662802B"/>
    <w:rsid w:val="16744DA7"/>
    <w:rsid w:val="16761546"/>
    <w:rsid w:val="16885213"/>
    <w:rsid w:val="168914FE"/>
    <w:rsid w:val="168B0021"/>
    <w:rsid w:val="1696DB3A"/>
    <w:rsid w:val="1698479D"/>
    <w:rsid w:val="169A71DE"/>
    <w:rsid w:val="16A9C51D"/>
    <w:rsid w:val="16AEF0A2"/>
    <w:rsid w:val="16B58E48"/>
    <w:rsid w:val="16B7684C"/>
    <w:rsid w:val="16B7C8D2"/>
    <w:rsid w:val="16BDDAE4"/>
    <w:rsid w:val="16C1FD5B"/>
    <w:rsid w:val="16C23215"/>
    <w:rsid w:val="16D3431A"/>
    <w:rsid w:val="16D7113A"/>
    <w:rsid w:val="16DA2C91"/>
    <w:rsid w:val="16E5287D"/>
    <w:rsid w:val="16F07E9C"/>
    <w:rsid w:val="16F625CE"/>
    <w:rsid w:val="17137EF4"/>
    <w:rsid w:val="171F6DDF"/>
    <w:rsid w:val="17200F04"/>
    <w:rsid w:val="1725335C"/>
    <w:rsid w:val="172AAD01"/>
    <w:rsid w:val="172C6852"/>
    <w:rsid w:val="172EA896"/>
    <w:rsid w:val="17325E88"/>
    <w:rsid w:val="173CECAC"/>
    <w:rsid w:val="173DCBFD"/>
    <w:rsid w:val="17405DFF"/>
    <w:rsid w:val="1741A21B"/>
    <w:rsid w:val="174A7785"/>
    <w:rsid w:val="174B0E90"/>
    <w:rsid w:val="1752A8D4"/>
    <w:rsid w:val="17548F6A"/>
    <w:rsid w:val="175A6E5C"/>
    <w:rsid w:val="175AA6CE"/>
    <w:rsid w:val="175B45D1"/>
    <w:rsid w:val="17626A60"/>
    <w:rsid w:val="1765AF78"/>
    <w:rsid w:val="1772BDCD"/>
    <w:rsid w:val="17733C6F"/>
    <w:rsid w:val="17779A0B"/>
    <w:rsid w:val="1777A1AE"/>
    <w:rsid w:val="1779EF9C"/>
    <w:rsid w:val="1799AFF3"/>
    <w:rsid w:val="179CCA9C"/>
    <w:rsid w:val="17AA49F1"/>
    <w:rsid w:val="17AD4685"/>
    <w:rsid w:val="17B7CE16"/>
    <w:rsid w:val="17BC3F5B"/>
    <w:rsid w:val="17BCF211"/>
    <w:rsid w:val="17C7C37D"/>
    <w:rsid w:val="17CCD35A"/>
    <w:rsid w:val="17D0DA01"/>
    <w:rsid w:val="17D42053"/>
    <w:rsid w:val="17DD766E"/>
    <w:rsid w:val="17DEB604"/>
    <w:rsid w:val="17EA8C5A"/>
    <w:rsid w:val="17FA2A90"/>
    <w:rsid w:val="18040334"/>
    <w:rsid w:val="180B5A3F"/>
    <w:rsid w:val="181A2FE5"/>
    <w:rsid w:val="181D8922"/>
    <w:rsid w:val="182C6DA1"/>
    <w:rsid w:val="18378DD5"/>
    <w:rsid w:val="1845E50B"/>
    <w:rsid w:val="1849BFF5"/>
    <w:rsid w:val="1867BDF0"/>
    <w:rsid w:val="186F573A"/>
    <w:rsid w:val="186F803E"/>
    <w:rsid w:val="187A7B90"/>
    <w:rsid w:val="187D5DE2"/>
    <w:rsid w:val="18813F6F"/>
    <w:rsid w:val="188661A9"/>
    <w:rsid w:val="188A659C"/>
    <w:rsid w:val="188FF992"/>
    <w:rsid w:val="1892BB06"/>
    <w:rsid w:val="18A70379"/>
    <w:rsid w:val="18AB03A5"/>
    <w:rsid w:val="18AE1585"/>
    <w:rsid w:val="18B25203"/>
    <w:rsid w:val="18B28240"/>
    <w:rsid w:val="18B3276B"/>
    <w:rsid w:val="18C07401"/>
    <w:rsid w:val="18CBF066"/>
    <w:rsid w:val="18CCAA6F"/>
    <w:rsid w:val="18D86E91"/>
    <w:rsid w:val="18D8AFD1"/>
    <w:rsid w:val="18FB36B0"/>
    <w:rsid w:val="18FF52D1"/>
    <w:rsid w:val="1901B6F4"/>
    <w:rsid w:val="190654DF"/>
    <w:rsid w:val="190BD8B1"/>
    <w:rsid w:val="190DC5A3"/>
    <w:rsid w:val="19139B41"/>
    <w:rsid w:val="19230244"/>
    <w:rsid w:val="19274A43"/>
    <w:rsid w:val="1927CCA7"/>
    <w:rsid w:val="192850F1"/>
    <w:rsid w:val="193A8840"/>
    <w:rsid w:val="194330E8"/>
    <w:rsid w:val="1947BF48"/>
    <w:rsid w:val="194969B3"/>
    <w:rsid w:val="194C475F"/>
    <w:rsid w:val="19507E86"/>
    <w:rsid w:val="195F6B63"/>
    <w:rsid w:val="1961E4DA"/>
    <w:rsid w:val="19636203"/>
    <w:rsid w:val="197874F8"/>
    <w:rsid w:val="197A3262"/>
    <w:rsid w:val="197D49AA"/>
    <w:rsid w:val="197F5C64"/>
    <w:rsid w:val="1985C214"/>
    <w:rsid w:val="198805AD"/>
    <w:rsid w:val="1988A000"/>
    <w:rsid w:val="198E6FCC"/>
    <w:rsid w:val="1995EF2B"/>
    <w:rsid w:val="19A33924"/>
    <w:rsid w:val="19A77341"/>
    <w:rsid w:val="19BA7E35"/>
    <w:rsid w:val="19BBEEFA"/>
    <w:rsid w:val="19BE0FCC"/>
    <w:rsid w:val="19BF93A9"/>
    <w:rsid w:val="19C52153"/>
    <w:rsid w:val="19CC1F78"/>
    <w:rsid w:val="19CEE30C"/>
    <w:rsid w:val="19D29254"/>
    <w:rsid w:val="19D54D58"/>
    <w:rsid w:val="19EAE245"/>
    <w:rsid w:val="19F09965"/>
    <w:rsid w:val="19F4D3CC"/>
    <w:rsid w:val="19F895FE"/>
    <w:rsid w:val="19FE30D0"/>
    <w:rsid w:val="1A13986E"/>
    <w:rsid w:val="1A1425A7"/>
    <w:rsid w:val="1A15276E"/>
    <w:rsid w:val="1A1D2775"/>
    <w:rsid w:val="1A2F67E6"/>
    <w:rsid w:val="1A40C9CF"/>
    <w:rsid w:val="1A42004B"/>
    <w:rsid w:val="1A456616"/>
    <w:rsid w:val="1A4A800F"/>
    <w:rsid w:val="1A55F5DC"/>
    <w:rsid w:val="1A5A38A5"/>
    <w:rsid w:val="1A5A3997"/>
    <w:rsid w:val="1A5C22C6"/>
    <w:rsid w:val="1A5F2493"/>
    <w:rsid w:val="1A6566A4"/>
    <w:rsid w:val="1A94D4BB"/>
    <w:rsid w:val="1A969DE7"/>
    <w:rsid w:val="1A999DB4"/>
    <w:rsid w:val="1A99BDDB"/>
    <w:rsid w:val="1A9FBF49"/>
    <w:rsid w:val="1AA05607"/>
    <w:rsid w:val="1ABDF773"/>
    <w:rsid w:val="1AC14FC5"/>
    <w:rsid w:val="1AC4210F"/>
    <w:rsid w:val="1AD73C69"/>
    <w:rsid w:val="1ADC3DF5"/>
    <w:rsid w:val="1AE1104D"/>
    <w:rsid w:val="1AE7D0AF"/>
    <w:rsid w:val="1AEAFCB5"/>
    <w:rsid w:val="1AEBAA47"/>
    <w:rsid w:val="1AEBB017"/>
    <w:rsid w:val="1AEF84A9"/>
    <w:rsid w:val="1AF40938"/>
    <w:rsid w:val="1AFB9FD1"/>
    <w:rsid w:val="1AFC10BA"/>
    <w:rsid w:val="1B023CEC"/>
    <w:rsid w:val="1B0516FB"/>
    <w:rsid w:val="1B124419"/>
    <w:rsid w:val="1B14582E"/>
    <w:rsid w:val="1B18446C"/>
    <w:rsid w:val="1B26496E"/>
    <w:rsid w:val="1B280895"/>
    <w:rsid w:val="1B2891C5"/>
    <w:rsid w:val="1B28D06E"/>
    <w:rsid w:val="1B2B4077"/>
    <w:rsid w:val="1B2BC757"/>
    <w:rsid w:val="1B2F3626"/>
    <w:rsid w:val="1B349FF0"/>
    <w:rsid w:val="1B364921"/>
    <w:rsid w:val="1B36ADAB"/>
    <w:rsid w:val="1B3BAFA2"/>
    <w:rsid w:val="1B4AD194"/>
    <w:rsid w:val="1B57CD69"/>
    <w:rsid w:val="1B696F43"/>
    <w:rsid w:val="1B6F76DB"/>
    <w:rsid w:val="1B7D88FE"/>
    <w:rsid w:val="1B8523DA"/>
    <w:rsid w:val="1B852A8A"/>
    <w:rsid w:val="1B8DACB9"/>
    <w:rsid w:val="1B9CD1F9"/>
    <w:rsid w:val="1BA2B120"/>
    <w:rsid w:val="1BAEAB81"/>
    <w:rsid w:val="1BAF832C"/>
    <w:rsid w:val="1BB2FF42"/>
    <w:rsid w:val="1BB75858"/>
    <w:rsid w:val="1BBE195D"/>
    <w:rsid w:val="1BCE204C"/>
    <w:rsid w:val="1BD11ED8"/>
    <w:rsid w:val="1BD6FB37"/>
    <w:rsid w:val="1BDA367C"/>
    <w:rsid w:val="1BDBC877"/>
    <w:rsid w:val="1BE6EA31"/>
    <w:rsid w:val="1BE71755"/>
    <w:rsid w:val="1BEAC126"/>
    <w:rsid w:val="1BEB9F1F"/>
    <w:rsid w:val="1BEDA32D"/>
    <w:rsid w:val="1BF2DF02"/>
    <w:rsid w:val="1BF3781C"/>
    <w:rsid w:val="1BF49A43"/>
    <w:rsid w:val="1C095D27"/>
    <w:rsid w:val="1C0B9647"/>
    <w:rsid w:val="1C0D8FE9"/>
    <w:rsid w:val="1C0DBAEF"/>
    <w:rsid w:val="1C1387B0"/>
    <w:rsid w:val="1C13DB3E"/>
    <w:rsid w:val="1C14D38D"/>
    <w:rsid w:val="1C1ACE09"/>
    <w:rsid w:val="1C26F9B3"/>
    <w:rsid w:val="1C2C01DC"/>
    <w:rsid w:val="1C323D20"/>
    <w:rsid w:val="1C33B0DE"/>
    <w:rsid w:val="1C34F8CE"/>
    <w:rsid w:val="1C39D564"/>
    <w:rsid w:val="1C3B4480"/>
    <w:rsid w:val="1C40FD29"/>
    <w:rsid w:val="1C54E010"/>
    <w:rsid w:val="1C55E88F"/>
    <w:rsid w:val="1C5B187F"/>
    <w:rsid w:val="1C633FDC"/>
    <w:rsid w:val="1C762282"/>
    <w:rsid w:val="1C76459F"/>
    <w:rsid w:val="1C7E5939"/>
    <w:rsid w:val="1C7F6142"/>
    <w:rsid w:val="1C866EEA"/>
    <w:rsid w:val="1C909AE0"/>
    <w:rsid w:val="1C9567C6"/>
    <w:rsid w:val="1C9D16E4"/>
    <w:rsid w:val="1CA15581"/>
    <w:rsid w:val="1CABB16B"/>
    <w:rsid w:val="1CADDCC6"/>
    <w:rsid w:val="1CB038B5"/>
    <w:rsid w:val="1CB10DDB"/>
    <w:rsid w:val="1CB95C30"/>
    <w:rsid w:val="1CC9F95E"/>
    <w:rsid w:val="1CCA5BDD"/>
    <w:rsid w:val="1CD069FD"/>
    <w:rsid w:val="1CD84A92"/>
    <w:rsid w:val="1CDC3076"/>
    <w:rsid w:val="1CDE1E7D"/>
    <w:rsid w:val="1CF0191C"/>
    <w:rsid w:val="1CF308AA"/>
    <w:rsid w:val="1CF3CC14"/>
    <w:rsid w:val="1CF9167E"/>
    <w:rsid w:val="1CFCCEEC"/>
    <w:rsid w:val="1D0B38F5"/>
    <w:rsid w:val="1D118CD8"/>
    <w:rsid w:val="1D14380F"/>
    <w:rsid w:val="1D170438"/>
    <w:rsid w:val="1D1C6625"/>
    <w:rsid w:val="1D1E610E"/>
    <w:rsid w:val="1D30FC91"/>
    <w:rsid w:val="1D31EBCA"/>
    <w:rsid w:val="1D338F78"/>
    <w:rsid w:val="1D355E76"/>
    <w:rsid w:val="1D36EE59"/>
    <w:rsid w:val="1D37BEE7"/>
    <w:rsid w:val="1D3FFAC1"/>
    <w:rsid w:val="1D441759"/>
    <w:rsid w:val="1D4D3E1B"/>
    <w:rsid w:val="1D50ED3E"/>
    <w:rsid w:val="1D514D80"/>
    <w:rsid w:val="1D519CE0"/>
    <w:rsid w:val="1D5318D0"/>
    <w:rsid w:val="1D542208"/>
    <w:rsid w:val="1D5893B8"/>
    <w:rsid w:val="1D5DD5AE"/>
    <w:rsid w:val="1D608D44"/>
    <w:rsid w:val="1D73F663"/>
    <w:rsid w:val="1D7AB0CF"/>
    <w:rsid w:val="1D83B1FF"/>
    <w:rsid w:val="1D875692"/>
    <w:rsid w:val="1D88838F"/>
    <w:rsid w:val="1D8DB1D9"/>
    <w:rsid w:val="1DA05DB9"/>
    <w:rsid w:val="1DA19CB1"/>
    <w:rsid w:val="1DAAAC35"/>
    <w:rsid w:val="1DB0753A"/>
    <w:rsid w:val="1DB7CA32"/>
    <w:rsid w:val="1DC023C6"/>
    <w:rsid w:val="1DC900C4"/>
    <w:rsid w:val="1DC9E1F7"/>
    <w:rsid w:val="1DCC79E0"/>
    <w:rsid w:val="1DD51D86"/>
    <w:rsid w:val="1DDDC4D3"/>
    <w:rsid w:val="1DE18E66"/>
    <w:rsid w:val="1DE22969"/>
    <w:rsid w:val="1DE2CA69"/>
    <w:rsid w:val="1DEAB913"/>
    <w:rsid w:val="1DF1FA88"/>
    <w:rsid w:val="1DFE5A69"/>
    <w:rsid w:val="1E001A27"/>
    <w:rsid w:val="1E0299FF"/>
    <w:rsid w:val="1E059192"/>
    <w:rsid w:val="1E0A6D1C"/>
    <w:rsid w:val="1E1925A3"/>
    <w:rsid w:val="1E2378C9"/>
    <w:rsid w:val="1E274708"/>
    <w:rsid w:val="1E30F048"/>
    <w:rsid w:val="1E3AD33F"/>
    <w:rsid w:val="1E3B0421"/>
    <w:rsid w:val="1E3EF1CE"/>
    <w:rsid w:val="1E4AF85C"/>
    <w:rsid w:val="1E63B1D6"/>
    <w:rsid w:val="1E66B67B"/>
    <w:rsid w:val="1E671D10"/>
    <w:rsid w:val="1E6A91CA"/>
    <w:rsid w:val="1E6F4C07"/>
    <w:rsid w:val="1E79EF7B"/>
    <w:rsid w:val="1E7A35F5"/>
    <w:rsid w:val="1E84D890"/>
    <w:rsid w:val="1E92ABED"/>
    <w:rsid w:val="1E945D15"/>
    <w:rsid w:val="1E9CA486"/>
    <w:rsid w:val="1E9F4567"/>
    <w:rsid w:val="1EA1481C"/>
    <w:rsid w:val="1EA8926F"/>
    <w:rsid w:val="1EAD5D39"/>
    <w:rsid w:val="1EADEBD1"/>
    <w:rsid w:val="1EB979E2"/>
    <w:rsid w:val="1EBB255E"/>
    <w:rsid w:val="1EBC6DDD"/>
    <w:rsid w:val="1EC1AFF4"/>
    <w:rsid w:val="1EC2243E"/>
    <w:rsid w:val="1EC75E79"/>
    <w:rsid w:val="1ED3EF68"/>
    <w:rsid w:val="1ED8CF74"/>
    <w:rsid w:val="1EDDD406"/>
    <w:rsid w:val="1EE26C24"/>
    <w:rsid w:val="1EF03DAC"/>
    <w:rsid w:val="1EF41A92"/>
    <w:rsid w:val="1EF4BB91"/>
    <w:rsid w:val="1EFE4F6A"/>
    <w:rsid w:val="1F021E5B"/>
    <w:rsid w:val="1F024155"/>
    <w:rsid w:val="1F0CD8FE"/>
    <w:rsid w:val="1F15FAF5"/>
    <w:rsid w:val="1F21FA84"/>
    <w:rsid w:val="1F2391E6"/>
    <w:rsid w:val="1F2725F4"/>
    <w:rsid w:val="1F2E0845"/>
    <w:rsid w:val="1F4136CA"/>
    <w:rsid w:val="1F4514A4"/>
    <w:rsid w:val="1F48CE89"/>
    <w:rsid w:val="1F4BF015"/>
    <w:rsid w:val="1F4D701D"/>
    <w:rsid w:val="1F5CA639"/>
    <w:rsid w:val="1F609203"/>
    <w:rsid w:val="1F618B30"/>
    <w:rsid w:val="1F6C4AD4"/>
    <w:rsid w:val="1F77A37E"/>
    <w:rsid w:val="1F7CEC46"/>
    <w:rsid w:val="1F916B14"/>
    <w:rsid w:val="1F9AE09E"/>
    <w:rsid w:val="1F9DA605"/>
    <w:rsid w:val="1F9E38D3"/>
    <w:rsid w:val="1FA0C11D"/>
    <w:rsid w:val="1FA8AD0F"/>
    <w:rsid w:val="1FADB427"/>
    <w:rsid w:val="1FAEF5CB"/>
    <w:rsid w:val="1FB3EF25"/>
    <w:rsid w:val="1FB60E39"/>
    <w:rsid w:val="1FB6B9D6"/>
    <w:rsid w:val="1FB822C6"/>
    <w:rsid w:val="1FC57E8E"/>
    <w:rsid w:val="1FD671E4"/>
    <w:rsid w:val="1FD6C5EB"/>
    <w:rsid w:val="1FE2C405"/>
    <w:rsid w:val="1FE57B77"/>
    <w:rsid w:val="1FEFA6AF"/>
    <w:rsid w:val="1FF69BBC"/>
    <w:rsid w:val="1FFD84FF"/>
    <w:rsid w:val="2000FFE2"/>
    <w:rsid w:val="20032CB4"/>
    <w:rsid w:val="2005FD13"/>
    <w:rsid w:val="200BA744"/>
    <w:rsid w:val="200E5D03"/>
    <w:rsid w:val="200EF7DA"/>
    <w:rsid w:val="2017D9FA"/>
    <w:rsid w:val="2034AC48"/>
    <w:rsid w:val="2038F39E"/>
    <w:rsid w:val="203C0AE0"/>
    <w:rsid w:val="203D84CC"/>
    <w:rsid w:val="204182E5"/>
    <w:rsid w:val="2043FCD2"/>
    <w:rsid w:val="20492D9A"/>
    <w:rsid w:val="2050E634"/>
    <w:rsid w:val="20518141"/>
    <w:rsid w:val="20574018"/>
    <w:rsid w:val="206594C5"/>
    <w:rsid w:val="20668234"/>
    <w:rsid w:val="2067E67A"/>
    <w:rsid w:val="20684232"/>
    <w:rsid w:val="206E86D7"/>
    <w:rsid w:val="207B56D6"/>
    <w:rsid w:val="2081D432"/>
    <w:rsid w:val="20824280"/>
    <w:rsid w:val="208577F0"/>
    <w:rsid w:val="20858840"/>
    <w:rsid w:val="2085CA63"/>
    <w:rsid w:val="208EF8D3"/>
    <w:rsid w:val="20914ACA"/>
    <w:rsid w:val="2097C7F5"/>
    <w:rsid w:val="209D9142"/>
    <w:rsid w:val="20B031D0"/>
    <w:rsid w:val="20BCE79D"/>
    <w:rsid w:val="20BE629F"/>
    <w:rsid w:val="20BEC681"/>
    <w:rsid w:val="20C76BC3"/>
    <w:rsid w:val="20C824AA"/>
    <w:rsid w:val="20CB3816"/>
    <w:rsid w:val="20D5405F"/>
    <w:rsid w:val="20D604CF"/>
    <w:rsid w:val="20D82AF7"/>
    <w:rsid w:val="20DA1DCC"/>
    <w:rsid w:val="20E8032A"/>
    <w:rsid w:val="20EA39AC"/>
    <w:rsid w:val="20F0B67F"/>
    <w:rsid w:val="20F55938"/>
    <w:rsid w:val="20F72084"/>
    <w:rsid w:val="20FAB24D"/>
    <w:rsid w:val="20FC86EB"/>
    <w:rsid w:val="20FFDBFF"/>
    <w:rsid w:val="21007905"/>
    <w:rsid w:val="21033A8C"/>
    <w:rsid w:val="210A98CA"/>
    <w:rsid w:val="210C8614"/>
    <w:rsid w:val="210F30BC"/>
    <w:rsid w:val="2112EACB"/>
    <w:rsid w:val="2113040E"/>
    <w:rsid w:val="21131E99"/>
    <w:rsid w:val="2116873E"/>
    <w:rsid w:val="212077EC"/>
    <w:rsid w:val="2128BF68"/>
    <w:rsid w:val="212D3B75"/>
    <w:rsid w:val="212E5B9E"/>
    <w:rsid w:val="213227A4"/>
    <w:rsid w:val="2134A3EA"/>
    <w:rsid w:val="21358633"/>
    <w:rsid w:val="213B3235"/>
    <w:rsid w:val="213B4917"/>
    <w:rsid w:val="213FC924"/>
    <w:rsid w:val="2142F5F2"/>
    <w:rsid w:val="2145A93F"/>
    <w:rsid w:val="21474EF8"/>
    <w:rsid w:val="214D7F6B"/>
    <w:rsid w:val="215477A5"/>
    <w:rsid w:val="215F3CE2"/>
    <w:rsid w:val="21609D76"/>
    <w:rsid w:val="216128D9"/>
    <w:rsid w:val="2164392C"/>
    <w:rsid w:val="21650889"/>
    <w:rsid w:val="216BE541"/>
    <w:rsid w:val="216CEB5B"/>
    <w:rsid w:val="2172181B"/>
    <w:rsid w:val="217C0A8B"/>
    <w:rsid w:val="217CB37C"/>
    <w:rsid w:val="217EDCC6"/>
    <w:rsid w:val="218DB2F2"/>
    <w:rsid w:val="218EE178"/>
    <w:rsid w:val="219411BF"/>
    <w:rsid w:val="219FEC41"/>
    <w:rsid w:val="21A63F3D"/>
    <w:rsid w:val="21ACE1D6"/>
    <w:rsid w:val="21B75B66"/>
    <w:rsid w:val="21BB62F5"/>
    <w:rsid w:val="21C79369"/>
    <w:rsid w:val="21C7DDB9"/>
    <w:rsid w:val="21C8D5F1"/>
    <w:rsid w:val="21CA31DD"/>
    <w:rsid w:val="21CE8439"/>
    <w:rsid w:val="21D36A6B"/>
    <w:rsid w:val="21E74200"/>
    <w:rsid w:val="21E8667E"/>
    <w:rsid w:val="21EB1C83"/>
    <w:rsid w:val="21F23CC2"/>
    <w:rsid w:val="21F37430"/>
    <w:rsid w:val="21F4E05F"/>
    <w:rsid w:val="220874E8"/>
    <w:rsid w:val="220B4A52"/>
    <w:rsid w:val="220E86A7"/>
    <w:rsid w:val="221A0CFC"/>
    <w:rsid w:val="221AECF5"/>
    <w:rsid w:val="221B3E36"/>
    <w:rsid w:val="221C1EEF"/>
    <w:rsid w:val="222D85BE"/>
    <w:rsid w:val="2230435C"/>
    <w:rsid w:val="2230AB52"/>
    <w:rsid w:val="223661CA"/>
    <w:rsid w:val="22376045"/>
    <w:rsid w:val="223DF2C7"/>
    <w:rsid w:val="223F465B"/>
    <w:rsid w:val="224A342E"/>
    <w:rsid w:val="2250F047"/>
    <w:rsid w:val="225B1BB0"/>
    <w:rsid w:val="225FFD08"/>
    <w:rsid w:val="22684B3C"/>
    <w:rsid w:val="22691BD1"/>
    <w:rsid w:val="2272832D"/>
    <w:rsid w:val="22768E12"/>
    <w:rsid w:val="2277967C"/>
    <w:rsid w:val="228CCFBE"/>
    <w:rsid w:val="2292C008"/>
    <w:rsid w:val="229F18D0"/>
    <w:rsid w:val="22A3F294"/>
    <w:rsid w:val="22AB65E1"/>
    <w:rsid w:val="22B16324"/>
    <w:rsid w:val="22B47E28"/>
    <w:rsid w:val="22BBDD47"/>
    <w:rsid w:val="22BD51BE"/>
    <w:rsid w:val="22CA479E"/>
    <w:rsid w:val="22D31524"/>
    <w:rsid w:val="22D70296"/>
    <w:rsid w:val="22D9174D"/>
    <w:rsid w:val="22DF1F50"/>
    <w:rsid w:val="22E8309A"/>
    <w:rsid w:val="22EBEAAF"/>
    <w:rsid w:val="22EE5E53"/>
    <w:rsid w:val="22F31525"/>
    <w:rsid w:val="22F99E62"/>
    <w:rsid w:val="22FABDC9"/>
    <w:rsid w:val="2302A02F"/>
    <w:rsid w:val="231005DE"/>
    <w:rsid w:val="23101B51"/>
    <w:rsid w:val="2316883A"/>
    <w:rsid w:val="231A1C50"/>
    <w:rsid w:val="231C6F6B"/>
    <w:rsid w:val="231FEABD"/>
    <w:rsid w:val="232CCAC0"/>
    <w:rsid w:val="2338E3DC"/>
    <w:rsid w:val="233D9DD5"/>
    <w:rsid w:val="233E2ADA"/>
    <w:rsid w:val="235270F1"/>
    <w:rsid w:val="23679858"/>
    <w:rsid w:val="2369F3D7"/>
    <w:rsid w:val="237D094E"/>
    <w:rsid w:val="237D8ACB"/>
    <w:rsid w:val="23924F58"/>
    <w:rsid w:val="2398C5E1"/>
    <w:rsid w:val="23A15449"/>
    <w:rsid w:val="23A747D1"/>
    <w:rsid w:val="23A9C64A"/>
    <w:rsid w:val="23ACCE57"/>
    <w:rsid w:val="23ADEA5F"/>
    <w:rsid w:val="23B06DA2"/>
    <w:rsid w:val="23B1E826"/>
    <w:rsid w:val="23B31BED"/>
    <w:rsid w:val="23B65EE5"/>
    <w:rsid w:val="23B94A32"/>
    <w:rsid w:val="23C39986"/>
    <w:rsid w:val="23D7CAC0"/>
    <w:rsid w:val="23D96E49"/>
    <w:rsid w:val="23DD61FF"/>
    <w:rsid w:val="23E43897"/>
    <w:rsid w:val="23EEDC7D"/>
    <w:rsid w:val="23F65942"/>
    <w:rsid w:val="23FDF0E7"/>
    <w:rsid w:val="240877F8"/>
    <w:rsid w:val="240E12F9"/>
    <w:rsid w:val="241F7062"/>
    <w:rsid w:val="24209C13"/>
    <w:rsid w:val="242224D6"/>
    <w:rsid w:val="24294326"/>
    <w:rsid w:val="2429AE37"/>
    <w:rsid w:val="24317A5B"/>
    <w:rsid w:val="24384F19"/>
    <w:rsid w:val="243B3DA5"/>
    <w:rsid w:val="243BB3C1"/>
    <w:rsid w:val="24431171"/>
    <w:rsid w:val="24431D99"/>
    <w:rsid w:val="244B9797"/>
    <w:rsid w:val="244CBBB6"/>
    <w:rsid w:val="244DEEE5"/>
    <w:rsid w:val="2451EEA6"/>
    <w:rsid w:val="2453ED7E"/>
    <w:rsid w:val="2456D4E3"/>
    <w:rsid w:val="24597749"/>
    <w:rsid w:val="245C9162"/>
    <w:rsid w:val="2462856E"/>
    <w:rsid w:val="24662215"/>
    <w:rsid w:val="2467A489"/>
    <w:rsid w:val="247129CC"/>
    <w:rsid w:val="2471C7C1"/>
    <w:rsid w:val="2473A484"/>
    <w:rsid w:val="247F6584"/>
    <w:rsid w:val="248B9B94"/>
    <w:rsid w:val="2490B8EA"/>
    <w:rsid w:val="2495ACEF"/>
    <w:rsid w:val="24A5CBA2"/>
    <w:rsid w:val="24A78A9C"/>
    <w:rsid w:val="24AC4D3B"/>
    <w:rsid w:val="24AC659B"/>
    <w:rsid w:val="24AD2C2A"/>
    <w:rsid w:val="24AED63C"/>
    <w:rsid w:val="24AF039A"/>
    <w:rsid w:val="24B2FCA9"/>
    <w:rsid w:val="24C99A47"/>
    <w:rsid w:val="24DA7007"/>
    <w:rsid w:val="24F09B15"/>
    <w:rsid w:val="24F94EF5"/>
    <w:rsid w:val="24FF9AF6"/>
    <w:rsid w:val="2505CE29"/>
    <w:rsid w:val="250B8B27"/>
    <w:rsid w:val="250BCA4C"/>
    <w:rsid w:val="250EE3A3"/>
    <w:rsid w:val="2514BDDA"/>
    <w:rsid w:val="2515C55F"/>
    <w:rsid w:val="25162C9A"/>
    <w:rsid w:val="25184F85"/>
    <w:rsid w:val="251A10DD"/>
    <w:rsid w:val="251EDE1F"/>
    <w:rsid w:val="2521E315"/>
    <w:rsid w:val="25283C26"/>
    <w:rsid w:val="253C8E8B"/>
    <w:rsid w:val="253E3E8F"/>
    <w:rsid w:val="2544104B"/>
    <w:rsid w:val="25478CCE"/>
    <w:rsid w:val="25496CF2"/>
    <w:rsid w:val="25744559"/>
    <w:rsid w:val="25760E01"/>
    <w:rsid w:val="25762B56"/>
    <w:rsid w:val="25775632"/>
    <w:rsid w:val="257891F7"/>
    <w:rsid w:val="2578AD2C"/>
    <w:rsid w:val="258D7E9F"/>
    <w:rsid w:val="258DC761"/>
    <w:rsid w:val="2592C15D"/>
    <w:rsid w:val="2597A1CB"/>
    <w:rsid w:val="2599C148"/>
    <w:rsid w:val="259D8302"/>
    <w:rsid w:val="25AE8294"/>
    <w:rsid w:val="25AF7511"/>
    <w:rsid w:val="25B86E81"/>
    <w:rsid w:val="25BCD58C"/>
    <w:rsid w:val="25BE1E4B"/>
    <w:rsid w:val="25CF6E8C"/>
    <w:rsid w:val="25D23510"/>
    <w:rsid w:val="25DAC76E"/>
    <w:rsid w:val="25DEB9F0"/>
    <w:rsid w:val="25E70EF5"/>
    <w:rsid w:val="25F532FF"/>
    <w:rsid w:val="25F5AA9E"/>
    <w:rsid w:val="25F64CAA"/>
    <w:rsid w:val="25F6F6F4"/>
    <w:rsid w:val="25FC308B"/>
    <w:rsid w:val="260113B2"/>
    <w:rsid w:val="260366CC"/>
    <w:rsid w:val="260F9BB2"/>
    <w:rsid w:val="2610DE8B"/>
    <w:rsid w:val="26147BFA"/>
    <w:rsid w:val="2617F81C"/>
    <w:rsid w:val="261BF1D5"/>
    <w:rsid w:val="261EA6DD"/>
    <w:rsid w:val="26238D61"/>
    <w:rsid w:val="26247BD1"/>
    <w:rsid w:val="26260FE5"/>
    <w:rsid w:val="26460C9F"/>
    <w:rsid w:val="26558E09"/>
    <w:rsid w:val="265ACF6C"/>
    <w:rsid w:val="265D279B"/>
    <w:rsid w:val="266B9609"/>
    <w:rsid w:val="26786DFA"/>
    <w:rsid w:val="267CCD9C"/>
    <w:rsid w:val="267CFE2F"/>
    <w:rsid w:val="267D6028"/>
    <w:rsid w:val="2689429F"/>
    <w:rsid w:val="26925958"/>
    <w:rsid w:val="26955354"/>
    <w:rsid w:val="26990105"/>
    <w:rsid w:val="26AEA3E5"/>
    <w:rsid w:val="26B3A5AA"/>
    <w:rsid w:val="26B4990E"/>
    <w:rsid w:val="26CCCD6A"/>
    <w:rsid w:val="26DC9083"/>
    <w:rsid w:val="26DF93E6"/>
    <w:rsid w:val="26E2F74E"/>
    <w:rsid w:val="26E31FF2"/>
    <w:rsid w:val="26E9A9F8"/>
    <w:rsid w:val="26F22817"/>
    <w:rsid w:val="26F3D611"/>
    <w:rsid w:val="26F54F0D"/>
    <w:rsid w:val="26F56C4D"/>
    <w:rsid w:val="26FEDFC9"/>
    <w:rsid w:val="2702EA17"/>
    <w:rsid w:val="27055161"/>
    <w:rsid w:val="27061142"/>
    <w:rsid w:val="270F9EDB"/>
    <w:rsid w:val="27183C0B"/>
    <w:rsid w:val="271CAA03"/>
    <w:rsid w:val="2722C2FF"/>
    <w:rsid w:val="27234D88"/>
    <w:rsid w:val="273D52CD"/>
    <w:rsid w:val="275B2834"/>
    <w:rsid w:val="275D8B1E"/>
    <w:rsid w:val="27666EBE"/>
    <w:rsid w:val="27667ABE"/>
    <w:rsid w:val="276A48F9"/>
    <w:rsid w:val="27853B49"/>
    <w:rsid w:val="278C91F3"/>
    <w:rsid w:val="278EBD0E"/>
    <w:rsid w:val="27964A9D"/>
    <w:rsid w:val="27AB7B8A"/>
    <w:rsid w:val="27AFFF7C"/>
    <w:rsid w:val="27B20E18"/>
    <w:rsid w:val="27B6DCA5"/>
    <w:rsid w:val="27BC6463"/>
    <w:rsid w:val="27C44FC3"/>
    <w:rsid w:val="27CE8F96"/>
    <w:rsid w:val="27D037E4"/>
    <w:rsid w:val="27D24FA5"/>
    <w:rsid w:val="27D3B65B"/>
    <w:rsid w:val="27D9553C"/>
    <w:rsid w:val="27E11815"/>
    <w:rsid w:val="27FC5122"/>
    <w:rsid w:val="27FC857F"/>
    <w:rsid w:val="2805120B"/>
    <w:rsid w:val="28066C72"/>
    <w:rsid w:val="28081967"/>
    <w:rsid w:val="280CDFFF"/>
    <w:rsid w:val="28153AC2"/>
    <w:rsid w:val="281E5EC2"/>
    <w:rsid w:val="281F0C09"/>
    <w:rsid w:val="282F98C0"/>
    <w:rsid w:val="284A07EA"/>
    <w:rsid w:val="28510B24"/>
    <w:rsid w:val="2853DE2E"/>
    <w:rsid w:val="285581B8"/>
    <w:rsid w:val="285A9658"/>
    <w:rsid w:val="2870F83C"/>
    <w:rsid w:val="287180BF"/>
    <w:rsid w:val="28774CE2"/>
    <w:rsid w:val="2878F8BD"/>
    <w:rsid w:val="2884895E"/>
    <w:rsid w:val="288D013A"/>
    <w:rsid w:val="289DF986"/>
    <w:rsid w:val="28A735AD"/>
    <w:rsid w:val="28B41927"/>
    <w:rsid w:val="28BC15C2"/>
    <w:rsid w:val="28BFACC9"/>
    <w:rsid w:val="28C21D23"/>
    <w:rsid w:val="28D78B9D"/>
    <w:rsid w:val="28DF512F"/>
    <w:rsid w:val="28E33D42"/>
    <w:rsid w:val="28EA3082"/>
    <w:rsid w:val="28EA31F7"/>
    <w:rsid w:val="28EBE0EF"/>
    <w:rsid w:val="28F2E756"/>
    <w:rsid w:val="28F603EC"/>
    <w:rsid w:val="29058551"/>
    <w:rsid w:val="29070C14"/>
    <w:rsid w:val="2917BE90"/>
    <w:rsid w:val="291A6AB3"/>
    <w:rsid w:val="291B7942"/>
    <w:rsid w:val="2920D00E"/>
    <w:rsid w:val="292CDFB9"/>
    <w:rsid w:val="29363E68"/>
    <w:rsid w:val="293671C5"/>
    <w:rsid w:val="29473B7D"/>
    <w:rsid w:val="294C70DB"/>
    <w:rsid w:val="2960E15B"/>
    <w:rsid w:val="2968ED06"/>
    <w:rsid w:val="296A5115"/>
    <w:rsid w:val="296A9F58"/>
    <w:rsid w:val="2972957A"/>
    <w:rsid w:val="2975FFAA"/>
    <w:rsid w:val="297859FE"/>
    <w:rsid w:val="29861E68"/>
    <w:rsid w:val="298C8C05"/>
    <w:rsid w:val="299C7A40"/>
    <w:rsid w:val="299DABBE"/>
    <w:rsid w:val="29A2AF79"/>
    <w:rsid w:val="29ACFBDC"/>
    <w:rsid w:val="29B4B2DB"/>
    <w:rsid w:val="29B7F845"/>
    <w:rsid w:val="29B8D906"/>
    <w:rsid w:val="29CB57E4"/>
    <w:rsid w:val="29D08555"/>
    <w:rsid w:val="29D223E5"/>
    <w:rsid w:val="29DBB374"/>
    <w:rsid w:val="29DD0903"/>
    <w:rsid w:val="29DF6D3E"/>
    <w:rsid w:val="29E2A215"/>
    <w:rsid w:val="29E2D8C3"/>
    <w:rsid w:val="29E579C4"/>
    <w:rsid w:val="29E73650"/>
    <w:rsid w:val="29EE4D8F"/>
    <w:rsid w:val="29F11F97"/>
    <w:rsid w:val="29F29700"/>
    <w:rsid w:val="29FC0EE8"/>
    <w:rsid w:val="2A04C358"/>
    <w:rsid w:val="2A0B5181"/>
    <w:rsid w:val="2A154BB0"/>
    <w:rsid w:val="2A183035"/>
    <w:rsid w:val="2A23F360"/>
    <w:rsid w:val="2A2E1740"/>
    <w:rsid w:val="2A3B55B9"/>
    <w:rsid w:val="2A3E6A8E"/>
    <w:rsid w:val="2A40F4F9"/>
    <w:rsid w:val="2A497544"/>
    <w:rsid w:val="2A530350"/>
    <w:rsid w:val="2A545D6F"/>
    <w:rsid w:val="2A5DE5E0"/>
    <w:rsid w:val="2A5E8886"/>
    <w:rsid w:val="2A61E2BA"/>
    <w:rsid w:val="2A61F6A0"/>
    <w:rsid w:val="2A625404"/>
    <w:rsid w:val="2A67BF04"/>
    <w:rsid w:val="2A687208"/>
    <w:rsid w:val="2A6D326B"/>
    <w:rsid w:val="2A77D603"/>
    <w:rsid w:val="2A7821E7"/>
    <w:rsid w:val="2A7A5C31"/>
    <w:rsid w:val="2A821326"/>
    <w:rsid w:val="2A871F97"/>
    <w:rsid w:val="2A87D837"/>
    <w:rsid w:val="2A88D0FF"/>
    <w:rsid w:val="2A89F186"/>
    <w:rsid w:val="2A8B4531"/>
    <w:rsid w:val="2A8B58B5"/>
    <w:rsid w:val="2A8C59D7"/>
    <w:rsid w:val="2A8F3289"/>
    <w:rsid w:val="2A95E0DD"/>
    <w:rsid w:val="2A97D2AF"/>
    <w:rsid w:val="2A9A7D06"/>
    <w:rsid w:val="2A9D40A6"/>
    <w:rsid w:val="2AA43429"/>
    <w:rsid w:val="2AA71758"/>
    <w:rsid w:val="2AAD563F"/>
    <w:rsid w:val="2AB08504"/>
    <w:rsid w:val="2AB40544"/>
    <w:rsid w:val="2AC3E5BF"/>
    <w:rsid w:val="2ACCAC2C"/>
    <w:rsid w:val="2AD726E3"/>
    <w:rsid w:val="2AD85B37"/>
    <w:rsid w:val="2AECF96E"/>
    <w:rsid w:val="2AEE8FDF"/>
    <w:rsid w:val="2AEE93AE"/>
    <w:rsid w:val="2AF02B72"/>
    <w:rsid w:val="2AF73A91"/>
    <w:rsid w:val="2AFC6CCE"/>
    <w:rsid w:val="2AFF66E3"/>
    <w:rsid w:val="2AFF8FFB"/>
    <w:rsid w:val="2B034511"/>
    <w:rsid w:val="2B12A0D8"/>
    <w:rsid w:val="2B17D39D"/>
    <w:rsid w:val="2B2BD22F"/>
    <w:rsid w:val="2B38234C"/>
    <w:rsid w:val="2B457659"/>
    <w:rsid w:val="2B45DF5B"/>
    <w:rsid w:val="2B45FECC"/>
    <w:rsid w:val="2B461FF3"/>
    <w:rsid w:val="2B4AE7FD"/>
    <w:rsid w:val="2B4CE803"/>
    <w:rsid w:val="2B4DB6B5"/>
    <w:rsid w:val="2B513091"/>
    <w:rsid w:val="2B5D8354"/>
    <w:rsid w:val="2B5ECFD5"/>
    <w:rsid w:val="2B60B1A4"/>
    <w:rsid w:val="2B6E5E6D"/>
    <w:rsid w:val="2B77312A"/>
    <w:rsid w:val="2B8337D1"/>
    <w:rsid w:val="2B88D40C"/>
    <w:rsid w:val="2B98BA62"/>
    <w:rsid w:val="2BA446F0"/>
    <w:rsid w:val="2BA4D6C6"/>
    <w:rsid w:val="2BB21289"/>
    <w:rsid w:val="2BB3455D"/>
    <w:rsid w:val="2BB8D4B0"/>
    <w:rsid w:val="2BC1BC1B"/>
    <w:rsid w:val="2BCB56AF"/>
    <w:rsid w:val="2BCD4D65"/>
    <w:rsid w:val="2BCDEEB1"/>
    <w:rsid w:val="2BCDF55E"/>
    <w:rsid w:val="2BD61BAC"/>
    <w:rsid w:val="2BDB9FA8"/>
    <w:rsid w:val="2BDBD5C7"/>
    <w:rsid w:val="2BEB86DB"/>
    <w:rsid w:val="2BEC7E06"/>
    <w:rsid w:val="2C0002D6"/>
    <w:rsid w:val="2C01E76D"/>
    <w:rsid w:val="2C0902CC"/>
    <w:rsid w:val="2C0FFC87"/>
    <w:rsid w:val="2C155026"/>
    <w:rsid w:val="2C289088"/>
    <w:rsid w:val="2C2D6DC3"/>
    <w:rsid w:val="2C4129C6"/>
    <w:rsid w:val="2C49D2BF"/>
    <w:rsid w:val="2C4CE120"/>
    <w:rsid w:val="2C535C6F"/>
    <w:rsid w:val="2C545252"/>
    <w:rsid w:val="2C5F910C"/>
    <w:rsid w:val="2C68BA20"/>
    <w:rsid w:val="2C6E3D19"/>
    <w:rsid w:val="2C7D54E3"/>
    <w:rsid w:val="2C8573C4"/>
    <w:rsid w:val="2C862007"/>
    <w:rsid w:val="2C869747"/>
    <w:rsid w:val="2C8BDAB8"/>
    <w:rsid w:val="2C8D447B"/>
    <w:rsid w:val="2C8F5215"/>
    <w:rsid w:val="2C930AF2"/>
    <w:rsid w:val="2C94408A"/>
    <w:rsid w:val="2C9BE511"/>
    <w:rsid w:val="2CA137E8"/>
    <w:rsid w:val="2CA23BD5"/>
    <w:rsid w:val="2CA5A9AA"/>
    <w:rsid w:val="2CCB6F48"/>
    <w:rsid w:val="2CD22C6D"/>
    <w:rsid w:val="2CD48423"/>
    <w:rsid w:val="2CD6885F"/>
    <w:rsid w:val="2CD98E71"/>
    <w:rsid w:val="2CDAA3CF"/>
    <w:rsid w:val="2CE39D62"/>
    <w:rsid w:val="2CE58915"/>
    <w:rsid w:val="2CEDE084"/>
    <w:rsid w:val="2CF20601"/>
    <w:rsid w:val="2CFA333F"/>
    <w:rsid w:val="2CFB16E8"/>
    <w:rsid w:val="2D035864"/>
    <w:rsid w:val="2D095583"/>
    <w:rsid w:val="2D098EF7"/>
    <w:rsid w:val="2D0D11E6"/>
    <w:rsid w:val="2D0EB29E"/>
    <w:rsid w:val="2D2AB90F"/>
    <w:rsid w:val="2D2B1DB6"/>
    <w:rsid w:val="2D2C347C"/>
    <w:rsid w:val="2D3FC2D7"/>
    <w:rsid w:val="2D4A06D4"/>
    <w:rsid w:val="2D4B186D"/>
    <w:rsid w:val="2D6B6B8C"/>
    <w:rsid w:val="2D6BF8BE"/>
    <w:rsid w:val="2D748D48"/>
    <w:rsid w:val="2D76C4BD"/>
    <w:rsid w:val="2D811606"/>
    <w:rsid w:val="2D8320BF"/>
    <w:rsid w:val="2D83FD4B"/>
    <w:rsid w:val="2DA38D95"/>
    <w:rsid w:val="2DA44C1C"/>
    <w:rsid w:val="2DABE519"/>
    <w:rsid w:val="2DADCC32"/>
    <w:rsid w:val="2DB17AAB"/>
    <w:rsid w:val="2DB8FABA"/>
    <w:rsid w:val="2DBF8F48"/>
    <w:rsid w:val="2DC1E467"/>
    <w:rsid w:val="2DCA6E05"/>
    <w:rsid w:val="2DCCB6CD"/>
    <w:rsid w:val="2DCE7CC9"/>
    <w:rsid w:val="2DD2AF6D"/>
    <w:rsid w:val="2DDEA436"/>
    <w:rsid w:val="2DEA285E"/>
    <w:rsid w:val="2DF70BED"/>
    <w:rsid w:val="2DFE75EA"/>
    <w:rsid w:val="2E0FD66B"/>
    <w:rsid w:val="2E12B0DA"/>
    <w:rsid w:val="2E13ED34"/>
    <w:rsid w:val="2E1A86CA"/>
    <w:rsid w:val="2E1E4C8A"/>
    <w:rsid w:val="2E1EAA17"/>
    <w:rsid w:val="2E1F1C21"/>
    <w:rsid w:val="2E21DE21"/>
    <w:rsid w:val="2E233ED4"/>
    <w:rsid w:val="2E296F4C"/>
    <w:rsid w:val="2E2E04FB"/>
    <w:rsid w:val="2E2F7B8B"/>
    <w:rsid w:val="2E310D07"/>
    <w:rsid w:val="2E3316F2"/>
    <w:rsid w:val="2E33FC51"/>
    <w:rsid w:val="2E37B02F"/>
    <w:rsid w:val="2E3DEAEE"/>
    <w:rsid w:val="2E404BB8"/>
    <w:rsid w:val="2E44765E"/>
    <w:rsid w:val="2E4B6482"/>
    <w:rsid w:val="2E4F8B7B"/>
    <w:rsid w:val="2E50D422"/>
    <w:rsid w:val="2E50DDEB"/>
    <w:rsid w:val="2E5F16A9"/>
    <w:rsid w:val="2E5F943E"/>
    <w:rsid w:val="2E60FFE1"/>
    <w:rsid w:val="2E643702"/>
    <w:rsid w:val="2E6E08E1"/>
    <w:rsid w:val="2E733AF4"/>
    <w:rsid w:val="2E78F74F"/>
    <w:rsid w:val="2E7A2B60"/>
    <w:rsid w:val="2E800759"/>
    <w:rsid w:val="2E85F2B9"/>
    <w:rsid w:val="2E8C9B35"/>
    <w:rsid w:val="2E8DF4AC"/>
    <w:rsid w:val="2E8E94DB"/>
    <w:rsid w:val="2E91E526"/>
    <w:rsid w:val="2E959AAF"/>
    <w:rsid w:val="2E975F60"/>
    <w:rsid w:val="2E99850D"/>
    <w:rsid w:val="2E9B58A4"/>
    <w:rsid w:val="2EA538E0"/>
    <w:rsid w:val="2EA96C6E"/>
    <w:rsid w:val="2EACB878"/>
    <w:rsid w:val="2EADDCE0"/>
    <w:rsid w:val="2EBBD5FD"/>
    <w:rsid w:val="2EBD8856"/>
    <w:rsid w:val="2EC2170A"/>
    <w:rsid w:val="2EC4FD02"/>
    <w:rsid w:val="2EC5F7C0"/>
    <w:rsid w:val="2EC81309"/>
    <w:rsid w:val="2EC92225"/>
    <w:rsid w:val="2ECE658A"/>
    <w:rsid w:val="2ED52081"/>
    <w:rsid w:val="2ED58180"/>
    <w:rsid w:val="2EDAB6FD"/>
    <w:rsid w:val="2EE64D72"/>
    <w:rsid w:val="2EF90CC7"/>
    <w:rsid w:val="2EFDE98B"/>
    <w:rsid w:val="2F00AC14"/>
    <w:rsid w:val="2F02B835"/>
    <w:rsid w:val="2F046A18"/>
    <w:rsid w:val="2F0A5F04"/>
    <w:rsid w:val="2F0CFCE0"/>
    <w:rsid w:val="2F0ECFC1"/>
    <w:rsid w:val="2F0FBB56"/>
    <w:rsid w:val="2F144846"/>
    <w:rsid w:val="2F1A2BFE"/>
    <w:rsid w:val="2F40A38E"/>
    <w:rsid w:val="2F44BFBD"/>
    <w:rsid w:val="2F4B7BD9"/>
    <w:rsid w:val="2F4DF9D4"/>
    <w:rsid w:val="2F4F1636"/>
    <w:rsid w:val="2F541EBB"/>
    <w:rsid w:val="2F54DC59"/>
    <w:rsid w:val="2F577600"/>
    <w:rsid w:val="2F5AB626"/>
    <w:rsid w:val="2F68E5DB"/>
    <w:rsid w:val="2F6DB88F"/>
    <w:rsid w:val="2F7139B2"/>
    <w:rsid w:val="2F7A43BF"/>
    <w:rsid w:val="2F82D95D"/>
    <w:rsid w:val="2F831461"/>
    <w:rsid w:val="2F86CBAB"/>
    <w:rsid w:val="2F875728"/>
    <w:rsid w:val="2F973877"/>
    <w:rsid w:val="2F9C8E3D"/>
    <w:rsid w:val="2FABC407"/>
    <w:rsid w:val="2FB71AC7"/>
    <w:rsid w:val="2FB7607E"/>
    <w:rsid w:val="2FBAD18A"/>
    <w:rsid w:val="2FC27AB4"/>
    <w:rsid w:val="2FC9E6AA"/>
    <w:rsid w:val="2FCCB505"/>
    <w:rsid w:val="2FD7A266"/>
    <w:rsid w:val="2FD89EC4"/>
    <w:rsid w:val="2FEB1AC4"/>
    <w:rsid w:val="2FEDB61E"/>
    <w:rsid w:val="2FEE243F"/>
    <w:rsid w:val="2FF25875"/>
    <w:rsid w:val="2FF4525E"/>
    <w:rsid w:val="2FF52AD4"/>
    <w:rsid w:val="2FF72CE4"/>
    <w:rsid w:val="30044066"/>
    <w:rsid w:val="3011425B"/>
    <w:rsid w:val="3019507E"/>
    <w:rsid w:val="302FC211"/>
    <w:rsid w:val="3035BA51"/>
    <w:rsid w:val="303B8097"/>
    <w:rsid w:val="304A0F9B"/>
    <w:rsid w:val="305DED5E"/>
    <w:rsid w:val="305EB1F5"/>
    <w:rsid w:val="30604EAD"/>
    <w:rsid w:val="306789CF"/>
    <w:rsid w:val="306A78C0"/>
    <w:rsid w:val="306C6FB9"/>
    <w:rsid w:val="30778191"/>
    <w:rsid w:val="30836955"/>
    <w:rsid w:val="3086A670"/>
    <w:rsid w:val="3088C4E9"/>
    <w:rsid w:val="3098CCDD"/>
    <w:rsid w:val="30996455"/>
    <w:rsid w:val="309F0901"/>
    <w:rsid w:val="30B9BB8B"/>
    <w:rsid w:val="30BA83A7"/>
    <w:rsid w:val="30C50F72"/>
    <w:rsid w:val="30C67E7D"/>
    <w:rsid w:val="30C9643D"/>
    <w:rsid w:val="30D60A4F"/>
    <w:rsid w:val="30D7498B"/>
    <w:rsid w:val="30EB7D66"/>
    <w:rsid w:val="30EF19EE"/>
    <w:rsid w:val="30F196AC"/>
    <w:rsid w:val="30F5D514"/>
    <w:rsid w:val="30F6A211"/>
    <w:rsid w:val="30FB3AAE"/>
    <w:rsid w:val="3103CE14"/>
    <w:rsid w:val="3103EDF9"/>
    <w:rsid w:val="31162C11"/>
    <w:rsid w:val="31181CB3"/>
    <w:rsid w:val="31197828"/>
    <w:rsid w:val="3119A96E"/>
    <w:rsid w:val="311AD258"/>
    <w:rsid w:val="311CC3C3"/>
    <w:rsid w:val="311FD8AA"/>
    <w:rsid w:val="3122B944"/>
    <w:rsid w:val="31273EF5"/>
    <w:rsid w:val="313E8D8E"/>
    <w:rsid w:val="3149DA84"/>
    <w:rsid w:val="314A9C39"/>
    <w:rsid w:val="314BC103"/>
    <w:rsid w:val="31569492"/>
    <w:rsid w:val="3156B554"/>
    <w:rsid w:val="3163BF42"/>
    <w:rsid w:val="31743996"/>
    <w:rsid w:val="318319D9"/>
    <w:rsid w:val="31875ACA"/>
    <w:rsid w:val="319D4DE7"/>
    <w:rsid w:val="31A33E98"/>
    <w:rsid w:val="31A86C0A"/>
    <w:rsid w:val="31A8A270"/>
    <w:rsid w:val="31B04916"/>
    <w:rsid w:val="31B2A97B"/>
    <w:rsid w:val="31B3684F"/>
    <w:rsid w:val="31B4EDB7"/>
    <w:rsid w:val="31B80D8E"/>
    <w:rsid w:val="31B9AE73"/>
    <w:rsid w:val="31C4586F"/>
    <w:rsid w:val="31C65D1F"/>
    <w:rsid w:val="31C69F40"/>
    <w:rsid w:val="31C8A3F1"/>
    <w:rsid w:val="31DC6B9A"/>
    <w:rsid w:val="31DD168C"/>
    <w:rsid w:val="31E987A2"/>
    <w:rsid w:val="31ED6F95"/>
    <w:rsid w:val="31EE9975"/>
    <w:rsid w:val="31FE1923"/>
    <w:rsid w:val="31FF1942"/>
    <w:rsid w:val="31FF1BC3"/>
    <w:rsid w:val="320480FA"/>
    <w:rsid w:val="320B2217"/>
    <w:rsid w:val="32144430"/>
    <w:rsid w:val="32169023"/>
    <w:rsid w:val="321C0197"/>
    <w:rsid w:val="32258884"/>
    <w:rsid w:val="3225B7A5"/>
    <w:rsid w:val="3227A8D2"/>
    <w:rsid w:val="32322CB1"/>
    <w:rsid w:val="3238D0C6"/>
    <w:rsid w:val="32412B41"/>
    <w:rsid w:val="324268E6"/>
    <w:rsid w:val="32465089"/>
    <w:rsid w:val="324B9C5C"/>
    <w:rsid w:val="3251136D"/>
    <w:rsid w:val="325807E8"/>
    <w:rsid w:val="32623F53"/>
    <w:rsid w:val="326455C9"/>
    <w:rsid w:val="326CBCE6"/>
    <w:rsid w:val="327656AA"/>
    <w:rsid w:val="327BFFBA"/>
    <w:rsid w:val="327C56B4"/>
    <w:rsid w:val="3281BF97"/>
    <w:rsid w:val="32892E5D"/>
    <w:rsid w:val="32893AB7"/>
    <w:rsid w:val="328A4D20"/>
    <w:rsid w:val="328BDEC7"/>
    <w:rsid w:val="32909588"/>
    <w:rsid w:val="3295FF4C"/>
    <w:rsid w:val="329E56B9"/>
    <w:rsid w:val="32A4F3B4"/>
    <w:rsid w:val="32A51ABE"/>
    <w:rsid w:val="32A5C2F9"/>
    <w:rsid w:val="32AC2370"/>
    <w:rsid w:val="32B81D92"/>
    <w:rsid w:val="32B87352"/>
    <w:rsid w:val="32B9A817"/>
    <w:rsid w:val="32BFF86C"/>
    <w:rsid w:val="32D0854A"/>
    <w:rsid w:val="32DD0990"/>
    <w:rsid w:val="32E17D79"/>
    <w:rsid w:val="32E71C93"/>
    <w:rsid w:val="32E81DBC"/>
    <w:rsid w:val="32F5EA9B"/>
    <w:rsid w:val="32F938BF"/>
    <w:rsid w:val="32FAF790"/>
    <w:rsid w:val="33059AA5"/>
    <w:rsid w:val="330FB68F"/>
    <w:rsid w:val="3322B787"/>
    <w:rsid w:val="3323E844"/>
    <w:rsid w:val="3328E5E4"/>
    <w:rsid w:val="33328916"/>
    <w:rsid w:val="333648B8"/>
    <w:rsid w:val="333A2D64"/>
    <w:rsid w:val="3348C261"/>
    <w:rsid w:val="334DE64F"/>
    <w:rsid w:val="33536DDA"/>
    <w:rsid w:val="335E745C"/>
    <w:rsid w:val="336B95DF"/>
    <w:rsid w:val="338336C6"/>
    <w:rsid w:val="3384EE22"/>
    <w:rsid w:val="338557B0"/>
    <w:rsid w:val="3387A9CE"/>
    <w:rsid w:val="33888D16"/>
    <w:rsid w:val="33957CF0"/>
    <w:rsid w:val="339CD7A2"/>
    <w:rsid w:val="33A45D21"/>
    <w:rsid w:val="33A53092"/>
    <w:rsid w:val="33AF1771"/>
    <w:rsid w:val="33AF5D85"/>
    <w:rsid w:val="33BCC719"/>
    <w:rsid w:val="33C33FC0"/>
    <w:rsid w:val="33D17547"/>
    <w:rsid w:val="33D3DDC9"/>
    <w:rsid w:val="33DB40CD"/>
    <w:rsid w:val="33DD2082"/>
    <w:rsid w:val="33E983EE"/>
    <w:rsid w:val="34026B3A"/>
    <w:rsid w:val="340B0E66"/>
    <w:rsid w:val="340D9E08"/>
    <w:rsid w:val="342EEB05"/>
    <w:rsid w:val="3437F6EA"/>
    <w:rsid w:val="343A59A3"/>
    <w:rsid w:val="343E1A3F"/>
    <w:rsid w:val="34458914"/>
    <w:rsid w:val="34574149"/>
    <w:rsid w:val="3457FD4B"/>
    <w:rsid w:val="345E12F9"/>
    <w:rsid w:val="34656025"/>
    <w:rsid w:val="346D37E5"/>
    <w:rsid w:val="346F569E"/>
    <w:rsid w:val="34765718"/>
    <w:rsid w:val="347769BE"/>
    <w:rsid w:val="347EE82A"/>
    <w:rsid w:val="34878D84"/>
    <w:rsid w:val="348A84CE"/>
    <w:rsid w:val="348C326C"/>
    <w:rsid w:val="34960271"/>
    <w:rsid w:val="34A3095F"/>
    <w:rsid w:val="34A4E65A"/>
    <w:rsid w:val="34AC3725"/>
    <w:rsid w:val="34B5E0D1"/>
    <w:rsid w:val="34B660E7"/>
    <w:rsid w:val="34BD71CF"/>
    <w:rsid w:val="34C4A04F"/>
    <w:rsid w:val="34C53844"/>
    <w:rsid w:val="34D3A416"/>
    <w:rsid w:val="34DA9536"/>
    <w:rsid w:val="34E2FC79"/>
    <w:rsid w:val="34E75C10"/>
    <w:rsid w:val="34E8E675"/>
    <w:rsid w:val="34F1DC19"/>
    <w:rsid w:val="34F6E17A"/>
    <w:rsid w:val="35004999"/>
    <w:rsid w:val="3511F9D6"/>
    <w:rsid w:val="351449B1"/>
    <w:rsid w:val="3525989F"/>
    <w:rsid w:val="3528A8D2"/>
    <w:rsid w:val="3540238D"/>
    <w:rsid w:val="354140B2"/>
    <w:rsid w:val="35438C5F"/>
    <w:rsid w:val="3546C570"/>
    <w:rsid w:val="354956BA"/>
    <w:rsid w:val="3556E374"/>
    <w:rsid w:val="3558CF4B"/>
    <w:rsid w:val="355C9795"/>
    <w:rsid w:val="355CB28C"/>
    <w:rsid w:val="3564C695"/>
    <w:rsid w:val="356A3FBB"/>
    <w:rsid w:val="356A809D"/>
    <w:rsid w:val="356E62D1"/>
    <w:rsid w:val="3570FDEC"/>
    <w:rsid w:val="35766BC5"/>
    <w:rsid w:val="357963F0"/>
    <w:rsid w:val="35875B04"/>
    <w:rsid w:val="35880C81"/>
    <w:rsid w:val="35918F6C"/>
    <w:rsid w:val="3593A0A8"/>
    <w:rsid w:val="359CD050"/>
    <w:rsid w:val="359D3B73"/>
    <w:rsid w:val="35AAE2E6"/>
    <w:rsid w:val="35AC56AC"/>
    <w:rsid w:val="35AE50FC"/>
    <w:rsid w:val="35B5EDB4"/>
    <w:rsid w:val="35B931D2"/>
    <w:rsid w:val="35C1F365"/>
    <w:rsid w:val="35C7B603"/>
    <w:rsid w:val="35D45A9E"/>
    <w:rsid w:val="35DC8336"/>
    <w:rsid w:val="35E2854D"/>
    <w:rsid w:val="35E32E26"/>
    <w:rsid w:val="35E5E2D9"/>
    <w:rsid w:val="35E6DEAD"/>
    <w:rsid w:val="35E8AE88"/>
    <w:rsid w:val="35E9C648"/>
    <w:rsid w:val="35EDC0EA"/>
    <w:rsid w:val="35F45ADE"/>
    <w:rsid w:val="35F55317"/>
    <w:rsid w:val="3616ECE8"/>
    <w:rsid w:val="361ADA73"/>
    <w:rsid w:val="361D9E6B"/>
    <w:rsid w:val="3622D04E"/>
    <w:rsid w:val="36275B20"/>
    <w:rsid w:val="36293670"/>
    <w:rsid w:val="362BA2CB"/>
    <w:rsid w:val="362F927A"/>
    <w:rsid w:val="363F1544"/>
    <w:rsid w:val="36416A7E"/>
    <w:rsid w:val="36435ECF"/>
    <w:rsid w:val="364C6653"/>
    <w:rsid w:val="364FF34B"/>
    <w:rsid w:val="3654469B"/>
    <w:rsid w:val="3657412C"/>
    <w:rsid w:val="365A45D9"/>
    <w:rsid w:val="3665D77F"/>
    <w:rsid w:val="3666770A"/>
    <w:rsid w:val="366F3C2C"/>
    <w:rsid w:val="36727F2E"/>
    <w:rsid w:val="3672C2F3"/>
    <w:rsid w:val="3676C7B6"/>
    <w:rsid w:val="367A30A9"/>
    <w:rsid w:val="3690E13D"/>
    <w:rsid w:val="3692B1DB"/>
    <w:rsid w:val="36979A76"/>
    <w:rsid w:val="3698CC85"/>
    <w:rsid w:val="36998F8B"/>
    <w:rsid w:val="36A3329F"/>
    <w:rsid w:val="36A4B19F"/>
    <w:rsid w:val="36B8BEA0"/>
    <w:rsid w:val="36B961E9"/>
    <w:rsid w:val="36C590D9"/>
    <w:rsid w:val="36C64375"/>
    <w:rsid w:val="36D397C0"/>
    <w:rsid w:val="36E0812C"/>
    <w:rsid w:val="36E4B17E"/>
    <w:rsid w:val="36F8229E"/>
    <w:rsid w:val="3707938F"/>
    <w:rsid w:val="3722F5B0"/>
    <w:rsid w:val="372415D7"/>
    <w:rsid w:val="37269362"/>
    <w:rsid w:val="372A379A"/>
    <w:rsid w:val="372DF7D9"/>
    <w:rsid w:val="372F0974"/>
    <w:rsid w:val="374972BD"/>
    <w:rsid w:val="37546589"/>
    <w:rsid w:val="37624010"/>
    <w:rsid w:val="376C3EA0"/>
    <w:rsid w:val="376D7A2C"/>
    <w:rsid w:val="3770A309"/>
    <w:rsid w:val="3771C990"/>
    <w:rsid w:val="3774383C"/>
    <w:rsid w:val="3774A174"/>
    <w:rsid w:val="37774979"/>
    <w:rsid w:val="37845D81"/>
    <w:rsid w:val="378D1C42"/>
    <w:rsid w:val="378E0D2B"/>
    <w:rsid w:val="3790247E"/>
    <w:rsid w:val="379C1912"/>
    <w:rsid w:val="37A806A0"/>
    <w:rsid w:val="37ABD800"/>
    <w:rsid w:val="37ACE6D3"/>
    <w:rsid w:val="37AD08DB"/>
    <w:rsid w:val="37AFE707"/>
    <w:rsid w:val="37B91EF2"/>
    <w:rsid w:val="37C74ECA"/>
    <w:rsid w:val="37D284D6"/>
    <w:rsid w:val="37D972A0"/>
    <w:rsid w:val="37E0E731"/>
    <w:rsid w:val="37FB0926"/>
    <w:rsid w:val="37FD5422"/>
    <w:rsid w:val="38023657"/>
    <w:rsid w:val="380C59E8"/>
    <w:rsid w:val="380E3083"/>
    <w:rsid w:val="380ED05F"/>
    <w:rsid w:val="38109138"/>
    <w:rsid w:val="38121542"/>
    <w:rsid w:val="3821A966"/>
    <w:rsid w:val="382BF947"/>
    <w:rsid w:val="382E5302"/>
    <w:rsid w:val="3837B5E5"/>
    <w:rsid w:val="383F196A"/>
    <w:rsid w:val="3845B4B4"/>
    <w:rsid w:val="3846333B"/>
    <w:rsid w:val="3846650C"/>
    <w:rsid w:val="3859B260"/>
    <w:rsid w:val="385E11C5"/>
    <w:rsid w:val="386401BF"/>
    <w:rsid w:val="386581C4"/>
    <w:rsid w:val="38675F7E"/>
    <w:rsid w:val="386B1D0A"/>
    <w:rsid w:val="386DA949"/>
    <w:rsid w:val="38703510"/>
    <w:rsid w:val="3870BD53"/>
    <w:rsid w:val="3871A966"/>
    <w:rsid w:val="38798B5A"/>
    <w:rsid w:val="387DD731"/>
    <w:rsid w:val="387F6CCD"/>
    <w:rsid w:val="387FFFF4"/>
    <w:rsid w:val="3892BB3C"/>
    <w:rsid w:val="38953ABB"/>
    <w:rsid w:val="38983B09"/>
    <w:rsid w:val="38A1868F"/>
    <w:rsid w:val="38A9656A"/>
    <w:rsid w:val="38ABCE5E"/>
    <w:rsid w:val="38AC5A48"/>
    <w:rsid w:val="38B11C22"/>
    <w:rsid w:val="38B19C1D"/>
    <w:rsid w:val="38B281A6"/>
    <w:rsid w:val="38C30515"/>
    <w:rsid w:val="38C34E72"/>
    <w:rsid w:val="38CB4C74"/>
    <w:rsid w:val="38CC751A"/>
    <w:rsid w:val="38D07122"/>
    <w:rsid w:val="38D26042"/>
    <w:rsid w:val="38D98010"/>
    <w:rsid w:val="38DA7437"/>
    <w:rsid w:val="38DE1EC7"/>
    <w:rsid w:val="38E6C210"/>
    <w:rsid w:val="38EC710C"/>
    <w:rsid w:val="38EFA4B4"/>
    <w:rsid w:val="38F344AA"/>
    <w:rsid w:val="38F61B93"/>
    <w:rsid w:val="38FB65C1"/>
    <w:rsid w:val="38FC8391"/>
    <w:rsid w:val="3903EEF5"/>
    <w:rsid w:val="3907A1EA"/>
    <w:rsid w:val="390B7DAD"/>
    <w:rsid w:val="39127D82"/>
    <w:rsid w:val="391386D0"/>
    <w:rsid w:val="391C2FF8"/>
    <w:rsid w:val="3927AB2B"/>
    <w:rsid w:val="392817DB"/>
    <w:rsid w:val="392C09E5"/>
    <w:rsid w:val="392CA00B"/>
    <w:rsid w:val="3931EB2B"/>
    <w:rsid w:val="3933376E"/>
    <w:rsid w:val="3934C8ED"/>
    <w:rsid w:val="393ECCD1"/>
    <w:rsid w:val="394EFE97"/>
    <w:rsid w:val="394F89B2"/>
    <w:rsid w:val="3952D204"/>
    <w:rsid w:val="3956D7EB"/>
    <w:rsid w:val="3956E481"/>
    <w:rsid w:val="395E3110"/>
    <w:rsid w:val="39727A69"/>
    <w:rsid w:val="3975EE40"/>
    <w:rsid w:val="397A6111"/>
    <w:rsid w:val="397C091A"/>
    <w:rsid w:val="3984A124"/>
    <w:rsid w:val="398A4CC2"/>
    <w:rsid w:val="398F1D77"/>
    <w:rsid w:val="398F9B1C"/>
    <w:rsid w:val="39901A99"/>
    <w:rsid w:val="3994DF32"/>
    <w:rsid w:val="3995AB69"/>
    <w:rsid w:val="3996D987"/>
    <w:rsid w:val="39A2E1C4"/>
    <w:rsid w:val="39A5DFC3"/>
    <w:rsid w:val="39AE88D8"/>
    <w:rsid w:val="39B176FD"/>
    <w:rsid w:val="39B2F5E9"/>
    <w:rsid w:val="39B5BACA"/>
    <w:rsid w:val="39B865FD"/>
    <w:rsid w:val="39BC7960"/>
    <w:rsid w:val="39D000B7"/>
    <w:rsid w:val="39D3947E"/>
    <w:rsid w:val="39D66E05"/>
    <w:rsid w:val="39DB2D48"/>
    <w:rsid w:val="39E25B0A"/>
    <w:rsid w:val="39F0FE83"/>
    <w:rsid w:val="39F20F0A"/>
    <w:rsid w:val="39F447CC"/>
    <w:rsid w:val="39F618DC"/>
    <w:rsid w:val="39F6CD2A"/>
    <w:rsid w:val="3A03A4AD"/>
    <w:rsid w:val="3A05259A"/>
    <w:rsid w:val="3A07B651"/>
    <w:rsid w:val="3A0F6BE2"/>
    <w:rsid w:val="3A1174D3"/>
    <w:rsid w:val="3A119372"/>
    <w:rsid w:val="3A27A086"/>
    <w:rsid w:val="3A3094FC"/>
    <w:rsid w:val="3A372088"/>
    <w:rsid w:val="3A37979F"/>
    <w:rsid w:val="3A3D88B1"/>
    <w:rsid w:val="3A40A37A"/>
    <w:rsid w:val="3A40E01A"/>
    <w:rsid w:val="3A40FD4A"/>
    <w:rsid w:val="3A494B51"/>
    <w:rsid w:val="3A629E3B"/>
    <w:rsid w:val="3A646FB9"/>
    <w:rsid w:val="3A65BE46"/>
    <w:rsid w:val="3A71E702"/>
    <w:rsid w:val="3A775D2F"/>
    <w:rsid w:val="3A83B5B0"/>
    <w:rsid w:val="3A86D8CA"/>
    <w:rsid w:val="3A941A7C"/>
    <w:rsid w:val="3A961AD4"/>
    <w:rsid w:val="3A977873"/>
    <w:rsid w:val="3A9FCC8D"/>
    <w:rsid w:val="3AA42616"/>
    <w:rsid w:val="3AB4922E"/>
    <w:rsid w:val="3ABA5D94"/>
    <w:rsid w:val="3ABEB478"/>
    <w:rsid w:val="3AC20E5F"/>
    <w:rsid w:val="3AC81144"/>
    <w:rsid w:val="3AD0838D"/>
    <w:rsid w:val="3ADA5D09"/>
    <w:rsid w:val="3ADB4072"/>
    <w:rsid w:val="3AF6E700"/>
    <w:rsid w:val="3AF8DEA3"/>
    <w:rsid w:val="3AFB8880"/>
    <w:rsid w:val="3B0AC9E7"/>
    <w:rsid w:val="3B0E91ED"/>
    <w:rsid w:val="3B11F1C9"/>
    <w:rsid w:val="3B1F2180"/>
    <w:rsid w:val="3B3A2EB6"/>
    <w:rsid w:val="3B3A5BC4"/>
    <w:rsid w:val="3B50F7A6"/>
    <w:rsid w:val="3B596FCF"/>
    <w:rsid w:val="3B5CA46F"/>
    <w:rsid w:val="3B6766DB"/>
    <w:rsid w:val="3B6A4FBF"/>
    <w:rsid w:val="3B7154C3"/>
    <w:rsid w:val="3B72DC70"/>
    <w:rsid w:val="3B741CBB"/>
    <w:rsid w:val="3B773681"/>
    <w:rsid w:val="3B78A1B2"/>
    <w:rsid w:val="3B7F5D3B"/>
    <w:rsid w:val="3B812042"/>
    <w:rsid w:val="3B994308"/>
    <w:rsid w:val="3BAC4B29"/>
    <w:rsid w:val="3BAF94AB"/>
    <w:rsid w:val="3BB6EBBD"/>
    <w:rsid w:val="3BC22787"/>
    <w:rsid w:val="3BC5E055"/>
    <w:rsid w:val="3BC5FC3B"/>
    <w:rsid w:val="3BC898AF"/>
    <w:rsid w:val="3BD048CA"/>
    <w:rsid w:val="3BD182FB"/>
    <w:rsid w:val="3BD1BA74"/>
    <w:rsid w:val="3BDF97CC"/>
    <w:rsid w:val="3BE3B422"/>
    <w:rsid w:val="3BE72862"/>
    <w:rsid w:val="3BEA0CE4"/>
    <w:rsid w:val="3BEAC848"/>
    <w:rsid w:val="3BFDA6F9"/>
    <w:rsid w:val="3C032031"/>
    <w:rsid w:val="3C10547A"/>
    <w:rsid w:val="3C196BDC"/>
    <w:rsid w:val="3C2836FE"/>
    <w:rsid w:val="3C2BEE58"/>
    <w:rsid w:val="3C308284"/>
    <w:rsid w:val="3C364C90"/>
    <w:rsid w:val="3C3B7F50"/>
    <w:rsid w:val="3C3C0EB0"/>
    <w:rsid w:val="3C3C92E2"/>
    <w:rsid w:val="3C3FC150"/>
    <w:rsid w:val="3C59C631"/>
    <w:rsid w:val="3C5BED47"/>
    <w:rsid w:val="3C637FBC"/>
    <w:rsid w:val="3C64262F"/>
    <w:rsid w:val="3C6B8B66"/>
    <w:rsid w:val="3C74BACC"/>
    <w:rsid w:val="3C7740C1"/>
    <w:rsid w:val="3C7A0562"/>
    <w:rsid w:val="3C7E5237"/>
    <w:rsid w:val="3C849336"/>
    <w:rsid w:val="3C8538F8"/>
    <w:rsid w:val="3C89A853"/>
    <w:rsid w:val="3C8B9DA4"/>
    <w:rsid w:val="3C8C0F65"/>
    <w:rsid w:val="3C923A9E"/>
    <w:rsid w:val="3C93C17B"/>
    <w:rsid w:val="3C99E78F"/>
    <w:rsid w:val="3CABD0D4"/>
    <w:rsid w:val="3CB0E2D5"/>
    <w:rsid w:val="3CB20187"/>
    <w:rsid w:val="3CB21EED"/>
    <w:rsid w:val="3CB362B9"/>
    <w:rsid w:val="3CBB3D8C"/>
    <w:rsid w:val="3CCFD60F"/>
    <w:rsid w:val="3CD29C76"/>
    <w:rsid w:val="3CD9A48A"/>
    <w:rsid w:val="3CE846A8"/>
    <w:rsid w:val="3CEA747C"/>
    <w:rsid w:val="3CF3EE42"/>
    <w:rsid w:val="3D02E860"/>
    <w:rsid w:val="3D0FC7C1"/>
    <w:rsid w:val="3D122AFD"/>
    <w:rsid w:val="3D1620EB"/>
    <w:rsid w:val="3D19469A"/>
    <w:rsid w:val="3D318FA8"/>
    <w:rsid w:val="3D5273A9"/>
    <w:rsid w:val="3D56C88E"/>
    <w:rsid w:val="3D574DA9"/>
    <w:rsid w:val="3D5971D9"/>
    <w:rsid w:val="3D59F9A3"/>
    <w:rsid w:val="3D6E0294"/>
    <w:rsid w:val="3D714258"/>
    <w:rsid w:val="3D758EF7"/>
    <w:rsid w:val="3D8013E1"/>
    <w:rsid w:val="3D81C76C"/>
    <w:rsid w:val="3D85FEF9"/>
    <w:rsid w:val="3DAF4206"/>
    <w:rsid w:val="3DB83126"/>
    <w:rsid w:val="3DBADCF3"/>
    <w:rsid w:val="3DC1E5C7"/>
    <w:rsid w:val="3DC50821"/>
    <w:rsid w:val="3DCD4FD5"/>
    <w:rsid w:val="3DCEF89C"/>
    <w:rsid w:val="3DDA8C7F"/>
    <w:rsid w:val="3DDC0607"/>
    <w:rsid w:val="3DE6B7A2"/>
    <w:rsid w:val="3DF3C06D"/>
    <w:rsid w:val="3DFC47A3"/>
    <w:rsid w:val="3E067A31"/>
    <w:rsid w:val="3E08A6FF"/>
    <w:rsid w:val="3E0A889B"/>
    <w:rsid w:val="3E190D7B"/>
    <w:rsid w:val="3E1C8CE0"/>
    <w:rsid w:val="3E2020AD"/>
    <w:rsid w:val="3E2DEE13"/>
    <w:rsid w:val="3E32F9E4"/>
    <w:rsid w:val="3E360ABD"/>
    <w:rsid w:val="3E3B3C8B"/>
    <w:rsid w:val="3E3F1374"/>
    <w:rsid w:val="3E5606D7"/>
    <w:rsid w:val="3E68BFA1"/>
    <w:rsid w:val="3E6D4724"/>
    <w:rsid w:val="3E706076"/>
    <w:rsid w:val="3E70D847"/>
    <w:rsid w:val="3E785D33"/>
    <w:rsid w:val="3E7B13FD"/>
    <w:rsid w:val="3E7FCD90"/>
    <w:rsid w:val="3E833C7D"/>
    <w:rsid w:val="3E847D41"/>
    <w:rsid w:val="3E8E8EA1"/>
    <w:rsid w:val="3E937D4F"/>
    <w:rsid w:val="3EA9C0DA"/>
    <w:rsid w:val="3EBA2161"/>
    <w:rsid w:val="3EC15D27"/>
    <w:rsid w:val="3EC26EF1"/>
    <w:rsid w:val="3EC49BFF"/>
    <w:rsid w:val="3EC9846A"/>
    <w:rsid w:val="3ECEB498"/>
    <w:rsid w:val="3ECF03A7"/>
    <w:rsid w:val="3ED3F75C"/>
    <w:rsid w:val="3ED628E7"/>
    <w:rsid w:val="3EDA073D"/>
    <w:rsid w:val="3EDBE1FF"/>
    <w:rsid w:val="3EDC5872"/>
    <w:rsid w:val="3EE0EB4A"/>
    <w:rsid w:val="3EE125A1"/>
    <w:rsid w:val="3EE73C4C"/>
    <w:rsid w:val="3EEA53C8"/>
    <w:rsid w:val="3EEAF5F5"/>
    <w:rsid w:val="3EED5C56"/>
    <w:rsid w:val="3EF45729"/>
    <w:rsid w:val="3EF7E22C"/>
    <w:rsid w:val="3F0540C7"/>
    <w:rsid w:val="3F06B66E"/>
    <w:rsid w:val="3F0FF696"/>
    <w:rsid w:val="3F13AF30"/>
    <w:rsid w:val="3F142A83"/>
    <w:rsid w:val="3F186EA5"/>
    <w:rsid w:val="3F1AA82A"/>
    <w:rsid w:val="3F1C8001"/>
    <w:rsid w:val="3F1CBC74"/>
    <w:rsid w:val="3F3E71CC"/>
    <w:rsid w:val="3F44EBDD"/>
    <w:rsid w:val="3F470AB7"/>
    <w:rsid w:val="3F4AC363"/>
    <w:rsid w:val="3F54A223"/>
    <w:rsid w:val="3F5BEBFE"/>
    <w:rsid w:val="3F6257CE"/>
    <w:rsid w:val="3F64BF80"/>
    <w:rsid w:val="3F67BAEB"/>
    <w:rsid w:val="3F6A6CB1"/>
    <w:rsid w:val="3F722F93"/>
    <w:rsid w:val="3F73B500"/>
    <w:rsid w:val="3F7BBBD3"/>
    <w:rsid w:val="3F7DB8E6"/>
    <w:rsid w:val="3F87FB44"/>
    <w:rsid w:val="3F8832BC"/>
    <w:rsid w:val="3F8A11BA"/>
    <w:rsid w:val="3F979B2A"/>
    <w:rsid w:val="3FA36069"/>
    <w:rsid w:val="3FAF257F"/>
    <w:rsid w:val="3FB0FBD2"/>
    <w:rsid w:val="3FBBC52C"/>
    <w:rsid w:val="3FC2C3EF"/>
    <w:rsid w:val="3FCA25C7"/>
    <w:rsid w:val="3FCFCAD2"/>
    <w:rsid w:val="3FD147C0"/>
    <w:rsid w:val="3FD1BB3F"/>
    <w:rsid w:val="3FD53CD8"/>
    <w:rsid w:val="3FDAFA3F"/>
    <w:rsid w:val="3FE48BEF"/>
    <w:rsid w:val="3FE9948C"/>
    <w:rsid w:val="3FEE4930"/>
    <w:rsid w:val="3FF987A0"/>
    <w:rsid w:val="3FFC7586"/>
    <w:rsid w:val="40094C6D"/>
    <w:rsid w:val="400D43F7"/>
    <w:rsid w:val="4014006E"/>
    <w:rsid w:val="4016084E"/>
    <w:rsid w:val="401683BB"/>
    <w:rsid w:val="4018FF1B"/>
    <w:rsid w:val="40194CE9"/>
    <w:rsid w:val="402031AF"/>
    <w:rsid w:val="40271161"/>
    <w:rsid w:val="402D787F"/>
    <w:rsid w:val="402FBAE6"/>
    <w:rsid w:val="4036B623"/>
    <w:rsid w:val="403DA25B"/>
    <w:rsid w:val="404E8A77"/>
    <w:rsid w:val="40517D07"/>
    <w:rsid w:val="4052E25A"/>
    <w:rsid w:val="40589AB6"/>
    <w:rsid w:val="406177E9"/>
    <w:rsid w:val="406A492F"/>
    <w:rsid w:val="406A4F38"/>
    <w:rsid w:val="406D0F82"/>
    <w:rsid w:val="406E6E02"/>
    <w:rsid w:val="4071FDAB"/>
    <w:rsid w:val="407385F7"/>
    <w:rsid w:val="407467AC"/>
    <w:rsid w:val="407B1370"/>
    <w:rsid w:val="4083CAC4"/>
    <w:rsid w:val="4092F029"/>
    <w:rsid w:val="409769E1"/>
    <w:rsid w:val="40A383D7"/>
    <w:rsid w:val="40B5482A"/>
    <w:rsid w:val="40B5AAC4"/>
    <w:rsid w:val="40B744CD"/>
    <w:rsid w:val="40B7F70B"/>
    <w:rsid w:val="40B8E513"/>
    <w:rsid w:val="40C5181E"/>
    <w:rsid w:val="40CB8958"/>
    <w:rsid w:val="40CFE92C"/>
    <w:rsid w:val="40D89A0D"/>
    <w:rsid w:val="40DC792F"/>
    <w:rsid w:val="40E17533"/>
    <w:rsid w:val="40EE00C7"/>
    <w:rsid w:val="40EE372D"/>
    <w:rsid w:val="40F2D12F"/>
    <w:rsid w:val="40FE1520"/>
    <w:rsid w:val="40FEC176"/>
    <w:rsid w:val="410F8561"/>
    <w:rsid w:val="4110EA1A"/>
    <w:rsid w:val="4113C161"/>
    <w:rsid w:val="411AE633"/>
    <w:rsid w:val="412704BD"/>
    <w:rsid w:val="41396A6B"/>
    <w:rsid w:val="414652F0"/>
    <w:rsid w:val="41470076"/>
    <w:rsid w:val="414B071C"/>
    <w:rsid w:val="414BBE21"/>
    <w:rsid w:val="415841CD"/>
    <w:rsid w:val="415EB880"/>
    <w:rsid w:val="41646B38"/>
    <w:rsid w:val="41674EB1"/>
    <w:rsid w:val="416F3BE9"/>
    <w:rsid w:val="4189F6D7"/>
    <w:rsid w:val="418AE1D6"/>
    <w:rsid w:val="418C2818"/>
    <w:rsid w:val="418F1AE3"/>
    <w:rsid w:val="419278D5"/>
    <w:rsid w:val="419A77CE"/>
    <w:rsid w:val="419EC39F"/>
    <w:rsid w:val="41A5623E"/>
    <w:rsid w:val="41AA3106"/>
    <w:rsid w:val="41B16400"/>
    <w:rsid w:val="41BD613B"/>
    <w:rsid w:val="41C476BA"/>
    <w:rsid w:val="41C9DECF"/>
    <w:rsid w:val="41CA8994"/>
    <w:rsid w:val="41CE3B4C"/>
    <w:rsid w:val="41CFA774"/>
    <w:rsid w:val="41DA1530"/>
    <w:rsid w:val="41DCEA8F"/>
    <w:rsid w:val="41DFC998"/>
    <w:rsid w:val="41E10DB0"/>
    <w:rsid w:val="41E48E40"/>
    <w:rsid w:val="41E7A980"/>
    <w:rsid w:val="41E8798A"/>
    <w:rsid w:val="41EA8EBB"/>
    <w:rsid w:val="420371C7"/>
    <w:rsid w:val="42063B77"/>
    <w:rsid w:val="420CE5B9"/>
    <w:rsid w:val="421CA029"/>
    <w:rsid w:val="4228EF8B"/>
    <w:rsid w:val="422A85D3"/>
    <w:rsid w:val="422AD293"/>
    <w:rsid w:val="422B5E4E"/>
    <w:rsid w:val="4234A96F"/>
    <w:rsid w:val="42360619"/>
    <w:rsid w:val="423B45DB"/>
    <w:rsid w:val="42408C9E"/>
    <w:rsid w:val="424701A1"/>
    <w:rsid w:val="4248D487"/>
    <w:rsid w:val="424AD5E4"/>
    <w:rsid w:val="42530D6E"/>
    <w:rsid w:val="4260E87F"/>
    <w:rsid w:val="426476DC"/>
    <w:rsid w:val="426B4A0B"/>
    <w:rsid w:val="426D43B5"/>
    <w:rsid w:val="4270A010"/>
    <w:rsid w:val="42759A52"/>
    <w:rsid w:val="4278A84D"/>
    <w:rsid w:val="427D2D43"/>
    <w:rsid w:val="42826CF4"/>
    <w:rsid w:val="42845B18"/>
    <w:rsid w:val="428498C4"/>
    <w:rsid w:val="42993914"/>
    <w:rsid w:val="429E3B3F"/>
    <w:rsid w:val="42A18221"/>
    <w:rsid w:val="42A3C94B"/>
    <w:rsid w:val="42AACFFE"/>
    <w:rsid w:val="42B09FE6"/>
    <w:rsid w:val="42BCA416"/>
    <w:rsid w:val="42CF60E9"/>
    <w:rsid w:val="42D505BD"/>
    <w:rsid w:val="42D89436"/>
    <w:rsid w:val="42D898D2"/>
    <w:rsid w:val="42D9E47D"/>
    <w:rsid w:val="42E8276C"/>
    <w:rsid w:val="42EE63A8"/>
    <w:rsid w:val="42F41FCB"/>
    <w:rsid w:val="42F65073"/>
    <w:rsid w:val="42FDDA25"/>
    <w:rsid w:val="43017619"/>
    <w:rsid w:val="4309F860"/>
    <w:rsid w:val="4310839C"/>
    <w:rsid w:val="431D6559"/>
    <w:rsid w:val="4323A8C0"/>
    <w:rsid w:val="432792C8"/>
    <w:rsid w:val="432A683E"/>
    <w:rsid w:val="432C2346"/>
    <w:rsid w:val="4336F494"/>
    <w:rsid w:val="4337996F"/>
    <w:rsid w:val="4338AF80"/>
    <w:rsid w:val="433D0DBF"/>
    <w:rsid w:val="433E5EC7"/>
    <w:rsid w:val="4340D6AA"/>
    <w:rsid w:val="43418D30"/>
    <w:rsid w:val="4342F087"/>
    <w:rsid w:val="4345CDA9"/>
    <w:rsid w:val="4355C90B"/>
    <w:rsid w:val="43664DB5"/>
    <w:rsid w:val="436A464D"/>
    <w:rsid w:val="4373D54E"/>
    <w:rsid w:val="43854F11"/>
    <w:rsid w:val="4387455B"/>
    <w:rsid w:val="439B6580"/>
    <w:rsid w:val="439DC4F3"/>
    <w:rsid w:val="43A14FBF"/>
    <w:rsid w:val="43B8C1B4"/>
    <w:rsid w:val="43CB71F3"/>
    <w:rsid w:val="43D0D134"/>
    <w:rsid w:val="43D3D83D"/>
    <w:rsid w:val="43D52C60"/>
    <w:rsid w:val="43E3FC0E"/>
    <w:rsid w:val="43E8156A"/>
    <w:rsid w:val="43E91B74"/>
    <w:rsid w:val="43F06C2E"/>
    <w:rsid w:val="43F206D3"/>
    <w:rsid w:val="43F3DE9E"/>
    <w:rsid w:val="43F7F8DE"/>
    <w:rsid w:val="43FCB8E0"/>
    <w:rsid w:val="4407D1AD"/>
    <w:rsid w:val="4408B1B8"/>
    <w:rsid w:val="44094905"/>
    <w:rsid w:val="4409B9A0"/>
    <w:rsid w:val="4410F531"/>
    <w:rsid w:val="442A37E3"/>
    <w:rsid w:val="442AAD14"/>
    <w:rsid w:val="4446D7D5"/>
    <w:rsid w:val="4451C2D6"/>
    <w:rsid w:val="445CDF4B"/>
    <w:rsid w:val="4460A56D"/>
    <w:rsid w:val="4462EDD3"/>
    <w:rsid w:val="44630114"/>
    <w:rsid w:val="4463A4BF"/>
    <w:rsid w:val="447611E5"/>
    <w:rsid w:val="447C6AC6"/>
    <w:rsid w:val="448C8FD4"/>
    <w:rsid w:val="44905ED6"/>
    <w:rsid w:val="4490EBAA"/>
    <w:rsid w:val="44944715"/>
    <w:rsid w:val="449671AE"/>
    <w:rsid w:val="449EBE84"/>
    <w:rsid w:val="449FA51B"/>
    <w:rsid w:val="44A728EC"/>
    <w:rsid w:val="44AE3DC6"/>
    <w:rsid w:val="44B815C4"/>
    <w:rsid w:val="44B862CA"/>
    <w:rsid w:val="44BCACA1"/>
    <w:rsid w:val="44BF304C"/>
    <w:rsid w:val="44C22C11"/>
    <w:rsid w:val="44CA17CA"/>
    <w:rsid w:val="44CAF280"/>
    <w:rsid w:val="44CE4F60"/>
    <w:rsid w:val="44E115EA"/>
    <w:rsid w:val="44E27F72"/>
    <w:rsid w:val="44E71FF5"/>
    <w:rsid w:val="44E9B14C"/>
    <w:rsid w:val="44EA514B"/>
    <w:rsid w:val="44EA942E"/>
    <w:rsid w:val="44EFE418"/>
    <w:rsid w:val="44F1F871"/>
    <w:rsid w:val="45000B03"/>
    <w:rsid w:val="45001C55"/>
    <w:rsid w:val="4502690C"/>
    <w:rsid w:val="45027057"/>
    <w:rsid w:val="450A32B7"/>
    <w:rsid w:val="450F2DEE"/>
    <w:rsid w:val="45146B72"/>
    <w:rsid w:val="4514A664"/>
    <w:rsid w:val="4514C38E"/>
    <w:rsid w:val="451EA45E"/>
    <w:rsid w:val="452B7720"/>
    <w:rsid w:val="452C40D4"/>
    <w:rsid w:val="45422132"/>
    <w:rsid w:val="4542B7EC"/>
    <w:rsid w:val="4553DE75"/>
    <w:rsid w:val="455441A8"/>
    <w:rsid w:val="4555DBF7"/>
    <w:rsid w:val="45600FDC"/>
    <w:rsid w:val="4562CCC4"/>
    <w:rsid w:val="456EB64D"/>
    <w:rsid w:val="45707012"/>
    <w:rsid w:val="457E4A10"/>
    <w:rsid w:val="458467B6"/>
    <w:rsid w:val="45863450"/>
    <w:rsid w:val="458A0D50"/>
    <w:rsid w:val="458A8727"/>
    <w:rsid w:val="458AC7F7"/>
    <w:rsid w:val="4591474E"/>
    <w:rsid w:val="459374FA"/>
    <w:rsid w:val="45A074B9"/>
    <w:rsid w:val="45A9D1D8"/>
    <w:rsid w:val="45B5D3FB"/>
    <w:rsid w:val="45B95055"/>
    <w:rsid w:val="45BB7F82"/>
    <w:rsid w:val="45BDB801"/>
    <w:rsid w:val="45C28C57"/>
    <w:rsid w:val="45CA0869"/>
    <w:rsid w:val="45CEF102"/>
    <w:rsid w:val="45DB88E8"/>
    <w:rsid w:val="45DB932F"/>
    <w:rsid w:val="45E758C3"/>
    <w:rsid w:val="45EAE044"/>
    <w:rsid w:val="45EE126F"/>
    <w:rsid w:val="45F0BE32"/>
    <w:rsid w:val="45F2FAD5"/>
    <w:rsid w:val="45FD70C0"/>
    <w:rsid w:val="4606659A"/>
    <w:rsid w:val="460D8BCE"/>
    <w:rsid w:val="46106483"/>
    <w:rsid w:val="461087B8"/>
    <w:rsid w:val="4612609B"/>
    <w:rsid w:val="461512A5"/>
    <w:rsid w:val="462A81A2"/>
    <w:rsid w:val="4636083C"/>
    <w:rsid w:val="463F0387"/>
    <w:rsid w:val="46427A3C"/>
    <w:rsid w:val="4647D3E8"/>
    <w:rsid w:val="4671FFBD"/>
    <w:rsid w:val="4672F295"/>
    <w:rsid w:val="46741A1A"/>
    <w:rsid w:val="467AD8D5"/>
    <w:rsid w:val="46C09B0E"/>
    <w:rsid w:val="46C76E63"/>
    <w:rsid w:val="46D00DC2"/>
    <w:rsid w:val="46D049C3"/>
    <w:rsid w:val="46E96A1C"/>
    <w:rsid w:val="46ECDA96"/>
    <w:rsid w:val="46F66545"/>
    <w:rsid w:val="46F9B554"/>
    <w:rsid w:val="46FB1948"/>
    <w:rsid w:val="4704B5E4"/>
    <w:rsid w:val="471090F3"/>
    <w:rsid w:val="4721C3E1"/>
    <w:rsid w:val="472CB7D3"/>
    <w:rsid w:val="472E20FF"/>
    <w:rsid w:val="47320747"/>
    <w:rsid w:val="4746B066"/>
    <w:rsid w:val="474749C9"/>
    <w:rsid w:val="47476D96"/>
    <w:rsid w:val="47493B16"/>
    <w:rsid w:val="475CD4BF"/>
    <w:rsid w:val="475E017C"/>
    <w:rsid w:val="475E95AC"/>
    <w:rsid w:val="476C7893"/>
    <w:rsid w:val="477329B9"/>
    <w:rsid w:val="477CD9C5"/>
    <w:rsid w:val="477E3857"/>
    <w:rsid w:val="478AD8E0"/>
    <w:rsid w:val="4795EEEF"/>
    <w:rsid w:val="47A105DB"/>
    <w:rsid w:val="47A38683"/>
    <w:rsid w:val="47A7B4A4"/>
    <w:rsid w:val="47AEEA84"/>
    <w:rsid w:val="47C238F2"/>
    <w:rsid w:val="47C29990"/>
    <w:rsid w:val="47C93957"/>
    <w:rsid w:val="47CDD961"/>
    <w:rsid w:val="47D78CDA"/>
    <w:rsid w:val="47E12FDF"/>
    <w:rsid w:val="47E1D194"/>
    <w:rsid w:val="47ED2E68"/>
    <w:rsid w:val="47FF1C0C"/>
    <w:rsid w:val="4800AB5B"/>
    <w:rsid w:val="48087924"/>
    <w:rsid w:val="4808BC57"/>
    <w:rsid w:val="481A70A4"/>
    <w:rsid w:val="482DB7C9"/>
    <w:rsid w:val="482E7801"/>
    <w:rsid w:val="4835AA51"/>
    <w:rsid w:val="4835DD8A"/>
    <w:rsid w:val="48382972"/>
    <w:rsid w:val="48391DD5"/>
    <w:rsid w:val="4848C3ED"/>
    <w:rsid w:val="4849B262"/>
    <w:rsid w:val="4849CE11"/>
    <w:rsid w:val="48525340"/>
    <w:rsid w:val="4852A677"/>
    <w:rsid w:val="48543920"/>
    <w:rsid w:val="485D9C06"/>
    <w:rsid w:val="4866607C"/>
    <w:rsid w:val="486B785B"/>
    <w:rsid w:val="4870BEFA"/>
    <w:rsid w:val="487C5FB6"/>
    <w:rsid w:val="487D6631"/>
    <w:rsid w:val="48802AE9"/>
    <w:rsid w:val="488191B3"/>
    <w:rsid w:val="4885D6BB"/>
    <w:rsid w:val="48894664"/>
    <w:rsid w:val="488F8FE5"/>
    <w:rsid w:val="4896A5C5"/>
    <w:rsid w:val="489BE487"/>
    <w:rsid w:val="489EC7FC"/>
    <w:rsid w:val="48A3D714"/>
    <w:rsid w:val="48AEB45F"/>
    <w:rsid w:val="48B36B3C"/>
    <w:rsid w:val="48B39DCC"/>
    <w:rsid w:val="48BF605C"/>
    <w:rsid w:val="48CA4F6B"/>
    <w:rsid w:val="48E42972"/>
    <w:rsid w:val="48E76C06"/>
    <w:rsid w:val="48E8C13A"/>
    <w:rsid w:val="48EE6CBA"/>
    <w:rsid w:val="48EEA123"/>
    <w:rsid w:val="48FB5C2B"/>
    <w:rsid w:val="48FC113D"/>
    <w:rsid w:val="48FC8432"/>
    <w:rsid w:val="48FEF97B"/>
    <w:rsid w:val="4901D22D"/>
    <w:rsid w:val="490236ED"/>
    <w:rsid w:val="490246A6"/>
    <w:rsid w:val="490C68F1"/>
    <w:rsid w:val="490EE61B"/>
    <w:rsid w:val="4913922B"/>
    <w:rsid w:val="4916C7A3"/>
    <w:rsid w:val="4918B2B9"/>
    <w:rsid w:val="4918E181"/>
    <w:rsid w:val="492FC160"/>
    <w:rsid w:val="49311B3E"/>
    <w:rsid w:val="493DFCE5"/>
    <w:rsid w:val="49402FCC"/>
    <w:rsid w:val="4948287A"/>
    <w:rsid w:val="49495911"/>
    <w:rsid w:val="494E87CD"/>
    <w:rsid w:val="49535049"/>
    <w:rsid w:val="4955206B"/>
    <w:rsid w:val="49558C55"/>
    <w:rsid w:val="495D35E1"/>
    <w:rsid w:val="49613DE0"/>
    <w:rsid w:val="49647AEB"/>
    <w:rsid w:val="496F81DE"/>
    <w:rsid w:val="497133EC"/>
    <w:rsid w:val="4972855D"/>
    <w:rsid w:val="497C761C"/>
    <w:rsid w:val="497FC245"/>
    <w:rsid w:val="498A9379"/>
    <w:rsid w:val="4990F7A6"/>
    <w:rsid w:val="49970815"/>
    <w:rsid w:val="49A72F69"/>
    <w:rsid w:val="49A7410B"/>
    <w:rsid w:val="49ACB734"/>
    <w:rsid w:val="49AFA19E"/>
    <w:rsid w:val="49BA6237"/>
    <w:rsid w:val="49C017FA"/>
    <w:rsid w:val="49CC9322"/>
    <w:rsid w:val="49CE7C07"/>
    <w:rsid w:val="49DDB66E"/>
    <w:rsid w:val="49E96B7E"/>
    <w:rsid w:val="49EF63ED"/>
    <w:rsid w:val="49F77C90"/>
    <w:rsid w:val="4A020ADE"/>
    <w:rsid w:val="4A02E6A5"/>
    <w:rsid w:val="4A09768B"/>
    <w:rsid w:val="4A1C4A88"/>
    <w:rsid w:val="4A1E4935"/>
    <w:rsid w:val="4A2311FE"/>
    <w:rsid w:val="4A251481"/>
    <w:rsid w:val="4A31BCC2"/>
    <w:rsid w:val="4A327626"/>
    <w:rsid w:val="4A37B40B"/>
    <w:rsid w:val="4A3FF881"/>
    <w:rsid w:val="4A4478CB"/>
    <w:rsid w:val="4A459828"/>
    <w:rsid w:val="4A4F0E94"/>
    <w:rsid w:val="4A515989"/>
    <w:rsid w:val="4A51D9C4"/>
    <w:rsid w:val="4A5C7137"/>
    <w:rsid w:val="4A60D6E5"/>
    <w:rsid w:val="4A6D90AA"/>
    <w:rsid w:val="4A78A7C2"/>
    <w:rsid w:val="4A7C8ADA"/>
    <w:rsid w:val="4A7E3D5B"/>
    <w:rsid w:val="4A8A84A9"/>
    <w:rsid w:val="4A8CD6B7"/>
    <w:rsid w:val="4A927562"/>
    <w:rsid w:val="4AA174DD"/>
    <w:rsid w:val="4AA4B1F7"/>
    <w:rsid w:val="4AB7E17C"/>
    <w:rsid w:val="4ABA66E1"/>
    <w:rsid w:val="4ABC8CA2"/>
    <w:rsid w:val="4ABED5BC"/>
    <w:rsid w:val="4AD5C127"/>
    <w:rsid w:val="4AD815FD"/>
    <w:rsid w:val="4AD82CBA"/>
    <w:rsid w:val="4AE3F8DB"/>
    <w:rsid w:val="4AEC70C8"/>
    <w:rsid w:val="4AF1FF33"/>
    <w:rsid w:val="4AFDF2C5"/>
    <w:rsid w:val="4AFF0A37"/>
    <w:rsid w:val="4B054B83"/>
    <w:rsid w:val="4B06A192"/>
    <w:rsid w:val="4B345BB0"/>
    <w:rsid w:val="4B39BBDC"/>
    <w:rsid w:val="4B41204A"/>
    <w:rsid w:val="4B431135"/>
    <w:rsid w:val="4B43F285"/>
    <w:rsid w:val="4B4B1D4A"/>
    <w:rsid w:val="4B4C83C3"/>
    <w:rsid w:val="4B50CE96"/>
    <w:rsid w:val="4B5F2445"/>
    <w:rsid w:val="4B6424CF"/>
    <w:rsid w:val="4B66CA67"/>
    <w:rsid w:val="4B70B1E6"/>
    <w:rsid w:val="4B8C242D"/>
    <w:rsid w:val="4B9D2887"/>
    <w:rsid w:val="4B9E2096"/>
    <w:rsid w:val="4BA021B5"/>
    <w:rsid w:val="4BAB24EB"/>
    <w:rsid w:val="4BB0F2B8"/>
    <w:rsid w:val="4BB640D3"/>
    <w:rsid w:val="4BB6E96B"/>
    <w:rsid w:val="4BB7C4ED"/>
    <w:rsid w:val="4BB9DA34"/>
    <w:rsid w:val="4BC193AB"/>
    <w:rsid w:val="4BC9FE40"/>
    <w:rsid w:val="4BD68E70"/>
    <w:rsid w:val="4BD711C5"/>
    <w:rsid w:val="4BD8A36D"/>
    <w:rsid w:val="4BEAAD59"/>
    <w:rsid w:val="4BEB062E"/>
    <w:rsid w:val="4BEB929E"/>
    <w:rsid w:val="4BF2C11D"/>
    <w:rsid w:val="4BFC4353"/>
    <w:rsid w:val="4BFDC56D"/>
    <w:rsid w:val="4BFDF62F"/>
    <w:rsid w:val="4BFFE654"/>
    <w:rsid w:val="4C00161E"/>
    <w:rsid w:val="4C046C93"/>
    <w:rsid w:val="4C083D06"/>
    <w:rsid w:val="4C1CDB63"/>
    <w:rsid w:val="4C21258F"/>
    <w:rsid w:val="4C2AA33C"/>
    <w:rsid w:val="4C2EE459"/>
    <w:rsid w:val="4C36D02E"/>
    <w:rsid w:val="4C45C648"/>
    <w:rsid w:val="4C4B055A"/>
    <w:rsid w:val="4C519692"/>
    <w:rsid w:val="4C61A738"/>
    <w:rsid w:val="4C676222"/>
    <w:rsid w:val="4C6B28C9"/>
    <w:rsid w:val="4C6B7EAA"/>
    <w:rsid w:val="4C71BC2B"/>
    <w:rsid w:val="4C759EFA"/>
    <w:rsid w:val="4C75AFE3"/>
    <w:rsid w:val="4C787F5D"/>
    <w:rsid w:val="4C7A4E9C"/>
    <w:rsid w:val="4C7DF51B"/>
    <w:rsid w:val="4C802288"/>
    <w:rsid w:val="4C805E45"/>
    <w:rsid w:val="4C8D6E13"/>
    <w:rsid w:val="4C98857D"/>
    <w:rsid w:val="4C99C326"/>
    <w:rsid w:val="4CA08DC4"/>
    <w:rsid w:val="4CB9FD52"/>
    <w:rsid w:val="4CBC1E3A"/>
    <w:rsid w:val="4CBFCC8C"/>
    <w:rsid w:val="4CD80521"/>
    <w:rsid w:val="4CDBF7B6"/>
    <w:rsid w:val="4CF1B93E"/>
    <w:rsid w:val="4CF40F66"/>
    <w:rsid w:val="4CF41555"/>
    <w:rsid w:val="4CFCA931"/>
    <w:rsid w:val="4CFE12F3"/>
    <w:rsid w:val="4D005798"/>
    <w:rsid w:val="4D0B8AA9"/>
    <w:rsid w:val="4D0BD862"/>
    <w:rsid w:val="4D0CB7BA"/>
    <w:rsid w:val="4D11B9A3"/>
    <w:rsid w:val="4D1827FB"/>
    <w:rsid w:val="4D1A11C2"/>
    <w:rsid w:val="4D1AE99D"/>
    <w:rsid w:val="4D203E57"/>
    <w:rsid w:val="4D34126A"/>
    <w:rsid w:val="4D394AAC"/>
    <w:rsid w:val="4D482A27"/>
    <w:rsid w:val="4D497F49"/>
    <w:rsid w:val="4D4B8DCB"/>
    <w:rsid w:val="4D505A32"/>
    <w:rsid w:val="4D5428C0"/>
    <w:rsid w:val="4D54DE2A"/>
    <w:rsid w:val="4D65C049"/>
    <w:rsid w:val="4D890648"/>
    <w:rsid w:val="4D8CE9D8"/>
    <w:rsid w:val="4D91FF70"/>
    <w:rsid w:val="4D949AC2"/>
    <w:rsid w:val="4D9D6283"/>
    <w:rsid w:val="4D9DCE91"/>
    <w:rsid w:val="4DA0239E"/>
    <w:rsid w:val="4DA966A7"/>
    <w:rsid w:val="4DB7B022"/>
    <w:rsid w:val="4DBAC0A8"/>
    <w:rsid w:val="4DC21425"/>
    <w:rsid w:val="4DC3ECD2"/>
    <w:rsid w:val="4DD08C3B"/>
    <w:rsid w:val="4DD2F77E"/>
    <w:rsid w:val="4DD644C5"/>
    <w:rsid w:val="4DE83729"/>
    <w:rsid w:val="4DE9D5A4"/>
    <w:rsid w:val="4DF2A7A8"/>
    <w:rsid w:val="4DFF4B7A"/>
    <w:rsid w:val="4E0A340D"/>
    <w:rsid w:val="4E0FA593"/>
    <w:rsid w:val="4E14AA99"/>
    <w:rsid w:val="4E15DA9C"/>
    <w:rsid w:val="4E1B73C2"/>
    <w:rsid w:val="4E240DB2"/>
    <w:rsid w:val="4E251913"/>
    <w:rsid w:val="4E2BBE11"/>
    <w:rsid w:val="4E30FDB4"/>
    <w:rsid w:val="4E315770"/>
    <w:rsid w:val="4E3A6FE3"/>
    <w:rsid w:val="4E4070DD"/>
    <w:rsid w:val="4E419705"/>
    <w:rsid w:val="4E473C5F"/>
    <w:rsid w:val="4E4CC9DB"/>
    <w:rsid w:val="4E68FA9F"/>
    <w:rsid w:val="4E6D6448"/>
    <w:rsid w:val="4E720928"/>
    <w:rsid w:val="4E882E87"/>
    <w:rsid w:val="4E8B9D33"/>
    <w:rsid w:val="4E8C8D78"/>
    <w:rsid w:val="4E8F4615"/>
    <w:rsid w:val="4E923FA3"/>
    <w:rsid w:val="4E9A8633"/>
    <w:rsid w:val="4EA2604D"/>
    <w:rsid w:val="4EA28E6E"/>
    <w:rsid w:val="4EAA399C"/>
    <w:rsid w:val="4EAB9A8A"/>
    <w:rsid w:val="4EAC444C"/>
    <w:rsid w:val="4EB4A3D9"/>
    <w:rsid w:val="4EBD63D2"/>
    <w:rsid w:val="4EC2B482"/>
    <w:rsid w:val="4EC3C4EF"/>
    <w:rsid w:val="4ECB1A02"/>
    <w:rsid w:val="4ECB4821"/>
    <w:rsid w:val="4ED47377"/>
    <w:rsid w:val="4EE3B34C"/>
    <w:rsid w:val="4EF3BFB4"/>
    <w:rsid w:val="4EFB79A9"/>
    <w:rsid w:val="4F03AAFB"/>
    <w:rsid w:val="4F043A5D"/>
    <w:rsid w:val="4F04D3A9"/>
    <w:rsid w:val="4F08A39B"/>
    <w:rsid w:val="4F12BF0D"/>
    <w:rsid w:val="4F18338C"/>
    <w:rsid w:val="4F1D0539"/>
    <w:rsid w:val="4F30F138"/>
    <w:rsid w:val="4F47E0A6"/>
    <w:rsid w:val="4F4E128F"/>
    <w:rsid w:val="4F55E3C2"/>
    <w:rsid w:val="4F573EAC"/>
    <w:rsid w:val="4F5820A5"/>
    <w:rsid w:val="4F59A350"/>
    <w:rsid w:val="4F600AF3"/>
    <w:rsid w:val="4F629688"/>
    <w:rsid w:val="4F6824CE"/>
    <w:rsid w:val="4F68E667"/>
    <w:rsid w:val="4F6D2EC7"/>
    <w:rsid w:val="4F722696"/>
    <w:rsid w:val="4F7F2CBB"/>
    <w:rsid w:val="4F846247"/>
    <w:rsid w:val="4F910ABC"/>
    <w:rsid w:val="4F97E289"/>
    <w:rsid w:val="4F99C958"/>
    <w:rsid w:val="4F9ED441"/>
    <w:rsid w:val="4FA3015D"/>
    <w:rsid w:val="4FABAA70"/>
    <w:rsid w:val="4FB9767F"/>
    <w:rsid w:val="4FC9D5E3"/>
    <w:rsid w:val="4FCFEE44"/>
    <w:rsid w:val="4FD21F2C"/>
    <w:rsid w:val="4FD5E410"/>
    <w:rsid w:val="4FD841C0"/>
    <w:rsid w:val="4FE10F2C"/>
    <w:rsid w:val="4FE2B30D"/>
    <w:rsid w:val="4FF6094C"/>
    <w:rsid w:val="4FFBB8CF"/>
    <w:rsid w:val="500E3FB8"/>
    <w:rsid w:val="500FA5E3"/>
    <w:rsid w:val="5011E78D"/>
    <w:rsid w:val="5019ED06"/>
    <w:rsid w:val="50328EE0"/>
    <w:rsid w:val="503677A4"/>
    <w:rsid w:val="50412420"/>
    <w:rsid w:val="505DA2DF"/>
    <w:rsid w:val="50679399"/>
    <w:rsid w:val="506B69F5"/>
    <w:rsid w:val="506C09CC"/>
    <w:rsid w:val="5076D9D6"/>
    <w:rsid w:val="507B7D04"/>
    <w:rsid w:val="5080439D"/>
    <w:rsid w:val="50820AFE"/>
    <w:rsid w:val="5083E0FD"/>
    <w:rsid w:val="5097E519"/>
    <w:rsid w:val="509A7704"/>
    <w:rsid w:val="50A12F24"/>
    <w:rsid w:val="50A27D3F"/>
    <w:rsid w:val="50A54C1A"/>
    <w:rsid w:val="50ACBCDA"/>
    <w:rsid w:val="50AEB28E"/>
    <w:rsid w:val="50AEDDEA"/>
    <w:rsid w:val="50CB0041"/>
    <w:rsid w:val="50CBCC12"/>
    <w:rsid w:val="50D49D09"/>
    <w:rsid w:val="50D8B145"/>
    <w:rsid w:val="50DA329F"/>
    <w:rsid w:val="50E1AA1A"/>
    <w:rsid w:val="50EA3CB7"/>
    <w:rsid w:val="50ED553A"/>
    <w:rsid w:val="50FD6C3F"/>
    <w:rsid w:val="5105AA80"/>
    <w:rsid w:val="5113FBBC"/>
    <w:rsid w:val="5117CEE9"/>
    <w:rsid w:val="511E4556"/>
    <w:rsid w:val="5126A18F"/>
    <w:rsid w:val="512EE834"/>
    <w:rsid w:val="51318366"/>
    <w:rsid w:val="513262CD"/>
    <w:rsid w:val="5134AFE5"/>
    <w:rsid w:val="51363EB2"/>
    <w:rsid w:val="513894A4"/>
    <w:rsid w:val="5143EE96"/>
    <w:rsid w:val="5148C4A2"/>
    <w:rsid w:val="514AD4B0"/>
    <w:rsid w:val="5153227B"/>
    <w:rsid w:val="51585B33"/>
    <w:rsid w:val="515CCF6F"/>
    <w:rsid w:val="51677890"/>
    <w:rsid w:val="516CE451"/>
    <w:rsid w:val="51711A9A"/>
    <w:rsid w:val="5175E1B8"/>
    <w:rsid w:val="517F7DB3"/>
    <w:rsid w:val="518034F9"/>
    <w:rsid w:val="519215AF"/>
    <w:rsid w:val="51A80CF1"/>
    <w:rsid w:val="51ABCCBC"/>
    <w:rsid w:val="51AFBA67"/>
    <w:rsid w:val="51B23029"/>
    <w:rsid w:val="51B5A50C"/>
    <w:rsid w:val="51C2C094"/>
    <w:rsid w:val="51CC8735"/>
    <w:rsid w:val="51CD58A6"/>
    <w:rsid w:val="51D1D1BE"/>
    <w:rsid w:val="51F2067F"/>
    <w:rsid w:val="51F9620A"/>
    <w:rsid w:val="51FDACB4"/>
    <w:rsid w:val="5202100C"/>
    <w:rsid w:val="520EAC99"/>
    <w:rsid w:val="52131DEE"/>
    <w:rsid w:val="521C32F3"/>
    <w:rsid w:val="5224B5B9"/>
    <w:rsid w:val="52253B79"/>
    <w:rsid w:val="52265CF1"/>
    <w:rsid w:val="522A5E92"/>
    <w:rsid w:val="5233535F"/>
    <w:rsid w:val="524177BE"/>
    <w:rsid w:val="5246F8A4"/>
    <w:rsid w:val="5250D584"/>
    <w:rsid w:val="525281B6"/>
    <w:rsid w:val="525343FF"/>
    <w:rsid w:val="52609370"/>
    <w:rsid w:val="52622C47"/>
    <w:rsid w:val="52659522"/>
    <w:rsid w:val="526BBEAA"/>
    <w:rsid w:val="52715D29"/>
    <w:rsid w:val="5272D0A2"/>
    <w:rsid w:val="52773DF8"/>
    <w:rsid w:val="528819D1"/>
    <w:rsid w:val="528BB2A3"/>
    <w:rsid w:val="528F74F5"/>
    <w:rsid w:val="52957173"/>
    <w:rsid w:val="52A62368"/>
    <w:rsid w:val="52A91545"/>
    <w:rsid w:val="52BA06A4"/>
    <w:rsid w:val="52C4A0E4"/>
    <w:rsid w:val="52CCEFAB"/>
    <w:rsid w:val="52E0C726"/>
    <w:rsid w:val="52E334C1"/>
    <w:rsid w:val="52EF6512"/>
    <w:rsid w:val="52F05C6D"/>
    <w:rsid w:val="53009796"/>
    <w:rsid w:val="53021CDF"/>
    <w:rsid w:val="5305ED87"/>
    <w:rsid w:val="53069668"/>
    <w:rsid w:val="5307BE07"/>
    <w:rsid w:val="530C3E59"/>
    <w:rsid w:val="5311446D"/>
    <w:rsid w:val="53162724"/>
    <w:rsid w:val="531B90A4"/>
    <w:rsid w:val="531D0E26"/>
    <w:rsid w:val="53219DBE"/>
    <w:rsid w:val="5329F14B"/>
    <w:rsid w:val="532CA661"/>
    <w:rsid w:val="532FC659"/>
    <w:rsid w:val="53320C23"/>
    <w:rsid w:val="53333235"/>
    <w:rsid w:val="5333C7DB"/>
    <w:rsid w:val="53343BC7"/>
    <w:rsid w:val="53363625"/>
    <w:rsid w:val="533B2BAA"/>
    <w:rsid w:val="5343B67A"/>
    <w:rsid w:val="53506220"/>
    <w:rsid w:val="535119F4"/>
    <w:rsid w:val="5353E794"/>
    <w:rsid w:val="53561654"/>
    <w:rsid w:val="535B4F9E"/>
    <w:rsid w:val="535D62D7"/>
    <w:rsid w:val="535DE57A"/>
    <w:rsid w:val="5361BC4C"/>
    <w:rsid w:val="5367B39C"/>
    <w:rsid w:val="536AC6CD"/>
    <w:rsid w:val="53863282"/>
    <w:rsid w:val="539671EE"/>
    <w:rsid w:val="5399D2A5"/>
    <w:rsid w:val="539F0CD0"/>
    <w:rsid w:val="53B30F55"/>
    <w:rsid w:val="53BC9A98"/>
    <w:rsid w:val="53C04B57"/>
    <w:rsid w:val="53CC2101"/>
    <w:rsid w:val="53CCD682"/>
    <w:rsid w:val="53D52019"/>
    <w:rsid w:val="53D887EB"/>
    <w:rsid w:val="53E3AAC7"/>
    <w:rsid w:val="53E9923E"/>
    <w:rsid w:val="53FB831B"/>
    <w:rsid w:val="5404326F"/>
    <w:rsid w:val="54057BCE"/>
    <w:rsid w:val="5405C890"/>
    <w:rsid w:val="540718A0"/>
    <w:rsid w:val="54127D07"/>
    <w:rsid w:val="5414005E"/>
    <w:rsid w:val="541C2629"/>
    <w:rsid w:val="5427EC85"/>
    <w:rsid w:val="542A81D6"/>
    <w:rsid w:val="542E0AA2"/>
    <w:rsid w:val="543143BC"/>
    <w:rsid w:val="543707A8"/>
    <w:rsid w:val="54383A84"/>
    <w:rsid w:val="543AE4DE"/>
    <w:rsid w:val="54416C54"/>
    <w:rsid w:val="544BE281"/>
    <w:rsid w:val="54503751"/>
    <w:rsid w:val="545396FA"/>
    <w:rsid w:val="5453DE24"/>
    <w:rsid w:val="5454466F"/>
    <w:rsid w:val="54545D79"/>
    <w:rsid w:val="54560A97"/>
    <w:rsid w:val="545C9C2B"/>
    <w:rsid w:val="54658A62"/>
    <w:rsid w:val="546C1171"/>
    <w:rsid w:val="5470059C"/>
    <w:rsid w:val="54707293"/>
    <w:rsid w:val="5475BDBA"/>
    <w:rsid w:val="5478E554"/>
    <w:rsid w:val="547BBD3A"/>
    <w:rsid w:val="547C517A"/>
    <w:rsid w:val="54851164"/>
    <w:rsid w:val="5485DD6C"/>
    <w:rsid w:val="548A3252"/>
    <w:rsid w:val="54938E36"/>
    <w:rsid w:val="549603FE"/>
    <w:rsid w:val="5496041A"/>
    <w:rsid w:val="549772C6"/>
    <w:rsid w:val="549A5BF2"/>
    <w:rsid w:val="549DCED6"/>
    <w:rsid w:val="54A0EDCA"/>
    <w:rsid w:val="54AC987C"/>
    <w:rsid w:val="54AFF3DF"/>
    <w:rsid w:val="54B1C0DE"/>
    <w:rsid w:val="54B91567"/>
    <w:rsid w:val="54B9CD14"/>
    <w:rsid w:val="54B9E69A"/>
    <w:rsid w:val="54BF0BFF"/>
    <w:rsid w:val="54C15BC6"/>
    <w:rsid w:val="54CC5991"/>
    <w:rsid w:val="54D638F3"/>
    <w:rsid w:val="54D65EF9"/>
    <w:rsid w:val="54D8D72A"/>
    <w:rsid w:val="54DC2FF7"/>
    <w:rsid w:val="54DDE5A4"/>
    <w:rsid w:val="54E09D29"/>
    <w:rsid w:val="54E57973"/>
    <w:rsid w:val="54E93404"/>
    <w:rsid w:val="54E9FD63"/>
    <w:rsid w:val="54EA686E"/>
    <w:rsid w:val="54ED276D"/>
    <w:rsid w:val="54F8E872"/>
    <w:rsid w:val="54FF5B87"/>
    <w:rsid w:val="5501F693"/>
    <w:rsid w:val="5511EC18"/>
    <w:rsid w:val="55163D62"/>
    <w:rsid w:val="55178296"/>
    <w:rsid w:val="551B3903"/>
    <w:rsid w:val="55292216"/>
    <w:rsid w:val="55382B21"/>
    <w:rsid w:val="553A3D21"/>
    <w:rsid w:val="5540D99C"/>
    <w:rsid w:val="5546FF88"/>
    <w:rsid w:val="554D6ACE"/>
    <w:rsid w:val="5552E37F"/>
    <w:rsid w:val="5559E0EE"/>
    <w:rsid w:val="555B429F"/>
    <w:rsid w:val="555FA3EA"/>
    <w:rsid w:val="55632DD3"/>
    <w:rsid w:val="557CABF2"/>
    <w:rsid w:val="557F15CA"/>
    <w:rsid w:val="557FA609"/>
    <w:rsid w:val="5586DCED"/>
    <w:rsid w:val="558D34A4"/>
    <w:rsid w:val="5591C0A0"/>
    <w:rsid w:val="5591C8F5"/>
    <w:rsid w:val="55975D8B"/>
    <w:rsid w:val="55A09E58"/>
    <w:rsid w:val="55ADB5DF"/>
    <w:rsid w:val="55ADF6A7"/>
    <w:rsid w:val="55B061EE"/>
    <w:rsid w:val="55BF3B80"/>
    <w:rsid w:val="55C0052E"/>
    <w:rsid w:val="55C4D4D0"/>
    <w:rsid w:val="55C52816"/>
    <w:rsid w:val="55CC868D"/>
    <w:rsid w:val="55CC929D"/>
    <w:rsid w:val="55D754C5"/>
    <w:rsid w:val="55E23BC0"/>
    <w:rsid w:val="55E43B5C"/>
    <w:rsid w:val="55EC4B04"/>
    <w:rsid w:val="55ECC21D"/>
    <w:rsid w:val="55EE7308"/>
    <w:rsid w:val="55F3884A"/>
    <w:rsid w:val="55F9DEF0"/>
    <w:rsid w:val="560715B0"/>
    <w:rsid w:val="56083CC8"/>
    <w:rsid w:val="56084838"/>
    <w:rsid w:val="56114A69"/>
    <w:rsid w:val="56119684"/>
    <w:rsid w:val="5615BF99"/>
    <w:rsid w:val="56164238"/>
    <w:rsid w:val="56320695"/>
    <w:rsid w:val="56324AC2"/>
    <w:rsid w:val="56366870"/>
    <w:rsid w:val="56398320"/>
    <w:rsid w:val="564DCE37"/>
    <w:rsid w:val="565A4F3C"/>
    <w:rsid w:val="56621F79"/>
    <w:rsid w:val="56637B1B"/>
    <w:rsid w:val="56781DA1"/>
    <w:rsid w:val="56796A76"/>
    <w:rsid w:val="567B24BA"/>
    <w:rsid w:val="567C32E7"/>
    <w:rsid w:val="567CBC58"/>
    <w:rsid w:val="5681923B"/>
    <w:rsid w:val="56846D6B"/>
    <w:rsid w:val="5686ED59"/>
    <w:rsid w:val="5688F589"/>
    <w:rsid w:val="568D3164"/>
    <w:rsid w:val="5697CCD1"/>
    <w:rsid w:val="569B7FBD"/>
    <w:rsid w:val="56A13149"/>
    <w:rsid w:val="56A95619"/>
    <w:rsid w:val="56B530CC"/>
    <w:rsid w:val="56BA78D6"/>
    <w:rsid w:val="56D54F18"/>
    <w:rsid w:val="56EA3337"/>
    <w:rsid w:val="56EAC0E7"/>
    <w:rsid w:val="56EE60B6"/>
    <w:rsid w:val="56FA7436"/>
    <w:rsid w:val="56FFAA6F"/>
    <w:rsid w:val="57027F16"/>
    <w:rsid w:val="57048911"/>
    <w:rsid w:val="570E351D"/>
    <w:rsid w:val="570F020E"/>
    <w:rsid w:val="5716F386"/>
    <w:rsid w:val="572031C3"/>
    <w:rsid w:val="57206666"/>
    <w:rsid w:val="5720F318"/>
    <w:rsid w:val="57243B71"/>
    <w:rsid w:val="57259842"/>
    <w:rsid w:val="573073B2"/>
    <w:rsid w:val="5733452D"/>
    <w:rsid w:val="573502BA"/>
    <w:rsid w:val="5739B367"/>
    <w:rsid w:val="573BC2A6"/>
    <w:rsid w:val="575ABC06"/>
    <w:rsid w:val="576152C6"/>
    <w:rsid w:val="5762FD7C"/>
    <w:rsid w:val="5764D48A"/>
    <w:rsid w:val="576F2E62"/>
    <w:rsid w:val="579B60AB"/>
    <w:rsid w:val="57A6571F"/>
    <w:rsid w:val="57A6BD56"/>
    <w:rsid w:val="57AAD9D6"/>
    <w:rsid w:val="57B180E2"/>
    <w:rsid w:val="57C35E9F"/>
    <w:rsid w:val="57C851D1"/>
    <w:rsid w:val="57CC8949"/>
    <w:rsid w:val="57E44611"/>
    <w:rsid w:val="57F2E301"/>
    <w:rsid w:val="57FAFE53"/>
    <w:rsid w:val="581029DE"/>
    <w:rsid w:val="581160B6"/>
    <w:rsid w:val="5811E702"/>
    <w:rsid w:val="5823E47D"/>
    <w:rsid w:val="5829A986"/>
    <w:rsid w:val="582A03B6"/>
    <w:rsid w:val="582E6EE6"/>
    <w:rsid w:val="583AA47B"/>
    <w:rsid w:val="583F8E9B"/>
    <w:rsid w:val="58408ECD"/>
    <w:rsid w:val="5859306B"/>
    <w:rsid w:val="585C0DAD"/>
    <w:rsid w:val="585CC58E"/>
    <w:rsid w:val="585E7FC7"/>
    <w:rsid w:val="585E955A"/>
    <w:rsid w:val="58692866"/>
    <w:rsid w:val="586B58D9"/>
    <w:rsid w:val="586D581B"/>
    <w:rsid w:val="58719EBF"/>
    <w:rsid w:val="5881B795"/>
    <w:rsid w:val="58841B9E"/>
    <w:rsid w:val="588AFD91"/>
    <w:rsid w:val="58957E96"/>
    <w:rsid w:val="58A047A5"/>
    <w:rsid w:val="58A1B16D"/>
    <w:rsid w:val="58A784EB"/>
    <w:rsid w:val="58A7E9B8"/>
    <w:rsid w:val="58A90463"/>
    <w:rsid w:val="58A9F327"/>
    <w:rsid w:val="58B22C01"/>
    <w:rsid w:val="58B393E2"/>
    <w:rsid w:val="58B45142"/>
    <w:rsid w:val="58B886F8"/>
    <w:rsid w:val="58BB1FBA"/>
    <w:rsid w:val="58C1FFE7"/>
    <w:rsid w:val="58C76E55"/>
    <w:rsid w:val="58CDB133"/>
    <w:rsid w:val="58CF5970"/>
    <w:rsid w:val="58D0526C"/>
    <w:rsid w:val="58D14219"/>
    <w:rsid w:val="58D7CF13"/>
    <w:rsid w:val="58E0152A"/>
    <w:rsid w:val="58E52D81"/>
    <w:rsid w:val="58F2D0FD"/>
    <w:rsid w:val="58FF7ED3"/>
    <w:rsid w:val="59015059"/>
    <w:rsid w:val="5906CFEB"/>
    <w:rsid w:val="59117050"/>
    <w:rsid w:val="59136945"/>
    <w:rsid w:val="5917A123"/>
    <w:rsid w:val="5917A56E"/>
    <w:rsid w:val="5918070A"/>
    <w:rsid w:val="591E6883"/>
    <w:rsid w:val="59200345"/>
    <w:rsid w:val="5922788E"/>
    <w:rsid w:val="59239690"/>
    <w:rsid w:val="5924287B"/>
    <w:rsid w:val="592CA234"/>
    <w:rsid w:val="59335321"/>
    <w:rsid w:val="593D947D"/>
    <w:rsid w:val="5941F840"/>
    <w:rsid w:val="5948BD6D"/>
    <w:rsid w:val="59523D1C"/>
    <w:rsid w:val="59603A5F"/>
    <w:rsid w:val="59629023"/>
    <w:rsid w:val="5963BCFB"/>
    <w:rsid w:val="59647942"/>
    <w:rsid w:val="59697946"/>
    <w:rsid w:val="5977DDCE"/>
    <w:rsid w:val="597E8921"/>
    <w:rsid w:val="59807994"/>
    <w:rsid w:val="59821C87"/>
    <w:rsid w:val="59822395"/>
    <w:rsid w:val="598CA0B0"/>
    <w:rsid w:val="59909F26"/>
    <w:rsid w:val="59955777"/>
    <w:rsid w:val="599AE57B"/>
    <w:rsid w:val="599DF3DF"/>
    <w:rsid w:val="59A08C82"/>
    <w:rsid w:val="59A4F9BA"/>
    <w:rsid w:val="59B0C50F"/>
    <w:rsid w:val="59BD3F3D"/>
    <w:rsid w:val="59C5436D"/>
    <w:rsid w:val="59CDD1D5"/>
    <w:rsid w:val="59D33891"/>
    <w:rsid w:val="59D55589"/>
    <w:rsid w:val="59D8728C"/>
    <w:rsid w:val="59DC04B6"/>
    <w:rsid w:val="59E32E69"/>
    <w:rsid w:val="59F2E4B0"/>
    <w:rsid w:val="59F56A78"/>
    <w:rsid w:val="59F5F1EB"/>
    <w:rsid w:val="59F763F6"/>
    <w:rsid w:val="59F8872D"/>
    <w:rsid w:val="5A0AE3A8"/>
    <w:rsid w:val="5A0E5474"/>
    <w:rsid w:val="5A0E9D4B"/>
    <w:rsid w:val="5A1F8FB2"/>
    <w:rsid w:val="5A2221C4"/>
    <w:rsid w:val="5A2871A0"/>
    <w:rsid w:val="5A2F1EFA"/>
    <w:rsid w:val="5A3308A0"/>
    <w:rsid w:val="5A3C9C4E"/>
    <w:rsid w:val="5A46E93C"/>
    <w:rsid w:val="5A4D868A"/>
    <w:rsid w:val="5A4D8E01"/>
    <w:rsid w:val="5A4D8E31"/>
    <w:rsid w:val="5A529FB5"/>
    <w:rsid w:val="5A59A996"/>
    <w:rsid w:val="5A5B4355"/>
    <w:rsid w:val="5A60ED96"/>
    <w:rsid w:val="5A618AFB"/>
    <w:rsid w:val="5A619C7D"/>
    <w:rsid w:val="5A8F7967"/>
    <w:rsid w:val="5A9147D5"/>
    <w:rsid w:val="5A9CEC31"/>
    <w:rsid w:val="5A9E84AB"/>
    <w:rsid w:val="5A9FF6A9"/>
    <w:rsid w:val="5AA3480A"/>
    <w:rsid w:val="5AAB3956"/>
    <w:rsid w:val="5AACAD89"/>
    <w:rsid w:val="5AB4C842"/>
    <w:rsid w:val="5AB57AB2"/>
    <w:rsid w:val="5ABE54A7"/>
    <w:rsid w:val="5AC05710"/>
    <w:rsid w:val="5AC77216"/>
    <w:rsid w:val="5ACACE8E"/>
    <w:rsid w:val="5ACBCA47"/>
    <w:rsid w:val="5ACC63C2"/>
    <w:rsid w:val="5AE013BE"/>
    <w:rsid w:val="5AF426DC"/>
    <w:rsid w:val="5AF6F709"/>
    <w:rsid w:val="5B07719B"/>
    <w:rsid w:val="5B0BC385"/>
    <w:rsid w:val="5B0F90D8"/>
    <w:rsid w:val="5B177086"/>
    <w:rsid w:val="5B1818F7"/>
    <w:rsid w:val="5B22864D"/>
    <w:rsid w:val="5B2EF707"/>
    <w:rsid w:val="5B36F021"/>
    <w:rsid w:val="5B3B007A"/>
    <w:rsid w:val="5B3E53C9"/>
    <w:rsid w:val="5B42087D"/>
    <w:rsid w:val="5B45F2CB"/>
    <w:rsid w:val="5B46AB39"/>
    <w:rsid w:val="5B49B976"/>
    <w:rsid w:val="5B4BA441"/>
    <w:rsid w:val="5B580345"/>
    <w:rsid w:val="5B5AF89B"/>
    <w:rsid w:val="5B61587C"/>
    <w:rsid w:val="5B68BAF7"/>
    <w:rsid w:val="5B6B9E09"/>
    <w:rsid w:val="5B766714"/>
    <w:rsid w:val="5B78035E"/>
    <w:rsid w:val="5B7AFAD0"/>
    <w:rsid w:val="5B85940C"/>
    <w:rsid w:val="5B863F90"/>
    <w:rsid w:val="5B8C8FCB"/>
    <w:rsid w:val="5B9537B1"/>
    <w:rsid w:val="5B9B59CA"/>
    <w:rsid w:val="5BA1531C"/>
    <w:rsid w:val="5BA77D0E"/>
    <w:rsid w:val="5BAA3DE9"/>
    <w:rsid w:val="5BB18A7D"/>
    <w:rsid w:val="5BB1A326"/>
    <w:rsid w:val="5BB5C228"/>
    <w:rsid w:val="5BD17AF8"/>
    <w:rsid w:val="5BE1033C"/>
    <w:rsid w:val="5BE4ECC3"/>
    <w:rsid w:val="5BE645F2"/>
    <w:rsid w:val="5BEB846B"/>
    <w:rsid w:val="5BEEA2B6"/>
    <w:rsid w:val="5BEEB125"/>
    <w:rsid w:val="5BEFAEEF"/>
    <w:rsid w:val="5BFAB7A0"/>
    <w:rsid w:val="5BFB09EA"/>
    <w:rsid w:val="5C09ACF9"/>
    <w:rsid w:val="5C1AEFDB"/>
    <w:rsid w:val="5C1C1D5F"/>
    <w:rsid w:val="5C1DE252"/>
    <w:rsid w:val="5C1EC2D1"/>
    <w:rsid w:val="5C33FEB2"/>
    <w:rsid w:val="5C3466CA"/>
    <w:rsid w:val="5C3517CE"/>
    <w:rsid w:val="5C38466C"/>
    <w:rsid w:val="5C3EDF33"/>
    <w:rsid w:val="5C44DDFB"/>
    <w:rsid w:val="5C487DEA"/>
    <w:rsid w:val="5C4B2C33"/>
    <w:rsid w:val="5C4C4549"/>
    <w:rsid w:val="5C4FF607"/>
    <w:rsid w:val="5C53C48D"/>
    <w:rsid w:val="5C58ECA0"/>
    <w:rsid w:val="5C648453"/>
    <w:rsid w:val="5C69C002"/>
    <w:rsid w:val="5C7FD511"/>
    <w:rsid w:val="5C8D238A"/>
    <w:rsid w:val="5C9A6FE1"/>
    <w:rsid w:val="5C9F583B"/>
    <w:rsid w:val="5C9FE2EE"/>
    <w:rsid w:val="5CA2D7EC"/>
    <w:rsid w:val="5CA5EC4E"/>
    <w:rsid w:val="5CA7E9C2"/>
    <w:rsid w:val="5CAAD443"/>
    <w:rsid w:val="5CABA227"/>
    <w:rsid w:val="5CC7D48A"/>
    <w:rsid w:val="5CD4B3A7"/>
    <w:rsid w:val="5CD80895"/>
    <w:rsid w:val="5CDBA0FF"/>
    <w:rsid w:val="5CE4A3B0"/>
    <w:rsid w:val="5CE5F733"/>
    <w:rsid w:val="5CF54F5A"/>
    <w:rsid w:val="5CF8897E"/>
    <w:rsid w:val="5D039DAA"/>
    <w:rsid w:val="5D0C20C1"/>
    <w:rsid w:val="5D0D70DA"/>
    <w:rsid w:val="5D15DBF6"/>
    <w:rsid w:val="5D244E15"/>
    <w:rsid w:val="5D2F5907"/>
    <w:rsid w:val="5D316917"/>
    <w:rsid w:val="5D3A8CAC"/>
    <w:rsid w:val="5D3FFE03"/>
    <w:rsid w:val="5D4A95D9"/>
    <w:rsid w:val="5D519A07"/>
    <w:rsid w:val="5D556194"/>
    <w:rsid w:val="5D64E5F8"/>
    <w:rsid w:val="5D6AE594"/>
    <w:rsid w:val="5D745F01"/>
    <w:rsid w:val="5D74B856"/>
    <w:rsid w:val="5D775A31"/>
    <w:rsid w:val="5D78289C"/>
    <w:rsid w:val="5D7ADDF9"/>
    <w:rsid w:val="5D7C6F65"/>
    <w:rsid w:val="5D7D0193"/>
    <w:rsid w:val="5D8555B6"/>
    <w:rsid w:val="5D885A97"/>
    <w:rsid w:val="5D8C4BB0"/>
    <w:rsid w:val="5D987803"/>
    <w:rsid w:val="5DA964B7"/>
    <w:rsid w:val="5DC11E49"/>
    <w:rsid w:val="5DC89F4F"/>
    <w:rsid w:val="5DCF873F"/>
    <w:rsid w:val="5DD340C4"/>
    <w:rsid w:val="5DD4315D"/>
    <w:rsid w:val="5DE436DE"/>
    <w:rsid w:val="5DE44E4B"/>
    <w:rsid w:val="5DED7AD9"/>
    <w:rsid w:val="5DF7609D"/>
    <w:rsid w:val="5E021E42"/>
    <w:rsid w:val="5E11508C"/>
    <w:rsid w:val="5E18F12F"/>
    <w:rsid w:val="5E264FA6"/>
    <w:rsid w:val="5E265A0D"/>
    <w:rsid w:val="5E2942E1"/>
    <w:rsid w:val="5E2FB281"/>
    <w:rsid w:val="5E39E12F"/>
    <w:rsid w:val="5E3ED0E1"/>
    <w:rsid w:val="5E496B32"/>
    <w:rsid w:val="5E4E42B0"/>
    <w:rsid w:val="5E57D8A8"/>
    <w:rsid w:val="5E5FB425"/>
    <w:rsid w:val="5E7186F2"/>
    <w:rsid w:val="5E7415DA"/>
    <w:rsid w:val="5E7A52FC"/>
    <w:rsid w:val="5E82D466"/>
    <w:rsid w:val="5E836B52"/>
    <w:rsid w:val="5E839863"/>
    <w:rsid w:val="5E8B4BB4"/>
    <w:rsid w:val="5E8D8D31"/>
    <w:rsid w:val="5E8E3176"/>
    <w:rsid w:val="5E9501DA"/>
    <w:rsid w:val="5E9ADDB6"/>
    <w:rsid w:val="5E9BD315"/>
    <w:rsid w:val="5EA6B47A"/>
    <w:rsid w:val="5EB08065"/>
    <w:rsid w:val="5EB3169C"/>
    <w:rsid w:val="5EB4F5B7"/>
    <w:rsid w:val="5EC224F7"/>
    <w:rsid w:val="5ECF7314"/>
    <w:rsid w:val="5ED7468B"/>
    <w:rsid w:val="5EE588EC"/>
    <w:rsid w:val="5EF757E6"/>
    <w:rsid w:val="5EFB8314"/>
    <w:rsid w:val="5EFD3C69"/>
    <w:rsid w:val="5F00BE93"/>
    <w:rsid w:val="5F0CD06F"/>
    <w:rsid w:val="5F0F9AC7"/>
    <w:rsid w:val="5F12DD58"/>
    <w:rsid w:val="5F1432DB"/>
    <w:rsid w:val="5F15FB02"/>
    <w:rsid w:val="5F1A9457"/>
    <w:rsid w:val="5F1E9C31"/>
    <w:rsid w:val="5F22004D"/>
    <w:rsid w:val="5F26F3EC"/>
    <w:rsid w:val="5F27755F"/>
    <w:rsid w:val="5F27C7FD"/>
    <w:rsid w:val="5F280578"/>
    <w:rsid w:val="5F381F6D"/>
    <w:rsid w:val="5F461F3F"/>
    <w:rsid w:val="5F4AB200"/>
    <w:rsid w:val="5F5206FF"/>
    <w:rsid w:val="5F5E8BD2"/>
    <w:rsid w:val="5F5F03E8"/>
    <w:rsid w:val="5F62EB05"/>
    <w:rsid w:val="5F73BC12"/>
    <w:rsid w:val="5F79A228"/>
    <w:rsid w:val="5F7A145E"/>
    <w:rsid w:val="5F8445D7"/>
    <w:rsid w:val="5F87F439"/>
    <w:rsid w:val="5F9A3537"/>
    <w:rsid w:val="5FAEC61A"/>
    <w:rsid w:val="5FB06099"/>
    <w:rsid w:val="5FB5B466"/>
    <w:rsid w:val="5FBD945C"/>
    <w:rsid w:val="5FCC57EC"/>
    <w:rsid w:val="5FD56C2C"/>
    <w:rsid w:val="5FD67602"/>
    <w:rsid w:val="5FDCC391"/>
    <w:rsid w:val="5FDE34A3"/>
    <w:rsid w:val="5FE03E4C"/>
    <w:rsid w:val="5FE16B90"/>
    <w:rsid w:val="5FE3B79D"/>
    <w:rsid w:val="5FE57957"/>
    <w:rsid w:val="6007CFA4"/>
    <w:rsid w:val="601118F0"/>
    <w:rsid w:val="6011AD6A"/>
    <w:rsid w:val="6016291F"/>
    <w:rsid w:val="60210047"/>
    <w:rsid w:val="6032A9A4"/>
    <w:rsid w:val="6036BE86"/>
    <w:rsid w:val="603B0E23"/>
    <w:rsid w:val="60402669"/>
    <w:rsid w:val="6043CA14"/>
    <w:rsid w:val="60459F2C"/>
    <w:rsid w:val="6053406C"/>
    <w:rsid w:val="605811A6"/>
    <w:rsid w:val="606981B9"/>
    <w:rsid w:val="606B1BE4"/>
    <w:rsid w:val="606EE2C1"/>
    <w:rsid w:val="6071A5BB"/>
    <w:rsid w:val="60756A38"/>
    <w:rsid w:val="6076BC64"/>
    <w:rsid w:val="60776D16"/>
    <w:rsid w:val="607CE719"/>
    <w:rsid w:val="608A58B2"/>
    <w:rsid w:val="608C8E59"/>
    <w:rsid w:val="609337D8"/>
    <w:rsid w:val="609858BF"/>
    <w:rsid w:val="609E1388"/>
    <w:rsid w:val="609E3A0D"/>
    <w:rsid w:val="609EF1F5"/>
    <w:rsid w:val="60A0D1CC"/>
    <w:rsid w:val="60A445AE"/>
    <w:rsid w:val="60B064D2"/>
    <w:rsid w:val="60CC656B"/>
    <w:rsid w:val="60D6E318"/>
    <w:rsid w:val="60E4F416"/>
    <w:rsid w:val="60E6D5A2"/>
    <w:rsid w:val="60E9319C"/>
    <w:rsid w:val="60EEC65A"/>
    <w:rsid w:val="60F1FF46"/>
    <w:rsid w:val="60F482D2"/>
    <w:rsid w:val="60F708AA"/>
    <w:rsid w:val="60FDE6E0"/>
    <w:rsid w:val="61044557"/>
    <w:rsid w:val="61129AE4"/>
    <w:rsid w:val="61177344"/>
    <w:rsid w:val="611D906E"/>
    <w:rsid w:val="6123A7EA"/>
    <w:rsid w:val="61251B9B"/>
    <w:rsid w:val="6125E477"/>
    <w:rsid w:val="61288937"/>
    <w:rsid w:val="612C5DC3"/>
    <w:rsid w:val="6133583D"/>
    <w:rsid w:val="613420A3"/>
    <w:rsid w:val="613B2776"/>
    <w:rsid w:val="6140319E"/>
    <w:rsid w:val="6141BA28"/>
    <w:rsid w:val="614CAF62"/>
    <w:rsid w:val="61579AD7"/>
    <w:rsid w:val="6157A8C3"/>
    <w:rsid w:val="615A9DDF"/>
    <w:rsid w:val="615ADF88"/>
    <w:rsid w:val="615B07C1"/>
    <w:rsid w:val="61609F63"/>
    <w:rsid w:val="616A0C8A"/>
    <w:rsid w:val="616FE256"/>
    <w:rsid w:val="61722E92"/>
    <w:rsid w:val="617937EF"/>
    <w:rsid w:val="617EA96A"/>
    <w:rsid w:val="6185E86D"/>
    <w:rsid w:val="618AA924"/>
    <w:rsid w:val="6195AA05"/>
    <w:rsid w:val="619821A8"/>
    <w:rsid w:val="6199F63A"/>
    <w:rsid w:val="61A38DA8"/>
    <w:rsid w:val="61A54A83"/>
    <w:rsid w:val="61AB41DB"/>
    <w:rsid w:val="61B441A2"/>
    <w:rsid w:val="61B4E971"/>
    <w:rsid w:val="61BBB7EA"/>
    <w:rsid w:val="61C4DD19"/>
    <w:rsid w:val="61C7DDB6"/>
    <w:rsid w:val="61C85E8C"/>
    <w:rsid w:val="61CA40C3"/>
    <w:rsid w:val="61D26A5D"/>
    <w:rsid w:val="61D56743"/>
    <w:rsid w:val="61DE3F31"/>
    <w:rsid w:val="61E0BC5F"/>
    <w:rsid w:val="61EF6CE1"/>
    <w:rsid w:val="61F62F1C"/>
    <w:rsid w:val="61FB4329"/>
    <w:rsid w:val="61FB8BD0"/>
    <w:rsid w:val="6205310A"/>
    <w:rsid w:val="62077862"/>
    <w:rsid w:val="620DDF4C"/>
    <w:rsid w:val="6214307E"/>
    <w:rsid w:val="62220754"/>
    <w:rsid w:val="62223BFD"/>
    <w:rsid w:val="6228498A"/>
    <w:rsid w:val="6230E1C7"/>
    <w:rsid w:val="62352FBB"/>
    <w:rsid w:val="62493826"/>
    <w:rsid w:val="624B6531"/>
    <w:rsid w:val="624B9182"/>
    <w:rsid w:val="624BAA84"/>
    <w:rsid w:val="6250F436"/>
    <w:rsid w:val="62512E57"/>
    <w:rsid w:val="62596D46"/>
    <w:rsid w:val="625B9427"/>
    <w:rsid w:val="62613E5E"/>
    <w:rsid w:val="62656260"/>
    <w:rsid w:val="627000E4"/>
    <w:rsid w:val="62704A1F"/>
    <w:rsid w:val="62724732"/>
    <w:rsid w:val="627E8D00"/>
    <w:rsid w:val="628C919A"/>
    <w:rsid w:val="62928AFA"/>
    <w:rsid w:val="62997EA3"/>
    <w:rsid w:val="62A4167D"/>
    <w:rsid w:val="62A9FBF0"/>
    <w:rsid w:val="62B44BE6"/>
    <w:rsid w:val="62B53A17"/>
    <w:rsid w:val="62B797CE"/>
    <w:rsid w:val="62BC6A75"/>
    <w:rsid w:val="62C428C4"/>
    <w:rsid w:val="62C6627F"/>
    <w:rsid w:val="62CA8222"/>
    <w:rsid w:val="62D4048F"/>
    <w:rsid w:val="62D5BE25"/>
    <w:rsid w:val="62D81E0D"/>
    <w:rsid w:val="62D90A5C"/>
    <w:rsid w:val="62DF46D0"/>
    <w:rsid w:val="62E261A1"/>
    <w:rsid w:val="62E5FF8C"/>
    <w:rsid w:val="62E646F4"/>
    <w:rsid w:val="62E886B9"/>
    <w:rsid w:val="62E93510"/>
    <w:rsid w:val="62E9A02A"/>
    <w:rsid w:val="62EB68F3"/>
    <w:rsid w:val="62EB75A4"/>
    <w:rsid w:val="62FA16E3"/>
    <w:rsid w:val="62FCCCB2"/>
    <w:rsid w:val="62FE5465"/>
    <w:rsid w:val="62FEDDED"/>
    <w:rsid w:val="630485C2"/>
    <w:rsid w:val="630B9AF4"/>
    <w:rsid w:val="630C6CC2"/>
    <w:rsid w:val="63156D50"/>
    <w:rsid w:val="6344160D"/>
    <w:rsid w:val="6347B95B"/>
    <w:rsid w:val="63488CE9"/>
    <w:rsid w:val="634F8777"/>
    <w:rsid w:val="63501183"/>
    <w:rsid w:val="63572B36"/>
    <w:rsid w:val="635BE538"/>
    <w:rsid w:val="6374B153"/>
    <w:rsid w:val="6375D7F3"/>
    <w:rsid w:val="6398712B"/>
    <w:rsid w:val="639F1F1F"/>
    <w:rsid w:val="63A37310"/>
    <w:rsid w:val="63AEB727"/>
    <w:rsid w:val="63AF7641"/>
    <w:rsid w:val="63B29FDF"/>
    <w:rsid w:val="63B2B931"/>
    <w:rsid w:val="63B67257"/>
    <w:rsid w:val="63B770AB"/>
    <w:rsid w:val="63B8385C"/>
    <w:rsid w:val="63BA40B4"/>
    <w:rsid w:val="63C605F3"/>
    <w:rsid w:val="63CB66FD"/>
    <w:rsid w:val="63CEB688"/>
    <w:rsid w:val="63D096BF"/>
    <w:rsid w:val="63D0F696"/>
    <w:rsid w:val="64099D9B"/>
    <w:rsid w:val="640A01CD"/>
    <w:rsid w:val="64174142"/>
    <w:rsid w:val="6422C644"/>
    <w:rsid w:val="6422C7D1"/>
    <w:rsid w:val="6426F915"/>
    <w:rsid w:val="642AB557"/>
    <w:rsid w:val="64322CD3"/>
    <w:rsid w:val="64366883"/>
    <w:rsid w:val="643693B4"/>
    <w:rsid w:val="64380505"/>
    <w:rsid w:val="6438FC14"/>
    <w:rsid w:val="643A6772"/>
    <w:rsid w:val="643CAF51"/>
    <w:rsid w:val="643D55C5"/>
    <w:rsid w:val="64489228"/>
    <w:rsid w:val="644D9BA6"/>
    <w:rsid w:val="645B496A"/>
    <w:rsid w:val="64639799"/>
    <w:rsid w:val="6467427B"/>
    <w:rsid w:val="6477D260"/>
    <w:rsid w:val="647D28E4"/>
    <w:rsid w:val="64826F21"/>
    <w:rsid w:val="6482BDF9"/>
    <w:rsid w:val="6496085E"/>
    <w:rsid w:val="649A8232"/>
    <w:rsid w:val="649F18E9"/>
    <w:rsid w:val="64A4C836"/>
    <w:rsid w:val="64A841C4"/>
    <w:rsid w:val="64AB839D"/>
    <w:rsid w:val="64C49A01"/>
    <w:rsid w:val="64C6A5BC"/>
    <w:rsid w:val="64C8309F"/>
    <w:rsid w:val="64CC0E2A"/>
    <w:rsid w:val="64CC5FA6"/>
    <w:rsid w:val="64CC8B01"/>
    <w:rsid w:val="64D1FA27"/>
    <w:rsid w:val="64D44500"/>
    <w:rsid w:val="64D6D858"/>
    <w:rsid w:val="64DF5866"/>
    <w:rsid w:val="64E8EE2E"/>
    <w:rsid w:val="64ED029C"/>
    <w:rsid w:val="64ED9B16"/>
    <w:rsid w:val="64F198F5"/>
    <w:rsid w:val="64FD74B8"/>
    <w:rsid w:val="64FE5FEE"/>
    <w:rsid w:val="6508113C"/>
    <w:rsid w:val="6512A80E"/>
    <w:rsid w:val="651721DB"/>
    <w:rsid w:val="65198B64"/>
    <w:rsid w:val="651B241E"/>
    <w:rsid w:val="651D2BD6"/>
    <w:rsid w:val="6529AEF1"/>
    <w:rsid w:val="652DC09F"/>
    <w:rsid w:val="653334CB"/>
    <w:rsid w:val="65382381"/>
    <w:rsid w:val="653F28F8"/>
    <w:rsid w:val="65449C9B"/>
    <w:rsid w:val="654BE0D1"/>
    <w:rsid w:val="6550B24B"/>
    <w:rsid w:val="65564E34"/>
    <w:rsid w:val="655C0C4C"/>
    <w:rsid w:val="656FFE2E"/>
    <w:rsid w:val="6575182E"/>
    <w:rsid w:val="658584A0"/>
    <w:rsid w:val="658CA9A1"/>
    <w:rsid w:val="659CBFA0"/>
    <w:rsid w:val="65A2613E"/>
    <w:rsid w:val="65B3F31F"/>
    <w:rsid w:val="65B57339"/>
    <w:rsid w:val="65B8B4EE"/>
    <w:rsid w:val="65BB458A"/>
    <w:rsid w:val="65C1EACD"/>
    <w:rsid w:val="65C3F301"/>
    <w:rsid w:val="65C73E5D"/>
    <w:rsid w:val="65D2EE99"/>
    <w:rsid w:val="65D375BF"/>
    <w:rsid w:val="65D9B71D"/>
    <w:rsid w:val="65E13AB4"/>
    <w:rsid w:val="65E41CF7"/>
    <w:rsid w:val="65E5D696"/>
    <w:rsid w:val="65FC2791"/>
    <w:rsid w:val="6602263E"/>
    <w:rsid w:val="6605BC82"/>
    <w:rsid w:val="6605F33A"/>
    <w:rsid w:val="660BF4C9"/>
    <w:rsid w:val="661A44DB"/>
    <w:rsid w:val="6620A99A"/>
    <w:rsid w:val="663129E4"/>
    <w:rsid w:val="663E8E6B"/>
    <w:rsid w:val="664A8CAC"/>
    <w:rsid w:val="664FCE16"/>
    <w:rsid w:val="6651809A"/>
    <w:rsid w:val="66545B3C"/>
    <w:rsid w:val="6654ECE6"/>
    <w:rsid w:val="665ADEEE"/>
    <w:rsid w:val="66608D21"/>
    <w:rsid w:val="666F4F27"/>
    <w:rsid w:val="66798635"/>
    <w:rsid w:val="667B3678"/>
    <w:rsid w:val="667FC5A1"/>
    <w:rsid w:val="66817C47"/>
    <w:rsid w:val="668B5361"/>
    <w:rsid w:val="669240B9"/>
    <w:rsid w:val="6692F000"/>
    <w:rsid w:val="66997DB7"/>
    <w:rsid w:val="669D743C"/>
    <w:rsid w:val="66A6409E"/>
    <w:rsid w:val="66A8A0FF"/>
    <w:rsid w:val="66C104DE"/>
    <w:rsid w:val="66E4FB2D"/>
    <w:rsid w:val="66EB2744"/>
    <w:rsid w:val="66EE45BE"/>
    <w:rsid w:val="66F9AB6A"/>
    <w:rsid w:val="6701453A"/>
    <w:rsid w:val="6704F5A3"/>
    <w:rsid w:val="670DB25B"/>
    <w:rsid w:val="67228894"/>
    <w:rsid w:val="6725D5A3"/>
    <w:rsid w:val="6735412B"/>
    <w:rsid w:val="674FB162"/>
    <w:rsid w:val="674FEC52"/>
    <w:rsid w:val="6751ACA8"/>
    <w:rsid w:val="6757BF61"/>
    <w:rsid w:val="675D7ED8"/>
    <w:rsid w:val="675F8967"/>
    <w:rsid w:val="6769D952"/>
    <w:rsid w:val="676C4829"/>
    <w:rsid w:val="6781E4C5"/>
    <w:rsid w:val="679417A2"/>
    <w:rsid w:val="6796145F"/>
    <w:rsid w:val="67A8A4C9"/>
    <w:rsid w:val="67AA8DB2"/>
    <w:rsid w:val="67AC7B17"/>
    <w:rsid w:val="67ADE755"/>
    <w:rsid w:val="67C0430D"/>
    <w:rsid w:val="67C6DC5B"/>
    <w:rsid w:val="67DADA53"/>
    <w:rsid w:val="67DD59BF"/>
    <w:rsid w:val="67DDDD27"/>
    <w:rsid w:val="67E09499"/>
    <w:rsid w:val="67E58561"/>
    <w:rsid w:val="67E9E617"/>
    <w:rsid w:val="67ECCDCA"/>
    <w:rsid w:val="67F9F1CF"/>
    <w:rsid w:val="67FEEC3F"/>
    <w:rsid w:val="67FF24E0"/>
    <w:rsid w:val="680E65F2"/>
    <w:rsid w:val="6817A3B7"/>
    <w:rsid w:val="681ED452"/>
    <w:rsid w:val="682557E7"/>
    <w:rsid w:val="6834E989"/>
    <w:rsid w:val="6834F413"/>
    <w:rsid w:val="684E3DD7"/>
    <w:rsid w:val="68510F3D"/>
    <w:rsid w:val="6855CE9F"/>
    <w:rsid w:val="68584655"/>
    <w:rsid w:val="685BC7E0"/>
    <w:rsid w:val="685D63CA"/>
    <w:rsid w:val="685F4C8B"/>
    <w:rsid w:val="6862F39A"/>
    <w:rsid w:val="6869526F"/>
    <w:rsid w:val="686BDC81"/>
    <w:rsid w:val="6870A5D6"/>
    <w:rsid w:val="688AF071"/>
    <w:rsid w:val="688C3683"/>
    <w:rsid w:val="68957C06"/>
    <w:rsid w:val="68978B0E"/>
    <w:rsid w:val="689C2167"/>
    <w:rsid w:val="68A00A43"/>
    <w:rsid w:val="68A0B486"/>
    <w:rsid w:val="68AE7B5A"/>
    <w:rsid w:val="68C01616"/>
    <w:rsid w:val="68C53010"/>
    <w:rsid w:val="68C9F42B"/>
    <w:rsid w:val="68D5BEB4"/>
    <w:rsid w:val="68D6710A"/>
    <w:rsid w:val="68DC4111"/>
    <w:rsid w:val="68E6BE02"/>
    <w:rsid w:val="68EA557D"/>
    <w:rsid w:val="68EBBCB3"/>
    <w:rsid w:val="68F0FED9"/>
    <w:rsid w:val="68F39F5E"/>
    <w:rsid w:val="68F4B067"/>
    <w:rsid w:val="68FB8DDA"/>
    <w:rsid w:val="690A864C"/>
    <w:rsid w:val="690E3959"/>
    <w:rsid w:val="6913DF1A"/>
    <w:rsid w:val="69159172"/>
    <w:rsid w:val="691AF52F"/>
    <w:rsid w:val="691E3A2F"/>
    <w:rsid w:val="6921E08B"/>
    <w:rsid w:val="6928326A"/>
    <w:rsid w:val="692AB36D"/>
    <w:rsid w:val="69409F33"/>
    <w:rsid w:val="69436BE5"/>
    <w:rsid w:val="6948765B"/>
    <w:rsid w:val="694F9A59"/>
    <w:rsid w:val="6950F72A"/>
    <w:rsid w:val="69551CD2"/>
    <w:rsid w:val="696097DA"/>
    <w:rsid w:val="6968E566"/>
    <w:rsid w:val="696E3E99"/>
    <w:rsid w:val="6970D148"/>
    <w:rsid w:val="6975E325"/>
    <w:rsid w:val="6979AB3D"/>
    <w:rsid w:val="6980DD1D"/>
    <w:rsid w:val="698E04A9"/>
    <w:rsid w:val="698F2127"/>
    <w:rsid w:val="698FAEEE"/>
    <w:rsid w:val="69922E31"/>
    <w:rsid w:val="699A1587"/>
    <w:rsid w:val="699A9438"/>
    <w:rsid w:val="699B411C"/>
    <w:rsid w:val="699B4BAE"/>
    <w:rsid w:val="69B71526"/>
    <w:rsid w:val="69B85A4F"/>
    <w:rsid w:val="69B95A4A"/>
    <w:rsid w:val="69BC7E39"/>
    <w:rsid w:val="69C184DD"/>
    <w:rsid w:val="69C9326A"/>
    <w:rsid w:val="69D3FC20"/>
    <w:rsid w:val="69DE6FE4"/>
    <w:rsid w:val="69EC37F5"/>
    <w:rsid w:val="69ED879B"/>
    <w:rsid w:val="69F127DB"/>
    <w:rsid w:val="6A067CB7"/>
    <w:rsid w:val="6A085ECA"/>
    <w:rsid w:val="6A2BFE79"/>
    <w:rsid w:val="6A2D4FAC"/>
    <w:rsid w:val="6A44F236"/>
    <w:rsid w:val="6A48CA82"/>
    <w:rsid w:val="6A5875D9"/>
    <w:rsid w:val="6A5B24EA"/>
    <w:rsid w:val="6A63D58D"/>
    <w:rsid w:val="6A6AA864"/>
    <w:rsid w:val="6A6E2043"/>
    <w:rsid w:val="6A702087"/>
    <w:rsid w:val="6A70A5C4"/>
    <w:rsid w:val="6A73F89B"/>
    <w:rsid w:val="6A791FFB"/>
    <w:rsid w:val="6A7F9104"/>
    <w:rsid w:val="6A84F4BF"/>
    <w:rsid w:val="6A878D14"/>
    <w:rsid w:val="6A8D1E8D"/>
    <w:rsid w:val="6AA0EF67"/>
    <w:rsid w:val="6AA4E807"/>
    <w:rsid w:val="6AA50775"/>
    <w:rsid w:val="6AA6D750"/>
    <w:rsid w:val="6AA8C970"/>
    <w:rsid w:val="6AA93EB5"/>
    <w:rsid w:val="6AAFE16C"/>
    <w:rsid w:val="6AB0335B"/>
    <w:rsid w:val="6AC31A79"/>
    <w:rsid w:val="6ACDEB87"/>
    <w:rsid w:val="6ACFE355"/>
    <w:rsid w:val="6AD79967"/>
    <w:rsid w:val="6AD7AA37"/>
    <w:rsid w:val="6AE2A9A4"/>
    <w:rsid w:val="6AEBF543"/>
    <w:rsid w:val="6AED5032"/>
    <w:rsid w:val="6AF38DA5"/>
    <w:rsid w:val="6AFB4331"/>
    <w:rsid w:val="6B009D47"/>
    <w:rsid w:val="6B02F73A"/>
    <w:rsid w:val="6B05D8AA"/>
    <w:rsid w:val="6B1222F5"/>
    <w:rsid w:val="6B135D8B"/>
    <w:rsid w:val="6B212AFA"/>
    <w:rsid w:val="6B2C7F84"/>
    <w:rsid w:val="6B33E675"/>
    <w:rsid w:val="6B449704"/>
    <w:rsid w:val="6B44B3E7"/>
    <w:rsid w:val="6B4E917E"/>
    <w:rsid w:val="6B53CDF5"/>
    <w:rsid w:val="6B53FC27"/>
    <w:rsid w:val="6B605955"/>
    <w:rsid w:val="6B6404AA"/>
    <w:rsid w:val="6B66E463"/>
    <w:rsid w:val="6B6BC7F5"/>
    <w:rsid w:val="6B70E39E"/>
    <w:rsid w:val="6B715212"/>
    <w:rsid w:val="6B7193AA"/>
    <w:rsid w:val="6B745EA5"/>
    <w:rsid w:val="6B86A75B"/>
    <w:rsid w:val="6B8F2152"/>
    <w:rsid w:val="6BBA30AA"/>
    <w:rsid w:val="6BC29701"/>
    <w:rsid w:val="6BC7CEDA"/>
    <w:rsid w:val="6BCA4835"/>
    <w:rsid w:val="6BCAB5E0"/>
    <w:rsid w:val="6BCB770A"/>
    <w:rsid w:val="6BCF91FD"/>
    <w:rsid w:val="6BD244F6"/>
    <w:rsid w:val="6BD53AD3"/>
    <w:rsid w:val="6BDBC3C2"/>
    <w:rsid w:val="6BE6CE7F"/>
    <w:rsid w:val="6BE9BEBA"/>
    <w:rsid w:val="6BEE348E"/>
    <w:rsid w:val="6BF510AD"/>
    <w:rsid w:val="6C02E7F9"/>
    <w:rsid w:val="6C07AD45"/>
    <w:rsid w:val="6C10E36A"/>
    <w:rsid w:val="6C13D58B"/>
    <w:rsid w:val="6C188615"/>
    <w:rsid w:val="6C18F2B4"/>
    <w:rsid w:val="6C213F61"/>
    <w:rsid w:val="6C26C7C2"/>
    <w:rsid w:val="6C2E99D4"/>
    <w:rsid w:val="6C38B824"/>
    <w:rsid w:val="6C4218C7"/>
    <w:rsid w:val="6C4FA7FE"/>
    <w:rsid w:val="6C50F2BF"/>
    <w:rsid w:val="6C510F82"/>
    <w:rsid w:val="6C59F678"/>
    <w:rsid w:val="6C5EAA27"/>
    <w:rsid w:val="6C63353B"/>
    <w:rsid w:val="6C638FB7"/>
    <w:rsid w:val="6C7D17BC"/>
    <w:rsid w:val="6C80F69F"/>
    <w:rsid w:val="6C8B7F32"/>
    <w:rsid w:val="6C8EC5AA"/>
    <w:rsid w:val="6C937810"/>
    <w:rsid w:val="6C9EBC63"/>
    <w:rsid w:val="6CA4C15B"/>
    <w:rsid w:val="6CA95847"/>
    <w:rsid w:val="6CB35724"/>
    <w:rsid w:val="6CB8E7E0"/>
    <w:rsid w:val="6CB8F258"/>
    <w:rsid w:val="6CBBADBB"/>
    <w:rsid w:val="6CDAB14D"/>
    <w:rsid w:val="6CE46A92"/>
    <w:rsid w:val="6CEAB84B"/>
    <w:rsid w:val="6CEC3448"/>
    <w:rsid w:val="6CEF5365"/>
    <w:rsid w:val="6CF0922F"/>
    <w:rsid w:val="6CF1CEF7"/>
    <w:rsid w:val="6CFCC499"/>
    <w:rsid w:val="6D0B132A"/>
    <w:rsid w:val="6D2C3D31"/>
    <w:rsid w:val="6D4A6E16"/>
    <w:rsid w:val="6D4AC0DB"/>
    <w:rsid w:val="6D57DA5E"/>
    <w:rsid w:val="6D5B2A5E"/>
    <w:rsid w:val="6D745B4E"/>
    <w:rsid w:val="6D7901D6"/>
    <w:rsid w:val="6D855429"/>
    <w:rsid w:val="6D8733C1"/>
    <w:rsid w:val="6D8DE9BF"/>
    <w:rsid w:val="6D921011"/>
    <w:rsid w:val="6D975CD1"/>
    <w:rsid w:val="6D97624E"/>
    <w:rsid w:val="6D9C9447"/>
    <w:rsid w:val="6DA4B002"/>
    <w:rsid w:val="6DA56F02"/>
    <w:rsid w:val="6DA77E7A"/>
    <w:rsid w:val="6DAAD84B"/>
    <w:rsid w:val="6DAD68D1"/>
    <w:rsid w:val="6DB35F3B"/>
    <w:rsid w:val="6DB59382"/>
    <w:rsid w:val="6DB689FA"/>
    <w:rsid w:val="6DB7F5D6"/>
    <w:rsid w:val="6DB93351"/>
    <w:rsid w:val="6DC1BB01"/>
    <w:rsid w:val="6DC3E937"/>
    <w:rsid w:val="6DC3FB16"/>
    <w:rsid w:val="6DCCFF27"/>
    <w:rsid w:val="6DCD57D4"/>
    <w:rsid w:val="6DCF8C3E"/>
    <w:rsid w:val="6DD9B5FD"/>
    <w:rsid w:val="6DDC168A"/>
    <w:rsid w:val="6DE0FD0A"/>
    <w:rsid w:val="6DE4769F"/>
    <w:rsid w:val="6DE9E998"/>
    <w:rsid w:val="6DF15896"/>
    <w:rsid w:val="6DF6B2DA"/>
    <w:rsid w:val="6DFCE421"/>
    <w:rsid w:val="6DFD5C85"/>
    <w:rsid w:val="6DFE7DAF"/>
    <w:rsid w:val="6E07BB0F"/>
    <w:rsid w:val="6E0878A8"/>
    <w:rsid w:val="6E121B85"/>
    <w:rsid w:val="6E1C69C6"/>
    <w:rsid w:val="6E1F437D"/>
    <w:rsid w:val="6E2558CD"/>
    <w:rsid w:val="6E2B0E65"/>
    <w:rsid w:val="6E306B53"/>
    <w:rsid w:val="6E344ACE"/>
    <w:rsid w:val="6E38DEAA"/>
    <w:rsid w:val="6E38E8FB"/>
    <w:rsid w:val="6E3A2329"/>
    <w:rsid w:val="6E3C5CC6"/>
    <w:rsid w:val="6E3CCF23"/>
    <w:rsid w:val="6E3CDABC"/>
    <w:rsid w:val="6E4F8505"/>
    <w:rsid w:val="6E4FB9BD"/>
    <w:rsid w:val="6E5CD068"/>
    <w:rsid w:val="6E6DC945"/>
    <w:rsid w:val="6E6E30BB"/>
    <w:rsid w:val="6E74D204"/>
    <w:rsid w:val="6E80A720"/>
    <w:rsid w:val="6E81EF28"/>
    <w:rsid w:val="6E8C9A2E"/>
    <w:rsid w:val="6E8D9F58"/>
    <w:rsid w:val="6E8F5051"/>
    <w:rsid w:val="6E9073C2"/>
    <w:rsid w:val="6E97D7DE"/>
    <w:rsid w:val="6E9BA181"/>
    <w:rsid w:val="6EA9BF90"/>
    <w:rsid w:val="6EAE3707"/>
    <w:rsid w:val="6EAE8262"/>
    <w:rsid w:val="6EAEFF4C"/>
    <w:rsid w:val="6EB72AD0"/>
    <w:rsid w:val="6EB7D300"/>
    <w:rsid w:val="6EB9E74F"/>
    <w:rsid w:val="6EBC4ABC"/>
    <w:rsid w:val="6EBC9F71"/>
    <w:rsid w:val="6EBE8A76"/>
    <w:rsid w:val="6EC957F2"/>
    <w:rsid w:val="6ED0CC7A"/>
    <w:rsid w:val="6ED36EA6"/>
    <w:rsid w:val="6EDD205D"/>
    <w:rsid w:val="6EDDE6CE"/>
    <w:rsid w:val="6EE4E31C"/>
    <w:rsid w:val="6EE56528"/>
    <w:rsid w:val="6EEE1849"/>
    <w:rsid w:val="6F014D5C"/>
    <w:rsid w:val="6F03E2D1"/>
    <w:rsid w:val="6F04160F"/>
    <w:rsid w:val="6F20C7BA"/>
    <w:rsid w:val="6F2FCFD8"/>
    <w:rsid w:val="6F3003AD"/>
    <w:rsid w:val="6F3427FC"/>
    <w:rsid w:val="6F35C228"/>
    <w:rsid w:val="6F3BC38C"/>
    <w:rsid w:val="6F3D3923"/>
    <w:rsid w:val="6F3D6689"/>
    <w:rsid w:val="6F4884C8"/>
    <w:rsid w:val="6F4D7F78"/>
    <w:rsid w:val="6F613962"/>
    <w:rsid w:val="6F65EE45"/>
    <w:rsid w:val="6F69BDA2"/>
    <w:rsid w:val="6F6CB59C"/>
    <w:rsid w:val="6F726E0E"/>
    <w:rsid w:val="6F754EFF"/>
    <w:rsid w:val="6F7D7AB9"/>
    <w:rsid w:val="6F7EB4D9"/>
    <w:rsid w:val="6F89973D"/>
    <w:rsid w:val="6F8B0984"/>
    <w:rsid w:val="6F8D69FD"/>
    <w:rsid w:val="6F9187B1"/>
    <w:rsid w:val="6F9E203F"/>
    <w:rsid w:val="6F9E80D2"/>
    <w:rsid w:val="6FAB3060"/>
    <w:rsid w:val="6FB22507"/>
    <w:rsid w:val="6FB3CD16"/>
    <w:rsid w:val="6FB77476"/>
    <w:rsid w:val="6FB7D42F"/>
    <w:rsid w:val="6FC028CF"/>
    <w:rsid w:val="6FC23CE9"/>
    <w:rsid w:val="6FC50EBD"/>
    <w:rsid w:val="6FC82B36"/>
    <w:rsid w:val="6FD3285F"/>
    <w:rsid w:val="6FD64912"/>
    <w:rsid w:val="6FDB4244"/>
    <w:rsid w:val="6FDCAC63"/>
    <w:rsid w:val="6FDF6FFC"/>
    <w:rsid w:val="6FECECA5"/>
    <w:rsid w:val="6FEE6C1F"/>
    <w:rsid w:val="6FFEA7B6"/>
    <w:rsid w:val="700631E0"/>
    <w:rsid w:val="701CF44A"/>
    <w:rsid w:val="701DD37A"/>
    <w:rsid w:val="7027C8B0"/>
    <w:rsid w:val="702907D2"/>
    <w:rsid w:val="702AB581"/>
    <w:rsid w:val="702B1463"/>
    <w:rsid w:val="702B4AB1"/>
    <w:rsid w:val="702E593B"/>
    <w:rsid w:val="703F3918"/>
    <w:rsid w:val="704120A8"/>
    <w:rsid w:val="7041464E"/>
    <w:rsid w:val="704426C0"/>
    <w:rsid w:val="704D4940"/>
    <w:rsid w:val="70536CFD"/>
    <w:rsid w:val="705D0B3F"/>
    <w:rsid w:val="70651538"/>
    <w:rsid w:val="7065315A"/>
    <w:rsid w:val="706A2B83"/>
    <w:rsid w:val="70733AF9"/>
    <w:rsid w:val="7078BAA9"/>
    <w:rsid w:val="70984C0E"/>
    <w:rsid w:val="7099E16B"/>
    <w:rsid w:val="709AAD81"/>
    <w:rsid w:val="709D6CB5"/>
    <w:rsid w:val="70A510CC"/>
    <w:rsid w:val="70ABEF49"/>
    <w:rsid w:val="70AD603F"/>
    <w:rsid w:val="70AEECD0"/>
    <w:rsid w:val="70B05E56"/>
    <w:rsid w:val="70B38AF8"/>
    <w:rsid w:val="70CDA437"/>
    <w:rsid w:val="70D8B0C7"/>
    <w:rsid w:val="70D8D3EB"/>
    <w:rsid w:val="70DA82EB"/>
    <w:rsid w:val="70DD3769"/>
    <w:rsid w:val="70F73746"/>
    <w:rsid w:val="70F92902"/>
    <w:rsid w:val="70FF0B03"/>
    <w:rsid w:val="71166066"/>
    <w:rsid w:val="7118EA7A"/>
    <w:rsid w:val="711E0BF3"/>
    <w:rsid w:val="7128E832"/>
    <w:rsid w:val="713316F1"/>
    <w:rsid w:val="7133F570"/>
    <w:rsid w:val="713D2D0B"/>
    <w:rsid w:val="71480E37"/>
    <w:rsid w:val="71486785"/>
    <w:rsid w:val="714CF9B0"/>
    <w:rsid w:val="71565368"/>
    <w:rsid w:val="715BFCA0"/>
    <w:rsid w:val="71637D15"/>
    <w:rsid w:val="71645320"/>
    <w:rsid w:val="717FD3F2"/>
    <w:rsid w:val="7183F594"/>
    <w:rsid w:val="7188B340"/>
    <w:rsid w:val="718A6CE6"/>
    <w:rsid w:val="718EEC80"/>
    <w:rsid w:val="719234C9"/>
    <w:rsid w:val="71A4E2CE"/>
    <w:rsid w:val="71A73D24"/>
    <w:rsid w:val="71ACB4FE"/>
    <w:rsid w:val="71B58291"/>
    <w:rsid w:val="71BB7F4F"/>
    <w:rsid w:val="71BDAB21"/>
    <w:rsid w:val="71C65E17"/>
    <w:rsid w:val="71C922C7"/>
    <w:rsid w:val="71DD59AB"/>
    <w:rsid w:val="71E3D2F5"/>
    <w:rsid w:val="71E455AA"/>
    <w:rsid w:val="71E6BDD7"/>
    <w:rsid w:val="71F6B30B"/>
    <w:rsid w:val="71FA7C33"/>
    <w:rsid w:val="7200144F"/>
    <w:rsid w:val="72004A9E"/>
    <w:rsid w:val="72035E77"/>
    <w:rsid w:val="720BB5D3"/>
    <w:rsid w:val="721BCBB6"/>
    <w:rsid w:val="72216D9E"/>
    <w:rsid w:val="72226B70"/>
    <w:rsid w:val="72248E07"/>
    <w:rsid w:val="7224B679"/>
    <w:rsid w:val="722EF43D"/>
    <w:rsid w:val="723285C8"/>
    <w:rsid w:val="72332E8C"/>
    <w:rsid w:val="72375322"/>
    <w:rsid w:val="723B7F1A"/>
    <w:rsid w:val="723C50B7"/>
    <w:rsid w:val="723F1F31"/>
    <w:rsid w:val="723F4D62"/>
    <w:rsid w:val="72457F17"/>
    <w:rsid w:val="72466D9A"/>
    <w:rsid w:val="7246B77B"/>
    <w:rsid w:val="724B3CC8"/>
    <w:rsid w:val="72518554"/>
    <w:rsid w:val="725483B3"/>
    <w:rsid w:val="725CCE6A"/>
    <w:rsid w:val="7264CFDD"/>
    <w:rsid w:val="72675374"/>
    <w:rsid w:val="7272BF7C"/>
    <w:rsid w:val="728670E6"/>
    <w:rsid w:val="728B13B0"/>
    <w:rsid w:val="728DEEE3"/>
    <w:rsid w:val="72929EF9"/>
    <w:rsid w:val="729766EF"/>
    <w:rsid w:val="729C0DBC"/>
    <w:rsid w:val="729E9A0E"/>
    <w:rsid w:val="72A5B1D1"/>
    <w:rsid w:val="72A65E07"/>
    <w:rsid w:val="72B1947B"/>
    <w:rsid w:val="72B220FA"/>
    <w:rsid w:val="72B4BADB"/>
    <w:rsid w:val="72BBA4A6"/>
    <w:rsid w:val="72C2AD8C"/>
    <w:rsid w:val="72C4B893"/>
    <w:rsid w:val="72CE3D04"/>
    <w:rsid w:val="72D7442B"/>
    <w:rsid w:val="72D8FD6C"/>
    <w:rsid w:val="72D98660"/>
    <w:rsid w:val="72D98A71"/>
    <w:rsid w:val="72D99B88"/>
    <w:rsid w:val="72E63F74"/>
    <w:rsid w:val="72EA92E9"/>
    <w:rsid w:val="72EC9908"/>
    <w:rsid w:val="72F592FB"/>
    <w:rsid w:val="72FCB946"/>
    <w:rsid w:val="730165F5"/>
    <w:rsid w:val="73027DBC"/>
    <w:rsid w:val="7307A2B0"/>
    <w:rsid w:val="7309B144"/>
    <w:rsid w:val="730E8366"/>
    <w:rsid w:val="7310D302"/>
    <w:rsid w:val="7314BB26"/>
    <w:rsid w:val="731926EF"/>
    <w:rsid w:val="731E5E4E"/>
    <w:rsid w:val="7324470E"/>
    <w:rsid w:val="73282185"/>
    <w:rsid w:val="73295479"/>
    <w:rsid w:val="732A7A7D"/>
    <w:rsid w:val="732C8E74"/>
    <w:rsid w:val="733D8EA0"/>
    <w:rsid w:val="733E2360"/>
    <w:rsid w:val="7343B7C7"/>
    <w:rsid w:val="7348F032"/>
    <w:rsid w:val="734AE898"/>
    <w:rsid w:val="73507CD2"/>
    <w:rsid w:val="7358F76F"/>
    <w:rsid w:val="735EEA0F"/>
    <w:rsid w:val="735F16E4"/>
    <w:rsid w:val="7362802F"/>
    <w:rsid w:val="736553EC"/>
    <w:rsid w:val="7368D5C8"/>
    <w:rsid w:val="736B6A63"/>
    <w:rsid w:val="7376F465"/>
    <w:rsid w:val="738598E8"/>
    <w:rsid w:val="738B49FA"/>
    <w:rsid w:val="73909885"/>
    <w:rsid w:val="7396FC40"/>
    <w:rsid w:val="73AE271B"/>
    <w:rsid w:val="73B6B236"/>
    <w:rsid w:val="73B81B9F"/>
    <w:rsid w:val="73C37920"/>
    <w:rsid w:val="73C3E7F9"/>
    <w:rsid w:val="73C86146"/>
    <w:rsid w:val="73D4B87D"/>
    <w:rsid w:val="73DAEA5D"/>
    <w:rsid w:val="73F277A8"/>
    <w:rsid w:val="73FE18E2"/>
    <w:rsid w:val="73FF30A6"/>
    <w:rsid w:val="7402C1B5"/>
    <w:rsid w:val="74036A92"/>
    <w:rsid w:val="740AC54C"/>
    <w:rsid w:val="740C1C55"/>
    <w:rsid w:val="7413653B"/>
    <w:rsid w:val="7414B52C"/>
    <w:rsid w:val="7415AD30"/>
    <w:rsid w:val="7415EE98"/>
    <w:rsid w:val="74168091"/>
    <w:rsid w:val="7418770A"/>
    <w:rsid w:val="741D6D3E"/>
    <w:rsid w:val="74274A88"/>
    <w:rsid w:val="742BECB9"/>
    <w:rsid w:val="743284A7"/>
    <w:rsid w:val="743B571A"/>
    <w:rsid w:val="744760B6"/>
    <w:rsid w:val="744A3E96"/>
    <w:rsid w:val="744D061E"/>
    <w:rsid w:val="744D20A5"/>
    <w:rsid w:val="744D6F3F"/>
    <w:rsid w:val="744E3C0C"/>
    <w:rsid w:val="74508B3C"/>
    <w:rsid w:val="74565F09"/>
    <w:rsid w:val="74591D16"/>
    <w:rsid w:val="745C662E"/>
    <w:rsid w:val="745E8321"/>
    <w:rsid w:val="74604989"/>
    <w:rsid w:val="7461A77A"/>
    <w:rsid w:val="7464A5BD"/>
    <w:rsid w:val="746604FA"/>
    <w:rsid w:val="7467CBA2"/>
    <w:rsid w:val="7481F876"/>
    <w:rsid w:val="74829213"/>
    <w:rsid w:val="7484EECB"/>
    <w:rsid w:val="7486A1B3"/>
    <w:rsid w:val="748976C4"/>
    <w:rsid w:val="748A9C0D"/>
    <w:rsid w:val="74961FE9"/>
    <w:rsid w:val="749CEA71"/>
    <w:rsid w:val="749D8CD8"/>
    <w:rsid w:val="749E44BB"/>
    <w:rsid w:val="74A3C5EC"/>
    <w:rsid w:val="74A57291"/>
    <w:rsid w:val="74A639DD"/>
    <w:rsid w:val="74AAB508"/>
    <w:rsid w:val="74B1AAE8"/>
    <w:rsid w:val="74BEF4E5"/>
    <w:rsid w:val="74C4F965"/>
    <w:rsid w:val="74C6E30F"/>
    <w:rsid w:val="74C8B7DE"/>
    <w:rsid w:val="74CF7565"/>
    <w:rsid w:val="74D3338A"/>
    <w:rsid w:val="74D3908E"/>
    <w:rsid w:val="74DA4C73"/>
    <w:rsid w:val="74DE759D"/>
    <w:rsid w:val="74E8281C"/>
    <w:rsid w:val="74EB03FB"/>
    <w:rsid w:val="74EE47E8"/>
    <w:rsid w:val="74EFF509"/>
    <w:rsid w:val="74F6D9E2"/>
    <w:rsid w:val="7500ACF7"/>
    <w:rsid w:val="7500C80F"/>
    <w:rsid w:val="7503271A"/>
    <w:rsid w:val="7505101E"/>
    <w:rsid w:val="7506F2B8"/>
    <w:rsid w:val="750D5F62"/>
    <w:rsid w:val="75126F32"/>
    <w:rsid w:val="7519BCB7"/>
    <w:rsid w:val="753C1BF8"/>
    <w:rsid w:val="75404ED7"/>
    <w:rsid w:val="754404D5"/>
    <w:rsid w:val="7546DA58"/>
    <w:rsid w:val="754784D6"/>
    <w:rsid w:val="75591593"/>
    <w:rsid w:val="7563884C"/>
    <w:rsid w:val="7569AD5D"/>
    <w:rsid w:val="7579BDDE"/>
    <w:rsid w:val="75809EB9"/>
    <w:rsid w:val="75836A2F"/>
    <w:rsid w:val="758693D9"/>
    <w:rsid w:val="758A2C37"/>
    <w:rsid w:val="758E6F25"/>
    <w:rsid w:val="75A35E07"/>
    <w:rsid w:val="75A96CF8"/>
    <w:rsid w:val="75A9743C"/>
    <w:rsid w:val="75AC7A38"/>
    <w:rsid w:val="75AE8100"/>
    <w:rsid w:val="75C309ED"/>
    <w:rsid w:val="75CE2038"/>
    <w:rsid w:val="75D02DD0"/>
    <w:rsid w:val="75D0CBED"/>
    <w:rsid w:val="75D448AF"/>
    <w:rsid w:val="75DC5CAC"/>
    <w:rsid w:val="75DE0438"/>
    <w:rsid w:val="75E0732D"/>
    <w:rsid w:val="75E3DF5D"/>
    <w:rsid w:val="75E8C452"/>
    <w:rsid w:val="75EB17C0"/>
    <w:rsid w:val="75ED0AE2"/>
    <w:rsid w:val="75EFF9AA"/>
    <w:rsid w:val="75F35185"/>
    <w:rsid w:val="75F60DE7"/>
    <w:rsid w:val="75F65FDE"/>
    <w:rsid w:val="75FBAC53"/>
    <w:rsid w:val="75FFA804"/>
    <w:rsid w:val="7611F895"/>
    <w:rsid w:val="76127B04"/>
    <w:rsid w:val="761323CC"/>
    <w:rsid w:val="761A4D0C"/>
    <w:rsid w:val="761DABC7"/>
    <w:rsid w:val="76255614"/>
    <w:rsid w:val="7625DBA8"/>
    <w:rsid w:val="762BE583"/>
    <w:rsid w:val="762E7D36"/>
    <w:rsid w:val="763AD476"/>
    <w:rsid w:val="764375A5"/>
    <w:rsid w:val="764379EB"/>
    <w:rsid w:val="7662A492"/>
    <w:rsid w:val="76670E82"/>
    <w:rsid w:val="76695B51"/>
    <w:rsid w:val="766AAB6D"/>
    <w:rsid w:val="766AE6F9"/>
    <w:rsid w:val="76740947"/>
    <w:rsid w:val="76780E6B"/>
    <w:rsid w:val="7682DD6A"/>
    <w:rsid w:val="768A786C"/>
    <w:rsid w:val="768B420C"/>
    <w:rsid w:val="769231D1"/>
    <w:rsid w:val="7692B69D"/>
    <w:rsid w:val="76966178"/>
    <w:rsid w:val="7697BD33"/>
    <w:rsid w:val="7698F0A3"/>
    <w:rsid w:val="76C59B6B"/>
    <w:rsid w:val="76C65099"/>
    <w:rsid w:val="76CDBEF5"/>
    <w:rsid w:val="76CED3EB"/>
    <w:rsid w:val="76D12100"/>
    <w:rsid w:val="76D2985A"/>
    <w:rsid w:val="76D791CE"/>
    <w:rsid w:val="76DD51DE"/>
    <w:rsid w:val="76F0BAE0"/>
    <w:rsid w:val="76F38275"/>
    <w:rsid w:val="77007B9C"/>
    <w:rsid w:val="77028464"/>
    <w:rsid w:val="77110882"/>
    <w:rsid w:val="772827A7"/>
    <w:rsid w:val="772DB9E6"/>
    <w:rsid w:val="77390F1A"/>
    <w:rsid w:val="77494A24"/>
    <w:rsid w:val="774CCC05"/>
    <w:rsid w:val="7755D42F"/>
    <w:rsid w:val="7757F7CD"/>
    <w:rsid w:val="775BEC10"/>
    <w:rsid w:val="775C09CF"/>
    <w:rsid w:val="775F5E40"/>
    <w:rsid w:val="77604F0D"/>
    <w:rsid w:val="77639E7A"/>
    <w:rsid w:val="776B00AC"/>
    <w:rsid w:val="77785161"/>
    <w:rsid w:val="77787A4C"/>
    <w:rsid w:val="777A3B24"/>
    <w:rsid w:val="778B675E"/>
    <w:rsid w:val="7794E84C"/>
    <w:rsid w:val="77952D89"/>
    <w:rsid w:val="779B4E5B"/>
    <w:rsid w:val="77A6C2A3"/>
    <w:rsid w:val="77B4188E"/>
    <w:rsid w:val="77BD7785"/>
    <w:rsid w:val="77C70D9A"/>
    <w:rsid w:val="77D04624"/>
    <w:rsid w:val="77D211CF"/>
    <w:rsid w:val="77D57463"/>
    <w:rsid w:val="77D7C5A6"/>
    <w:rsid w:val="77D9B92A"/>
    <w:rsid w:val="77E46FDC"/>
    <w:rsid w:val="77E50758"/>
    <w:rsid w:val="77EA2045"/>
    <w:rsid w:val="77EE361C"/>
    <w:rsid w:val="77F6CD77"/>
    <w:rsid w:val="77FB772E"/>
    <w:rsid w:val="77FC2B37"/>
    <w:rsid w:val="78023150"/>
    <w:rsid w:val="7804F7DB"/>
    <w:rsid w:val="78066468"/>
    <w:rsid w:val="780DBCE7"/>
    <w:rsid w:val="780E9DDC"/>
    <w:rsid w:val="7810134D"/>
    <w:rsid w:val="781338F2"/>
    <w:rsid w:val="7814EAA7"/>
    <w:rsid w:val="781D44F6"/>
    <w:rsid w:val="781DCF8E"/>
    <w:rsid w:val="781E2D8B"/>
    <w:rsid w:val="78220C42"/>
    <w:rsid w:val="7826679F"/>
    <w:rsid w:val="78329D57"/>
    <w:rsid w:val="78332825"/>
    <w:rsid w:val="7833526B"/>
    <w:rsid w:val="784B0843"/>
    <w:rsid w:val="784FF567"/>
    <w:rsid w:val="7851A863"/>
    <w:rsid w:val="78531479"/>
    <w:rsid w:val="7861BE3C"/>
    <w:rsid w:val="786B9141"/>
    <w:rsid w:val="78707F15"/>
    <w:rsid w:val="78794FB2"/>
    <w:rsid w:val="7886270E"/>
    <w:rsid w:val="788A86A8"/>
    <w:rsid w:val="7890C191"/>
    <w:rsid w:val="7891B5EE"/>
    <w:rsid w:val="78A09358"/>
    <w:rsid w:val="78A0EFD2"/>
    <w:rsid w:val="78A293BE"/>
    <w:rsid w:val="78A636AE"/>
    <w:rsid w:val="78A9B38E"/>
    <w:rsid w:val="78B119CF"/>
    <w:rsid w:val="78B1B41E"/>
    <w:rsid w:val="78BAE269"/>
    <w:rsid w:val="78C1D686"/>
    <w:rsid w:val="78C86B10"/>
    <w:rsid w:val="78CB8B94"/>
    <w:rsid w:val="78D502D3"/>
    <w:rsid w:val="78D6F93A"/>
    <w:rsid w:val="78D7FC83"/>
    <w:rsid w:val="78DFEB3D"/>
    <w:rsid w:val="78E0BF29"/>
    <w:rsid w:val="78F176D7"/>
    <w:rsid w:val="78F4305E"/>
    <w:rsid w:val="78F44FCE"/>
    <w:rsid w:val="79001273"/>
    <w:rsid w:val="7905F649"/>
    <w:rsid w:val="790AF1CD"/>
    <w:rsid w:val="790F0778"/>
    <w:rsid w:val="791BD9C9"/>
    <w:rsid w:val="792874D9"/>
    <w:rsid w:val="7929D540"/>
    <w:rsid w:val="7932F2A8"/>
    <w:rsid w:val="79359E9F"/>
    <w:rsid w:val="793DA5B8"/>
    <w:rsid w:val="79430BFD"/>
    <w:rsid w:val="79452161"/>
    <w:rsid w:val="79463173"/>
    <w:rsid w:val="79483EF0"/>
    <w:rsid w:val="794ADA63"/>
    <w:rsid w:val="794CD95A"/>
    <w:rsid w:val="7954A381"/>
    <w:rsid w:val="7957656C"/>
    <w:rsid w:val="795E67D6"/>
    <w:rsid w:val="796A0D38"/>
    <w:rsid w:val="796E3A65"/>
    <w:rsid w:val="79708F85"/>
    <w:rsid w:val="797E512F"/>
    <w:rsid w:val="7986348A"/>
    <w:rsid w:val="7989CF91"/>
    <w:rsid w:val="79910AB1"/>
    <w:rsid w:val="7992C2BA"/>
    <w:rsid w:val="7996C6D6"/>
    <w:rsid w:val="799D4E2F"/>
    <w:rsid w:val="79A3A899"/>
    <w:rsid w:val="79A8B0E1"/>
    <w:rsid w:val="79B349F7"/>
    <w:rsid w:val="79B4EBEB"/>
    <w:rsid w:val="79B50639"/>
    <w:rsid w:val="79BAAD17"/>
    <w:rsid w:val="79BEA1D6"/>
    <w:rsid w:val="79BFBD41"/>
    <w:rsid w:val="79C287D3"/>
    <w:rsid w:val="79DBF645"/>
    <w:rsid w:val="79E076D9"/>
    <w:rsid w:val="79E407B9"/>
    <w:rsid w:val="79E56BED"/>
    <w:rsid w:val="79E77A04"/>
    <w:rsid w:val="79ED78C4"/>
    <w:rsid w:val="79F1F77E"/>
    <w:rsid w:val="79FBF805"/>
    <w:rsid w:val="79FEC130"/>
    <w:rsid w:val="7A086F39"/>
    <w:rsid w:val="7A0DEA92"/>
    <w:rsid w:val="7A10ECDB"/>
    <w:rsid w:val="7A1D7092"/>
    <w:rsid w:val="7A2059E5"/>
    <w:rsid w:val="7A22D986"/>
    <w:rsid w:val="7A23EA87"/>
    <w:rsid w:val="7A272737"/>
    <w:rsid w:val="7A29B43C"/>
    <w:rsid w:val="7A2D3A5F"/>
    <w:rsid w:val="7A2DDEA5"/>
    <w:rsid w:val="7A319385"/>
    <w:rsid w:val="7A31D93F"/>
    <w:rsid w:val="7A37808F"/>
    <w:rsid w:val="7A3EF9DD"/>
    <w:rsid w:val="7A3EFCEB"/>
    <w:rsid w:val="7A4E4496"/>
    <w:rsid w:val="7A66D57B"/>
    <w:rsid w:val="7A6DED81"/>
    <w:rsid w:val="7A7CDE42"/>
    <w:rsid w:val="7A95213E"/>
    <w:rsid w:val="7A9771F0"/>
    <w:rsid w:val="7A97738B"/>
    <w:rsid w:val="7A99E0A1"/>
    <w:rsid w:val="7AA468B9"/>
    <w:rsid w:val="7AAD5D95"/>
    <w:rsid w:val="7AB39C82"/>
    <w:rsid w:val="7AB93620"/>
    <w:rsid w:val="7AD0F150"/>
    <w:rsid w:val="7AD7A02A"/>
    <w:rsid w:val="7AD97316"/>
    <w:rsid w:val="7ADA2C8A"/>
    <w:rsid w:val="7ADABA47"/>
    <w:rsid w:val="7ADC01AB"/>
    <w:rsid w:val="7AEC21D7"/>
    <w:rsid w:val="7AF05B82"/>
    <w:rsid w:val="7AF30BD7"/>
    <w:rsid w:val="7AF52EFF"/>
    <w:rsid w:val="7B062B04"/>
    <w:rsid w:val="7B225F3F"/>
    <w:rsid w:val="7B232C65"/>
    <w:rsid w:val="7B254202"/>
    <w:rsid w:val="7B25E207"/>
    <w:rsid w:val="7B28909E"/>
    <w:rsid w:val="7B292330"/>
    <w:rsid w:val="7B2D49C8"/>
    <w:rsid w:val="7B35F593"/>
    <w:rsid w:val="7B37DCA6"/>
    <w:rsid w:val="7B3B5742"/>
    <w:rsid w:val="7B561639"/>
    <w:rsid w:val="7B579FB9"/>
    <w:rsid w:val="7B5B79E1"/>
    <w:rsid w:val="7B6A7030"/>
    <w:rsid w:val="7B70159B"/>
    <w:rsid w:val="7B72B42F"/>
    <w:rsid w:val="7B73E781"/>
    <w:rsid w:val="7B7440F0"/>
    <w:rsid w:val="7B7BFB2B"/>
    <w:rsid w:val="7B7F2788"/>
    <w:rsid w:val="7B827692"/>
    <w:rsid w:val="7B83E678"/>
    <w:rsid w:val="7B86FC79"/>
    <w:rsid w:val="7B8B9143"/>
    <w:rsid w:val="7B92AF5E"/>
    <w:rsid w:val="7B97D11E"/>
    <w:rsid w:val="7B987A8C"/>
    <w:rsid w:val="7B9BA38B"/>
    <w:rsid w:val="7BA3C73C"/>
    <w:rsid w:val="7BAB4B6C"/>
    <w:rsid w:val="7BB08C6F"/>
    <w:rsid w:val="7BB1E713"/>
    <w:rsid w:val="7BB5F80D"/>
    <w:rsid w:val="7BBBBCFF"/>
    <w:rsid w:val="7BBE9554"/>
    <w:rsid w:val="7BC1EF32"/>
    <w:rsid w:val="7BD04F14"/>
    <w:rsid w:val="7BD1353F"/>
    <w:rsid w:val="7BD1DF45"/>
    <w:rsid w:val="7BD2B302"/>
    <w:rsid w:val="7BD2F33B"/>
    <w:rsid w:val="7BDC819D"/>
    <w:rsid w:val="7BE11B68"/>
    <w:rsid w:val="7BEB9D65"/>
    <w:rsid w:val="7BEF2743"/>
    <w:rsid w:val="7BF0853B"/>
    <w:rsid w:val="7C0B9C19"/>
    <w:rsid w:val="7C123C32"/>
    <w:rsid w:val="7C16F2A0"/>
    <w:rsid w:val="7C32E603"/>
    <w:rsid w:val="7C383577"/>
    <w:rsid w:val="7C3BAB5B"/>
    <w:rsid w:val="7C3DD55F"/>
    <w:rsid w:val="7C3FF487"/>
    <w:rsid w:val="7C485D12"/>
    <w:rsid w:val="7C4CE5E3"/>
    <w:rsid w:val="7C4EE422"/>
    <w:rsid w:val="7C567BBE"/>
    <w:rsid w:val="7C57D96F"/>
    <w:rsid w:val="7C5A8D96"/>
    <w:rsid w:val="7C5AA33D"/>
    <w:rsid w:val="7C627B06"/>
    <w:rsid w:val="7C6F3AA2"/>
    <w:rsid w:val="7C759EC5"/>
    <w:rsid w:val="7C7D73BC"/>
    <w:rsid w:val="7C7EA182"/>
    <w:rsid w:val="7C7EC5F7"/>
    <w:rsid w:val="7C80859C"/>
    <w:rsid w:val="7C81DB30"/>
    <w:rsid w:val="7C83535E"/>
    <w:rsid w:val="7C85EA2D"/>
    <w:rsid w:val="7C9BD023"/>
    <w:rsid w:val="7CA5B6FF"/>
    <w:rsid w:val="7CBC9B13"/>
    <w:rsid w:val="7CC53A02"/>
    <w:rsid w:val="7CC92D66"/>
    <w:rsid w:val="7CCB49FB"/>
    <w:rsid w:val="7CD0EB55"/>
    <w:rsid w:val="7CD87565"/>
    <w:rsid w:val="7CD9C7FA"/>
    <w:rsid w:val="7CDD983E"/>
    <w:rsid w:val="7CE23FBA"/>
    <w:rsid w:val="7CE9EB29"/>
    <w:rsid w:val="7CEEB67C"/>
    <w:rsid w:val="7CFD1ECD"/>
    <w:rsid w:val="7D0034E5"/>
    <w:rsid w:val="7D008D1C"/>
    <w:rsid w:val="7D034B81"/>
    <w:rsid w:val="7D050746"/>
    <w:rsid w:val="7D069FA7"/>
    <w:rsid w:val="7D119A92"/>
    <w:rsid w:val="7D18486C"/>
    <w:rsid w:val="7D1A071C"/>
    <w:rsid w:val="7D25F66F"/>
    <w:rsid w:val="7D3874A0"/>
    <w:rsid w:val="7D39E503"/>
    <w:rsid w:val="7D467B26"/>
    <w:rsid w:val="7D49659A"/>
    <w:rsid w:val="7D4D03E3"/>
    <w:rsid w:val="7D4EB842"/>
    <w:rsid w:val="7D550C8A"/>
    <w:rsid w:val="7D6A5FEC"/>
    <w:rsid w:val="7D707908"/>
    <w:rsid w:val="7D767E04"/>
    <w:rsid w:val="7D77C5A3"/>
    <w:rsid w:val="7D78B128"/>
    <w:rsid w:val="7D833491"/>
    <w:rsid w:val="7D83C4E8"/>
    <w:rsid w:val="7D9249E9"/>
    <w:rsid w:val="7DAF259C"/>
    <w:rsid w:val="7DB15652"/>
    <w:rsid w:val="7DB19393"/>
    <w:rsid w:val="7DB6C91A"/>
    <w:rsid w:val="7DBB4E7C"/>
    <w:rsid w:val="7DC00515"/>
    <w:rsid w:val="7DC95E92"/>
    <w:rsid w:val="7DCA0F27"/>
    <w:rsid w:val="7DCA2784"/>
    <w:rsid w:val="7DD74963"/>
    <w:rsid w:val="7DE64E80"/>
    <w:rsid w:val="7DEB5BAA"/>
    <w:rsid w:val="7DEF91BA"/>
    <w:rsid w:val="7E0790B9"/>
    <w:rsid w:val="7E0B74E2"/>
    <w:rsid w:val="7E13B692"/>
    <w:rsid w:val="7E1B1FDE"/>
    <w:rsid w:val="7E1E1C87"/>
    <w:rsid w:val="7E1E5712"/>
    <w:rsid w:val="7E25714E"/>
    <w:rsid w:val="7E2BD225"/>
    <w:rsid w:val="7E34D870"/>
    <w:rsid w:val="7E3513FC"/>
    <w:rsid w:val="7E37E27C"/>
    <w:rsid w:val="7E497D59"/>
    <w:rsid w:val="7E4BCBB6"/>
    <w:rsid w:val="7E5DB389"/>
    <w:rsid w:val="7E62BAAD"/>
    <w:rsid w:val="7E73653F"/>
    <w:rsid w:val="7E76BD06"/>
    <w:rsid w:val="7E805522"/>
    <w:rsid w:val="7E8CF18B"/>
    <w:rsid w:val="7E92C28D"/>
    <w:rsid w:val="7E9EB89A"/>
    <w:rsid w:val="7E9FF376"/>
    <w:rsid w:val="7EA00FA4"/>
    <w:rsid w:val="7EA58CA9"/>
    <w:rsid w:val="7EA776B0"/>
    <w:rsid w:val="7EABA745"/>
    <w:rsid w:val="7EB68BCB"/>
    <w:rsid w:val="7EB7CBF9"/>
    <w:rsid w:val="7EBB372F"/>
    <w:rsid w:val="7EBBC0BD"/>
    <w:rsid w:val="7EC255FD"/>
    <w:rsid w:val="7ECAAA99"/>
    <w:rsid w:val="7ED53193"/>
    <w:rsid w:val="7EDACBF8"/>
    <w:rsid w:val="7EDAD83E"/>
    <w:rsid w:val="7EE18D75"/>
    <w:rsid w:val="7EE78FFC"/>
    <w:rsid w:val="7EE87437"/>
    <w:rsid w:val="7EEC150C"/>
    <w:rsid w:val="7EF09F82"/>
    <w:rsid w:val="7F06A125"/>
    <w:rsid w:val="7F08317A"/>
    <w:rsid w:val="7F1CF8D7"/>
    <w:rsid w:val="7F1F9CDD"/>
    <w:rsid w:val="7F2482D8"/>
    <w:rsid w:val="7F3453BC"/>
    <w:rsid w:val="7F347ED1"/>
    <w:rsid w:val="7F3647E8"/>
    <w:rsid w:val="7F3B92DA"/>
    <w:rsid w:val="7F3C9F66"/>
    <w:rsid w:val="7F42518F"/>
    <w:rsid w:val="7F48E602"/>
    <w:rsid w:val="7F491D50"/>
    <w:rsid w:val="7F49C538"/>
    <w:rsid w:val="7F54C61F"/>
    <w:rsid w:val="7F5E9954"/>
    <w:rsid w:val="7F621B21"/>
    <w:rsid w:val="7F688A3E"/>
    <w:rsid w:val="7F6C960D"/>
    <w:rsid w:val="7F6F4BA0"/>
    <w:rsid w:val="7F6F7640"/>
    <w:rsid w:val="7F75DBA3"/>
    <w:rsid w:val="7F7A105E"/>
    <w:rsid w:val="7F7BF7F1"/>
    <w:rsid w:val="7F894ED3"/>
    <w:rsid w:val="7F8D3A6D"/>
    <w:rsid w:val="7F8F32F1"/>
    <w:rsid w:val="7F993A72"/>
    <w:rsid w:val="7FA8225A"/>
    <w:rsid w:val="7FBBC586"/>
    <w:rsid w:val="7FBBDB08"/>
    <w:rsid w:val="7FC9715F"/>
    <w:rsid w:val="7FD695AA"/>
    <w:rsid w:val="7FD84AE4"/>
    <w:rsid w:val="7FD89759"/>
    <w:rsid w:val="7FE004AF"/>
    <w:rsid w:val="7FE7DDDA"/>
    <w:rsid w:val="7FEACC6A"/>
    <w:rsid w:val="7FEB56ED"/>
    <w:rsid w:val="7FF50ADC"/>
    <w:rsid w:val="7FF90A7F"/>
    <w:rsid w:val="7FFB30DB"/>
  </w:rsids>
  <m:mathPr>
    <m:mathFont m:val="Cambria Math"/>
    <m:brkBin m:val="before"/>
    <m:brkBinSub m:val="--"/>
    <m:smallFrac m:val="0"/>
    <m:dispDef/>
    <m:lMargin m:val="0"/>
    <m:rMargin m:val="0"/>
    <m:defJc m:val="centerGroup"/>
    <m:wrapIndent m:val="1440"/>
    <m:intLim m:val="subSup"/>
    <m:naryLim m:val="undOvr"/>
  </m:mathPr>
  <w:themeFontLang w:val="en-GB" w:eastAsia="zh-CN" w:bidi="k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F7F53CF"/>
  <w14:defaultImageDpi w14:val="330"/>
  <w15:docId w15:val="{435436D9-9B84-4FCD-B7A8-81265CEC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 Square Sans Pro" w:eastAsiaTheme="minorHAnsi" w:hAnsi="EC Square Sans Pro" w:cstheme="minorBidi"/>
        <w:lang w:val="pl-PL" w:eastAsia="en-US" w:bidi="ar-SA"/>
      </w:rPr>
    </w:rPrDefault>
    <w:pPrDefault>
      <w:pPr>
        <w:spacing w:before="240" w:after="240" w:line="264" w:lineRule="auto"/>
      </w:pPr>
    </w:pPrDefault>
  </w:docDefaults>
  <w:latentStyles w:defLockedState="0" w:defUIPriority="99" w:defSemiHidden="0" w:defUnhideWhenUsed="0" w:defQFormat="0" w:count="371">
    <w:lsdException w:name="Normal" w:uiPriority="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8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89" w:unhideWhenUsed="1"/>
    <w:lsdException w:name="Body Text 3" w:semiHidden="1" w:uiPriority="8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style>
  <w:style w:type="paragraph" w:styleId="Heading1">
    <w:name w:val="heading 1"/>
    <w:next w:val="Normal"/>
    <w:link w:val="Heading1Char"/>
    <w:qFormat/>
    <w:pPr>
      <w:keepNext/>
      <w:keepLines/>
      <w:pageBreakBefore/>
      <w:suppressAutoHyphens/>
      <w:spacing w:before="0" w:after="480"/>
      <w:outlineLvl w:val="0"/>
    </w:pPr>
    <w:rPr>
      <w:rFonts w:eastAsia="EC Square Sans Pro" w:cs="Times New Roman"/>
      <w:color w:val="245F95" w:themeColor="text2"/>
      <w:sz w:val="48"/>
      <w:szCs w:val="21"/>
      <w:lang w:eastAsia="zh-CN"/>
    </w:rPr>
  </w:style>
  <w:style w:type="paragraph" w:styleId="Heading2">
    <w:name w:val="heading 2"/>
    <w:basedOn w:val="Normal"/>
    <w:next w:val="Normal"/>
    <w:link w:val="Heading2Char"/>
    <w:unhideWhenUsed/>
    <w:qFormat/>
    <w:rsid w:val="009C6708"/>
    <w:pPr>
      <w:keepNext/>
      <w:keepLines/>
      <w:pBdr>
        <w:bottom w:val="single" w:sz="6" w:space="1" w:color="F36E44" w:themeColor="accent2"/>
      </w:pBdr>
      <w:tabs>
        <w:tab w:val="num" w:pos="0"/>
      </w:tabs>
      <w:suppressAutoHyphens/>
      <w:spacing w:after="360"/>
      <w:outlineLvl w:val="1"/>
    </w:pPr>
    <w:rPr>
      <w:rFonts w:eastAsia="EC Square Sans Pro"/>
      <w:b/>
      <w:color w:val="245F95" w:themeColor="text2"/>
      <w:spacing w:val="-10"/>
      <w:sz w:val="28"/>
      <w:szCs w:val="21"/>
      <w:lang w:eastAsia="zh-CN"/>
    </w:rPr>
  </w:style>
  <w:style w:type="paragraph" w:styleId="Heading3">
    <w:name w:val="heading 3"/>
    <w:basedOn w:val="Normal"/>
    <w:next w:val="Normal"/>
    <w:link w:val="Heading3Char"/>
    <w:unhideWhenUsed/>
    <w:qFormat/>
    <w:pPr>
      <w:keepNext/>
      <w:keepLines/>
      <w:suppressAutoHyphens/>
      <w:spacing w:before="480"/>
      <w:outlineLvl w:val="2"/>
    </w:pPr>
    <w:rPr>
      <w:rFonts w:eastAsiaTheme="majorEastAsia" w:cstheme="majorBidi"/>
      <w:b/>
      <w:color w:val="245F95" w:themeColor="text2"/>
      <w:sz w:val="28"/>
      <w:szCs w:val="24"/>
    </w:rPr>
  </w:style>
  <w:style w:type="paragraph" w:styleId="Heading4">
    <w:name w:val="heading 4"/>
    <w:basedOn w:val="Normal"/>
    <w:next w:val="Normal"/>
    <w:link w:val="Heading4Char"/>
    <w:unhideWhenUsed/>
    <w:qFormat/>
    <w:pPr>
      <w:keepNext/>
      <w:keepLines/>
      <w:suppressAutoHyphens/>
      <w:spacing w:before="480"/>
      <w:outlineLvl w:val="3"/>
    </w:pPr>
    <w:rPr>
      <w:rFonts w:cs="Times New Roman"/>
      <w:color w:val="245F95" w:themeColor="text2"/>
      <w:sz w:val="24"/>
      <w:szCs w:val="22"/>
      <w:lang w:eastAsia="zh-CN"/>
    </w:rPr>
  </w:style>
  <w:style w:type="paragraph" w:styleId="Heading5">
    <w:name w:val="heading 5"/>
    <w:basedOn w:val="Normal"/>
    <w:next w:val="Normal"/>
    <w:link w:val="Heading5Char"/>
    <w:uiPriority w:val="99"/>
    <w:unhideWhenUsed/>
    <w:qFormat/>
    <w:pPr>
      <w:keepNext/>
      <w:keepLines/>
      <w:suppressAutoHyphens/>
      <w:ind w:left="340"/>
      <w:outlineLvl w:val="4"/>
    </w:pPr>
    <w:rPr>
      <w:rFonts w:cs="Times New Roman"/>
      <w:b/>
      <w:color w:val="02847D" w:themeColor="accent1"/>
      <w:sz w:val="24"/>
      <w:szCs w:val="22"/>
      <w:lang w:eastAsia="zh-CN"/>
      <w14:textOutline w14:w="9525" w14:cap="rnd" w14:cmpd="sng" w14:algn="ctr">
        <w14:noFill/>
        <w14:prstDash w14:val="solid"/>
        <w14:bevel/>
      </w14:textOutline>
    </w:rPr>
  </w:style>
  <w:style w:type="paragraph" w:styleId="Heading6">
    <w:name w:val="heading 6"/>
    <w:basedOn w:val="Normal"/>
    <w:next w:val="Normal"/>
    <w:link w:val="Heading6Char"/>
    <w:uiPriority w:val="99"/>
    <w:unhideWhenUsed/>
    <w:qFormat/>
    <w:pPr>
      <w:keepNext/>
      <w:keepLines/>
      <w:spacing w:before="200"/>
      <w:outlineLvl w:val="5"/>
    </w:pPr>
    <w:rPr>
      <w:rFonts w:eastAsiaTheme="majorEastAsia" w:cstheme="majorBidi"/>
      <w:i/>
      <w:iCs/>
      <w:color w:val="01413D" w:themeColor="accent1" w:themeShade="7F"/>
    </w:rPr>
  </w:style>
  <w:style w:type="paragraph" w:styleId="Heading7">
    <w:name w:val="heading 7"/>
    <w:basedOn w:val="Normal"/>
    <w:next w:val="Normal"/>
    <w:link w:val="Heading7Char"/>
    <w:uiPriority w:val="99"/>
    <w:unhideWhenUsed/>
    <w:qFormat/>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9"/>
    <w:unhideWhenUsed/>
    <w:qFormat/>
    <w:pPr>
      <w:keepNext/>
      <w:keepLines/>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9"/>
    <w:unhideWhenUsed/>
    <w:qFormat/>
    <w:pPr>
      <w:keepNext/>
      <w:keepLines/>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eastAsia="EC Square Sans Pro" w:cs="Times New Roman"/>
      <w:color w:val="245F95" w:themeColor="text2"/>
      <w:sz w:val="48"/>
      <w:szCs w:val="21"/>
      <w:lang w:val="pl-PL" w:eastAsia="zh-CN"/>
    </w:rPr>
  </w:style>
  <w:style w:type="character" w:customStyle="1" w:styleId="Heading2Char">
    <w:name w:val="Heading 2 Char"/>
    <w:basedOn w:val="DefaultParagraphFont"/>
    <w:link w:val="Heading2"/>
    <w:rsid w:val="009C6708"/>
    <w:rPr>
      <w:rFonts w:eastAsia="EC Square Sans Pro"/>
      <w:b/>
      <w:color w:val="245F95" w:themeColor="text2"/>
      <w:spacing w:val="-10"/>
      <w:sz w:val="28"/>
      <w:szCs w:val="21"/>
      <w:lang w:val="pl-PL" w:eastAsia="zh-CN"/>
    </w:rPr>
  </w:style>
  <w:style w:type="character" w:customStyle="1" w:styleId="Heading3Char">
    <w:name w:val="Heading 3 Char"/>
    <w:basedOn w:val="DefaultParagraphFont"/>
    <w:link w:val="Heading3"/>
    <w:rPr>
      <w:rFonts w:eastAsiaTheme="majorEastAsia" w:cstheme="majorBidi"/>
      <w:b/>
      <w:color w:val="245F95" w:themeColor="text2"/>
      <w:sz w:val="28"/>
      <w:szCs w:val="24"/>
      <w:lang w:val="pl-PL"/>
    </w:rPr>
  </w:style>
  <w:style w:type="character" w:customStyle="1" w:styleId="Heading4Char">
    <w:name w:val="Heading 4 Char"/>
    <w:basedOn w:val="DefaultParagraphFont"/>
    <w:link w:val="Heading4"/>
    <w:rPr>
      <w:rFonts w:cs="Times New Roman"/>
      <w:color w:val="245F95" w:themeColor="text2"/>
      <w:sz w:val="24"/>
      <w:szCs w:val="22"/>
      <w:lang w:val="pl-PL" w:eastAsia="zh-CN"/>
    </w:rPr>
  </w:style>
  <w:style w:type="character" w:customStyle="1" w:styleId="Heading5Char">
    <w:name w:val="Heading 5 Char"/>
    <w:basedOn w:val="DefaultParagraphFont"/>
    <w:link w:val="Heading5"/>
    <w:uiPriority w:val="99"/>
    <w:rPr>
      <w:rFonts w:cs="Times New Roman"/>
      <w:b/>
      <w:color w:val="02847D" w:themeColor="accent1"/>
      <w:sz w:val="24"/>
      <w:szCs w:val="22"/>
      <w:lang w:val="pl-PL" w:eastAsia="zh-CN"/>
      <w14:textOutline w14:w="9525" w14:cap="rnd" w14:cmpd="sng" w14:algn="ctr">
        <w14:noFill/>
        <w14:prstDash w14:val="solid"/>
        <w14:bevel/>
      </w14:textOutline>
    </w:rPr>
  </w:style>
  <w:style w:type="character" w:customStyle="1" w:styleId="Heading6Char">
    <w:name w:val="Heading 6 Char"/>
    <w:basedOn w:val="DefaultParagraphFont"/>
    <w:link w:val="Heading6"/>
    <w:uiPriority w:val="99"/>
    <w:rPr>
      <w:rFonts w:eastAsiaTheme="majorEastAsia" w:cstheme="majorBidi"/>
      <w:i/>
      <w:iCs/>
      <w:color w:val="01413D" w:themeColor="accent1" w:themeShade="7F"/>
      <w:lang w:val="pl-PL"/>
    </w:rPr>
  </w:style>
  <w:style w:type="character" w:customStyle="1" w:styleId="Heading7Char">
    <w:name w:val="Heading 7 Char"/>
    <w:basedOn w:val="DefaultParagraphFont"/>
    <w:link w:val="Heading7"/>
    <w:uiPriority w:val="99"/>
    <w:rPr>
      <w:rFonts w:eastAsiaTheme="majorEastAsia" w:cstheme="majorBidi"/>
      <w:i/>
      <w:iCs/>
      <w:color w:val="404040" w:themeColor="text1" w:themeTint="BF"/>
      <w:lang w:val="pl-PL"/>
    </w:rPr>
  </w:style>
  <w:style w:type="character" w:customStyle="1" w:styleId="Heading8Char">
    <w:name w:val="Heading 8 Char"/>
    <w:basedOn w:val="DefaultParagraphFont"/>
    <w:link w:val="Heading8"/>
    <w:uiPriority w:val="99"/>
    <w:rPr>
      <w:rFonts w:eastAsiaTheme="majorEastAsia" w:cstheme="majorBidi"/>
      <w:color w:val="404040" w:themeColor="text1" w:themeTint="BF"/>
      <w:lang w:val="pl-PL"/>
    </w:rPr>
  </w:style>
  <w:style w:type="character" w:customStyle="1" w:styleId="Heading9Char">
    <w:name w:val="Heading 9 Char"/>
    <w:basedOn w:val="DefaultParagraphFont"/>
    <w:link w:val="Heading9"/>
    <w:uiPriority w:val="99"/>
    <w:rPr>
      <w:rFonts w:eastAsiaTheme="majorEastAsia" w:cstheme="majorBidi"/>
      <w:i/>
      <w:iCs/>
      <w:color w:val="404040" w:themeColor="text1" w:themeTint="BF"/>
      <w:lang w:val="pl-PL"/>
    </w:rPr>
  </w:style>
  <w:style w:type="paragraph" w:styleId="ListParagraph">
    <w:name w:val="List Paragraph"/>
    <w:basedOn w:val="Normal"/>
    <w:uiPriority w:val="34"/>
    <w:qFormat/>
    <w:pPr>
      <w:ind w:left="720"/>
      <w:contextualSpacing/>
    </w:pPr>
  </w:style>
  <w:style w:type="table" w:styleId="GridTable2-Accent2">
    <w:name w:val="Grid Table 2 Accent 2"/>
    <w:basedOn w:val="TableNormal"/>
    <w:uiPriority w:val="47"/>
    <w:pPr>
      <w:spacing w:after="0" w:line="240" w:lineRule="auto"/>
    </w:pPr>
    <w:tblPr>
      <w:tblStyleRowBandSize w:val="1"/>
      <w:tblStyleColBandSize w:val="1"/>
      <w:tblBorders>
        <w:top w:val="single" w:sz="2" w:space="0" w:color="F7A78E" w:themeColor="accent2" w:themeTint="99"/>
        <w:bottom w:val="single" w:sz="2" w:space="0" w:color="F7A78E" w:themeColor="accent2" w:themeTint="99"/>
        <w:insideH w:val="single" w:sz="2" w:space="0" w:color="F7A78E" w:themeColor="accent2" w:themeTint="99"/>
        <w:insideV w:val="single" w:sz="2" w:space="0" w:color="F7A78E" w:themeColor="accent2" w:themeTint="99"/>
      </w:tblBorders>
    </w:tblPr>
    <w:tblStylePr w:type="firstRow">
      <w:rPr>
        <w:b/>
        <w:bCs/>
      </w:rPr>
      <w:tblPr/>
      <w:tcPr>
        <w:tcBorders>
          <w:top w:val="nil"/>
          <w:bottom w:val="single" w:sz="12" w:space="0" w:color="F7A78E" w:themeColor="accent2" w:themeTint="99"/>
          <w:insideH w:val="nil"/>
          <w:insideV w:val="nil"/>
        </w:tcBorders>
        <w:shd w:val="clear" w:color="auto" w:fill="FFFFFF" w:themeFill="background1"/>
      </w:tcPr>
    </w:tblStylePr>
    <w:tblStylePr w:type="lastRow">
      <w:rPr>
        <w:b/>
        <w:bCs/>
      </w:rPr>
      <w:tblPr/>
      <w:tcPr>
        <w:tcBorders>
          <w:top w:val="double" w:sz="2" w:space="0" w:color="F7A78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1D9" w:themeFill="accent2" w:themeFillTint="33"/>
      </w:tcPr>
    </w:tblStylePr>
    <w:tblStylePr w:type="band1Horz">
      <w:tblPr/>
      <w:tcPr>
        <w:shd w:val="clear" w:color="auto" w:fill="FCE1D9" w:themeFill="accent2" w:themeFillTint="33"/>
      </w:tcPr>
    </w:tblStylePr>
  </w:style>
  <w:style w:type="table" w:styleId="GridTable4-Accent2">
    <w:name w:val="Grid Table 4 Accent 2"/>
    <w:basedOn w:val="TableNormal"/>
    <w:uiPriority w:val="49"/>
    <w:pPr>
      <w:spacing w:after="0" w:line="240" w:lineRule="auto"/>
    </w:pPr>
    <w:tblPr>
      <w:tblStyleRowBandSize w:val="1"/>
      <w:tblStyleColBandSize w:val="1"/>
      <w:tblBorders>
        <w:top w:val="single" w:sz="4" w:space="0" w:color="F7A78E" w:themeColor="accent2" w:themeTint="99"/>
        <w:left w:val="single" w:sz="4" w:space="0" w:color="F7A78E" w:themeColor="accent2" w:themeTint="99"/>
        <w:bottom w:val="single" w:sz="4" w:space="0" w:color="F7A78E" w:themeColor="accent2" w:themeTint="99"/>
        <w:right w:val="single" w:sz="4" w:space="0" w:color="F7A78E" w:themeColor="accent2" w:themeTint="99"/>
        <w:insideH w:val="single" w:sz="4" w:space="0" w:color="F7A78E" w:themeColor="accent2" w:themeTint="99"/>
        <w:insideV w:val="single" w:sz="4" w:space="0" w:color="F7A78E" w:themeColor="accent2" w:themeTint="99"/>
      </w:tblBorders>
    </w:tblPr>
    <w:tblStylePr w:type="firstRow">
      <w:rPr>
        <w:b/>
        <w:bCs/>
        <w:color w:val="FFFFFF" w:themeColor="background1"/>
      </w:rPr>
      <w:tblPr/>
      <w:tcPr>
        <w:tcBorders>
          <w:top w:val="single" w:sz="4" w:space="0" w:color="F36E44" w:themeColor="accent2"/>
          <w:left w:val="single" w:sz="4" w:space="0" w:color="F36E44" w:themeColor="accent2"/>
          <w:bottom w:val="single" w:sz="4" w:space="0" w:color="F36E44" w:themeColor="accent2"/>
          <w:right w:val="single" w:sz="4" w:space="0" w:color="F36E44" w:themeColor="accent2"/>
          <w:insideH w:val="nil"/>
          <w:insideV w:val="nil"/>
        </w:tcBorders>
        <w:shd w:val="clear" w:color="auto" w:fill="F36E44" w:themeFill="accent2"/>
      </w:tcPr>
    </w:tblStylePr>
    <w:tblStylePr w:type="lastRow">
      <w:rPr>
        <w:b/>
        <w:bCs/>
      </w:rPr>
      <w:tblPr/>
      <w:tcPr>
        <w:tcBorders>
          <w:top w:val="double" w:sz="4" w:space="0" w:color="F36E44" w:themeColor="accent2"/>
        </w:tcBorders>
      </w:tcPr>
    </w:tblStylePr>
    <w:tblStylePr w:type="firstCol">
      <w:rPr>
        <w:b/>
        <w:bCs/>
      </w:rPr>
    </w:tblStylePr>
    <w:tblStylePr w:type="lastCol">
      <w:rPr>
        <w:b/>
        <w:bCs/>
      </w:rPr>
    </w:tblStylePr>
    <w:tblStylePr w:type="band1Vert">
      <w:tblPr/>
      <w:tcPr>
        <w:shd w:val="clear" w:color="auto" w:fill="FCE1D9" w:themeFill="accent2" w:themeFillTint="33"/>
      </w:tcPr>
    </w:tblStylePr>
    <w:tblStylePr w:type="band1Horz">
      <w:tblPr/>
      <w:tcPr>
        <w:shd w:val="clear" w:color="auto" w:fill="FCE1D9" w:themeFill="accent2" w:themeFillTint="33"/>
      </w:tcPr>
    </w:tblStylePr>
  </w:style>
  <w:style w:type="table" w:styleId="TableGrid">
    <w:name w:val="Table Grid"/>
    <w:aliases w:val="Document Table,CV1,Standard table format,Simple table"/>
    <w:basedOn w:val="TableNormal"/>
    <w:uiPriority w:val="59"/>
    <w:rPr>
      <w:rFonts w:ascii="Calibri" w:eastAsia="Calibri"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Footnote number,Footnote symbol,Footnote Reference Number,Footnote reference number,Times 10 Point,Exposant 3 Point,Voetnootverwijzing,fr,o,Footnotemark,FR,Footnotemark1,Footnotemark2,FR1,Footnotemark3,FR2,Footnotemark4,FR3"/>
    <w:basedOn w:val="DefaultParagraphFont"/>
    <w:uiPriority w:val="99"/>
    <w:qFormat/>
    <w:rPr>
      <w:vertAlign w:val="superscript"/>
    </w:rPr>
  </w:style>
  <w:style w:type="paragraph" w:styleId="BalloonText">
    <w:name w:val="Balloon Text"/>
    <w:basedOn w:val="Normal"/>
    <w:link w:val="BalloonTextChar"/>
    <w:semiHidden/>
    <w:unhideWhenUsed/>
    <w:rPr>
      <w:rFonts w:cs="Segoe UI"/>
      <w:sz w:val="18"/>
      <w:szCs w:val="18"/>
    </w:rPr>
  </w:style>
  <w:style w:type="character" w:customStyle="1" w:styleId="BalloonTextChar">
    <w:name w:val="Balloon Text Char"/>
    <w:basedOn w:val="DefaultParagraphFont"/>
    <w:link w:val="BalloonText"/>
    <w:semiHidden/>
    <w:rPr>
      <w:rFonts w:cs="Segoe UI"/>
      <w:sz w:val="18"/>
      <w:szCs w:val="18"/>
      <w:lang w:val="pl-PL"/>
    </w:rPr>
  </w:style>
  <w:style w:type="paragraph" w:styleId="Footer">
    <w:name w:val="footer"/>
    <w:basedOn w:val="amprFooter-Left"/>
    <w:link w:val="FooterChar"/>
    <w:uiPriority w:val="99"/>
    <w:unhideWhenUsed/>
    <w:pPr>
      <w:jc w:val="center"/>
    </w:pPr>
    <w:rPr>
      <w:noProof/>
    </w:rPr>
  </w:style>
  <w:style w:type="character" w:customStyle="1" w:styleId="FooterChar">
    <w:name w:val="Footer Char"/>
    <w:basedOn w:val="DefaultParagraphFont"/>
    <w:link w:val="Footer"/>
    <w:uiPriority w:val="99"/>
    <w:rPr>
      <w:rFonts w:eastAsia="EC Square Sans Pro" w:cs="Times New Roman"/>
      <w:noProof/>
      <w:szCs w:val="21"/>
      <w:lang w:val="pl-PL" w:eastAsia="zh-CN"/>
    </w:rPr>
  </w:style>
  <w:style w:type="paragraph" w:styleId="CommentSubject">
    <w:name w:val="annotation subject"/>
    <w:basedOn w:val="Normal"/>
    <w:next w:val="Normal"/>
    <w:link w:val="CommentSubjectChar"/>
    <w:unhideWhenUsed/>
    <w:pPr>
      <w:spacing w:after="200"/>
    </w:pPr>
    <w:rPr>
      <w:b/>
      <w:bCs/>
    </w:rPr>
  </w:style>
  <w:style w:type="character" w:customStyle="1" w:styleId="CommentSubjectChar">
    <w:name w:val="Comment Subject Char"/>
    <w:basedOn w:val="DefaultParagraphFont"/>
    <w:link w:val="CommentSubject"/>
    <w:rPr>
      <w:b/>
      <w:bCs/>
      <w:lang w:val="pl-PL"/>
    </w:rPr>
  </w:style>
  <w:style w:type="paragraph" w:styleId="Revision">
    <w:name w:val="Revision"/>
    <w:hidden/>
    <w:uiPriority w:val="99"/>
    <w:semiHidden/>
  </w:style>
  <w:style w:type="character" w:styleId="Hyperlink">
    <w:name w:val="Hyperlink"/>
    <w:basedOn w:val="DefaultParagraphFont"/>
    <w:uiPriority w:val="99"/>
    <w:unhideWhenUsed/>
    <w:rPr>
      <w:rFonts w:ascii="EC Square Sans Pro" w:hAnsi="EC Square Sans Pro"/>
      <w:strike w:val="0"/>
      <w:dstrike w:val="0"/>
      <w:color w:val="007ACC"/>
      <w:u w:val="single" w:color="65BBC8"/>
      <w:effect w:val="none"/>
      <w:shd w:val="clear" w:color="auto" w:fill="auto"/>
      <w:lang w:val="pl-PL"/>
    </w:rPr>
  </w:style>
  <w:style w:type="table" w:styleId="LightShading-Accent6">
    <w:name w:val="Light Shading Accent 6"/>
    <w:basedOn w:val="TableNormal"/>
    <w:uiPriority w:val="60"/>
    <w:rPr>
      <w:color w:val="8D1C32" w:themeColor="accent6" w:themeShade="BF"/>
      <w:lang w:eastAsia="en-GB"/>
    </w:rPr>
    <w:tblPr>
      <w:tblStyleRowBandSize w:val="1"/>
      <w:tblStyleColBandSize w:val="1"/>
      <w:tblBorders>
        <w:top w:val="single" w:sz="8" w:space="0" w:color="BD2644" w:themeColor="accent6"/>
        <w:bottom w:val="single" w:sz="8" w:space="0" w:color="BD2644" w:themeColor="accent6"/>
      </w:tblBorders>
    </w:tblPr>
    <w:tblStylePr w:type="firstRow">
      <w:pPr>
        <w:spacing w:before="0" w:after="0" w:line="240" w:lineRule="auto"/>
      </w:pPr>
      <w:rPr>
        <w:b/>
        <w:bCs/>
      </w:rPr>
      <w:tblPr/>
      <w:tcPr>
        <w:tcBorders>
          <w:top w:val="single" w:sz="8" w:space="0" w:color="BD2644" w:themeColor="accent6"/>
          <w:left w:val="nil"/>
          <w:bottom w:val="single" w:sz="8" w:space="0" w:color="BD2644" w:themeColor="accent6"/>
          <w:right w:val="nil"/>
          <w:insideH w:val="nil"/>
          <w:insideV w:val="nil"/>
        </w:tcBorders>
      </w:tcPr>
    </w:tblStylePr>
    <w:tblStylePr w:type="lastRow">
      <w:pPr>
        <w:spacing w:before="0" w:after="0" w:line="240" w:lineRule="auto"/>
      </w:pPr>
      <w:rPr>
        <w:b/>
        <w:bCs/>
      </w:rPr>
      <w:tblPr/>
      <w:tcPr>
        <w:tcBorders>
          <w:top w:val="single" w:sz="8" w:space="0" w:color="BD2644" w:themeColor="accent6"/>
          <w:left w:val="nil"/>
          <w:bottom w:val="single" w:sz="8" w:space="0" w:color="BD26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4CD" w:themeFill="accent6" w:themeFillTint="3F"/>
      </w:tcPr>
    </w:tblStylePr>
    <w:tblStylePr w:type="band1Horz">
      <w:tblPr/>
      <w:tcPr>
        <w:tcBorders>
          <w:left w:val="nil"/>
          <w:right w:val="nil"/>
          <w:insideH w:val="nil"/>
          <w:insideV w:val="nil"/>
        </w:tcBorders>
        <w:shd w:val="clear" w:color="auto" w:fill="F3C4CD" w:themeFill="accent6" w:themeFillTint="3F"/>
      </w:tcPr>
    </w:tblStylePr>
  </w:style>
  <w:style w:type="paragraph" w:styleId="EndnoteText">
    <w:name w:val="endnote text"/>
    <w:basedOn w:val="Normal"/>
    <w:link w:val="EndnoteTextChar"/>
    <w:uiPriority w:val="99"/>
    <w:semiHidden/>
    <w:unhideWhenUsed/>
    <w:rPr>
      <w:rFonts w:eastAsia="Calibri"/>
    </w:rPr>
  </w:style>
  <w:style w:type="character" w:customStyle="1" w:styleId="EndnoteTextChar">
    <w:name w:val="Endnote Text Char"/>
    <w:basedOn w:val="DefaultParagraphFont"/>
    <w:link w:val="EndnoteText"/>
    <w:uiPriority w:val="99"/>
    <w:semiHidden/>
    <w:rPr>
      <w:rFonts w:eastAsia="Calibri"/>
      <w:lang w:val="pl-PL"/>
    </w:rPr>
  </w:style>
  <w:style w:type="character" w:styleId="EndnoteReference">
    <w:name w:val="endnote reference"/>
    <w:basedOn w:val="DefaultParagraphFont"/>
    <w:semiHidden/>
    <w:unhideWhenUsed/>
    <w:rPr>
      <w:rFonts w:ascii="EC Square Sans Pro" w:hAnsi="EC Square Sans Pro"/>
      <w:vertAlign w:val="superscript"/>
      <w:lang w:val="pl-PL"/>
    </w:rPr>
  </w:style>
  <w:style w:type="paragraph" w:styleId="ListBullet">
    <w:name w:val="List Bullet"/>
    <w:basedOn w:val="Normal"/>
    <w:uiPriority w:val="99"/>
    <w:semiHidden/>
    <w:unhideWhenUsed/>
    <w:pPr>
      <w:tabs>
        <w:tab w:val="num" w:pos="360"/>
      </w:tabs>
      <w:spacing w:before="120" w:after="120"/>
      <w:ind w:left="360" w:hanging="360"/>
      <w:contextualSpacing/>
      <w:jc w:val="both"/>
    </w:pPr>
    <w:rPr>
      <w:sz w:val="24"/>
    </w:rPr>
  </w:style>
  <w:style w:type="paragraph" w:styleId="ListBullet2">
    <w:name w:val="List Bullet 2"/>
    <w:basedOn w:val="Normal"/>
    <w:unhideWhenUsed/>
    <w:pPr>
      <w:tabs>
        <w:tab w:val="num" w:pos="643"/>
      </w:tabs>
      <w:spacing w:before="120" w:after="120"/>
      <w:ind w:left="643" w:hanging="360"/>
      <w:contextualSpacing/>
      <w:jc w:val="both"/>
    </w:pPr>
    <w:rPr>
      <w:sz w:val="24"/>
    </w:rPr>
  </w:style>
  <w:style w:type="paragraph" w:styleId="ListBullet3">
    <w:name w:val="List Bullet 3"/>
    <w:basedOn w:val="Normal"/>
    <w:uiPriority w:val="99"/>
    <w:semiHidden/>
    <w:unhideWhenUsed/>
    <w:pPr>
      <w:tabs>
        <w:tab w:val="num" w:pos="926"/>
      </w:tabs>
      <w:spacing w:before="120" w:after="120"/>
      <w:ind w:left="926" w:hanging="360"/>
      <w:contextualSpacing/>
      <w:jc w:val="both"/>
    </w:pPr>
    <w:rPr>
      <w:sz w:val="24"/>
    </w:rPr>
  </w:style>
  <w:style w:type="paragraph" w:styleId="ListBullet4">
    <w:name w:val="List Bullet 4"/>
    <w:basedOn w:val="Normal"/>
    <w:uiPriority w:val="99"/>
    <w:semiHidden/>
    <w:unhideWhenUsed/>
    <w:pPr>
      <w:tabs>
        <w:tab w:val="num" w:pos="1209"/>
      </w:tabs>
      <w:spacing w:before="120" w:after="120"/>
      <w:ind w:left="1209" w:hanging="360"/>
      <w:contextualSpacing/>
      <w:jc w:val="both"/>
    </w:pPr>
    <w:rPr>
      <w:sz w:val="24"/>
    </w:rPr>
  </w:style>
  <w:style w:type="table" w:styleId="LightShading-Accent5">
    <w:name w:val="Light Shading Accent 5"/>
    <w:basedOn w:val="TableNormal"/>
    <w:uiPriority w:val="60"/>
    <w:rPr>
      <w:color w:val="4B864B" w:themeColor="accent5" w:themeShade="BF"/>
      <w:lang w:eastAsia="en-GB"/>
    </w:rPr>
    <w:tblPr>
      <w:tblStyleRowBandSize w:val="1"/>
      <w:tblStyleColBandSize w:val="1"/>
      <w:tblBorders>
        <w:top w:val="single" w:sz="8" w:space="0" w:color="6CAD6C" w:themeColor="accent5"/>
        <w:bottom w:val="single" w:sz="8" w:space="0" w:color="6CAD6C" w:themeColor="accent5"/>
      </w:tblBorders>
    </w:tblPr>
    <w:tblStylePr w:type="firstRow">
      <w:pPr>
        <w:spacing w:before="0" w:after="0" w:line="240" w:lineRule="auto"/>
      </w:pPr>
      <w:rPr>
        <w:b/>
        <w:bCs/>
      </w:rPr>
      <w:tblPr/>
      <w:tcPr>
        <w:tcBorders>
          <w:top w:val="single" w:sz="8" w:space="0" w:color="6CAD6C" w:themeColor="accent5"/>
          <w:left w:val="nil"/>
          <w:bottom w:val="single" w:sz="8" w:space="0" w:color="6CAD6C" w:themeColor="accent5"/>
          <w:right w:val="nil"/>
          <w:insideH w:val="nil"/>
          <w:insideV w:val="nil"/>
        </w:tcBorders>
      </w:tcPr>
    </w:tblStylePr>
    <w:tblStylePr w:type="lastRow">
      <w:pPr>
        <w:spacing w:before="0" w:after="0" w:line="240" w:lineRule="auto"/>
      </w:pPr>
      <w:rPr>
        <w:b/>
        <w:bCs/>
      </w:rPr>
      <w:tblPr/>
      <w:tcPr>
        <w:tcBorders>
          <w:top w:val="single" w:sz="8" w:space="0" w:color="6CAD6C" w:themeColor="accent5"/>
          <w:left w:val="nil"/>
          <w:bottom w:val="single" w:sz="8" w:space="0" w:color="6CAD6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ADA" w:themeFill="accent5" w:themeFillTint="3F"/>
      </w:tcPr>
    </w:tblStylePr>
    <w:tblStylePr w:type="band1Horz">
      <w:tblPr/>
      <w:tcPr>
        <w:tcBorders>
          <w:left w:val="nil"/>
          <w:right w:val="nil"/>
          <w:insideH w:val="nil"/>
          <w:insideV w:val="nil"/>
        </w:tcBorders>
        <w:shd w:val="clear" w:color="auto" w:fill="DAEADA" w:themeFill="accent5" w:themeFillTint="3F"/>
      </w:tcPr>
    </w:tblStylePr>
  </w:style>
  <w:style w:type="paragraph" w:styleId="TableofFigures">
    <w:name w:val="table of figures"/>
    <w:basedOn w:val="Normal"/>
    <w:next w:val="Normal"/>
    <w:uiPriority w:val="99"/>
    <w:semiHidden/>
    <w:unhideWhenUsed/>
    <w:pPr>
      <w:spacing w:before="120"/>
      <w:jc w:val="both"/>
    </w:pPr>
    <w:rPr>
      <w:sz w:val="24"/>
    </w:rPr>
  </w:style>
  <w:style w:type="paragraph" w:styleId="ListNumber">
    <w:name w:val="List Number"/>
    <w:basedOn w:val="Normal"/>
    <w:uiPriority w:val="99"/>
    <w:semiHidden/>
    <w:unhideWhenUsed/>
    <w:pPr>
      <w:tabs>
        <w:tab w:val="num" w:pos="360"/>
      </w:tabs>
      <w:spacing w:before="120" w:after="120"/>
      <w:ind w:left="360" w:hanging="360"/>
      <w:contextualSpacing/>
      <w:jc w:val="both"/>
    </w:pPr>
    <w:rPr>
      <w:sz w:val="24"/>
    </w:rPr>
  </w:style>
  <w:style w:type="paragraph" w:styleId="ListNumber2">
    <w:name w:val="List Number 2"/>
    <w:basedOn w:val="Normal"/>
    <w:uiPriority w:val="99"/>
    <w:semiHidden/>
    <w:unhideWhenUsed/>
    <w:pPr>
      <w:tabs>
        <w:tab w:val="num" w:pos="643"/>
      </w:tabs>
      <w:spacing w:before="120" w:after="120"/>
      <w:ind w:left="643" w:hanging="360"/>
      <w:contextualSpacing/>
      <w:jc w:val="both"/>
    </w:pPr>
    <w:rPr>
      <w:sz w:val="24"/>
    </w:rPr>
  </w:style>
  <w:style w:type="paragraph" w:styleId="ListNumber3">
    <w:name w:val="List Number 3"/>
    <w:basedOn w:val="Normal"/>
    <w:uiPriority w:val="99"/>
    <w:semiHidden/>
    <w:unhideWhenUsed/>
    <w:pPr>
      <w:tabs>
        <w:tab w:val="num" w:pos="926"/>
      </w:tabs>
      <w:spacing w:before="120" w:after="120"/>
      <w:ind w:left="926" w:hanging="360"/>
      <w:contextualSpacing/>
      <w:jc w:val="both"/>
    </w:pPr>
    <w:rPr>
      <w:sz w:val="24"/>
    </w:rPr>
  </w:style>
  <w:style w:type="paragraph" w:styleId="ListNumber4">
    <w:name w:val="List Number 4"/>
    <w:basedOn w:val="Normal"/>
    <w:uiPriority w:val="99"/>
    <w:semiHidden/>
    <w:unhideWhenUsed/>
    <w:pPr>
      <w:tabs>
        <w:tab w:val="num" w:pos="1209"/>
      </w:tabs>
      <w:spacing w:before="120" w:after="120"/>
      <w:ind w:left="1209" w:hanging="360"/>
      <w:contextualSpacing/>
      <w:jc w:val="both"/>
    </w:pPr>
    <w:rPr>
      <w:sz w:val="24"/>
    </w:r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amprBodyText"/>
    <w:next w:val="Normal"/>
    <w:link w:val="BodyTextChar"/>
    <w:uiPriority w:val="89"/>
    <w:semiHidden/>
    <w:qFormat/>
  </w:style>
  <w:style w:type="character" w:customStyle="1" w:styleId="BodyTextChar">
    <w:name w:val="Body Text Char"/>
    <w:basedOn w:val="DefaultParagraphFont"/>
    <w:link w:val="BodyText"/>
    <w:uiPriority w:val="89"/>
    <w:semiHidden/>
    <w:rPr>
      <w:rFonts w:eastAsia="EC Square Sans Pro" w:cs="Times New Roman"/>
      <w:szCs w:val="21"/>
      <w:lang w:val="pl-PL" w:eastAsia="zh-CN"/>
    </w:rPr>
  </w:style>
  <w:style w:type="paragraph" w:customStyle="1" w:styleId="Quotes">
    <w:name w:val="Quotes"/>
    <w:basedOn w:val="Normal"/>
    <w:link w:val="QuotesChar"/>
    <w:qFormat/>
    <w:pPr>
      <w:ind w:left="851" w:right="851"/>
      <w:jc w:val="center"/>
    </w:pPr>
    <w:rPr>
      <w:rFonts w:eastAsia="Calibri"/>
      <w:i/>
      <w:color w:val="245F95" w:themeColor="text2"/>
      <w:sz w:val="28"/>
      <w:lang w:eastAsia="zh-CN"/>
    </w:rPr>
  </w:style>
  <w:style w:type="character" w:customStyle="1" w:styleId="QuotesChar">
    <w:name w:val="Quotes Char"/>
    <w:basedOn w:val="DefaultParagraphFont"/>
    <w:link w:val="Quotes"/>
    <w:rPr>
      <w:rFonts w:eastAsia="Calibri"/>
      <w:i/>
      <w:color w:val="245F95" w:themeColor="text2"/>
      <w:sz w:val="28"/>
      <w:lang w:val="pl-PL" w:eastAsia="zh-CN"/>
    </w:rPr>
  </w:style>
  <w:style w:type="paragraph" w:styleId="TOC1">
    <w:name w:val="toc 1"/>
    <w:basedOn w:val="Normal"/>
    <w:next w:val="Normal"/>
    <w:autoRedefine/>
    <w:uiPriority w:val="39"/>
    <w:unhideWhenUsed/>
    <w:qFormat/>
    <w:rsid w:val="006B431C"/>
    <w:pPr>
      <w:tabs>
        <w:tab w:val="right" w:leader="dot" w:pos="9072"/>
      </w:tabs>
      <w:spacing w:before="120" w:after="120"/>
      <w:jc w:val="both"/>
    </w:pPr>
    <w:rPr>
      <w:b/>
      <w:caps/>
    </w:rPr>
  </w:style>
  <w:style w:type="character" w:styleId="FollowedHyperlink">
    <w:name w:val="FollowedHyperlink"/>
    <w:basedOn w:val="DefaultParagraphFont"/>
    <w:uiPriority w:val="99"/>
    <w:semiHidden/>
    <w:unhideWhenUsed/>
    <w:rPr>
      <w:rFonts w:ascii="EC Square Sans Pro" w:hAnsi="EC Square Sans Pro"/>
      <w:color w:val="245F95" w:themeColor="followedHyperlink"/>
      <w:u w:val="single"/>
      <w:lang w:val="pl-PL"/>
    </w:rPr>
  </w:style>
  <w:style w:type="table" w:styleId="MediumShading2-Accent1">
    <w:name w:val="Medium Shading 2 Accent 1"/>
    <w:basedOn w:val="TableNormal"/>
    <w:uiPriority w:val="64"/>
    <w:rPr>
      <w:rFonts w:ascii="Calibri" w:eastAsia="Calibri" w:hAnsi="Calibri" w:cs="Times New Roman"/>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847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2847D" w:themeFill="accent1"/>
      </w:tcPr>
    </w:tblStylePr>
    <w:tblStylePr w:type="lastCol">
      <w:rPr>
        <w:b/>
        <w:bCs/>
        <w:color w:val="FFFFFF" w:themeColor="background1"/>
      </w:rPr>
      <w:tblPr/>
      <w:tcPr>
        <w:tcBorders>
          <w:left w:val="nil"/>
          <w:right w:val="nil"/>
          <w:insideH w:val="nil"/>
          <w:insideV w:val="nil"/>
        </w:tcBorders>
        <w:shd w:val="clear" w:color="auto" w:fill="02847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02847D" w:themeColor="accent1" w:shadow="1" w:frame="1"/>
        <w:left w:val="single" w:sz="2" w:space="10" w:color="02847D" w:themeColor="accent1" w:shadow="1" w:frame="1"/>
        <w:bottom w:val="single" w:sz="2" w:space="10" w:color="02847D" w:themeColor="accent1" w:shadow="1" w:frame="1"/>
        <w:right w:val="single" w:sz="2" w:space="10" w:color="02847D" w:themeColor="accent1" w:shadow="1" w:frame="1"/>
      </w:pBdr>
      <w:ind w:left="1152" w:right="1152"/>
    </w:pPr>
    <w:rPr>
      <w:rFonts w:eastAsiaTheme="minorEastAsia"/>
      <w:i/>
      <w:iCs/>
      <w:color w:val="02847D" w:themeColor="accent1"/>
    </w:rPr>
  </w:style>
  <w:style w:type="paragraph" w:styleId="BodyText2">
    <w:name w:val="Body Text 2"/>
    <w:basedOn w:val="amprBodyText"/>
    <w:link w:val="BodyText2Char"/>
    <w:uiPriority w:val="89"/>
    <w:semiHidden/>
  </w:style>
  <w:style w:type="character" w:customStyle="1" w:styleId="BodyText2Char">
    <w:name w:val="Body Text 2 Char"/>
    <w:basedOn w:val="DefaultParagraphFont"/>
    <w:link w:val="BodyText2"/>
    <w:uiPriority w:val="89"/>
    <w:semiHidden/>
    <w:rPr>
      <w:rFonts w:eastAsia="EC Square Sans Pro" w:cs="Times New Roman"/>
      <w:szCs w:val="21"/>
      <w:lang w:val="pl-PL" w:eastAsia="zh-CN"/>
    </w:rPr>
  </w:style>
  <w:style w:type="paragraph" w:styleId="BodyText3">
    <w:name w:val="Body Text 3"/>
    <w:basedOn w:val="amprBodyText"/>
    <w:link w:val="BodyText3Char"/>
    <w:uiPriority w:val="89"/>
    <w:semiHidden/>
  </w:style>
  <w:style w:type="character" w:customStyle="1" w:styleId="BodyText3Char">
    <w:name w:val="Body Text 3 Char"/>
    <w:basedOn w:val="DefaultParagraphFont"/>
    <w:link w:val="BodyText3"/>
    <w:uiPriority w:val="89"/>
    <w:semiHidden/>
    <w:rPr>
      <w:rFonts w:eastAsia="EC Square Sans Pro" w:cs="Times New Roman"/>
      <w:szCs w:val="21"/>
      <w:lang w:val="pl-PL" w:eastAsia="zh-CN"/>
    </w:rPr>
  </w:style>
  <w:style w:type="paragraph" w:styleId="BodyTextFirstIndent">
    <w:name w:val="Body Text First Indent"/>
    <w:basedOn w:val="BodyText"/>
    <w:link w:val="BodyTextFirstIndentChar"/>
    <w:uiPriority w:val="99"/>
    <w:semiHidden/>
    <w:unhideWhenUsed/>
    <w:pPr>
      <w:ind w:firstLine="360"/>
    </w:pPr>
  </w:style>
  <w:style w:type="character" w:customStyle="1" w:styleId="BodyTextFirstIndentChar">
    <w:name w:val="Body Text First Indent Char"/>
    <w:basedOn w:val="BodyTextChar"/>
    <w:link w:val="BodyTextFirstIndent"/>
    <w:uiPriority w:val="99"/>
    <w:semiHidden/>
    <w:rPr>
      <w:rFonts w:eastAsia="EC Square Sans Pro" w:cs="Times New Roman"/>
      <w:color w:val="000000" w:themeColor="text1"/>
      <w:szCs w:val="21"/>
      <w:lang w:val="pl-PL" w:eastAsia="zh-CN"/>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lang w:val="pl-PL"/>
    </w:rPr>
  </w:style>
  <w:style w:type="paragraph" w:styleId="BodyTextFirstIndent2">
    <w:name w:val="Body Text First Indent 2"/>
    <w:basedOn w:val="BodyTextIndent"/>
    <w:link w:val="BodyTextFirstIndent2Char"/>
    <w:uiPriority w:val="99"/>
    <w:semiHidden/>
    <w:unhideWhenUsed/>
    <w:pPr>
      <w:spacing w:after="0"/>
      <w:ind w:left="360" w:firstLine="360"/>
    </w:pPr>
  </w:style>
  <w:style w:type="character" w:customStyle="1" w:styleId="BodyTextFirstIndent2Char">
    <w:name w:val="Body Text First Indent 2 Char"/>
    <w:basedOn w:val="BodyTextIndentChar"/>
    <w:link w:val="BodyTextFirstIndent2"/>
    <w:uiPriority w:val="99"/>
    <w:semiHidden/>
    <w:rPr>
      <w:lang w:val="pl-PL"/>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
    <w:uiPriority w:val="99"/>
    <w:semiHidden/>
    <w:rPr>
      <w:lang w:val="pl-PL"/>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lang w:val="pl-PL"/>
    </w:rPr>
  </w:style>
  <w:style w:type="paragraph" w:styleId="Closing">
    <w:name w:val="Closing"/>
    <w:basedOn w:val="Normal"/>
    <w:link w:val="ClosingChar"/>
    <w:uiPriority w:val="99"/>
    <w:semiHidden/>
    <w:unhideWhenUsed/>
    <w:pPr>
      <w:ind w:left="4252"/>
    </w:pPr>
  </w:style>
  <w:style w:type="character" w:customStyle="1" w:styleId="ClosingChar">
    <w:name w:val="Closing Char"/>
    <w:basedOn w:val="DefaultParagraphFont"/>
    <w:link w:val="Closing"/>
    <w:uiPriority w:val="99"/>
    <w:semiHidden/>
    <w:rPr>
      <w:lang w:val="pl-PL"/>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lang w:val="pl-PL"/>
    </w:rPr>
  </w:style>
  <w:style w:type="paragraph" w:styleId="DocumentMap">
    <w:name w:val="Document Map"/>
    <w:basedOn w:val="Normal"/>
    <w:link w:val="DocumentMapChar"/>
    <w:semiHidden/>
    <w:unhideWhenUsed/>
    <w:rPr>
      <w:rFonts w:cs="Tahoma"/>
      <w:sz w:val="16"/>
      <w:szCs w:val="16"/>
    </w:rPr>
  </w:style>
  <w:style w:type="character" w:customStyle="1" w:styleId="DocumentMapChar">
    <w:name w:val="Document Map Char"/>
    <w:basedOn w:val="DefaultParagraphFont"/>
    <w:link w:val="DocumentMap"/>
    <w:semiHidden/>
    <w:rPr>
      <w:rFonts w:cs="Tahoma"/>
      <w:sz w:val="16"/>
      <w:szCs w:val="16"/>
      <w:lang w:val="pl-PL"/>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rPr>
      <w:lang w:val="pl-PL"/>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unhideWhenUsed/>
    <w:rPr>
      <w:rFonts w:eastAsiaTheme="majorEastAsia" w:cstheme="majorBidi"/>
    </w:rPr>
  </w:style>
  <w:style w:type="character" w:styleId="HTMLAcronym">
    <w:name w:val="HTML Acronym"/>
    <w:basedOn w:val="DefaultParagraphFont"/>
    <w:uiPriority w:val="99"/>
    <w:semiHidden/>
    <w:unhideWhenUsed/>
    <w:rPr>
      <w:rFonts w:ascii="EC Square Sans Pro" w:hAnsi="EC Square Sans Pro"/>
      <w:lang w:val="pl-PL"/>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i/>
      <w:iCs/>
      <w:lang w:val="pl-PL"/>
    </w:rPr>
  </w:style>
  <w:style w:type="character" w:styleId="HTMLCite">
    <w:name w:val="HTML Cite"/>
    <w:basedOn w:val="DefaultParagraphFont"/>
    <w:uiPriority w:val="99"/>
    <w:semiHidden/>
    <w:unhideWhenUsed/>
    <w:rPr>
      <w:rFonts w:ascii="EC Square Sans Pro" w:hAnsi="EC Square Sans Pro"/>
      <w:i/>
      <w:iCs/>
      <w:lang w:val="pl-PL"/>
    </w:rPr>
  </w:style>
  <w:style w:type="character" w:styleId="HTMLCode">
    <w:name w:val="HTML Code"/>
    <w:basedOn w:val="DefaultParagraphFont"/>
    <w:uiPriority w:val="99"/>
    <w:semiHidden/>
    <w:unhideWhenUsed/>
    <w:rPr>
      <w:rFonts w:ascii="EC Square Sans Pro" w:hAnsi="EC Square Sans Pro" w:cs="Consolas"/>
      <w:sz w:val="20"/>
      <w:szCs w:val="20"/>
      <w:lang w:val="pl-PL"/>
    </w:rPr>
  </w:style>
  <w:style w:type="character" w:styleId="HTMLDefinition">
    <w:name w:val="HTML Definition"/>
    <w:basedOn w:val="DefaultParagraphFont"/>
    <w:uiPriority w:val="99"/>
    <w:semiHidden/>
    <w:unhideWhenUsed/>
    <w:rPr>
      <w:rFonts w:ascii="EC Square Sans Pro" w:hAnsi="EC Square Sans Pro"/>
      <w:i/>
      <w:iCs/>
      <w:lang w:val="pl-PL"/>
    </w:rPr>
  </w:style>
  <w:style w:type="character" w:styleId="HTMLKeyboard">
    <w:name w:val="HTML Keyboard"/>
    <w:basedOn w:val="DefaultParagraphFont"/>
    <w:uiPriority w:val="99"/>
    <w:semiHidden/>
    <w:unhideWhenUsed/>
    <w:rPr>
      <w:rFonts w:ascii="EC Square Sans Pro" w:hAnsi="EC Square Sans Pro" w:cs="Consolas"/>
      <w:sz w:val="20"/>
      <w:szCs w:val="20"/>
      <w:lang w:val="pl-PL"/>
    </w:rPr>
  </w:style>
  <w:style w:type="paragraph" w:styleId="HTMLPreformatted">
    <w:name w:val="HTML Preformatted"/>
    <w:basedOn w:val="Normal"/>
    <w:link w:val="HTMLPreformattedChar"/>
    <w:uiPriority w:val="99"/>
    <w:semiHidden/>
    <w:unhideWhenUsed/>
    <w:rPr>
      <w:rFonts w:cs="Consolas"/>
    </w:rPr>
  </w:style>
  <w:style w:type="character" w:customStyle="1" w:styleId="HTMLPreformattedChar">
    <w:name w:val="HTML Preformatted Char"/>
    <w:basedOn w:val="DefaultParagraphFont"/>
    <w:link w:val="HTMLPreformatted"/>
    <w:uiPriority w:val="99"/>
    <w:semiHidden/>
    <w:rPr>
      <w:rFonts w:cs="Consolas"/>
      <w:lang w:val="pl-PL"/>
    </w:rPr>
  </w:style>
  <w:style w:type="character" w:styleId="HTMLSample">
    <w:name w:val="HTML Sample"/>
    <w:basedOn w:val="DefaultParagraphFont"/>
    <w:uiPriority w:val="99"/>
    <w:semiHidden/>
    <w:unhideWhenUsed/>
    <w:rPr>
      <w:rFonts w:ascii="EC Square Sans Pro" w:hAnsi="EC Square Sans Pro" w:cs="Consolas"/>
      <w:sz w:val="24"/>
      <w:szCs w:val="24"/>
      <w:lang w:val="pl-PL"/>
    </w:rPr>
  </w:style>
  <w:style w:type="character" w:styleId="HTMLTypewriter">
    <w:name w:val="HTML Typewriter"/>
    <w:basedOn w:val="DefaultParagraphFont"/>
    <w:uiPriority w:val="99"/>
    <w:semiHidden/>
    <w:unhideWhenUsed/>
    <w:rPr>
      <w:rFonts w:ascii="EC Square Sans Pro" w:hAnsi="EC Square Sans Pro" w:cs="Consolas"/>
      <w:sz w:val="20"/>
      <w:szCs w:val="20"/>
      <w:lang w:val="pl-PL"/>
    </w:rPr>
  </w:style>
  <w:style w:type="character" w:styleId="HTMLVariable">
    <w:name w:val="HTML Variable"/>
    <w:basedOn w:val="DefaultParagraphFont"/>
    <w:uiPriority w:val="99"/>
    <w:semiHidden/>
    <w:unhideWhenUsed/>
    <w:rPr>
      <w:rFonts w:ascii="EC Square Sans Pro" w:hAnsi="EC Square Sans Pro"/>
      <w:i/>
      <w:iCs/>
      <w:lang w:val="pl-PL"/>
    </w:rPr>
  </w:style>
  <w:style w:type="paragraph" w:styleId="Index1">
    <w:name w:val="index 1"/>
    <w:basedOn w:val="Normal"/>
    <w:next w:val="Normal"/>
    <w:autoRedefine/>
    <w:uiPriority w:val="99"/>
    <w:semiHidden/>
    <w:unhideWhenUsed/>
    <w:pPr>
      <w:ind w:left="200" w:hanging="200"/>
    </w:pPr>
  </w:style>
  <w:style w:type="paragraph" w:styleId="Index2">
    <w:name w:val="index 2"/>
    <w:basedOn w:val="Normal"/>
    <w:next w:val="Normal"/>
    <w:autoRedefine/>
    <w:uiPriority w:val="99"/>
    <w:semiHidden/>
    <w:unhideWhenUsed/>
    <w:pPr>
      <w:ind w:left="400" w:hanging="200"/>
    </w:pPr>
  </w:style>
  <w:style w:type="paragraph" w:styleId="Index3">
    <w:name w:val="index 3"/>
    <w:basedOn w:val="Normal"/>
    <w:next w:val="Normal"/>
    <w:autoRedefine/>
    <w:uiPriority w:val="99"/>
    <w:semiHidden/>
    <w:unhideWhenUsed/>
    <w:pPr>
      <w:ind w:left="600" w:hanging="200"/>
    </w:pPr>
  </w:style>
  <w:style w:type="paragraph" w:styleId="Index4">
    <w:name w:val="index 4"/>
    <w:basedOn w:val="Normal"/>
    <w:next w:val="Normal"/>
    <w:autoRedefine/>
    <w:uiPriority w:val="99"/>
    <w:semiHidden/>
    <w:unhideWhenUsed/>
    <w:pPr>
      <w:ind w:left="800" w:hanging="200"/>
    </w:pPr>
  </w:style>
  <w:style w:type="paragraph" w:styleId="Index5">
    <w:name w:val="index 5"/>
    <w:basedOn w:val="Normal"/>
    <w:next w:val="Normal"/>
    <w:autoRedefine/>
    <w:uiPriority w:val="99"/>
    <w:semiHidden/>
    <w:unhideWhenUsed/>
    <w:pPr>
      <w:ind w:left="1000" w:hanging="200"/>
    </w:pPr>
  </w:style>
  <w:style w:type="paragraph" w:styleId="Index6">
    <w:name w:val="index 6"/>
    <w:basedOn w:val="Normal"/>
    <w:next w:val="Normal"/>
    <w:autoRedefine/>
    <w:uiPriority w:val="99"/>
    <w:semiHidden/>
    <w:unhideWhenUsed/>
    <w:pPr>
      <w:ind w:left="1200" w:hanging="200"/>
    </w:pPr>
  </w:style>
  <w:style w:type="paragraph" w:styleId="Index7">
    <w:name w:val="index 7"/>
    <w:basedOn w:val="Normal"/>
    <w:next w:val="Normal"/>
    <w:autoRedefine/>
    <w:uiPriority w:val="99"/>
    <w:semiHidden/>
    <w:unhideWhenUsed/>
    <w:pPr>
      <w:ind w:left="1400" w:hanging="200"/>
    </w:pPr>
  </w:style>
  <w:style w:type="paragraph" w:styleId="Index8">
    <w:name w:val="index 8"/>
    <w:basedOn w:val="Normal"/>
    <w:next w:val="Normal"/>
    <w:autoRedefine/>
    <w:uiPriority w:val="99"/>
    <w:semiHidden/>
    <w:unhideWhenUsed/>
    <w:pPr>
      <w:ind w:left="1600" w:hanging="200"/>
    </w:pPr>
  </w:style>
  <w:style w:type="paragraph" w:styleId="Index9">
    <w:name w:val="index 9"/>
    <w:basedOn w:val="Normal"/>
    <w:next w:val="Normal"/>
    <w:autoRedefine/>
    <w:uiPriority w:val="99"/>
    <w:semiHidden/>
    <w:unhideWhenUsed/>
    <w:pPr>
      <w:ind w:left="1800" w:hanging="200"/>
    </w:pPr>
  </w:style>
  <w:style w:type="paragraph" w:styleId="IndexHeading">
    <w:name w:val="index heading"/>
    <w:basedOn w:val="Normal"/>
    <w:next w:val="Index1"/>
    <w:uiPriority w:val="99"/>
    <w:semiHidden/>
    <w:unhideWhenUsed/>
    <w:rPr>
      <w:rFonts w:eastAsiaTheme="majorEastAsia" w:cstheme="majorBidi"/>
      <w:b/>
      <w:bCs/>
    </w:rPr>
  </w:style>
  <w:style w:type="character" w:styleId="LineNumber">
    <w:name w:val="line number"/>
    <w:basedOn w:val="DefaultParagraphFont"/>
    <w:uiPriority w:val="99"/>
    <w:semiHidden/>
    <w:unhideWhenUsed/>
    <w:rPr>
      <w:rFonts w:ascii="EC Square Sans Pro" w:hAnsi="EC Square Sans Pro"/>
      <w:lang w:val="pl-PL"/>
    </w:rPr>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5">
    <w:name w:val="List Bullet 5"/>
    <w:basedOn w:val="Normal"/>
    <w:uiPriority w:val="99"/>
    <w:semiHidden/>
    <w:unhideWhenUsed/>
    <w:pPr>
      <w:numPr>
        <w:numId w:val="1"/>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5">
    <w:name w:val="List Number 5"/>
    <w:basedOn w:val="Normal"/>
    <w:uiPriority w:val="99"/>
    <w:semiHidden/>
    <w:unhideWhenUsed/>
    <w:pPr>
      <w:numPr>
        <w:numId w:val="2"/>
      </w:numPr>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croTextChar">
    <w:name w:val="Macro Text Char"/>
    <w:basedOn w:val="DefaultParagraphFont"/>
    <w:link w:val="MacroText"/>
    <w:uiPriority w:val="99"/>
    <w:semiHidden/>
    <w:rPr>
      <w:rFonts w:cs="Consolas"/>
      <w:lang w:val="pl-PL"/>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Pr>
      <w:rFonts w:eastAsiaTheme="majorEastAsia" w:cstheme="majorBidi"/>
      <w:sz w:val="24"/>
      <w:szCs w:val="24"/>
      <w:shd w:val="pct20" w:color="auto" w:fill="auto"/>
      <w:lang w:val="pl-PL"/>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rPr>
      <w:lang w:val="pl-PL"/>
    </w:rPr>
  </w:style>
  <w:style w:type="character" w:styleId="PageNumber">
    <w:name w:val="page number"/>
    <w:basedOn w:val="DefaultParagraphFont"/>
    <w:unhideWhenUsed/>
    <w:rPr>
      <w:rFonts w:ascii="EC Square Sans Pro" w:hAnsi="EC Square Sans Pro"/>
      <w:lang w:val="pl-PL"/>
    </w:rPr>
  </w:style>
  <w:style w:type="character" w:styleId="PlaceholderText">
    <w:name w:val="Placeholder Text"/>
    <w:basedOn w:val="DefaultParagraphFont"/>
    <w:uiPriority w:val="99"/>
    <w:semiHidden/>
    <w:rPr>
      <w:rFonts w:ascii="EC Square Sans Pro" w:hAnsi="EC Square Sans Pro"/>
      <w:color w:val="808080"/>
      <w:lang w:val="pl-PL"/>
    </w:rPr>
  </w:style>
  <w:style w:type="paragraph" w:styleId="PlainText">
    <w:name w:val="Plain Text"/>
    <w:basedOn w:val="Normal"/>
    <w:link w:val="PlainTextChar"/>
    <w:uiPriority w:val="99"/>
    <w:semiHidden/>
    <w:unhideWhenUsed/>
    <w:rPr>
      <w:rFonts w:cs="Consolas"/>
      <w:sz w:val="21"/>
      <w:szCs w:val="21"/>
    </w:rPr>
  </w:style>
  <w:style w:type="character" w:customStyle="1" w:styleId="PlainTextChar">
    <w:name w:val="Plain Text Char"/>
    <w:basedOn w:val="DefaultParagraphFont"/>
    <w:link w:val="PlainText"/>
    <w:uiPriority w:val="99"/>
    <w:semiHidden/>
    <w:rPr>
      <w:rFonts w:cs="Consolas"/>
      <w:sz w:val="21"/>
      <w:szCs w:val="21"/>
      <w:lang w:val="pl-PL"/>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lang w:val="pl-PL"/>
    </w:rPr>
  </w:style>
  <w:style w:type="paragraph" w:styleId="Signature">
    <w:name w:val="Signature"/>
    <w:link w:val="SignatureChar"/>
    <w:uiPriority w:val="99"/>
    <w:pPr>
      <w:spacing w:before="400"/>
      <w:contextualSpacing/>
    </w:pPr>
    <w:rPr>
      <w:sz w:val="22"/>
      <w:szCs w:val="22"/>
    </w:rPr>
  </w:style>
  <w:style w:type="character" w:customStyle="1" w:styleId="SignatureChar">
    <w:name w:val="Signature Char"/>
    <w:basedOn w:val="DefaultParagraphFont"/>
    <w:link w:val="Signature"/>
    <w:uiPriority w:val="99"/>
    <w:rPr>
      <w:sz w:val="22"/>
      <w:szCs w:val="22"/>
      <w:lang w:val="pl-PL"/>
    </w:rPr>
  </w:style>
  <w:style w:type="paragraph" w:styleId="TableofAuthorities">
    <w:name w:val="table of authorities"/>
    <w:basedOn w:val="Normal"/>
    <w:next w:val="Normal"/>
    <w:uiPriority w:val="99"/>
    <w:semiHidden/>
    <w:unhideWhenUsed/>
    <w:pPr>
      <w:ind w:left="200" w:hanging="200"/>
    </w:pPr>
  </w:style>
  <w:style w:type="paragraph" w:styleId="TOAHeading">
    <w:name w:val="toa heading"/>
    <w:basedOn w:val="amprH1TITLE-noTOC"/>
    <w:next w:val="Normal"/>
    <w:uiPriority w:val="99"/>
    <w:semiHidden/>
    <w:unhideWhenUsed/>
  </w:style>
  <w:style w:type="character" w:customStyle="1" w:styleId="BOLDBLUE">
    <w:name w:val="BOLD BLUE"/>
    <w:basedOn w:val="BodyTextChar"/>
    <w:uiPriority w:val="40"/>
    <w:semiHidden/>
    <w:qFormat/>
    <w:rPr>
      <w:rFonts w:eastAsia="EC Square Sans Pro" w:cs="Times New Roman"/>
      <w:b/>
      <w:color w:val="245F95" w:themeColor="text2"/>
      <w:szCs w:val="21"/>
      <w:lang w:val="pl-PL" w:eastAsia="fr-BE"/>
    </w:rPr>
  </w:style>
  <w:style w:type="table" w:styleId="ListTable2-Accent2">
    <w:name w:val="List Table 2 Accent 2"/>
    <w:basedOn w:val="TableNormal"/>
    <w:uiPriority w:val="47"/>
    <w:pPr>
      <w:spacing w:after="0" w:line="240" w:lineRule="auto"/>
    </w:pPr>
    <w:tblPr>
      <w:tblStyleRowBandSize w:val="1"/>
      <w:tblStyleColBandSize w:val="1"/>
      <w:tblBorders>
        <w:top w:val="single" w:sz="4" w:space="0" w:color="F7A78E" w:themeColor="accent2" w:themeTint="99"/>
        <w:bottom w:val="single" w:sz="4" w:space="0" w:color="F7A78E" w:themeColor="accent2" w:themeTint="99"/>
        <w:insideH w:val="single" w:sz="4" w:space="0" w:color="F7A78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1D9" w:themeFill="accent2" w:themeFillTint="33"/>
      </w:tcPr>
    </w:tblStylePr>
    <w:tblStylePr w:type="band1Horz">
      <w:tblPr/>
      <w:tcPr>
        <w:shd w:val="clear" w:color="auto" w:fill="FCE1D9" w:themeFill="accent2" w:themeFillTint="33"/>
      </w:tcPr>
    </w:tblStylePr>
  </w:style>
  <w:style w:type="paragraph" w:styleId="Header">
    <w:name w:val="header"/>
    <w:basedOn w:val="amprHeader-Right"/>
    <w:link w:val="HeaderChar"/>
    <w:unhideWhenUsed/>
  </w:style>
  <w:style w:type="character" w:customStyle="1" w:styleId="HeaderChar">
    <w:name w:val="Header Char"/>
    <w:basedOn w:val="DefaultParagraphFont"/>
    <w:link w:val="Header"/>
    <w:rPr>
      <w:rFonts w:eastAsia="EC Square Sans Pro" w:cs="Times New Roman"/>
      <w:color w:val="767676"/>
      <w:szCs w:val="21"/>
      <w:lang w:val="pl-PL" w:eastAsia="zh-CN"/>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eastAsia="en-GB"/>
    </w:rPr>
  </w:style>
  <w:style w:type="paragraph" w:styleId="FootnoteText">
    <w:name w:val="footnote text"/>
    <w:aliases w:val="fn,footnote text,footnote text Char Char,Car,Footnote Text Char2 Char,Footnote Text Char Char Char1,Footnote Text Char1 Char Char Char,Footnote Text Char2 Char Char Char Char,Footnote Text Char1 Char1 Char Char Char Char,Car Car Ca"/>
    <w:basedOn w:val="BASE-STYLE-TEXT"/>
    <w:link w:val="FootnoteTextChar"/>
    <w:uiPriority w:val="99"/>
    <w:unhideWhenUsed/>
    <w:qFormat/>
    <w:pPr>
      <w:spacing w:after="0" w:line="240" w:lineRule="auto"/>
      <w:ind w:left="357" w:hanging="357"/>
      <w:jc w:val="left"/>
    </w:pPr>
    <w:rPr>
      <w:sz w:val="20"/>
      <w:szCs w:val="20"/>
    </w:rPr>
  </w:style>
  <w:style w:type="character" w:customStyle="1" w:styleId="FootnoteTextChar">
    <w:name w:val="Footnote Text Char"/>
    <w:aliases w:val="fn Char,footnote text Char,footnote text Char Char Char,Car Char,Footnote Text Char2 Char Char,Footnote Text Char Char Char1 Char,Footnote Text Char1 Char Char Char Char,Footnote Text Char2 Char Char Char Char Char,Car Car Ca Char"/>
    <w:basedOn w:val="DefaultParagraphFont"/>
    <w:link w:val="FootnoteText"/>
    <w:uiPriority w:val="99"/>
    <w:qFormat/>
    <w:rPr>
      <w:rFonts w:eastAsia="EC Square Sans Pro" w:cs="Times New Roman"/>
      <w:color w:val="000000" w:themeColor="text1"/>
      <w:lang w:val="pl-PL" w:eastAsia="zh-CN"/>
    </w:rPr>
  </w:style>
  <w:style w:type="paragraph" w:customStyle="1" w:styleId="amprTable-ChartSOURCEandPhotoCAPTION">
    <w:name w:val="[ampr] Table-Chart SOURCE and Photo CAPTION"/>
    <w:next w:val="amprBodyText"/>
    <w:uiPriority w:val="2"/>
    <w:qFormat/>
    <w:pPr>
      <w:spacing w:before="40"/>
      <w:contextualSpacing/>
    </w:pPr>
    <w:rPr>
      <w:rFonts w:eastAsia="Calibri"/>
      <w:iCs/>
      <w:noProof/>
      <w:sz w:val="16"/>
      <w:szCs w:val="16"/>
      <w:lang w:eastAsia="fr-BE"/>
    </w:rPr>
  </w:style>
  <w:style w:type="table" w:customStyle="1" w:styleId="AMPR2021">
    <w:name w:val="AMPR_2021"/>
    <w:basedOn w:val="TableNormal"/>
    <w:uiPriority w:val="99"/>
    <w:pPr>
      <w:spacing w:before="100" w:after="100"/>
    </w:pPr>
    <w:tblPr>
      <w:tblStyleRowBandSize w:val="1"/>
      <w:tblStyleColBandSize w:val="1"/>
      <w:tblBorders>
        <w:top w:val="single" w:sz="4" w:space="0" w:color="8C8C8C"/>
        <w:bottom w:val="single" w:sz="4" w:space="0" w:color="8C8C8C"/>
        <w:insideH w:val="single" w:sz="4" w:space="0" w:color="8C8C8C"/>
      </w:tblBorders>
    </w:tblPr>
    <w:trPr>
      <w:cantSplit/>
    </w:trPr>
    <w:tblStylePr w:type="firstRow">
      <w:pPr>
        <w:wordWrap/>
        <w:jc w:val="center"/>
      </w:pPr>
      <w:rPr>
        <w:b/>
        <w:color w:val="FFFFFF" w:themeColor="background1"/>
      </w:rPr>
      <w:tblPr/>
      <w:tcPr>
        <w:tcBorders>
          <w:top w:val="nil"/>
          <w:left w:val="nil"/>
          <w:bottom w:val="nil"/>
          <w:right w:val="nil"/>
          <w:insideH w:val="nil"/>
          <w:insideV w:val="nil"/>
          <w:tl2br w:val="nil"/>
          <w:tr2bl w:val="nil"/>
        </w:tcBorders>
        <w:shd w:val="clear" w:color="auto" w:fill="245F95" w:themeFill="text2"/>
      </w:tcPr>
    </w:tblStylePr>
    <w:tblStylePr w:type="lastRow">
      <w:rPr>
        <w:b/>
        <w:color w:val="245F95" w:themeColor="text2"/>
      </w:rPr>
      <w:tblPr/>
      <w:tcPr>
        <w:tcBorders>
          <w:bottom w:val="nil"/>
        </w:tcBorders>
        <w:shd w:val="clear" w:color="auto" w:fill="FFFFFF" w:themeFill="background1"/>
      </w:tcPr>
    </w:tblStylePr>
    <w:tblStylePr w:type="firstCol">
      <w:pPr>
        <w:wordWrap/>
        <w:spacing w:beforeLines="0" w:before="100" w:beforeAutospacing="0" w:afterLines="0" w:after="100" w:afterAutospacing="0" w:line="22" w:lineRule="atLeast"/>
        <w:contextualSpacing w:val="0"/>
        <w:jc w:val="left"/>
      </w:pPr>
      <w:rPr>
        <w:b/>
        <w:i w:val="0"/>
        <w:color w:val="02847D" w:themeColor="accent1"/>
      </w:rPr>
    </w:tblStylePr>
    <w:tblStylePr w:type="lastCol">
      <w:rPr>
        <w:b/>
      </w:rPr>
    </w:tblStylePr>
    <w:tblStylePr w:type="band2Vert">
      <w:rPr>
        <w:b w:val="0"/>
      </w:rPr>
      <w:tblPr/>
      <w:tcPr>
        <w:tcBorders>
          <w:top w:val="single" w:sz="4" w:space="0" w:color="8C8C8C"/>
          <w:left w:val="nil"/>
          <w:bottom w:val="single" w:sz="4" w:space="0" w:color="8C8C8C"/>
          <w:right w:val="nil"/>
          <w:insideH w:val="single" w:sz="4" w:space="0" w:color="8C8C8C"/>
          <w:insideV w:val="nil"/>
          <w:tl2br w:val="nil"/>
          <w:tr2bl w:val="nil"/>
        </w:tcBorders>
        <w:shd w:val="clear" w:color="auto" w:fill="F2F2F2" w:themeFill="background1" w:themeFillShade="F2"/>
      </w:tcPr>
    </w:tblStylePr>
    <w:tblStylePr w:type="band1Horz">
      <w:rPr>
        <w:b w:val="0"/>
      </w:rPr>
      <w:tblPr/>
      <w:tcPr>
        <w:tcBorders>
          <w:top w:val="single" w:sz="4" w:space="0" w:color="8C8C8C"/>
          <w:left w:val="nil"/>
          <w:bottom w:val="single" w:sz="4" w:space="0" w:color="8C8C8C"/>
          <w:right w:val="nil"/>
          <w:insideH w:val="nil"/>
          <w:insideV w:val="nil"/>
          <w:tl2br w:val="nil"/>
          <w:tr2bl w:val="nil"/>
        </w:tcBorders>
      </w:tcPr>
    </w:tblStylePr>
    <w:tblStylePr w:type="band2Horz">
      <w:rPr>
        <w:b w:val="0"/>
      </w:rPr>
      <w:tblPr/>
      <w:tcPr>
        <w:tcBorders>
          <w:top w:val="single" w:sz="4" w:space="0" w:color="8C8C8C"/>
          <w:left w:val="nil"/>
          <w:bottom w:val="single" w:sz="4" w:space="0" w:color="8C8C8C"/>
          <w:right w:val="nil"/>
          <w:insideH w:val="nil"/>
          <w:insideV w:val="nil"/>
          <w:tl2br w:val="nil"/>
          <w:tr2bl w:val="nil"/>
        </w:tcBorders>
        <w:shd w:val="clear" w:color="auto" w:fill="F2F2F2" w:themeFill="background1" w:themeFillShade="F2"/>
      </w:tcPr>
    </w:tblStylePr>
  </w:style>
  <w:style w:type="numbering" w:customStyle="1" w:styleId="Style1">
    <w:name w:val="Style1"/>
    <w:uiPriority w:val="99"/>
    <w:pPr>
      <w:numPr>
        <w:numId w:val="3"/>
      </w:numPr>
    </w:pPr>
  </w:style>
  <w:style w:type="paragraph" w:styleId="Caption">
    <w:name w:val="caption"/>
    <w:basedOn w:val="Normal"/>
    <w:next w:val="Normal"/>
    <w:link w:val="CaptionChar"/>
    <w:unhideWhenUsed/>
    <w:qFormat/>
    <w:pPr>
      <w:spacing w:before="0" w:after="200"/>
    </w:pPr>
    <w:rPr>
      <w:i/>
      <w:iCs/>
      <w:color w:val="245F95" w:themeColor="text2"/>
      <w:sz w:val="18"/>
      <w:szCs w:val="18"/>
    </w:rPr>
  </w:style>
  <w:style w:type="paragraph" w:styleId="CommentText">
    <w:name w:val="annotation text"/>
    <w:basedOn w:val="Normal"/>
    <w:link w:val="CommentTextChar"/>
    <w:uiPriority w:val="99"/>
    <w:unhideWhenUsed/>
    <w:qFormat/>
  </w:style>
  <w:style w:type="character" w:customStyle="1" w:styleId="CommentTextChar">
    <w:name w:val="Comment Text Char"/>
    <w:basedOn w:val="DefaultParagraphFont"/>
    <w:link w:val="CommentText"/>
    <w:uiPriority w:val="99"/>
    <w:rPr>
      <w:lang w:val="pl-PL"/>
    </w:rPr>
  </w:style>
  <w:style w:type="paragraph" w:styleId="IntenseQuote">
    <w:name w:val="Intense Quote"/>
    <w:basedOn w:val="Normal"/>
    <w:next w:val="Normal"/>
    <w:link w:val="IntenseQuoteChar"/>
    <w:uiPriority w:val="30"/>
    <w:semiHidden/>
    <w:pPr>
      <w:keepLines/>
      <w:pBdr>
        <w:top w:val="single" w:sz="4" w:space="10" w:color="02847D" w:themeColor="accent1"/>
        <w:bottom w:val="single" w:sz="4" w:space="10" w:color="02847D" w:themeColor="accent1"/>
      </w:pBdr>
      <w:spacing w:before="360" w:after="360"/>
      <w:ind w:left="851" w:right="851"/>
      <w:jc w:val="center"/>
    </w:pPr>
    <w:rPr>
      <w:i/>
      <w:iCs/>
      <w:color w:val="245F95" w:themeColor="text2"/>
    </w:rPr>
  </w:style>
  <w:style w:type="character" w:customStyle="1" w:styleId="IntenseQuoteChar">
    <w:name w:val="Intense Quote Char"/>
    <w:basedOn w:val="DefaultParagraphFont"/>
    <w:link w:val="IntenseQuote"/>
    <w:uiPriority w:val="30"/>
    <w:rPr>
      <w:i/>
      <w:iCs/>
      <w:color w:val="245F95" w:themeColor="text2"/>
      <w:lang w:val="pl-PL"/>
    </w:rPr>
  </w:style>
  <w:style w:type="paragraph" w:styleId="NoSpacing">
    <w:name w:val="No Spacing"/>
    <w:uiPriority w:val="1"/>
    <w:pPr>
      <w:spacing w:before="0" w:after="0"/>
    </w:pPr>
  </w:style>
  <w:style w:type="paragraph" w:customStyle="1" w:styleId="BASE-STYLE-TEXT">
    <w:name w:val="_BASE-STYLE-TEXT"/>
    <w:next w:val="Normal"/>
    <w:uiPriority w:val="40"/>
    <w:semiHidden/>
    <w:pPr>
      <w:spacing w:before="0" w:after="200"/>
      <w:jc w:val="both"/>
    </w:pPr>
    <w:rPr>
      <w:rFonts w:eastAsia="EC Square Sans Pro" w:cs="Times New Roman"/>
      <w:color w:val="000000" w:themeColor="text1"/>
      <w:sz w:val="18"/>
      <w:szCs w:val="21"/>
      <w:lang w:eastAsia="zh-CN"/>
    </w:rPr>
  </w:style>
  <w:style w:type="paragraph" w:customStyle="1" w:styleId="BASE-STYLE-HEADINGS">
    <w:name w:val="_BASE-STYLE-HEADINGS"/>
    <w:basedOn w:val="BASE-STYLE-TEXT"/>
    <w:next w:val="Normal"/>
    <w:uiPriority w:val="40"/>
    <w:semiHidden/>
  </w:style>
  <w:style w:type="paragraph" w:customStyle="1" w:styleId="amprboxBLUEtext">
    <w:name w:val="[ampr box BLUE] text"/>
    <w:basedOn w:val="BASE-STYLE-TEXT"/>
    <w:uiPriority w:val="5"/>
    <w:qFormat/>
    <w:pPr>
      <w:pBdr>
        <w:top w:val="single" w:sz="12" w:space="8" w:color="245F95" w:themeColor="text2"/>
        <w:left w:val="single" w:sz="12" w:space="8" w:color="245F95" w:themeColor="text2"/>
        <w:bottom w:val="single" w:sz="12" w:space="8" w:color="245F95" w:themeColor="text2"/>
        <w:right w:val="single" w:sz="12" w:space="8" w:color="245F95" w:themeColor="text2"/>
      </w:pBdr>
      <w:shd w:val="clear" w:color="auto" w:fill="245F95" w:themeFill="text2"/>
      <w:spacing w:before="240" w:after="240"/>
    </w:pPr>
    <w:rPr>
      <w:color w:val="FFFFFF" w:themeColor="background1"/>
      <w:sz w:val="20"/>
      <w:lang w:eastAsia="fr-BE"/>
    </w:rPr>
  </w:style>
  <w:style w:type="paragraph" w:customStyle="1" w:styleId="amprboxGREENdashedbulletlist">
    <w:name w:val="[ampr box GREEN dashed] bullet list"/>
    <w:basedOn w:val="amprboxGREENdashedtext"/>
    <w:uiPriority w:val="5"/>
    <w:qFormat/>
    <w:pPr>
      <w:numPr>
        <w:numId w:val="7"/>
      </w:numPr>
      <w:spacing w:before="60" w:after="60"/>
      <w:ind w:left="357" w:hanging="357"/>
    </w:pPr>
  </w:style>
  <w:style w:type="paragraph" w:customStyle="1" w:styleId="amprboxGREENdashedheading">
    <w:name w:val="[ampr box GREEN dashed] heading"/>
    <w:basedOn w:val="amprboxGREENdashedtext"/>
    <w:next w:val="Normal"/>
    <w:uiPriority w:val="5"/>
    <w:qFormat/>
    <w:pPr>
      <w:keepNext/>
    </w:pPr>
    <w:rPr>
      <w:b/>
      <w:color w:val="02847D" w:themeColor="accent1"/>
    </w:rPr>
  </w:style>
  <w:style w:type="paragraph" w:customStyle="1" w:styleId="amprboxGREENdashedtext">
    <w:name w:val="[ampr box GREEN dashed] text"/>
    <w:basedOn w:val="BASE-STYLE-TEXT"/>
    <w:uiPriority w:val="5"/>
    <w:qFormat/>
    <w:pPr>
      <w:keepLines/>
      <w:pBdr>
        <w:top w:val="dashSmallGap" w:sz="12" w:space="8" w:color="02847D" w:themeColor="accent1"/>
        <w:left w:val="dashSmallGap" w:sz="12" w:space="8" w:color="02847D" w:themeColor="accent1"/>
        <w:bottom w:val="dashSmallGap" w:sz="12" w:space="8" w:color="02847D" w:themeColor="accent1"/>
        <w:right w:val="dashSmallGap" w:sz="12" w:space="8" w:color="02847D" w:themeColor="accent1"/>
      </w:pBdr>
      <w:spacing w:before="240" w:after="240"/>
    </w:pPr>
    <w:rPr>
      <w:sz w:val="20"/>
      <w:lang w:eastAsia="fr-BE"/>
    </w:rPr>
  </w:style>
  <w:style w:type="character" w:customStyle="1" w:styleId="amprcharCharttitle">
    <w:name w:val="[ampr char] Chart title"/>
    <w:qFormat/>
    <w:rsid w:val="00FB4DAD"/>
    <w:rPr>
      <w:b/>
      <w:color w:val="DC3903"/>
      <w:spacing w:val="1"/>
      <w:bdr w:val="none" w:sz="0" w:space="0" w:color="auto"/>
      <w:shd w:val="clear" w:color="auto" w:fill="auto"/>
      <w:lang w:val="pl-PL"/>
    </w:rPr>
  </w:style>
  <w:style w:type="numbering" w:customStyle="1" w:styleId="amprLISTblackbullets">
    <w:name w:val="[ampr LIST black]  bullets"/>
    <w:uiPriority w:val="99"/>
    <w:pPr>
      <w:numPr>
        <w:numId w:val="4"/>
      </w:numPr>
    </w:pPr>
  </w:style>
  <w:style w:type="paragraph" w:customStyle="1" w:styleId="amprLISTblackbullets-L1">
    <w:name w:val="[ampr LIST black] bullets - L1"/>
    <w:basedOn w:val="BASE-STYLE-TEXT"/>
    <w:uiPriority w:val="5"/>
    <w:qFormat/>
    <w:pPr>
      <w:numPr>
        <w:numId w:val="5"/>
      </w:numPr>
      <w:spacing w:before="60" w:after="60"/>
    </w:pPr>
    <w:rPr>
      <w:sz w:val="20"/>
      <w:lang w:eastAsia="fr-BE"/>
    </w:rPr>
  </w:style>
  <w:style w:type="paragraph" w:customStyle="1" w:styleId="amprLISTblackbullets-L2">
    <w:name w:val="[ampr LIST black] bullets - L2"/>
    <w:basedOn w:val="BASE-STYLE-TEXT"/>
    <w:uiPriority w:val="5"/>
    <w:qFormat/>
    <w:pPr>
      <w:numPr>
        <w:ilvl w:val="1"/>
        <w:numId w:val="5"/>
      </w:numPr>
      <w:spacing w:before="60" w:after="60"/>
      <w:ind w:left="1434" w:hanging="357"/>
    </w:pPr>
    <w:rPr>
      <w:sz w:val="20"/>
      <w:lang w:eastAsia="fr-BE"/>
    </w:rPr>
  </w:style>
  <w:style w:type="numbering" w:customStyle="1" w:styleId="amprLISTgreenbullets">
    <w:name w:val="[ampr LIST green] bullets"/>
    <w:uiPriority w:val="99"/>
    <w:pPr>
      <w:numPr>
        <w:numId w:val="6"/>
      </w:numPr>
    </w:pPr>
  </w:style>
  <w:style w:type="paragraph" w:customStyle="1" w:styleId="amprLISTgreenbullets-L1">
    <w:name w:val="[ampr LIST green] bullets - L1"/>
    <w:basedOn w:val="BASE-STYLE-TEXT"/>
    <w:uiPriority w:val="5"/>
    <w:qFormat/>
    <w:pPr>
      <w:numPr>
        <w:numId w:val="11"/>
      </w:numPr>
      <w:spacing w:before="60" w:after="60"/>
    </w:pPr>
    <w:rPr>
      <w:sz w:val="20"/>
      <w:lang w:eastAsia="fr-BE"/>
    </w:rPr>
  </w:style>
  <w:style w:type="paragraph" w:customStyle="1" w:styleId="amprLISTgreenbullets-L1consecutiveparagraph">
    <w:name w:val="[ampr LIST green] bullets - L1 (consecutive paragraph)"/>
    <w:basedOn w:val="amprLISTgreenbullets-L1"/>
    <w:uiPriority w:val="5"/>
    <w:qFormat/>
    <w:pPr>
      <w:numPr>
        <w:numId w:val="0"/>
      </w:numPr>
      <w:ind w:left="720"/>
    </w:pPr>
  </w:style>
  <w:style w:type="paragraph" w:customStyle="1" w:styleId="amprLISTgreenbullets-L2">
    <w:name w:val="[ampr LIST green] bullets - L2"/>
    <w:basedOn w:val="BASE-STYLE-TEXT"/>
    <w:uiPriority w:val="5"/>
    <w:qFormat/>
    <w:pPr>
      <w:numPr>
        <w:ilvl w:val="1"/>
        <w:numId w:val="11"/>
      </w:numPr>
      <w:spacing w:before="60" w:after="60"/>
      <w:ind w:left="1434" w:hanging="357"/>
    </w:pPr>
    <w:rPr>
      <w:sz w:val="20"/>
      <w:lang w:eastAsia="fr-BE"/>
    </w:rPr>
  </w:style>
  <w:style w:type="paragraph" w:customStyle="1" w:styleId="OPcomment">
    <w:name w:val="OP comment"/>
    <w:uiPriority w:val="89"/>
    <w:semiHidden/>
    <w:qFormat/>
    <w:pPr>
      <w:pBdr>
        <w:top w:val="single" w:sz="48" w:space="31" w:color="595959" w:themeColor="text1" w:themeTint="A6"/>
        <w:left w:val="single" w:sz="48" w:space="31" w:color="595959" w:themeColor="text1" w:themeTint="A6"/>
        <w:bottom w:val="single" w:sz="48" w:space="31" w:color="595959" w:themeColor="text1" w:themeTint="A6"/>
        <w:right w:val="single" w:sz="48" w:space="31" w:color="595959" w:themeColor="text1" w:themeTint="A6"/>
      </w:pBdr>
      <w:shd w:val="clear" w:color="auto" w:fill="595959" w:themeFill="text1" w:themeFillTint="A6"/>
      <w:spacing w:before="0" w:line="288" w:lineRule="auto"/>
      <w:ind w:left="-660" w:right="-680"/>
    </w:pPr>
    <w:rPr>
      <w:rFonts w:cs="Arial"/>
      <w:color w:val="FFFFFF"/>
      <w:sz w:val="24"/>
    </w:rPr>
  </w:style>
  <w:style w:type="paragraph" w:customStyle="1" w:styleId="amprBodyText">
    <w:name w:val="[ampr] Body Text"/>
    <w:basedOn w:val="BASE-STYLE-TEXT"/>
    <w:uiPriority w:val="1"/>
    <w:qFormat/>
    <w:pPr>
      <w:spacing w:before="240" w:after="240"/>
      <w:jc w:val="left"/>
    </w:pPr>
    <w:rPr>
      <w:color w:val="auto"/>
      <w:sz w:val="20"/>
    </w:rPr>
  </w:style>
  <w:style w:type="paragraph" w:customStyle="1" w:styleId="amprTable-ChartTITLE">
    <w:name w:val="[ampr] Table-Chart TITLE"/>
    <w:basedOn w:val="BASE-STYLE-TEXT"/>
    <w:next w:val="amprTable-ChartSOURCEandPhotoCAPTION"/>
    <w:uiPriority w:val="2"/>
    <w:qFormat/>
    <w:pPr>
      <w:spacing w:before="40" w:after="0" w:line="240" w:lineRule="auto"/>
      <w:jc w:val="left"/>
    </w:pPr>
    <w:rPr>
      <w:rFonts w:ascii="EC Square Sans Cond Pro Medium" w:eastAsia="Calibri" w:hAnsi="EC Square Sans Cond Pro Medium"/>
      <w:color w:val="auto"/>
      <w:sz w:val="16"/>
      <w:szCs w:val="16"/>
      <w:lang w:eastAsia="fr-BE"/>
    </w:rPr>
  </w:style>
  <w:style w:type="paragraph" w:customStyle="1" w:styleId="amprFooter-Left">
    <w:name w:val="[ampr] Footer - Left"/>
    <w:basedOn w:val="BASE-STYLE-TEXT"/>
    <w:next w:val="amprBodyText"/>
    <w:uiPriority w:val="10"/>
    <w:qFormat/>
    <w:pPr>
      <w:spacing w:after="0" w:line="240" w:lineRule="auto"/>
      <w:jc w:val="left"/>
    </w:pPr>
    <w:rPr>
      <w:color w:val="auto"/>
      <w:sz w:val="20"/>
    </w:rPr>
  </w:style>
  <w:style w:type="paragraph" w:customStyle="1" w:styleId="amprFooter-Right">
    <w:name w:val="[ampr] Footer - Right"/>
    <w:basedOn w:val="BASE-STYLE-TEXT"/>
    <w:next w:val="amprBodyText"/>
    <w:uiPriority w:val="10"/>
    <w:qFormat/>
    <w:pPr>
      <w:spacing w:after="0" w:line="240" w:lineRule="auto"/>
      <w:jc w:val="right"/>
    </w:pPr>
    <w:rPr>
      <w:color w:val="auto"/>
      <w:sz w:val="20"/>
    </w:rPr>
  </w:style>
  <w:style w:type="paragraph" w:customStyle="1" w:styleId="amprHeader-Left">
    <w:name w:val="[ampr] Header - Left"/>
    <w:basedOn w:val="BASE-STYLE-TEXT"/>
    <w:next w:val="amprBodyText"/>
    <w:uiPriority w:val="10"/>
    <w:qFormat/>
    <w:pPr>
      <w:spacing w:after="0" w:line="240" w:lineRule="auto"/>
      <w:jc w:val="left"/>
    </w:pPr>
    <w:rPr>
      <w:color w:val="767676"/>
      <w:sz w:val="20"/>
    </w:rPr>
  </w:style>
  <w:style w:type="paragraph" w:customStyle="1" w:styleId="amprHeader-Right">
    <w:name w:val="[ampr] Header - Right"/>
    <w:basedOn w:val="BASE-STYLE-TEXT"/>
    <w:next w:val="amprBodyText"/>
    <w:uiPriority w:val="10"/>
    <w:qFormat/>
    <w:pPr>
      <w:spacing w:after="0" w:line="240" w:lineRule="auto"/>
      <w:jc w:val="right"/>
    </w:pPr>
    <w:rPr>
      <w:color w:val="767676"/>
      <w:sz w:val="20"/>
    </w:rPr>
  </w:style>
  <w:style w:type="paragraph" w:customStyle="1" w:styleId="amprImageplaceholder">
    <w:name w:val="[ampr] Image placeholder"/>
    <w:next w:val="amprBodyText"/>
    <w:uiPriority w:val="2"/>
    <w:qFormat/>
    <w:pPr>
      <w:spacing w:after="40" w:line="240" w:lineRule="auto"/>
      <w:jc w:val="center"/>
    </w:pPr>
    <w:rPr>
      <w:rFonts w:eastAsia="EC Square Sans Pro" w:cs="Times New Roman"/>
      <w:szCs w:val="21"/>
      <w:lang w:eastAsia="zh-CN"/>
    </w:rPr>
  </w:style>
  <w:style w:type="paragraph" w:customStyle="1" w:styleId="amprH4Subhead1">
    <w:name w:val="[ampr H4] Subhead 1"/>
    <w:basedOn w:val="BASE-STYLE-HEADINGS"/>
    <w:next w:val="amprBodyText"/>
    <w:uiPriority w:val="9"/>
    <w:qFormat/>
    <w:pPr>
      <w:keepNext/>
      <w:keepLines/>
      <w:suppressAutoHyphens/>
      <w:spacing w:before="480" w:after="240"/>
      <w:jc w:val="left"/>
      <w:outlineLvl w:val="3"/>
    </w:pPr>
    <w:rPr>
      <w:color w:val="245F95" w:themeColor="text2"/>
      <w:sz w:val="28"/>
    </w:rPr>
  </w:style>
  <w:style w:type="paragraph" w:customStyle="1" w:styleId="amprH5Subhead2">
    <w:name w:val="[ampr H5] Subhead 2"/>
    <w:basedOn w:val="BASE-STYLE-HEADINGS"/>
    <w:next w:val="amprBodyText"/>
    <w:uiPriority w:val="9"/>
    <w:qFormat/>
    <w:pPr>
      <w:keepNext/>
      <w:keepLines/>
      <w:suppressAutoHyphens/>
      <w:spacing w:before="480" w:after="240"/>
      <w:jc w:val="left"/>
      <w:outlineLvl w:val="4"/>
    </w:pPr>
    <w:rPr>
      <w:b/>
      <w:color w:val="245F95" w:themeColor="text2"/>
      <w:sz w:val="24"/>
    </w:rPr>
  </w:style>
  <w:style w:type="paragraph" w:customStyle="1" w:styleId="amprH6Subhead3">
    <w:name w:val="[ampr H6] Subhead 3"/>
    <w:basedOn w:val="BASE-STYLE-HEADINGS"/>
    <w:next w:val="amprBodyText"/>
    <w:uiPriority w:val="9"/>
    <w:qFormat/>
    <w:pPr>
      <w:keepNext/>
      <w:keepLines/>
      <w:suppressAutoHyphens/>
      <w:spacing w:before="240" w:after="240"/>
      <w:ind w:left="340"/>
      <w:jc w:val="left"/>
      <w:outlineLvl w:val="5"/>
    </w:pPr>
    <w:rPr>
      <w:b/>
      <w:color w:val="02847D" w:themeColor="accent1"/>
      <w:sz w:val="24"/>
      <w14:textOutline w14:w="9525" w14:cap="rnd" w14:cmpd="sng" w14:algn="ctr">
        <w14:noFill/>
        <w14:prstDash w14:val="solid"/>
        <w14:bevel/>
      </w14:textOutline>
    </w:rPr>
  </w:style>
  <w:style w:type="paragraph" w:customStyle="1" w:styleId="amprH2TITLE1">
    <w:name w:val="[ampr H2] TITLE 1"/>
    <w:basedOn w:val="BASE-STYLE-HEADINGS"/>
    <w:next w:val="amprBodyText"/>
    <w:uiPriority w:val="9"/>
    <w:qFormat/>
    <w:pPr>
      <w:keepNext/>
      <w:keepLines/>
      <w:pageBreakBefore/>
      <w:suppressAutoHyphens/>
      <w:spacing w:after="720"/>
      <w:jc w:val="left"/>
      <w:outlineLvl w:val="1"/>
    </w:pPr>
    <w:rPr>
      <w:color w:val="245F95" w:themeColor="text2"/>
      <w:sz w:val="48"/>
    </w:rPr>
  </w:style>
  <w:style w:type="paragraph" w:customStyle="1" w:styleId="amprH1TITLE-noTOC">
    <w:name w:val="[ampr H1] TITLE - noTOC"/>
    <w:basedOn w:val="amprH2TITLE1"/>
    <w:next w:val="amprBodyText"/>
    <w:uiPriority w:val="9"/>
    <w:qFormat/>
    <w:pPr>
      <w:spacing w:after="480"/>
      <w:outlineLvl w:val="0"/>
    </w:pPr>
  </w:style>
  <w:style w:type="paragraph" w:customStyle="1" w:styleId="amprH3Title2">
    <w:name w:val="[ampr H3] Title 2"/>
    <w:basedOn w:val="BASE-STYLE-HEADINGS"/>
    <w:next w:val="amprBodyText"/>
    <w:uiPriority w:val="9"/>
    <w:qFormat/>
    <w:rsid w:val="00FB4DAD"/>
    <w:pPr>
      <w:keepNext/>
      <w:keepLines/>
      <w:pBdr>
        <w:bottom w:val="single" w:sz="6" w:space="1" w:color="F36E44" w:themeColor="accent2"/>
      </w:pBdr>
      <w:suppressAutoHyphens/>
      <w:spacing w:before="480" w:after="240"/>
      <w:jc w:val="left"/>
      <w:outlineLvl w:val="2"/>
    </w:pPr>
    <w:rPr>
      <w:b/>
      <w:color w:val="245F95" w:themeColor="text2"/>
      <w:sz w:val="28"/>
    </w:rPr>
  </w:style>
  <w:style w:type="paragraph" w:customStyle="1" w:styleId="amprH4Subhead1-Numbered-111">
    <w:name w:val="[ampr H4] Subhead 1 - Numbered - 1.1.1."/>
    <w:basedOn w:val="amprH4Subhead1"/>
    <w:next w:val="amprBodyText"/>
    <w:uiPriority w:val="9"/>
    <w:qFormat/>
    <w:pPr>
      <w:numPr>
        <w:ilvl w:val="2"/>
        <w:numId w:val="13"/>
      </w:numPr>
    </w:pPr>
  </w:style>
  <w:style w:type="paragraph" w:customStyle="1" w:styleId="Hidelastparagraphafterthetable">
    <w:name w:val="_Hide last paragraph after the table"/>
    <w:next w:val="Normal"/>
    <w:uiPriority w:val="11"/>
    <w:pPr>
      <w:widowControl w:val="0"/>
      <w:spacing w:before="0" w:after="0" w:line="20" w:lineRule="exact"/>
    </w:pPr>
    <w:rPr>
      <w:rFonts w:asciiTheme="minorHAnsi" w:eastAsiaTheme="minorEastAsia" w:hAnsiTheme="minorHAnsi"/>
      <w:vanish/>
      <w:sz w:val="2"/>
      <w:szCs w:val="2"/>
    </w:rPr>
  </w:style>
  <w:style w:type="numbering" w:styleId="111111">
    <w:name w:val="Outline List 2"/>
    <w:basedOn w:val="NoList"/>
    <w:uiPriority w:val="99"/>
    <w:semiHidden/>
    <w:unhideWhenUsed/>
    <w:pPr>
      <w:numPr>
        <w:numId w:val="8"/>
      </w:numPr>
    </w:pPr>
  </w:style>
  <w:style w:type="numbering" w:styleId="1ai">
    <w:name w:val="Outline List 1"/>
    <w:basedOn w:val="NoList"/>
    <w:uiPriority w:val="99"/>
    <w:semiHidden/>
    <w:unhideWhenUsed/>
    <w:pPr>
      <w:numPr>
        <w:numId w:val="9"/>
      </w:numPr>
    </w:pPr>
  </w:style>
  <w:style w:type="numbering" w:styleId="ArticleSection">
    <w:name w:val="Outline List 3"/>
    <w:basedOn w:val="NoList"/>
    <w:uiPriority w:val="99"/>
    <w:semiHidden/>
    <w:unhideWhenUsed/>
    <w:pPr>
      <w:numPr>
        <w:numId w:val="10"/>
      </w:numPr>
    </w:pPr>
  </w:style>
  <w:style w:type="character" w:styleId="BookTitle">
    <w:name w:val="Book Title"/>
    <w:basedOn w:val="DefaultParagraphFont"/>
    <w:uiPriority w:val="33"/>
    <w:semiHidden/>
    <w:rPr>
      <w:b/>
      <w:bCs/>
      <w:i/>
      <w:iCs/>
      <w:spacing w:val="5"/>
      <w:lang w:val="pl-PL"/>
    </w:rPr>
  </w:style>
  <w:style w:type="table" w:styleId="ColorfulGrid">
    <w:name w:val="Colorful Grid"/>
    <w:basedOn w:val="TableNormal"/>
    <w:uiPriority w:val="73"/>
    <w:semiHidden/>
    <w:unhideWhenUsed/>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B4FEF9" w:themeFill="accent1" w:themeFillTint="33"/>
    </w:tcPr>
    <w:tblStylePr w:type="firstRow">
      <w:rPr>
        <w:b/>
        <w:bCs/>
      </w:rPr>
      <w:tblPr/>
      <w:tcPr>
        <w:shd w:val="clear" w:color="auto" w:fill="6AFCF4" w:themeFill="accent1" w:themeFillTint="66"/>
      </w:tcPr>
    </w:tblStylePr>
    <w:tblStylePr w:type="lastRow">
      <w:rPr>
        <w:b/>
        <w:bCs/>
        <w:color w:val="000000" w:themeColor="text1"/>
      </w:rPr>
      <w:tblPr/>
      <w:tcPr>
        <w:shd w:val="clear" w:color="auto" w:fill="6AFCF4" w:themeFill="accent1" w:themeFillTint="66"/>
      </w:tcPr>
    </w:tblStylePr>
    <w:tblStylePr w:type="firstCol">
      <w:rPr>
        <w:color w:val="FFFFFF" w:themeColor="background1"/>
      </w:rPr>
      <w:tblPr/>
      <w:tcPr>
        <w:shd w:val="clear" w:color="auto" w:fill="01625D" w:themeFill="accent1" w:themeFillShade="BF"/>
      </w:tcPr>
    </w:tblStylePr>
    <w:tblStylePr w:type="lastCol">
      <w:rPr>
        <w:color w:val="FFFFFF" w:themeColor="background1"/>
      </w:rPr>
      <w:tblPr/>
      <w:tcPr>
        <w:shd w:val="clear" w:color="auto" w:fill="01625D" w:themeFill="accent1" w:themeFillShade="BF"/>
      </w:tcPr>
    </w:tblStylePr>
    <w:tblStylePr w:type="band1Vert">
      <w:tblPr/>
      <w:tcPr>
        <w:shd w:val="clear" w:color="auto" w:fill="46FCF2" w:themeFill="accent1" w:themeFillTint="7F"/>
      </w:tcPr>
    </w:tblStylePr>
    <w:tblStylePr w:type="band1Horz">
      <w:tblPr/>
      <w:tcPr>
        <w:shd w:val="clear" w:color="auto" w:fill="46FCF2" w:themeFill="accent1" w:themeFillTint="7F"/>
      </w:tcPr>
    </w:tblStylePr>
  </w:style>
  <w:style w:type="table" w:styleId="ColorfulGrid-Accent2">
    <w:name w:val="Colorful Grid Accent 2"/>
    <w:basedOn w:val="TableNormal"/>
    <w:uiPriority w:val="73"/>
    <w:semiHidden/>
    <w:unhideWhenUsed/>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1D9" w:themeFill="accent2" w:themeFillTint="33"/>
    </w:tcPr>
    <w:tblStylePr w:type="firstRow">
      <w:rPr>
        <w:b/>
        <w:bCs/>
      </w:rPr>
      <w:tblPr/>
      <w:tcPr>
        <w:shd w:val="clear" w:color="auto" w:fill="FAC4B4" w:themeFill="accent2" w:themeFillTint="66"/>
      </w:tcPr>
    </w:tblStylePr>
    <w:tblStylePr w:type="lastRow">
      <w:rPr>
        <w:b/>
        <w:bCs/>
        <w:color w:val="000000" w:themeColor="text1"/>
      </w:rPr>
      <w:tblPr/>
      <w:tcPr>
        <w:shd w:val="clear" w:color="auto" w:fill="FAC4B4" w:themeFill="accent2" w:themeFillTint="66"/>
      </w:tcPr>
    </w:tblStylePr>
    <w:tblStylePr w:type="firstCol">
      <w:rPr>
        <w:color w:val="FFFFFF" w:themeColor="background1"/>
      </w:rPr>
      <w:tblPr/>
      <w:tcPr>
        <w:shd w:val="clear" w:color="auto" w:fill="DA3F0E" w:themeFill="accent2" w:themeFillShade="BF"/>
      </w:tcPr>
    </w:tblStylePr>
    <w:tblStylePr w:type="lastCol">
      <w:rPr>
        <w:color w:val="FFFFFF" w:themeColor="background1"/>
      </w:rPr>
      <w:tblPr/>
      <w:tcPr>
        <w:shd w:val="clear" w:color="auto" w:fill="DA3F0E" w:themeFill="accent2" w:themeFillShade="BF"/>
      </w:tcPr>
    </w:tblStylePr>
    <w:tblStylePr w:type="band1Vert">
      <w:tblPr/>
      <w:tcPr>
        <w:shd w:val="clear" w:color="auto" w:fill="F9B6A1" w:themeFill="accent2" w:themeFillTint="7F"/>
      </w:tcPr>
    </w:tblStylePr>
    <w:tblStylePr w:type="band1Horz">
      <w:tblPr/>
      <w:tcPr>
        <w:shd w:val="clear" w:color="auto" w:fill="F9B6A1" w:themeFill="accent2" w:themeFillTint="7F"/>
      </w:tcPr>
    </w:tblStylePr>
  </w:style>
  <w:style w:type="table" w:styleId="ColorfulGrid-Accent3">
    <w:name w:val="Colorful Grid Accent 3"/>
    <w:basedOn w:val="TableNormal"/>
    <w:uiPriority w:val="73"/>
    <w:semiHidden/>
    <w:unhideWhenUsed/>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DF1F0" w:themeFill="accent3" w:themeFillTint="33"/>
    </w:tcPr>
    <w:tblStylePr w:type="firstRow">
      <w:rPr>
        <w:b/>
        <w:bCs/>
      </w:rPr>
      <w:tblPr/>
      <w:tcPr>
        <w:shd w:val="clear" w:color="auto" w:fill="BCE4E2" w:themeFill="accent3" w:themeFillTint="66"/>
      </w:tcPr>
    </w:tblStylePr>
    <w:tblStylePr w:type="lastRow">
      <w:rPr>
        <w:b/>
        <w:bCs/>
        <w:color w:val="000000" w:themeColor="text1"/>
      </w:rPr>
      <w:tblPr/>
      <w:tcPr>
        <w:shd w:val="clear" w:color="auto" w:fill="BCE4E2" w:themeFill="accent3" w:themeFillTint="66"/>
      </w:tcPr>
    </w:tblStylePr>
    <w:tblStylePr w:type="firstCol">
      <w:rPr>
        <w:color w:val="FFFFFF" w:themeColor="background1"/>
      </w:rPr>
      <w:tblPr/>
      <w:tcPr>
        <w:shd w:val="clear" w:color="auto" w:fill="3B9490" w:themeFill="accent3" w:themeFillShade="BF"/>
      </w:tcPr>
    </w:tblStylePr>
    <w:tblStylePr w:type="lastCol">
      <w:rPr>
        <w:color w:val="FFFFFF" w:themeColor="background1"/>
      </w:rPr>
      <w:tblPr/>
      <w:tcPr>
        <w:shd w:val="clear" w:color="auto" w:fill="3B9490" w:themeFill="accent3" w:themeFillShade="BF"/>
      </w:tcPr>
    </w:tblStylePr>
    <w:tblStylePr w:type="band1Vert">
      <w:tblPr/>
      <w:tcPr>
        <w:shd w:val="clear" w:color="auto" w:fill="ACDEDB" w:themeFill="accent3" w:themeFillTint="7F"/>
      </w:tcPr>
    </w:tblStylePr>
    <w:tblStylePr w:type="band1Horz">
      <w:tblPr/>
      <w:tcPr>
        <w:shd w:val="clear" w:color="auto" w:fill="ACDEDB" w:themeFill="accent3" w:themeFillTint="7F"/>
      </w:tcPr>
    </w:tblStylePr>
  </w:style>
  <w:style w:type="table" w:styleId="ColorfulGrid-Accent4">
    <w:name w:val="Colorful Grid Accent 4"/>
    <w:basedOn w:val="TableNormal"/>
    <w:uiPriority w:val="73"/>
    <w:semiHidden/>
    <w:unhideWhenUsed/>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EF0D6" w:themeFill="accent4" w:themeFillTint="33"/>
    </w:tcPr>
    <w:tblStylePr w:type="firstRow">
      <w:rPr>
        <w:b/>
        <w:bCs/>
      </w:rPr>
      <w:tblPr/>
      <w:tcPr>
        <w:shd w:val="clear" w:color="auto" w:fill="FEE2AD" w:themeFill="accent4" w:themeFillTint="66"/>
      </w:tcPr>
    </w:tblStylePr>
    <w:tblStylePr w:type="lastRow">
      <w:rPr>
        <w:b/>
        <w:bCs/>
        <w:color w:val="000000" w:themeColor="text1"/>
      </w:rPr>
      <w:tblPr/>
      <w:tcPr>
        <w:shd w:val="clear" w:color="auto" w:fill="FEE2AD" w:themeFill="accent4" w:themeFillTint="66"/>
      </w:tcPr>
    </w:tblStylePr>
    <w:tblStylePr w:type="firstCol">
      <w:rPr>
        <w:color w:val="FFFFFF" w:themeColor="background1"/>
      </w:rPr>
      <w:tblPr/>
      <w:tcPr>
        <w:shd w:val="clear" w:color="auto" w:fill="E19602" w:themeFill="accent4" w:themeFillShade="BF"/>
      </w:tcPr>
    </w:tblStylePr>
    <w:tblStylePr w:type="lastCol">
      <w:rPr>
        <w:color w:val="FFFFFF" w:themeColor="background1"/>
      </w:rPr>
      <w:tblPr/>
      <w:tcPr>
        <w:shd w:val="clear" w:color="auto" w:fill="E19602" w:themeFill="accent4" w:themeFillShade="BF"/>
      </w:tcPr>
    </w:tblStylePr>
    <w:tblStylePr w:type="band1Vert">
      <w:tblPr/>
      <w:tcPr>
        <w:shd w:val="clear" w:color="auto" w:fill="FEDC99" w:themeFill="accent4" w:themeFillTint="7F"/>
      </w:tcPr>
    </w:tblStylePr>
    <w:tblStylePr w:type="band1Horz">
      <w:tblPr/>
      <w:tcPr>
        <w:shd w:val="clear" w:color="auto" w:fill="FEDC99" w:themeFill="accent4" w:themeFillTint="7F"/>
      </w:tcPr>
    </w:tblStylePr>
  </w:style>
  <w:style w:type="table" w:styleId="ColorfulGrid-Accent5">
    <w:name w:val="Colorful Grid Accent 5"/>
    <w:basedOn w:val="TableNormal"/>
    <w:uiPriority w:val="73"/>
    <w:semiHidden/>
    <w:unhideWhenUsed/>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1EEE1" w:themeFill="accent5" w:themeFillTint="33"/>
    </w:tcPr>
    <w:tblStylePr w:type="firstRow">
      <w:rPr>
        <w:b/>
        <w:bCs/>
      </w:rPr>
      <w:tblPr/>
      <w:tcPr>
        <w:shd w:val="clear" w:color="auto" w:fill="C4DEC4" w:themeFill="accent5" w:themeFillTint="66"/>
      </w:tcPr>
    </w:tblStylePr>
    <w:tblStylePr w:type="lastRow">
      <w:rPr>
        <w:b/>
        <w:bCs/>
        <w:color w:val="000000" w:themeColor="text1"/>
      </w:rPr>
      <w:tblPr/>
      <w:tcPr>
        <w:shd w:val="clear" w:color="auto" w:fill="C4DEC4" w:themeFill="accent5" w:themeFillTint="66"/>
      </w:tcPr>
    </w:tblStylePr>
    <w:tblStylePr w:type="firstCol">
      <w:rPr>
        <w:color w:val="FFFFFF" w:themeColor="background1"/>
      </w:rPr>
      <w:tblPr/>
      <w:tcPr>
        <w:shd w:val="clear" w:color="auto" w:fill="4B864B" w:themeFill="accent5" w:themeFillShade="BF"/>
      </w:tcPr>
    </w:tblStylePr>
    <w:tblStylePr w:type="lastCol">
      <w:rPr>
        <w:color w:val="FFFFFF" w:themeColor="background1"/>
      </w:rPr>
      <w:tblPr/>
      <w:tcPr>
        <w:shd w:val="clear" w:color="auto" w:fill="4B864B" w:themeFill="accent5" w:themeFillShade="BF"/>
      </w:tcPr>
    </w:tblStylePr>
    <w:tblStylePr w:type="band1Vert">
      <w:tblPr/>
      <w:tcPr>
        <w:shd w:val="clear" w:color="auto" w:fill="B5D6B5" w:themeFill="accent5" w:themeFillTint="7F"/>
      </w:tcPr>
    </w:tblStylePr>
    <w:tblStylePr w:type="band1Horz">
      <w:tblPr/>
      <w:tcPr>
        <w:shd w:val="clear" w:color="auto" w:fill="B5D6B5" w:themeFill="accent5" w:themeFillTint="7F"/>
      </w:tcPr>
    </w:tblStylePr>
  </w:style>
  <w:style w:type="table" w:styleId="ColorfulGrid-Accent6">
    <w:name w:val="Colorful Grid Accent 6"/>
    <w:basedOn w:val="TableNormal"/>
    <w:uiPriority w:val="73"/>
    <w:semiHidden/>
    <w:unhideWhenUsed/>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CFD7" w:themeFill="accent6" w:themeFillTint="33"/>
    </w:tcPr>
    <w:tblStylePr w:type="firstRow">
      <w:rPr>
        <w:b/>
        <w:bCs/>
      </w:rPr>
      <w:tblPr/>
      <w:tcPr>
        <w:shd w:val="clear" w:color="auto" w:fill="ECA0AF" w:themeFill="accent6" w:themeFillTint="66"/>
      </w:tcPr>
    </w:tblStylePr>
    <w:tblStylePr w:type="lastRow">
      <w:rPr>
        <w:b/>
        <w:bCs/>
        <w:color w:val="000000" w:themeColor="text1"/>
      </w:rPr>
      <w:tblPr/>
      <w:tcPr>
        <w:shd w:val="clear" w:color="auto" w:fill="ECA0AF" w:themeFill="accent6" w:themeFillTint="66"/>
      </w:tcPr>
    </w:tblStylePr>
    <w:tblStylePr w:type="firstCol">
      <w:rPr>
        <w:color w:val="FFFFFF" w:themeColor="background1"/>
      </w:rPr>
      <w:tblPr/>
      <w:tcPr>
        <w:shd w:val="clear" w:color="auto" w:fill="8D1C32" w:themeFill="accent6" w:themeFillShade="BF"/>
      </w:tcPr>
    </w:tblStylePr>
    <w:tblStylePr w:type="lastCol">
      <w:rPr>
        <w:color w:val="FFFFFF" w:themeColor="background1"/>
      </w:rPr>
      <w:tblPr/>
      <w:tcPr>
        <w:shd w:val="clear" w:color="auto" w:fill="8D1C32" w:themeFill="accent6" w:themeFillShade="BF"/>
      </w:tcPr>
    </w:tblStylePr>
    <w:tblStylePr w:type="band1Vert">
      <w:tblPr/>
      <w:tcPr>
        <w:shd w:val="clear" w:color="auto" w:fill="E7899B" w:themeFill="accent6" w:themeFillTint="7F"/>
      </w:tcPr>
    </w:tblStylePr>
    <w:tblStylePr w:type="band1Horz">
      <w:tblPr/>
      <w:tcPr>
        <w:shd w:val="clear" w:color="auto" w:fill="E7899B" w:themeFill="accent6" w:themeFillTint="7F"/>
      </w:tcPr>
    </w:tblStylePr>
  </w:style>
  <w:style w:type="table" w:styleId="ColorfulList">
    <w:name w:val="Colorful List"/>
    <w:basedOn w:val="TableNormal"/>
    <w:uiPriority w:val="72"/>
    <w:semiHidden/>
    <w:unhideWhenUsed/>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9430F" w:themeFill="accent2" w:themeFillShade="CC"/>
      </w:tcPr>
    </w:tblStylePr>
    <w:tblStylePr w:type="lastRow">
      <w:rPr>
        <w:b/>
        <w:bCs/>
        <w:color w:val="E943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after="0"/>
    </w:pPr>
    <w:rPr>
      <w:color w:val="000000" w:themeColor="text1"/>
    </w:rPr>
    <w:tblPr>
      <w:tblStyleRowBandSize w:val="1"/>
      <w:tblStyleColBandSize w:val="1"/>
    </w:tblPr>
    <w:tcPr>
      <w:shd w:val="clear" w:color="auto" w:fill="DAFEFC" w:themeFill="accent1" w:themeFillTint="19"/>
    </w:tcPr>
    <w:tblStylePr w:type="firstRow">
      <w:rPr>
        <w:b/>
        <w:bCs/>
        <w:color w:val="FFFFFF" w:themeColor="background1"/>
      </w:rPr>
      <w:tblPr/>
      <w:tcPr>
        <w:tcBorders>
          <w:bottom w:val="single" w:sz="12" w:space="0" w:color="FFFFFF" w:themeColor="background1"/>
        </w:tcBorders>
        <w:shd w:val="clear" w:color="auto" w:fill="E9430F" w:themeFill="accent2" w:themeFillShade="CC"/>
      </w:tcPr>
    </w:tblStylePr>
    <w:tblStylePr w:type="lastRow">
      <w:rPr>
        <w:b/>
        <w:bCs/>
        <w:color w:val="E943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FDF8" w:themeFill="accent1" w:themeFillTint="3F"/>
      </w:tcPr>
    </w:tblStylePr>
    <w:tblStylePr w:type="band1Horz">
      <w:tblPr/>
      <w:tcPr>
        <w:shd w:val="clear" w:color="auto" w:fill="B4FEF9" w:themeFill="accent1" w:themeFillTint="33"/>
      </w:tcPr>
    </w:tblStylePr>
  </w:style>
  <w:style w:type="table" w:styleId="ColorfulList-Accent2">
    <w:name w:val="Colorful List Accent 2"/>
    <w:basedOn w:val="TableNormal"/>
    <w:uiPriority w:val="72"/>
    <w:semiHidden/>
    <w:unhideWhenUsed/>
    <w:pPr>
      <w:spacing w:before="0" w:after="0"/>
    </w:pPr>
    <w:rPr>
      <w:color w:val="000000" w:themeColor="text1"/>
    </w:rPr>
    <w:tblPr>
      <w:tblStyleRowBandSize w:val="1"/>
      <w:tblStyleColBandSize w:val="1"/>
    </w:tblPr>
    <w:tcPr>
      <w:shd w:val="clear" w:color="auto" w:fill="FDF0EC" w:themeFill="accent2" w:themeFillTint="19"/>
    </w:tcPr>
    <w:tblStylePr w:type="firstRow">
      <w:rPr>
        <w:b/>
        <w:bCs/>
        <w:color w:val="FFFFFF" w:themeColor="background1"/>
      </w:rPr>
      <w:tblPr/>
      <w:tcPr>
        <w:tcBorders>
          <w:bottom w:val="single" w:sz="12" w:space="0" w:color="FFFFFF" w:themeColor="background1"/>
        </w:tcBorders>
        <w:shd w:val="clear" w:color="auto" w:fill="E9430F" w:themeFill="accent2" w:themeFillShade="CC"/>
      </w:tcPr>
    </w:tblStylePr>
    <w:tblStylePr w:type="lastRow">
      <w:rPr>
        <w:b/>
        <w:bCs/>
        <w:color w:val="E943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AD0" w:themeFill="accent2" w:themeFillTint="3F"/>
      </w:tcPr>
    </w:tblStylePr>
    <w:tblStylePr w:type="band1Horz">
      <w:tblPr/>
      <w:tcPr>
        <w:shd w:val="clear" w:color="auto" w:fill="FCE1D9" w:themeFill="accent2" w:themeFillTint="33"/>
      </w:tcPr>
    </w:tblStylePr>
  </w:style>
  <w:style w:type="table" w:styleId="ColorfulList-Accent3">
    <w:name w:val="Colorful List Accent 3"/>
    <w:basedOn w:val="TableNormal"/>
    <w:uiPriority w:val="72"/>
    <w:semiHidden/>
    <w:unhideWhenUsed/>
    <w:pPr>
      <w:spacing w:before="0" w:after="0"/>
    </w:pPr>
    <w:rPr>
      <w:color w:val="000000" w:themeColor="text1"/>
    </w:rPr>
    <w:tblPr>
      <w:tblStyleRowBandSize w:val="1"/>
      <w:tblStyleColBandSize w:val="1"/>
    </w:tblPr>
    <w:tcPr>
      <w:shd w:val="clear" w:color="auto" w:fill="EEF8F7" w:themeFill="accent3" w:themeFillTint="19"/>
    </w:tcPr>
    <w:tblStylePr w:type="firstRow">
      <w:rPr>
        <w:b/>
        <w:bCs/>
        <w:color w:val="FFFFFF" w:themeColor="background1"/>
      </w:rPr>
      <w:tblPr/>
      <w:tcPr>
        <w:tcBorders>
          <w:bottom w:val="single" w:sz="12" w:space="0" w:color="FFFFFF" w:themeColor="background1"/>
        </w:tcBorders>
        <w:shd w:val="clear" w:color="auto" w:fill="F0A002" w:themeFill="accent4" w:themeFillShade="CC"/>
      </w:tcPr>
    </w:tblStylePr>
    <w:tblStylePr w:type="lastRow">
      <w:rPr>
        <w:b/>
        <w:bCs/>
        <w:color w:val="F0A00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EED" w:themeFill="accent3" w:themeFillTint="3F"/>
      </w:tcPr>
    </w:tblStylePr>
    <w:tblStylePr w:type="band1Horz">
      <w:tblPr/>
      <w:tcPr>
        <w:shd w:val="clear" w:color="auto" w:fill="DDF1F0" w:themeFill="accent3" w:themeFillTint="33"/>
      </w:tcPr>
    </w:tblStylePr>
  </w:style>
  <w:style w:type="table" w:styleId="ColorfulList-Accent4">
    <w:name w:val="Colorful List Accent 4"/>
    <w:basedOn w:val="TableNormal"/>
    <w:uiPriority w:val="72"/>
    <w:semiHidden/>
    <w:unhideWhenUsed/>
    <w:pPr>
      <w:spacing w:before="0" w:after="0"/>
    </w:pPr>
    <w:rPr>
      <w:color w:val="000000" w:themeColor="text1"/>
    </w:rPr>
    <w:tblPr>
      <w:tblStyleRowBandSize w:val="1"/>
      <w:tblStyleColBandSize w:val="1"/>
    </w:tblPr>
    <w:tcPr>
      <w:shd w:val="clear" w:color="auto" w:fill="FEF8EA" w:themeFill="accent4" w:themeFillTint="19"/>
    </w:tcPr>
    <w:tblStylePr w:type="firstRow">
      <w:rPr>
        <w:b/>
        <w:bCs/>
        <w:color w:val="FFFFFF" w:themeColor="background1"/>
      </w:rPr>
      <w:tblPr/>
      <w:tcPr>
        <w:tcBorders>
          <w:bottom w:val="single" w:sz="12" w:space="0" w:color="FFFFFF" w:themeColor="background1"/>
        </w:tcBorders>
        <w:shd w:val="clear" w:color="auto" w:fill="3F9F9A" w:themeFill="accent3" w:themeFillShade="CC"/>
      </w:tcPr>
    </w:tblStylePr>
    <w:tblStylePr w:type="lastRow">
      <w:rPr>
        <w:b/>
        <w:bCs/>
        <w:color w:val="3F9F9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C" w:themeFill="accent4" w:themeFillTint="3F"/>
      </w:tcPr>
    </w:tblStylePr>
    <w:tblStylePr w:type="band1Horz">
      <w:tblPr/>
      <w:tcPr>
        <w:shd w:val="clear" w:color="auto" w:fill="FEF0D6" w:themeFill="accent4" w:themeFillTint="33"/>
      </w:tcPr>
    </w:tblStylePr>
  </w:style>
  <w:style w:type="table" w:styleId="ColorfulList-Accent5">
    <w:name w:val="Colorful List Accent 5"/>
    <w:basedOn w:val="TableNormal"/>
    <w:uiPriority w:val="72"/>
    <w:semiHidden/>
    <w:unhideWhenUsed/>
    <w:pPr>
      <w:spacing w:before="0" w:after="0"/>
    </w:pPr>
    <w:rPr>
      <w:color w:val="000000" w:themeColor="text1"/>
    </w:rPr>
    <w:tblPr>
      <w:tblStyleRowBandSize w:val="1"/>
      <w:tblStyleColBandSize w:val="1"/>
    </w:tblPr>
    <w:tcPr>
      <w:shd w:val="clear" w:color="auto" w:fill="F0F7F0" w:themeFill="accent5" w:themeFillTint="19"/>
    </w:tcPr>
    <w:tblStylePr w:type="firstRow">
      <w:rPr>
        <w:b/>
        <w:bCs/>
        <w:color w:val="FFFFFF" w:themeColor="background1"/>
      </w:rPr>
      <w:tblPr/>
      <w:tcPr>
        <w:tcBorders>
          <w:bottom w:val="single" w:sz="12" w:space="0" w:color="FFFFFF" w:themeColor="background1"/>
        </w:tcBorders>
        <w:shd w:val="clear" w:color="auto" w:fill="961E36" w:themeFill="accent6" w:themeFillShade="CC"/>
      </w:tcPr>
    </w:tblStylePr>
    <w:tblStylePr w:type="lastRow">
      <w:rPr>
        <w:b/>
        <w:bCs/>
        <w:color w:val="961E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ADA" w:themeFill="accent5" w:themeFillTint="3F"/>
      </w:tcPr>
    </w:tblStylePr>
    <w:tblStylePr w:type="band1Horz">
      <w:tblPr/>
      <w:tcPr>
        <w:shd w:val="clear" w:color="auto" w:fill="E1EEE1" w:themeFill="accent5" w:themeFillTint="33"/>
      </w:tcPr>
    </w:tblStylePr>
  </w:style>
  <w:style w:type="table" w:styleId="ColorfulList-Accent6">
    <w:name w:val="Colorful List Accent 6"/>
    <w:basedOn w:val="TableNormal"/>
    <w:uiPriority w:val="72"/>
    <w:semiHidden/>
    <w:unhideWhenUsed/>
    <w:pPr>
      <w:spacing w:before="0" w:after="0"/>
    </w:pPr>
    <w:rPr>
      <w:color w:val="000000" w:themeColor="text1"/>
    </w:rPr>
    <w:tblPr>
      <w:tblStyleRowBandSize w:val="1"/>
      <w:tblStyleColBandSize w:val="1"/>
    </w:tblPr>
    <w:tcPr>
      <w:shd w:val="clear" w:color="auto" w:fill="FAE7EB" w:themeFill="accent6" w:themeFillTint="19"/>
    </w:tcPr>
    <w:tblStylePr w:type="firstRow">
      <w:rPr>
        <w:b/>
        <w:bCs/>
        <w:color w:val="FFFFFF" w:themeColor="background1"/>
      </w:rPr>
      <w:tblPr/>
      <w:tcPr>
        <w:tcBorders>
          <w:bottom w:val="single" w:sz="12" w:space="0" w:color="FFFFFF" w:themeColor="background1"/>
        </w:tcBorders>
        <w:shd w:val="clear" w:color="auto" w:fill="509050" w:themeFill="accent5" w:themeFillShade="CC"/>
      </w:tcPr>
    </w:tblStylePr>
    <w:tblStylePr w:type="lastRow">
      <w:rPr>
        <w:b/>
        <w:bCs/>
        <w:color w:val="50905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4CD" w:themeFill="accent6" w:themeFillTint="3F"/>
      </w:tcPr>
    </w:tblStylePr>
    <w:tblStylePr w:type="band1Horz">
      <w:tblPr/>
      <w:tcPr>
        <w:shd w:val="clear" w:color="auto" w:fill="F5CFD7" w:themeFill="accent6" w:themeFillTint="33"/>
      </w:tcPr>
    </w:tblStylePr>
  </w:style>
  <w:style w:type="table" w:styleId="ColorfulShading">
    <w:name w:val="Colorful Shading"/>
    <w:basedOn w:val="TableNormal"/>
    <w:uiPriority w:val="71"/>
    <w:semiHidden/>
    <w:unhideWhenUsed/>
    <w:pPr>
      <w:spacing w:before="0" w:after="0"/>
    </w:pPr>
    <w:rPr>
      <w:color w:val="000000" w:themeColor="text1"/>
    </w:rPr>
    <w:tblPr>
      <w:tblStyleRowBandSize w:val="1"/>
      <w:tblStyleColBandSize w:val="1"/>
      <w:tblBorders>
        <w:top w:val="single" w:sz="24" w:space="0" w:color="F36E4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6E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after="0"/>
    </w:pPr>
    <w:rPr>
      <w:color w:val="000000" w:themeColor="text1"/>
    </w:rPr>
    <w:tblPr>
      <w:tblStyleRowBandSize w:val="1"/>
      <w:tblStyleColBandSize w:val="1"/>
      <w:tblBorders>
        <w:top w:val="single" w:sz="24" w:space="0" w:color="F36E44" w:themeColor="accent2"/>
        <w:left w:val="single" w:sz="4" w:space="0" w:color="02847D" w:themeColor="accent1"/>
        <w:bottom w:val="single" w:sz="4" w:space="0" w:color="02847D" w:themeColor="accent1"/>
        <w:right w:val="single" w:sz="4" w:space="0" w:color="02847D" w:themeColor="accent1"/>
        <w:insideH w:val="single" w:sz="4" w:space="0" w:color="FFFFFF" w:themeColor="background1"/>
        <w:insideV w:val="single" w:sz="4" w:space="0" w:color="FFFFFF" w:themeColor="background1"/>
      </w:tblBorders>
    </w:tblPr>
    <w:tcPr>
      <w:shd w:val="clear" w:color="auto" w:fill="DAFEFC" w:themeFill="accent1" w:themeFillTint="19"/>
    </w:tcPr>
    <w:tblStylePr w:type="firstRow">
      <w:rPr>
        <w:b/>
        <w:bCs/>
      </w:rPr>
      <w:tblPr/>
      <w:tcPr>
        <w:tcBorders>
          <w:top w:val="nil"/>
          <w:left w:val="nil"/>
          <w:bottom w:val="single" w:sz="24" w:space="0" w:color="F36E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F4A" w:themeFill="accent1" w:themeFillShade="99"/>
      </w:tcPr>
    </w:tblStylePr>
    <w:tblStylePr w:type="firstCol">
      <w:rPr>
        <w:color w:val="FFFFFF" w:themeColor="background1"/>
      </w:rPr>
      <w:tblPr/>
      <w:tcPr>
        <w:tcBorders>
          <w:top w:val="nil"/>
          <w:left w:val="nil"/>
          <w:bottom w:val="nil"/>
          <w:right w:val="nil"/>
          <w:insideH w:val="single" w:sz="4" w:space="0" w:color="014F4A" w:themeColor="accent1" w:themeShade="99"/>
          <w:insideV w:val="nil"/>
        </w:tcBorders>
        <w:shd w:val="clear" w:color="auto" w:fill="014F4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4F4A" w:themeFill="accent1" w:themeFillShade="99"/>
      </w:tcPr>
    </w:tblStylePr>
    <w:tblStylePr w:type="band1Vert">
      <w:tblPr/>
      <w:tcPr>
        <w:shd w:val="clear" w:color="auto" w:fill="6AFCF4" w:themeFill="accent1" w:themeFillTint="66"/>
      </w:tcPr>
    </w:tblStylePr>
    <w:tblStylePr w:type="band1Horz">
      <w:tblPr/>
      <w:tcPr>
        <w:shd w:val="clear" w:color="auto" w:fill="46FCF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after="0"/>
    </w:pPr>
    <w:rPr>
      <w:color w:val="000000" w:themeColor="text1"/>
    </w:rPr>
    <w:tblPr>
      <w:tblStyleRowBandSize w:val="1"/>
      <w:tblStyleColBandSize w:val="1"/>
      <w:tblBorders>
        <w:top w:val="single" w:sz="24" w:space="0" w:color="F36E44" w:themeColor="accent2"/>
        <w:left w:val="single" w:sz="4" w:space="0" w:color="F36E44" w:themeColor="accent2"/>
        <w:bottom w:val="single" w:sz="4" w:space="0" w:color="F36E44" w:themeColor="accent2"/>
        <w:right w:val="single" w:sz="4" w:space="0" w:color="F36E44" w:themeColor="accent2"/>
        <w:insideH w:val="single" w:sz="4" w:space="0" w:color="FFFFFF" w:themeColor="background1"/>
        <w:insideV w:val="single" w:sz="4" w:space="0" w:color="FFFFFF" w:themeColor="background1"/>
      </w:tblBorders>
    </w:tblPr>
    <w:tcPr>
      <w:shd w:val="clear" w:color="auto" w:fill="FDF0EC" w:themeFill="accent2" w:themeFillTint="19"/>
    </w:tcPr>
    <w:tblStylePr w:type="firstRow">
      <w:rPr>
        <w:b/>
        <w:bCs/>
      </w:rPr>
      <w:tblPr/>
      <w:tcPr>
        <w:tcBorders>
          <w:top w:val="nil"/>
          <w:left w:val="nil"/>
          <w:bottom w:val="single" w:sz="24" w:space="0" w:color="F36E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F320B" w:themeFill="accent2" w:themeFillShade="99"/>
      </w:tcPr>
    </w:tblStylePr>
    <w:tblStylePr w:type="firstCol">
      <w:rPr>
        <w:color w:val="FFFFFF" w:themeColor="background1"/>
      </w:rPr>
      <w:tblPr/>
      <w:tcPr>
        <w:tcBorders>
          <w:top w:val="nil"/>
          <w:left w:val="nil"/>
          <w:bottom w:val="nil"/>
          <w:right w:val="nil"/>
          <w:insideH w:val="single" w:sz="4" w:space="0" w:color="AF320B" w:themeColor="accent2" w:themeShade="99"/>
          <w:insideV w:val="nil"/>
        </w:tcBorders>
        <w:shd w:val="clear" w:color="auto" w:fill="AF32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F320B" w:themeFill="accent2" w:themeFillShade="99"/>
      </w:tcPr>
    </w:tblStylePr>
    <w:tblStylePr w:type="band1Vert">
      <w:tblPr/>
      <w:tcPr>
        <w:shd w:val="clear" w:color="auto" w:fill="FAC4B4" w:themeFill="accent2" w:themeFillTint="66"/>
      </w:tcPr>
    </w:tblStylePr>
    <w:tblStylePr w:type="band1Horz">
      <w:tblPr/>
      <w:tcPr>
        <w:shd w:val="clear" w:color="auto" w:fill="F9B6A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after="0"/>
    </w:pPr>
    <w:rPr>
      <w:color w:val="000000" w:themeColor="text1"/>
    </w:rPr>
    <w:tblPr>
      <w:tblStyleRowBandSize w:val="1"/>
      <w:tblStyleColBandSize w:val="1"/>
      <w:tblBorders>
        <w:top w:val="single" w:sz="24" w:space="0" w:color="FDB933" w:themeColor="accent4"/>
        <w:left w:val="single" w:sz="4" w:space="0" w:color="59BDB8" w:themeColor="accent3"/>
        <w:bottom w:val="single" w:sz="4" w:space="0" w:color="59BDB8" w:themeColor="accent3"/>
        <w:right w:val="single" w:sz="4" w:space="0" w:color="59BDB8" w:themeColor="accent3"/>
        <w:insideH w:val="single" w:sz="4" w:space="0" w:color="FFFFFF" w:themeColor="background1"/>
        <w:insideV w:val="single" w:sz="4" w:space="0" w:color="FFFFFF" w:themeColor="background1"/>
      </w:tblBorders>
    </w:tblPr>
    <w:tcPr>
      <w:shd w:val="clear" w:color="auto" w:fill="EEF8F7" w:themeFill="accent3" w:themeFillTint="19"/>
    </w:tcPr>
    <w:tblStylePr w:type="firstRow">
      <w:rPr>
        <w:b/>
        <w:bCs/>
      </w:rPr>
      <w:tblPr/>
      <w:tcPr>
        <w:tcBorders>
          <w:top w:val="nil"/>
          <w:left w:val="nil"/>
          <w:bottom w:val="single" w:sz="24" w:space="0" w:color="FDB93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773" w:themeFill="accent3" w:themeFillShade="99"/>
      </w:tcPr>
    </w:tblStylePr>
    <w:tblStylePr w:type="firstCol">
      <w:rPr>
        <w:color w:val="FFFFFF" w:themeColor="background1"/>
      </w:rPr>
      <w:tblPr/>
      <w:tcPr>
        <w:tcBorders>
          <w:top w:val="nil"/>
          <w:left w:val="nil"/>
          <w:bottom w:val="nil"/>
          <w:right w:val="nil"/>
          <w:insideH w:val="single" w:sz="4" w:space="0" w:color="2F7773" w:themeColor="accent3" w:themeShade="99"/>
          <w:insideV w:val="nil"/>
        </w:tcBorders>
        <w:shd w:val="clear" w:color="auto" w:fill="2F777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F7773" w:themeFill="accent3" w:themeFillShade="99"/>
      </w:tcPr>
    </w:tblStylePr>
    <w:tblStylePr w:type="band1Vert">
      <w:tblPr/>
      <w:tcPr>
        <w:shd w:val="clear" w:color="auto" w:fill="BCE4E2" w:themeFill="accent3" w:themeFillTint="66"/>
      </w:tcPr>
    </w:tblStylePr>
    <w:tblStylePr w:type="band1Horz">
      <w:tblPr/>
      <w:tcPr>
        <w:shd w:val="clear" w:color="auto" w:fill="ACDEDB" w:themeFill="accent3" w:themeFillTint="7F"/>
      </w:tcPr>
    </w:tblStylePr>
  </w:style>
  <w:style w:type="table" w:styleId="ColorfulShading-Accent4">
    <w:name w:val="Colorful Shading Accent 4"/>
    <w:basedOn w:val="TableNormal"/>
    <w:uiPriority w:val="71"/>
    <w:semiHidden/>
    <w:unhideWhenUsed/>
    <w:pPr>
      <w:spacing w:before="0" w:after="0"/>
    </w:pPr>
    <w:rPr>
      <w:color w:val="000000" w:themeColor="text1"/>
    </w:rPr>
    <w:tblPr>
      <w:tblStyleRowBandSize w:val="1"/>
      <w:tblStyleColBandSize w:val="1"/>
      <w:tblBorders>
        <w:top w:val="single" w:sz="24" w:space="0" w:color="59BDB8" w:themeColor="accent3"/>
        <w:left w:val="single" w:sz="4" w:space="0" w:color="FDB933" w:themeColor="accent4"/>
        <w:bottom w:val="single" w:sz="4" w:space="0" w:color="FDB933" w:themeColor="accent4"/>
        <w:right w:val="single" w:sz="4" w:space="0" w:color="FDB933" w:themeColor="accent4"/>
        <w:insideH w:val="single" w:sz="4" w:space="0" w:color="FFFFFF" w:themeColor="background1"/>
        <w:insideV w:val="single" w:sz="4" w:space="0" w:color="FFFFFF" w:themeColor="background1"/>
      </w:tblBorders>
    </w:tblPr>
    <w:tcPr>
      <w:shd w:val="clear" w:color="auto" w:fill="FEF8EA" w:themeFill="accent4" w:themeFillTint="19"/>
    </w:tcPr>
    <w:tblStylePr w:type="firstRow">
      <w:rPr>
        <w:b/>
        <w:bCs/>
      </w:rPr>
      <w:tblPr/>
      <w:tcPr>
        <w:tcBorders>
          <w:top w:val="nil"/>
          <w:left w:val="nil"/>
          <w:bottom w:val="single" w:sz="24" w:space="0" w:color="59BDB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47801" w:themeFill="accent4" w:themeFillShade="99"/>
      </w:tcPr>
    </w:tblStylePr>
    <w:tblStylePr w:type="firstCol">
      <w:rPr>
        <w:color w:val="FFFFFF" w:themeColor="background1"/>
      </w:rPr>
      <w:tblPr/>
      <w:tcPr>
        <w:tcBorders>
          <w:top w:val="nil"/>
          <w:left w:val="nil"/>
          <w:bottom w:val="nil"/>
          <w:right w:val="nil"/>
          <w:insideH w:val="single" w:sz="4" w:space="0" w:color="B47801" w:themeColor="accent4" w:themeShade="99"/>
          <w:insideV w:val="nil"/>
        </w:tcBorders>
        <w:shd w:val="clear" w:color="auto" w:fill="B4780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47801" w:themeFill="accent4" w:themeFillShade="99"/>
      </w:tcPr>
    </w:tblStylePr>
    <w:tblStylePr w:type="band1Vert">
      <w:tblPr/>
      <w:tcPr>
        <w:shd w:val="clear" w:color="auto" w:fill="FEE2AD" w:themeFill="accent4" w:themeFillTint="66"/>
      </w:tcPr>
    </w:tblStylePr>
    <w:tblStylePr w:type="band1Horz">
      <w:tblPr/>
      <w:tcPr>
        <w:shd w:val="clear" w:color="auto" w:fill="FEDC9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after="0"/>
    </w:pPr>
    <w:rPr>
      <w:color w:val="000000" w:themeColor="text1"/>
    </w:rPr>
    <w:tblPr>
      <w:tblStyleRowBandSize w:val="1"/>
      <w:tblStyleColBandSize w:val="1"/>
      <w:tblBorders>
        <w:top w:val="single" w:sz="24" w:space="0" w:color="BD2644" w:themeColor="accent6"/>
        <w:left w:val="single" w:sz="4" w:space="0" w:color="6CAD6C" w:themeColor="accent5"/>
        <w:bottom w:val="single" w:sz="4" w:space="0" w:color="6CAD6C" w:themeColor="accent5"/>
        <w:right w:val="single" w:sz="4" w:space="0" w:color="6CAD6C" w:themeColor="accent5"/>
        <w:insideH w:val="single" w:sz="4" w:space="0" w:color="FFFFFF" w:themeColor="background1"/>
        <w:insideV w:val="single" w:sz="4" w:space="0" w:color="FFFFFF" w:themeColor="background1"/>
      </w:tblBorders>
    </w:tblPr>
    <w:tcPr>
      <w:shd w:val="clear" w:color="auto" w:fill="F0F7F0" w:themeFill="accent5" w:themeFillTint="19"/>
    </w:tcPr>
    <w:tblStylePr w:type="firstRow">
      <w:rPr>
        <w:b/>
        <w:bCs/>
      </w:rPr>
      <w:tblPr/>
      <w:tcPr>
        <w:tcBorders>
          <w:top w:val="nil"/>
          <w:left w:val="nil"/>
          <w:bottom w:val="single" w:sz="24" w:space="0" w:color="BD26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6C3C" w:themeFill="accent5" w:themeFillShade="99"/>
      </w:tcPr>
    </w:tblStylePr>
    <w:tblStylePr w:type="firstCol">
      <w:rPr>
        <w:color w:val="FFFFFF" w:themeColor="background1"/>
      </w:rPr>
      <w:tblPr/>
      <w:tcPr>
        <w:tcBorders>
          <w:top w:val="nil"/>
          <w:left w:val="nil"/>
          <w:bottom w:val="nil"/>
          <w:right w:val="nil"/>
          <w:insideH w:val="single" w:sz="4" w:space="0" w:color="3C6C3C" w:themeColor="accent5" w:themeShade="99"/>
          <w:insideV w:val="nil"/>
        </w:tcBorders>
        <w:shd w:val="clear" w:color="auto" w:fill="3C6C3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C6C3C" w:themeFill="accent5" w:themeFillShade="99"/>
      </w:tcPr>
    </w:tblStylePr>
    <w:tblStylePr w:type="band1Vert">
      <w:tblPr/>
      <w:tcPr>
        <w:shd w:val="clear" w:color="auto" w:fill="C4DEC4" w:themeFill="accent5" w:themeFillTint="66"/>
      </w:tcPr>
    </w:tblStylePr>
    <w:tblStylePr w:type="band1Horz">
      <w:tblPr/>
      <w:tcPr>
        <w:shd w:val="clear" w:color="auto" w:fill="B5D6B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after="0"/>
    </w:pPr>
    <w:rPr>
      <w:color w:val="000000" w:themeColor="text1"/>
    </w:rPr>
    <w:tblPr>
      <w:tblStyleRowBandSize w:val="1"/>
      <w:tblStyleColBandSize w:val="1"/>
      <w:tblBorders>
        <w:top w:val="single" w:sz="24" w:space="0" w:color="6CAD6C" w:themeColor="accent5"/>
        <w:left w:val="single" w:sz="4" w:space="0" w:color="BD2644" w:themeColor="accent6"/>
        <w:bottom w:val="single" w:sz="4" w:space="0" w:color="BD2644" w:themeColor="accent6"/>
        <w:right w:val="single" w:sz="4" w:space="0" w:color="BD2644" w:themeColor="accent6"/>
        <w:insideH w:val="single" w:sz="4" w:space="0" w:color="FFFFFF" w:themeColor="background1"/>
        <w:insideV w:val="single" w:sz="4" w:space="0" w:color="FFFFFF" w:themeColor="background1"/>
      </w:tblBorders>
    </w:tblPr>
    <w:tcPr>
      <w:shd w:val="clear" w:color="auto" w:fill="FAE7EB" w:themeFill="accent6" w:themeFillTint="19"/>
    </w:tcPr>
    <w:tblStylePr w:type="firstRow">
      <w:rPr>
        <w:b/>
        <w:bCs/>
      </w:rPr>
      <w:tblPr/>
      <w:tcPr>
        <w:tcBorders>
          <w:top w:val="nil"/>
          <w:left w:val="nil"/>
          <w:bottom w:val="single" w:sz="24" w:space="0" w:color="6CAD6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1628" w:themeFill="accent6" w:themeFillShade="99"/>
      </w:tcPr>
    </w:tblStylePr>
    <w:tblStylePr w:type="firstCol">
      <w:rPr>
        <w:color w:val="FFFFFF" w:themeColor="background1"/>
      </w:rPr>
      <w:tblPr/>
      <w:tcPr>
        <w:tcBorders>
          <w:top w:val="nil"/>
          <w:left w:val="nil"/>
          <w:bottom w:val="nil"/>
          <w:right w:val="nil"/>
          <w:insideH w:val="single" w:sz="4" w:space="0" w:color="711628" w:themeColor="accent6" w:themeShade="99"/>
          <w:insideV w:val="nil"/>
        </w:tcBorders>
        <w:shd w:val="clear" w:color="auto" w:fill="7116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11628" w:themeFill="accent6" w:themeFillShade="99"/>
      </w:tcPr>
    </w:tblStylePr>
    <w:tblStylePr w:type="band1Vert">
      <w:tblPr/>
      <w:tcPr>
        <w:shd w:val="clear" w:color="auto" w:fill="ECA0AF" w:themeFill="accent6" w:themeFillTint="66"/>
      </w:tcPr>
    </w:tblStylePr>
    <w:tblStylePr w:type="band1Horz">
      <w:tblPr/>
      <w:tcPr>
        <w:shd w:val="clear" w:color="auto" w:fill="E7899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qFormat/>
    <w:rPr>
      <w:sz w:val="16"/>
      <w:szCs w:val="16"/>
      <w:lang w:val="pl-PL"/>
    </w:rPr>
  </w:style>
  <w:style w:type="table" w:styleId="DarkList">
    <w:name w:val="Dark List"/>
    <w:basedOn w:val="TableNormal"/>
    <w:uiPriority w:val="70"/>
    <w:semiHidden/>
    <w:unhideWhenUsed/>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after="0"/>
    </w:pPr>
    <w:rPr>
      <w:color w:val="FFFFFF" w:themeColor="background1"/>
    </w:rPr>
    <w:tblPr>
      <w:tblStyleRowBandSize w:val="1"/>
      <w:tblStyleColBandSize w:val="1"/>
    </w:tblPr>
    <w:tcPr>
      <w:shd w:val="clear" w:color="auto" w:fill="02847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413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1625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1625D" w:themeFill="accent1" w:themeFillShade="BF"/>
      </w:tcPr>
    </w:tblStylePr>
    <w:tblStylePr w:type="band1Vert">
      <w:tblPr/>
      <w:tcPr>
        <w:tcBorders>
          <w:top w:val="nil"/>
          <w:left w:val="nil"/>
          <w:bottom w:val="nil"/>
          <w:right w:val="nil"/>
          <w:insideH w:val="nil"/>
          <w:insideV w:val="nil"/>
        </w:tcBorders>
        <w:shd w:val="clear" w:color="auto" w:fill="01625D" w:themeFill="accent1" w:themeFillShade="BF"/>
      </w:tcPr>
    </w:tblStylePr>
    <w:tblStylePr w:type="band1Horz">
      <w:tblPr/>
      <w:tcPr>
        <w:tcBorders>
          <w:top w:val="nil"/>
          <w:left w:val="nil"/>
          <w:bottom w:val="nil"/>
          <w:right w:val="nil"/>
          <w:insideH w:val="nil"/>
          <w:insideV w:val="nil"/>
        </w:tcBorders>
        <w:shd w:val="clear" w:color="auto" w:fill="01625D" w:themeFill="accent1" w:themeFillShade="BF"/>
      </w:tcPr>
    </w:tblStylePr>
  </w:style>
  <w:style w:type="table" w:styleId="DarkList-Accent2">
    <w:name w:val="Dark List Accent 2"/>
    <w:basedOn w:val="TableNormal"/>
    <w:uiPriority w:val="70"/>
    <w:semiHidden/>
    <w:unhideWhenUsed/>
    <w:pPr>
      <w:spacing w:before="0" w:after="0"/>
    </w:pPr>
    <w:rPr>
      <w:color w:val="FFFFFF" w:themeColor="background1"/>
    </w:rPr>
    <w:tblPr>
      <w:tblStyleRowBandSize w:val="1"/>
      <w:tblStyleColBandSize w:val="1"/>
    </w:tblPr>
    <w:tcPr>
      <w:shd w:val="clear" w:color="auto" w:fill="F36E4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129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A3F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A3F0E" w:themeFill="accent2" w:themeFillShade="BF"/>
      </w:tcPr>
    </w:tblStylePr>
    <w:tblStylePr w:type="band1Vert">
      <w:tblPr/>
      <w:tcPr>
        <w:tcBorders>
          <w:top w:val="nil"/>
          <w:left w:val="nil"/>
          <w:bottom w:val="nil"/>
          <w:right w:val="nil"/>
          <w:insideH w:val="nil"/>
          <w:insideV w:val="nil"/>
        </w:tcBorders>
        <w:shd w:val="clear" w:color="auto" w:fill="DA3F0E" w:themeFill="accent2" w:themeFillShade="BF"/>
      </w:tcPr>
    </w:tblStylePr>
    <w:tblStylePr w:type="band1Horz">
      <w:tblPr/>
      <w:tcPr>
        <w:tcBorders>
          <w:top w:val="nil"/>
          <w:left w:val="nil"/>
          <w:bottom w:val="nil"/>
          <w:right w:val="nil"/>
          <w:insideH w:val="nil"/>
          <w:insideV w:val="nil"/>
        </w:tcBorders>
        <w:shd w:val="clear" w:color="auto" w:fill="DA3F0E" w:themeFill="accent2" w:themeFillShade="BF"/>
      </w:tcPr>
    </w:tblStylePr>
  </w:style>
  <w:style w:type="table" w:styleId="DarkList-Accent3">
    <w:name w:val="Dark List Accent 3"/>
    <w:basedOn w:val="TableNormal"/>
    <w:uiPriority w:val="70"/>
    <w:semiHidden/>
    <w:unhideWhenUsed/>
    <w:pPr>
      <w:spacing w:before="0" w:after="0"/>
    </w:pPr>
    <w:rPr>
      <w:color w:val="FFFFFF" w:themeColor="background1"/>
    </w:rPr>
    <w:tblPr>
      <w:tblStyleRowBandSize w:val="1"/>
      <w:tblStyleColBandSize w:val="1"/>
    </w:tblPr>
    <w:tcPr>
      <w:shd w:val="clear" w:color="auto" w:fill="59BDB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25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B949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B9490" w:themeFill="accent3" w:themeFillShade="BF"/>
      </w:tcPr>
    </w:tblStylePr>
    <w:tblStylePr w:type="band1Vert">
      <w:tblPr/>
      <w:tcPr>
        <w:tcBorders>
          <w:top w:val="nil"/>
          <w:left w:val="nil"/>
          <w:bottom w:val="nil"/>
          <w:right w:val="nil"/>
          <w:insideH w:val="nil"/>
          <w:insideV w:val="nil"/>
        </w:tcBorders>
        <w:shd w:val="clear" w:color="auto" w:fill="3B9490" w:themeFill="accent3" w:themeFillShade="BF"/>
      </w:tcPr>
    </w:tblStylePr>
    <w:tblStylePr w:type="band1Horz">
      <w:tblPr/>
      <w:tcPr>
        <w:tcBorders>
          <w:top w:val="nil"/>
          <w:left w:val="nil"/>
          <w:bottom w:val="nil"/>
          <w:right w:val="nil"/>
          <w:insideH w:val="nil"/>
          <w:insideV w:val="nil"/>
        </w:tcBorders>
        <w:shd w:val="clear" w:color="auto" w:fill="3B9490" w:themeFill="accent3" w:themeFillShade="BF"/>
      </w:tcPr>
    </w:tblStylePr>
  </w:style>
  <w:style w:type="table" w:styleId="DarkList-Accent4">
    <w:name w:val="Dark List Accent 4"/>
    <w:basedOn w:val="TableNormal"/>
    <w:uiPriority w:val="70"/>
    <w:semiHidden/>
    <w:unhideWhenUsed/>
    <w:pPr>
      <w:spacing w:before="0" w:after="0"/>
    </w:pPr>
    <w:rPr>
      <w:color w:val="FFFFFF" w:themeColor="background1"/>
    </w:rPr>
    <w:tblPr>
      <w:tblStyleRowBandSize w:val="1"/>
      <w:tblStyleColBandSize w:val="1"/>
    </w:tblPr>
    <w:tcPr>
      <w:shd w:val="clear" w:color="auto" w:fill="FDB93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5630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1960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19602" w:themeFill="accent4" w:themeFillShade="BF"/>
      </w:tcPr>
    </w:tblStylePr>
    <w:tblStylePr w:type="band1Vert">
      <w:tblPr/>
      <w:tcPr>
        <w:tcBorders>
          <w:top w:val="nil"/>
          <w:left w:val="nil"/>
          <w:bottom w:val="nil"/>
          <w:right w:val="nil"/>
          <w:insideH w:val="nil"/>
          <w:insideV w:val="nil"/>
        </w:tcBorders>
        <w:shd w:val="clear" w:color="auto" w:fill="E19602" w:themeFill="accent4" w:themeFillShade="BF"/>
      </w:tcPr>
    </w:tblStylePr>
    <w:tblStylePr w:type="band1Horz">
      <w:tblPr/>
      <w:tcPr>
        <w:tcBorders>
          <w:top w:val="nil"/>
          <w:left w:val="nil"/>
          <w:bottom w:val="nil"/>
          <w:right w:val="nil"/>
          <w:insideH w:val="nil"/>
          <w:insideV w:val="nil"/>
        </w:tcBorders>
        <w:shd w:val="clear" w:color="auto" w:fill="E19602" w:themeFill="accent4" w:themeFillShade="BF"/>
      </w:tcPr>
    </w:tblStylePr>
  </w:style>
  <w:style w:type="table" w:styleId="DarkList-Accent5">
    <w:name w:val="Dark List Accent 5"/>
    <w:basedOn w:val="TableNormal"/>
    <w:uiPriority w:val="70"/>
    <w:semiHidden/>
    <w:unhideWhenUsed/>
    <w:pPr>
      <w:spacing w:before="0" w:after="0"/>
    </w:pPr>
    <w:rPr>
      <w:color w:val="FFFFFF" w:themeColor="background1"/>
    </w:rPr>
    <w:tblPr>
      <w:tblStyleRowBandSize w:val="1"/>
      <w:tblStyleColBandSize w:val="1"/>
    </w:tblPr>
    <w:tcPr>
      <w:shd w:val="clear" w:color="auto" w:fill="6CAD6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593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B864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B864B" w:themeFill="accent5" w:themeFillShade="BF"/>
      </w:tcPr>
    </w:tblStylePr>
    <w:tblStylePr w:type="band1Vert">
      <w:tblPr/>
      <w:tcPr>
        <w:tcBorders>
          <w:top w:val="nil"/>
          <w:left w:val="nil"/>
          <w:bottom w:val="nil"/>
          <w:right w:val="nil"/>
          <w:insideH w:val="nil"/>
          <w:insideV w:val="nil"/>
        </w:tcBorders>
        <w:shd w:val="clear" w:color="auto" w:fill="4B864B" w:themeFill="accent5" w:themeFillShade="BF"/>
      </w:tcPr>
    </w:tblStylePr>
    <w:tblStylePr w:type="band1Horz">
      <w:tblPr/>
      <w:tcPr>
        <w:tcBorders>
          <w:top w:val="nil"/>
          <w:left w:val="nil"/>
          <w:bottom w:val="nil"/>
          <w:right w:val="nil"/>
          <w:insideH w:val="nil"/>
          <w:insideV w:val="nil"/>
        </w:tcBorders>
        <w:shd w:val="clear" w:color="auto" w:fill="4B864B" w:themeFill="accent5" w:themeFillShade="BF"/>
      </w:tcPr>
    </w:tblStylePr>
  </w:style>
  <w:style w:type="table" w:styleId="DarkList-Accent6">
    <w:name w:val="Dark List Accent 6"/>
    <w:basedOn w:val="TableNormal"/>
    <w:uiPriority w:val="70"/>
    <w:semiHidden/>
    <w:unhideWhenUsed/>
    <w:pPr>
      <w:spacing w:before="0" w:after="0"/>
    </w:pPr>
    <w:rPr>
      <w:color w:val="FFFFFF" w:themeColor="background1"/>
    </w:rPr>
    <w:tblPr>
      <w:tblStyleRowBandSize w:val="1"/>
      <w:tblStyleColBandSize w:val="1"/>
    </w:tblPr>
    <w:tcPr>
      <w:shd w:val="clear" w:color="auto" w:fill="BD26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3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D1C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D1C32" w:themeFill="accent6" w:themeFillShade="BF"/>
      </w:tcPr>
    </w:tblStylePr>
    <w:tblStylePr w:type="band1Vert">
      <w:tblPr/>
      <w:tcPr>
        <w:tcBorders>
          <w:top w:val="nil"/>
          <w:left w:val="nil"/>
          <w:bottom w:val="nil"/>
          <w:right w:val="nil"/>
          <w:insideH w:val="nil"/>
          <w:insideV w:val="nil"/>
        </w:tcBorders>
        <w:shd w:val="clear" w:color="auto" w:fill="8D1C32" w:themeFill="accent6" w:themeFillShade="BF"/>
      </w:tcPr>
    </w:tblStylePr>
    <w:tblStylePr w:type="band1Horz">
      <w:tblPr/>
      <w:tcPr>
        <w:tcBorders>
          <w:top w:val="nil"/>
          <w:left w:val="nil"/>
          <w:bottom w:val="nil"/>
          <w:right w:val="nil"/>
          <w:insideH w:val="nil"/>
          <w:insideV w:val="nil"/>
        </w:tcBorders>
        <w:shd w:val="clear" w:color="auto" w:fill="8D1C32" w:themeFill="accent6" w:themeFillShade="BF"/>
      </w:tcPr>
    </w:tblStylePr>
  </w:style>
  <w:style w:type="character" w:styleId="Emphasis">
    <w:name w:val="Emphasis"/>
    <w:basedOn w:val="DefaultParagraphFont"/>
    <w:uiPriority w:val="20"/>
    <w:qFormat/>
    <w:rPr>
      <w:i/>
      <w:iCs/>
      <w:lang w:val="pl-PL"/>
    </w:rPr>
  </w:style>
  <w:style w:type="table" w:styleId="GridTable1Light">
    <w:name w:val="Grid Table 1 Light"/>
    <w:basedOn w:val="TableNormal"/>
    <w:uiPriority w:val="4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pPr>
      <w:spacing w:after="0"/>
    </w:pPr>
    <w:tblPr>
      <w:tblStyleRowBandSize w:val="1"/>
      <w:tblStyleColBandSize w:val="1"/>
      <w:tblBorders>
        <w:top w:val="single" w:sz="4" w:space="0" w:color="6AFCF4" w:themeColor="accent1" w:themeTint="66"/>
        <w:left w:val="single" w:sz="4" w:space="0" w:color="6AFCF4" w:themeColor="accent1" w:themeTint="66"/>
        <w:bottom w:val="single" w:sz="4" w:space="0" w:color="6AFCF4" w:themeColor="accent1" w:themeTint="66"/>
        <w:right w:val="single" w:sz="4" w:space="0" w:color="6AFCF4" w:themeColor="accent1" w:themeTint="66"/>
        <w:insideH w:val="single" w:sz="4" w:space="0" w:color="6AFCF4" w:themeColor="accent1" w:themeTint="66"/>
        <w:insideV w:val="single" w:sz="4" w:space="0" w:color="6AFCF4" w:themeColor="accent1" w:themeTint="66"/>
      </w:tblBorders>
    </w:tblPr>
    <w:tblStylePr w:type="firstRow">
      <w:rPr>
        <w:b/>
        <w:bCs/>
      </w:rPr>
      <w:tblPr/>
      <w:tcPr>
        <w:tcBorders>
          <w:bottom w:val="single" w:sz="12" w:space="0" w:color="20FBEF" w:themeColor="accent1" w:themeTint="99"/>
        </w:tcBorders>
      </w:tcPr>
    </w:tblStylePr>
    <w:tblStylePr w:type="lastRow">
      <w:rPr>
        <w:b/>
        <w:bCs/>
      </w:rPr>
      <w:tblPr/>
      <w:tcPr>
        <w:tcBorders>
          <w:top w:val="double" w:sz="2" w:space="0" w:color="20FBE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FAC4B4" w:themeColor="accent2" w:themeTint="66"/>
        <w:left w:val="single" w:sz="4" w:space="0" w:color="FAC4B4" w:themeColor="accent2" w:themeTint="66"/>
        <w:bottom w:val="single" w:sz="4" w:space="0" w:color="FAC4B4" w:themeColor="accent2" w:themeTint="66"/>
        <w:right w:val="single" w:sz="4" w:space="0" w:color="FAC4B4" w:themeColor="accent2" w:themeTint="66"/>
        <w:insideH w:val="single" w:sz="4" w:space="0" w:color="FAC4B4" w:themeColor="accent2" w:themeTint="66"/>
        <w:insideV w:val="single" w:sz="4" w:space="0" w:color="FAC4B4" w:themeColor="accent2" w:themeTint="66"/>
      </w:tblBorders>
    </w:tblPr>
    <w:tblStylePr w:type="firstRow">
      <w:rPr>
        <w:b/>
        <w:bCs/>
      </w:rPr>
      <w:tblPr/>
      <w:tcPr>
        <w:tcBorders>
          <w:bottom w:val="single" w:sz="12" w:space="0" w:color="F7A78E" w:themeColor="accent2" w:themeTint="99"/>
        </w:tcBorders>
      </w:tcPr>
    </w:tblStylePr>
    <w:tblStylePr w:type="lastRow">
      <w:rPr>
        <w:b/>
        <w:bCs/>
      </w:rPr>
      <w:tblPr/>
      <w:tcPr>
        <w:tcBorders>
          <w:top w:val="double" w:sz="2" w:space="0" w:color="F7A78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pPr>
      <w:spacing w:after="0"/>
    </w:pPr>
    <w:tblPr>
      <w:tblStyleRowBandSize w:val="1"/>
      <w:tblStyleColBandSize w:val="1"/>
      <w:tblBorders>
        <w:top w:val="single" w:sz="4" w:space="0" w:color="BCE4E2" w:themeColor="accent3" w:themeTint="66"/>
        <w:left w:val="single" w:sz="4" w:space="0" w:color="BCE4E2" w:themeColor="accent3" w:themeTint="66"/>
        <w:bottom w:val="single" w:sz="4" w:space="0" w:color="BCE4E2" w:themeColor="accent3" w:themeTint="66"/>
        <w:right w:val="single" w:sz="4" w:space="0" w:color="BCE4E2" w:themeColor="accent3" w:themeTint="66"/>
        <w:insideH w:val="single" w:sz="4" w:space="0" w:color="BCE4E2" w:themeColor="accent3" w:themeTint="66"/>
        <w:insideV w:val="single" w:sz="4" w:space="0" w:color="BCE4E2" w:themeColor="accent3" w:themeTint="66"/>
      </w:tblBorders>
    </w:tblPr>
    <w:tblStylePr w:type="firstRow">
      <w:rPr>
        <w:b/>
        <w:bCs/>
      </w:rPr>
      <w:tblPr/>
      <w:tcPr>
        <w:tcBorders>
          <w:bottom w:val="single" w:sz="12" w:space="0" w:color="9BD7D4" w:themeColor="accent3" w:themeTint="99"/>
        </w:tcBorders>
      </w:tcPr>
    </w:tblStylePr>
    <w:tblStylePr w:type="lastRow">
      <w:rPr>
        <w:b/>
        <w:bCs/>
      </w:rPr>
      <w:tblPr/>
      <w:tcPr>
        <w:tcBorders>
          <w:top w:val="double" w:sz="2" w:space="0" w:color="9BD7D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pPr>
      <w:spacing w:after="0"/>
    </w:pPr>
    <w:tblPr>
      <w:tblStyleRowBandSize w:val="1"/>
      <w:tblStyleColBandSize w:val="1"/>
      <w:tblBorders>
        <w:top w:val="single" w:sz="4" w:space="0" w:color="FEE2AD" w:themeColor="accent4" w:themeTint="66"/>
        <w:left w:val="single" w:sz="4" w:space="0" w:color="FEE2AD" w:themeColor="accent4" w:themeTint="66"/>
        <w:bottom w:val="single" w:sz="4" w:space="0" w:color="FEE2AD" w:themeColor="accent4" w:themeTint="66"/>
        <w:right w:val="single" w:sz="4" w:space="0" w:color="FEE2AD" w:themeColor="accent4" w:themeTint="66"/>
        <w:insideH w:val="single" w:sz="4" w:space="0" w:color="FEE2AD" w:themeColor="accent4" w:themeTint="66"/>
        <w:insideV w:val="single" w:sz="4" w:space="0" w:color="FEE2AD" w:themeColor="accent4" w:themeTint="66"/>
      </w:tblBorders>
    </w:tblPr>
    <w:tblStylePr w:type="firstRow">
      <w:rPr>
        <w:b/>
        <w:bCs/>
      </w:rPr>
      <w:tblPr/>
      <w:tcPr>
        <w:tcBorders>
          <w:bottom w:val="single" w:sz="12" w:space="0" w:color="FDD484" w:themeColor="accent4" w:themeTint="99"/>
        </w:tcBorders>
      </w:tcPr>
    </w:tblStylePr>
    <w:tblStylePr w:type="lastRow">
      <w:rPr>
        <w:b/>
        <w:bCs/>
      </w:rPr>
      <w:tblPr/>
      <w:tcPr>
        <w:tcBorders>
          <w:top w:val="double" w:sz="2" w:space="0" w:color="FDD48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pPr>
      <w:spacing w:after="0"/>
    </w:pPr>
    <w:tblPr>
      <w:tblStyleRowBandSize w:val="1"/>
      <w:tblStyleColBandSize w:val="1"/>
      <w:tblBorders>
        <w:top w:val="single" w:sz="4" w:space="0" w:color="C4DEC4" w:themeColor="accent5" w:themeTint="66"/>
        <w:left w:val="single" w:sz="4" w:space="0" w:color="C4DEC4" w:themeColor="accent5" w:themeTint="66"/>
        <w:bottom w:val="single" w:sz="4" w:space="0" w:color="C4DEC4" w:themeColor="accent5" w:themeTint="66"/>
        <w:right w:val="single" w:sz="4" w:space="0" w:color="C4DEC4" w:themeColor="accent5" w:themeTint="66"/>
        <w:insideH w:val="single" w:sz="4" w:space="0" w:color="C4DEC4" w:themeColor="accent5" w:themeTint="66"/>
        <w:insideV w:val="single" w:sz="4" w:space="0" w:color="C4DEC4" w:themeColor="accent5" w:themeTint="66"/>
      </w:tblBorders>
    </w:tblPr>
    <w:tblStylePr w:type="firstRow">
      <w:rPr>
        <w:b/>
        <w:bCs/>
      </w:rPr>
      <w:tblPr/>
      <w:tcPr>
        <w:tcBorders>
          <w:bottom w:val="single" w:sz="12" w:space="0" w:color="A6CDA6" w:themeColor="accent5" w:themeTint="99"/>
        </w:tcBorders>
      </w:tcPr>
    </w:tblStylePr>
    <w:tblStylePr w:type="lastRow">
      <w:rPr>
        <w:b/>
        <w:bCs/>
      </w:rPr>
      <w:tblPr/>
      <w:tcPr>
        <w:tcBorders>
          <w:top w:val="double" w:sz="2" w:space="0" w:color="A6CDA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ECA0AF" w:themeColor="accent6" w:themeTint="66"/>
        <w:left w:val="single" w:sz="4" w:space="0" w:color="ECA0AF" w:themeColor="accent6" w:themeTint="66"/>
        <w:bottom w:val="single" w:sz="4" w:space="0" w:color="ECA0AF" w:themeColor="accent6" w:themeTint="66"/>
        <w:right w:val="single" w:sz="4" w:space="0" w:color="ECA0AF" w:themeColor="accent6" w:themeTint="66"/>
        <w:insideH w:val="single" w:sz="4" w:space="0" w:color="ECA0AF" w:themeColor="accent6" w:themeTint="66"/>
        <w:insideV w:val="single" w:sz="4" w:space="0" w:color="ECA0AF" w:themeColor="accent6" w:themeTint="66"/>
      </w:tblBorders>
    </w:tblPr>
    <w:tblStylePr w:type="firstRow">
      <w:rPr>
        <w:b/>
        <w:bCs/>
      </w:rPr>
      <w:tblPr/>
      <w:tcPr>
        <w:tcBorders>
          <w:bottom w:val="single" w:sz="12" w:space="0" w:color="E27187" w:themeColor="accent6" w:themeTint="99"/>
        </w:tcBorders>
      </w:tcPr>
    </w:tblStylePr>
    <w:tblStylePr w:type="lastRow">
      <w:rPr>
        <w:b/>
        <w:bCs/>
      </w:rPr>
      <w:tblPr/>
      <w:tcPr>
        <w:tcBorders>
          <w:top w:val="double" w:sz="2" w:space="0" w:color="E2718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pPr>
      <w:spacing w:after="0"/>
    </w:pPr>
    <w:tblPr>
      <w:tblStyleRowBandSize w:val="1"/>
      <w:tblStyleColBandSize w:val="1"/>
      <w:tblBorders>
        <w:top w:val="single" w:sz="2" w:space="0" w:color="20FBEF" w:themeColor="accent1" w:themeTint="99"/>
        <w:bottom w:val="single" w:sz="2" w:space="0" w:color="20FBEF" w:themeColor="accent1" w:themeTint="99"/>
        <w:insideH w:val="single" w:sz="2" w:space="0" w:color="20FBEF" w:themeColor="accent1" w:themeTint="99"/>
        <w:insideV w:val="single" w:sz="2" w:space="0" w:color="20FBEF" w:themeColor="accent1" w:themeTint="99"/>
      </w:tblBorders>
    </w:tblPr>
    <w:tblStylePr w:type="firstRow">
      <w:rPr>
        <w:b/>
        <w:bCs/>
      </w:rPr>
      <w:tblPr/>
      <w:tcPr>
        <w:tcBorders>
          <w:top w:val="nil"/>
          <w:bottom w:val="single" w:sz="12" w:space="0" w:color="20FBEF" w:themeColor="accent1" w:themeTint="99"/>
          <w:insideH w:val="nil"/>
          <w:insideV w:val="nil"/>
        </w:tcBorders>
        <w:shd w:val="clear" w:color="auto" w:fill="FFFFFF" w:themeFill="background1"/>
      </w:tcPr>
    </w:tblStylePr>
    <w:tblStylePr w:type="lastRow">
      <w:rPr>
        <w:b/>
        <w:bCs/>
      </w:rPr>
      <w:tblPr/>
      <w:tcPr>
        <w:tcBorders>
          <w:top w:val="double" w:sz="2" w:space="0" w:color="20FBE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FEF9" w:themeFill="accent1" w:themeFillTint="33"/>
      </w:tcPr>
    </w:tblStylePr>
    <w:tblStylePr w:type="band1Horz">
      <w:tblPr/>
      <w:tcPr>
        <w:shd w:val="clear" w:color="auto" w:fill="B4FEF9" w:themeFill="accent1" w:themeFillTint="33"/>
      </w:tcPr>
    </w:tblStylePr>
  </w:style>
  <w:style w:type="table" w:styleId="GridTable2-Accent3">
    <w:name w:val="Grid Table 2 Accent 3"/>
    <w:basedOn w:val="TableNormal"/>
    <w:uiPriority w:val="47"/>
    <w:pPr>
      <w:spacing w:after="0"/>
    </w:pPr>
    <w:tblPr>
      <w:tblStyleRowBandSize w:val="1"/>
      <w:tblStyleColBandSize w:val="1"/>
      <w:tblBorders>
        <w:top w:val="single" w:sz="2" w:space="0" w:color="9BD7D4" w:themeColor="accent3" w:themeTint="99"/>
        <w:bottom w:val="single" w:sz="2" w:space="0" w:color="9BD7D4" w:themeColor="accent3" w:themeTint="99"/>
        <w:insideH w:val="single" w:sz="2" w:space="0" w:color="9BD7D4" w:themeColor="accent3" w:themeTint="99"/>
        <w:insideV w:val="single" w:sz="2" w:space="0" w:color="9BD7D4" w:themeColor="accent3" w:themeTint="99"/>
      </w:tblBorders>
    </w:tblPr>
    <w:tblStylePr w:type="firstRow">
      <w:rPr>
        <w:b/>
        <w:bCs/>
      </w:rPr>
      <w:tblPr/>
      <w:tcPr>
        <w:tcBorders>
          <w:top w:val="nil"/>
          <w:bottom w:val="single" w:sz="12" w:space="0" w:color="9BD7D4" w:themeColor="accent3" w:themeTint="99"/>
          <w:insideH w:val="nil"/>
          <w:insideV w:val="nil"/>
        </w:tcBorders>
        <w:shd w:val="clear" w:color="auto" w:fill="FFFFFF" w:themeFill="background1"/>
      </w:tcPr>
    </w:tblStylePr>
    <w:tblStylePr w:type="lastRow">
      <w:rPr>
        <w:b/>
        <w:bCs/>
      </w:rPr>
      <w:tblPr/>
      <w:tcPr>
        <w:tcBorders>
          <w:top w:val="double" w:sz="2" w:space="0" w:color="9BD7D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F0" w:themeFill="accent3" w:themeFillTint="33"/>
      </w:tcPr>
    </w:tblStylePr>
    <w:tblStylePr w:type="band1Horz">
      <w:tblPr/>
      <w:tcPr>
        <w:shd w:val="clear" w:color="auto" w:fill="DDF1F0" w:themeFill="accent3" w:themeFillTint="33"/>
      </w:tcPr>
    </w:tblStylePr>
  </w:style>
  <w:style w:type="table" w:styleId="GridTable2-Accent4">
    <w:name w:val="Grid Table 2 Accent 4"/>
    <w:basedOn w:val="TableNormal"/>
    <w:uiPriority w:val="47"/>
    <w:pPr>
      <w:spacing w:after="0"/>
    </w:pPr>
    <w:tblPr>
      <w:tblStyleRowBandSize w:val="1"/>
      <w:tblStyleColBandSize w:val="1"/>
      <w:tblBorders>
        <w:top w:val="single" w:sz="2" w:space="0" w:color="FDD484" w:themeColor="accent4" w:themeTint="99"/>
        <w:bottom w:val="single" w:sz="2" w:space="0" w:color="FDD484" w:themeColor="accent4" w:themeTint="99"/>
        <w:insideH w:val="single" w:sz="2" w:space="0" w:color="FDD484" w:themeColor="accent4" w:themeTint="99"/>
        <w:insideV w:val="single" w:sz="2" w:space="0" w:color="FDD484" w:themeColor="accent4" w:themeTint="99"/>
      </w:tblBorders>
    </w:tblPr>
    <w:tblStylePr w:type="firstRow">
      <w:rPr>
        <w:b/>
        <w:bCs/>
      </w:rPr>
      <w:tblPr/>
      <w:tcPr>
        <w:tcBorders>
          <w:top w:val="nil"/>
          <w:bottom w:val="single" w:sz="12" w:space="0" w:color="FDD484" w:themeColor="accent4" w:themeTint="99"/>
          <w:insideH w:val="nil"/>
          <w:insideV w:val="nil"/>
        </w:tcBorders>
        <w:shd w:val="clear" w:color="auto" w:fill="FFFFFF" w:themeFill="background1"/>
      </w:tcPr>
    </w:tblStylePr>
    <w:tblStylePr w:type="lastRow">
      <w:rPr>
        <w:b/>
        <w:bCs/>
      </w:rPr>
      <w:tblPr/>
      <w:tcPr>
        <w:tcBorders>
          <w:top w:val="double" w:sz="2" w:space="0" w:color="FDD48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0D6" w:themeFill="accent4" w:themeFillTint="33"/>
      </w:tcPr>
    </w:tblStylePr>
    <w:tblStylePr w:type="band1Horz">
      <w:tblPr/>
      <w:tcPr>
        <w:shd w:val="clear" w:color="auto" w:fill="FEF0D6" w:themeFill="accent4" w:themeFillTint="33"/>
      </w:tcPr>
    </w:tblStylePr>
  </w:style>
  <w:style w:type="table" w:styleId="GridTable2-Accent5">
    <w:name w:val="Grid Table 2 Accent 5"/>
    <w:basedOn w:val="TableNormal"/>
    <w:uiPriority w:val="47"/>
    <w:pPr>
      <w:spacing w:after="0"/>
    </w:pPr>
    <w:tblPr>
      <w:tblStyleRowBandSize w:val="1"/>
      <w:tblStyleColBandSize w:val="1"/>
      <w:tblBorders>
        <w:top w:val="single" w:sz="2" w:space="0" w:color="A6CDA6" w:themeColor="accent5" w:themeTint="99"/>
        <w:bottom w:val="single" w:sz="2" w:space="0" w:color="A6CDA6" w:themeColor="accent5" w:themeTint="99"/>
        <w:insideH w:val="single" w:sz="2" w:space="0" w:color="A6CDA6" w:themeColor="accent5" w:themeTint="99"/>
        <w:insideV w:val="single" w:sz="2" w:space="0" w:color="A6CDA6" w:themeColor="accent5" w:themeTint="99"/>
      </w:tblBorders>
    </w:tblPr>
    <w:tblStylePr w:type="firstRow">
      <w:rPr>
        <w:b/>
        <w:bCs/>
      </w:rPr>
      <w:tblPr/>
      <w:tcPr>
        <w:tcBorders>
          <w:top w:val="nil"/>
          <w:bottom w:val="single" w:sz="12" w:space="0" w:color="A6CDA6" w:themeColor="accent5" w:themeTint="99"/>
          <w:insideH w:val="nil"/>
          <w:insideV w:val="nil"/>
        </w:tcBorders>
        <w:shd w:val="clear" w:color="auto" w:fill="FFFFFF" w:themeFill="background1"/>
      </w:tcPr>
    </w:tblStylePr>
    <w:tblStylePr w:type="lastRow">
      <w:rPr>
        <w:b/>
        <w:bCs/>
      </w:rPr>
      <w:tblPr/>
      <w:tcPr>
        <w:tcBorders>
          <w:top w:val="double" w:sz="2" w:space="0" w:color="A6CDA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1" w:themeFill="accent5" w:themeFillTint="33"/>
      </w:tcPr>
    </w:tblStylePr>
    <w:tblStylePr w:type="band1Horz">
      <w:tblPr/>
      <w:tcPr>
        <w:shd w:val="clear" w:color="auto" w:fill="E1EEE1" w:themeFill="accent5" w:themeFillTint="33"/>
      </w:tcPr>
    </w:tblStylePr>
  </w:style>
  <w:style w:type="table" w:styleId="GridTable2-Accent6">
    <w:name w:val="Grid Table 2 Accent 6"/>
    <w:basedOn w:val="TableNormal"/>
    <w:uiPriority w:val="47"/>
    <w:pPr>
      <w:spacing w:after="0"/>
    </w:pPr>
    <w:tblPr>
      <w:tblStyleRowBandSize w:val="1"/>
      <w:tblStyleColBandSize w:val="1"/>
      <w:tblBorders>
        <w:top w:val="single" w:sz="2" w:space="0" w:color="E27187" w:themeColor="accent6" w:themeTint="99"/>
        <w:bottom w:val="single" w:sz="2" w:space="0" w:color="E27187" w:themeColor="accent6" w:themeTint="99"/>
        <w:insideH w:val="single" w:sz="2" w:space="0" w:color="E27187" w:themeColor="accent6" w:themeTint="99"/>
        <w:insideV w:val="single" w:sz="2" w:space="0" w:color="E27187" w:themeColor="accent6" w:themeTint="99"/>
      </w:tblBorders>
    </w:tblPr>
    <w:tblStylePr w:type="firstRow">
      <w:rPr>
        <w:b/>
        <w:bCs/>
      </w:rPr>
      <w:tblPr/>
      <w:tcPr>
        <w:tcBorders>
          <w:top w:val="nil"/>
          <w:bottom w:val="single" w:sz="12" w:space="0" w:color="E27187" w:themeColor="accent6" w:themeTint="99"/>
          <w:insideH w:val="nil"/>
          <w:insideV w:val="nil"/>
        </w:tcBorders>
        <w:shd w:val="clear" w:color="auto" w:fill="FFFFFF" w:themeFill="background1"/>
      </w:tcPr>
    </w:tblStylePr>
    <w:tblStylePr w:type="lastRow">
      <w:rPr>
        <w:b/>
        <w:bCs/>
      </w:rPr>
      <w:tblPr/>
      <w:tcPr>
        <w:tcBorders>
          <w:top w:val="double" w:sz="2" w:space="0" w:color="E2718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CFD7" w:themeFill="accent6" w:themeFillTint="33"/>
      </w:tcPr>
    </w:tblStylePr>
    <w:tblStylePr w:type="band1Horz">
      <w:tblPr/>
      <w:tcPr>
        <w:shd w:val="clear" w:color="auto" w:fill="F5CFD7" w:themeFill="accent6" w:themeFillTint="33"/>
      </w:tcPr>
    </w:tblStylePr>
  </w:style>
  <w:style w:type="table" w:styleId="GridTable3">
    <w:name w:val="Grid Table 3"/>
    <w:basedOn w:val="TableNormal"/>
    <w:uiPriority w:val="4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pPr>
      <w:spacing w:after="0"/>
    </w:pPr>
    <w:tblPr>
      <w:tblStyleRowBandSize w:val="1"/>
      <w:tblStyleColBandSize w:val="1"/>
      <w:tblBorders>
        <w:top w:val="single" w:sz="4" w:space="0" w:color="20FBEF" w:themeColor="accent1" w:themeTint="99"/>
        <w:left w:val="single" w:sz="4" w:space="0" w:color="20FBEF" w:themeColor="accent1" w:themeTint="99"/>
        <w:bottom w:val="single" w:sz="4" w:space="0" w:color="20FBEF" w:themeColor="accent1" w:themeTint="99"/>
        <w:right w:val="single" w:sz="4" w:space="0" w:color="20FBEF" w:themeColor="accent1" w:themeTint="99"/>
        <w:insideH w:val="single" w:sz="4" w:space="0" w:color="20FBEF" w:themeColor="accent1" w:themeTint="99"/>
        <w:insideV w:val="single" w:sz="4" w:space="0" w:color="20FBE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FEF9" w:themeFill="accent1" w:themeFillTint="33"/>
      </w:tcPr>
    </w:tblStylePr>
    <w:tblStylePr w:type="band1Horz">
      <w:tblPr/>
      <w:tcPr>
        <w:shd w:val="clear" w:color="auto" w:fill="B4FEF9" w:themeFill="accent1" w:themeFillTint="33"/>
      </w:tcPr>
    </w:tblStylePr>
    <w:tblStylePr w:type="neCell">
      <w:tblPr/>
      <w:tcPr>
        <w:tcBorders>
          <w:bottom w:val="single" w:sz="4" w:space="0" w:color="20FBEF" w:themeColor="accent1" w:themeTint="99"/>
        </w:tcBorders>
      </w:tcPr>
    </w:tblStylePr>
    <w:tblStylePr w:type="nwCell">
      <w:tblPr/>
      <w:tcPr>
        <w:tcBorders>
          <w:bottom w:val="single" w:sz="4" w:space="0" w:color="20FBEF" w:themeColor="accent1" w:themeTint="99"/>
        </w:tcBorders>
      </w:tcPr>
    </w:tblStylePr>
    <w:tblStylePr w:type="seCell">
      <w:tblPr/>
      <w:tcPr>
        <w:tcBorders>
          <w:top w:val="single" w:sz="4" w:space="0" w:color="20FBEF" w:themeColor="accent1" w:themeTint="99"/>
        </w:tcBorders>
      </w:tcPr>
    </w:tblStylePr>
    <w:tblStylePr w:type="swCell">
      <w:tblPr/>
      <w:tcPr>
        <w:tcBorders>
          <w:top w:val="single" w:sz="4" w:space="0" w:color="20FBEF" w:themeColor="accent1" w:themeTint="99"/>
        </w:tcBorders>
      </w:tcPr>
    </w:tblStylePr>
  </w:style>
  <w:style w:type="table" w:styleId="GridTable3-Accent2">
    <w:name w:val="Grid Table 3 Accent 2"/>
    <w:basedOn w:val="TableNormal"/>
    <w:uiPriority w:val="48"/>
    <w:pPr>
      <w:spacing w:after="0"/>
    </w:pPr>
    <w:tblPr>
      <w:tblStyleRowBandSize w:val="1"/>
      <w:tblStyleColBandSize w:val="1"/>
      <w:tblBorders>
        <w:top w:val="single" w:sz="4" w:space="0" w:color="F7A78E" w:themeColor="accent2" w:themeTint="99"/>
        <w:left w:val="single" w:sz="4" w:space="0" w:color="F7A78E" w:themeColor="accent2" w:themeTint="99"/>
        <w:bottom w:val="single" w:sz="4" w:space="0" w:color="F7A78E" w:themeColor="accent2" w:themeTint="99"/>
        <w:right w:val="single" w:sz="4" w:space="0" w:color="F7A78E" w:themeColor="accent2" w:themeTint="99"/>
        <w:insideH w:val="single" w:sz="4" w:space="0" w:color="F7A78E" w:themeColor="accent2" w:themeTint="99"/>
        <w:insideV w:val="single" w:sz="4" w:space="0" w:color="F7A78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1D9" w:themeFill="accent2" w:themeFillTint="33"/>
      </w:tcPr>
    </w:tblStylePr>
    <w:tblStylePr w:type="band1Horz">
      <w:tblPr/>
      <w:tcPr>
        <w:shd w:val="clear" w:color="auto" w:fill="FCE1D9" w:themeFill="accent2" w:themeFillTint="33"/>
      </w:tcPr>
    </w:tblStylePr>
    <w:tblStylePr w:type="neCell">
      <w:tblPr/>
      <w:tcPr>
        <w:tcBorders>
          <w:bottom w:val="single" w:sz="4" w:space="0" w:color="F7A78E" w:themeColor="accent2" w:themeTint="99"/>
        </w:tcBorders>
      </w:tcPr>
    </w:tblStylePr>
    <w:tblStylePr w:type="nwCell">
      <w:tblPr/>
      <w:tcPr>
        <w:tcBorders>
          <w:bottom w:val="single" w:sz="4" w:space="0" w:color="F7A78E" w:themeColor="accent2" w:themeTint="99"/>
        </w:tcBorders>
      </w:tcPr>
    </w:tblStylePr>
    <w:tblStylePr w:type="seCell">
      <w:tblPr/>
      <w:tcPr>
        <w:tcBorders>
          <w:top w:val="single" w:sz="4" w:space="0" w:color="F7A78E" w:themeColor="accent2" w:themeTint="99"/>
        </w:tcBorders>
      </w:tcPr>
    </w:tblStylePr>
    <w:tblStylePr w:type="swCell">
      <w:tblPr/>
      <w:tcPr>
        <w:tcBorders>
          <w:top w:val="single" w:sz="4" w:space="0" w:color="F7A78E" w:themeColor="accent2" w:themeTint="99"/>
        </w:tcBorders>
      </w:tcPr>
    </w:tblStylePr>
  </w:style>
  <w:style w:type="table" w:styleId="GridTable3-Accent3">
    <w:name w:val="Grid Table 3 Accent 3"/>
    <w:basedOn w:val="TableNormal"/>
    <w:uiPriority w:val="48"/>
    <w:pPr>
      <w:spacing w:after="0"/>
    </w:pPr>
    <w:tblPr>
      <w:tblStyleRowBandSize w:val="1"/>
      <w:tblStyleColBandSize w:val="1"/>
      <w:tblBorders>
        <w:top w:val="single" w:sz="4" w:space="0" w:color="9BD7D4" w:themeColor="accent3" w:themeTint="99"/>
        <w:left w:val="single" w:sz="4" w:space="0" w:color="9BD7D4" w:themeColor="accent3" w:themeTint="99"/>
        <w:bottom w:val="single" w:sz="4" w:space="0" w:color="9BD7D4" w:themeColor="accent3" w:themeTint="99"/>
        <w:right w:val="single" w:sz="4" w:space="0" w:color="9BD7D4" w:themeColor="accent3" w:themeTint="99"/>
        <w:insideH w:val="single" w:sz="4" w:space="0" w:color="9BD7D4" w:themeColor="accent3" w:themeTint="99"/>
        <w:insideV w:val="single" w:sz="4" w:space="0" w:color="9BD7D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F0" w:themeFill="accent3" w:themeFillTint="33"/>
      </w:tcPr>
    </w:tblStylePr>
    <w:tblStylePr w:type="band1Horz">
      <w:tblPr/>
      <w:tcPr>
        <w:shd w:val="clear" w:color="auto" w:fill="DDF1F0" w:themeFill="accent3" w:themeFillTint="33"/>
      </w:tcPr>
    </w:tblStylePr>
    <w:tblStylePr w:type="neCell">
      <w:tblPr/>
      <w:tcPr>
        <w:tcBorders>
          <w:bottom w:val="single" w:sz="4" w:space="0" w:color="9BD7D4" w:themeColor="accent3" w:themeTint="99"/>
        </w:tcBorders>
      </w:tcPr>
    </w:tblStylePr>
    <w:tblStylePr w:type="nwCell">
      <w:tblPr/>
      <w:tcPr>
        <w:tcBorders>
          <w:bottom w:val="single" w:sz="4" w:space="0" w:color="9BD7D4" w:themeColor="accent3" w:themeTint="99"/>
        </w:tcBorders>
      </w:tcPr>
    </w:tblStylePr>
    <w:tblStylePr w:type="seCell">
      <w:tblPr/>
      <w:tcPr>
        <w:tcBorders>
          <w:top w:val="single" w:sz="4" w:space="0" w:color="9BD7D4" w:themeColor="accent3" w:themeTint="99"/>
        </w:tcBorders>
      </w:tcPr>
    </w:tblStylePr>
    <w:tblStylePr w:type="swCell">
      <w:tblPr/>
      <w:tcPr>
        <w:tcBorders>
          <w:top w:val="single" w:sz="4" w:space="0" w:color="9BD7D4" w:themeColor="accent3" w:themeTint="99"/>
        </w:tcBorders>
      </w:tcPr>
    </w:tblStylePr>
  </w:style>
  <w:style w:type="table" w:styleId="GridTable3-Accent4">
    <w:name w:val="Grid Table 3 Accent 4"/>
    <w:basedOn w:val="TableNormal"/>
    <w:uiPriority w:val="48"/>
    <w:pPr>
      <w:spacing w:after="0"/>
    </w:pPr>
    <w:tblPr>
      <w:tblStyleRowBandSize w:val="1"/>
      <w:tblStyleColBandSize w:val="1"/>
      <w:tblBorders>
        <w:top w:val="single" w:sz="4" w:space="0" w:color="FDD484" w:themeColor="accent4" w:themeTint="99"/>
        <w:left w:val="single" w:sz="4" w:space="0" w:color="FDD484" w:themeColor="accent4" w:themeTint="99"/>
        <w:bottom w:val="single" w:sz="4" w:space="0" w:color="FDD484" w:themeColor="accent4" w:themeTint="99"/>
        <w:right w:val="single" w:sz="4" w:space="0" w:color="FDD484" w:themeColor="accent4" w:themeTint="99"/>
        <w:insideH w:val="single" w:sz="4" w:space="0" w:color="FDD484" w:themeColor="accent4" w:themeTint="99"/>
        <w:insideV w:val="single" w:sz="4" w:space="0" w:color="FDD48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0D6" w:themeFill="accent4" w:themeFillTint="33"/>
      </w:tcPr>
    </w:tblStylePr>
    <w:tblStylePr w:type="band1Horz">
      <w:tblPr/>
      <w:tcPr>
        <w:shd w:val="clear" w:color="auto" w:fill="FEF0D6" w:themeFill="accent4" w:themeFillTint="33"/>
      </w:tcPr>
    </w:tblStylePr>
    <w:tblStylePr w:type="neCell">
      <w:tblPr/>
      <w:tcPr>
        <w:tcBorders>
          <w:bottom w:val="single" w:sz="4" w:space="0" w:color="FDD484" w:themeColor="accent4" w:themeTint="99"/>
        </w:tcBorders>
      </w:tcPr>
    </w:tblStylePr>
    <w:tblStylePr w:type="nwCell">
      <w:tblPr/>
      <w:tcPr>
        <w:tcBorders>
          <w:bottom w:val="single" w:sz="4" w:space="0" w:color="FDD484" w:themeColor="accent4" w:themeTint="99"/>
        </w:tcBorders>
      </w:tcPr>
    </w:tblStylePr>
    <w:tblStylePr w:type="seCell">
      <w:tblPr/>
      <w:tcPr>
        <w:tcBorders>
          <w:top w:val="single" w:sz="4" w:space="0" w:color="FDD484" w:themeColor="accent4" w:themeTint="99"/>
        </w:tcBorders>
      </w:tcPr>
    </w:tblStylePr>
    <w:tblStylePr w:type="swCell">
      <w:tblPr/>
      <w:tcPr>
        <w:tcBorders>
          <w:top w:val="single" w:sz="4" w:space="0" w:color="FDD484" w:themeColor="accent4" w:themeTint="99"/>
        </w:tcBorders>
      </w:tcPr>
    </w:tblStylePr>
  </w:style>
  <w:style w:type="table" w:styleId="GridTable3-Accent5">
    <w:name w:val="Grid Table 3 Accent 5"/>
    <w:basedOn w:val="TableNormal"/>
    <w:uiPriority w:val="48"/>
    <w:pPr>
      <w:spacing w:after="0"/>
    </w:pPr>
    <w:tblPr>
      <w:tblStyleRowBandSize w:val="1"/>
      <w:tblStyleColBandSize w:val="1"/>
      <w:tblBorders>
        <w:top w:val="single" w:sz="4" w:space="0" w:color="A6CDA6" w:themeColor="accent5" w:themeTint="99"/>
        <w:left w:val="single" w:sz="4" w:space="0" w:color="A6CDA6" w:themeColor="accent5" w:themeTint="99"/>
        <w:bottom w:val="single" w:sz="4" w:space="0" w:color="A6CDA6" w:themeColor="accent5" w:themeTint="99"/>
        <w:right w:val="single" w:sz="4" w:space="0" w:color="A6CDA6" w:themeColor="accent5" w:themeTint="99"/>
        <w:insideH w:val="single" w:sz="4" w:space="0" w:color="A6CDA6" w:themeColor="accent5" w:themeTint="99"/>
        <w:insideV w:val="single" w:sz="4" w:space="0" w:color="A6CDA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EE1" w:themeFill="accent5" w:themeFillTint="33"/>
      </w:tcPr>
    </w:tblStylePr>
    <w:tblStylePr w:type="band1Horz">
      <w:tblPr/>
      <w:tcPr>
        <w:shd w:val="clear" w:color="auto" w:fill="E1EEE1" w:themeFill="accent5" w:themeFillTint="33"/>
      </w:tcPr>
    </w:tblStylePr>
    <w:tblStylePr w:type="neCell">
      <w:tblPr/>
      <w:tcPr>
        <w:tcBorders>
          <w:bottom w:val="single" w:sz="4" w:space="0" w:color="A6CDA6" w:themeColor="accent5" w:themeTint="99"/>
        </w:tcBorders>
      </w:tcPr>
    </w:tblStylePr>
    <w:tblStylePr w:type="nwCell">
      <w:tblPr/>
      <w:tcPr>
        <w:tcBorders>
          <w:bottom w:val="single" w:sz="4" w:space="0" w:color="A6CDA6" w:themeColor="accent5" w:themeTint="99"/>
        </w:tcBorders>
      </w:tcPr>
    </w:tblStylePr>
    <w:tblStylePr w:type="seCell">
      <w:tblPr/>
      <w:tcPr>
        <w:tcBorders>
          <w:top w:val="single" w:sz="4" w:space="0" w:color="A6CDA6" w:themeColor="accent5" w:themeTint="99"/>
        </w:tcBorders>
      </w:tcPr>
    </w:tblStylePr>
    <w:tblStylePr w:type="swCell">
      <w:tblPr/>
      <w:tcPr>
        <w:tcBorders>
          <w:top w:val="single" w:sz="4" w:space="0" w:color="A6CDA6" w:themeColor="accent5" w:themeTint="99"/>
        </w:tcBorders>
      </w:tcPr>
    </w:tblStylePr>
  </w:style>
  <w:style w:type="table" w:styleId="GridTable3-Accent6">
    <w:name w:val="Grid Table 3 Accent 6"/>
    <w:basedOn w:val="TableNormal"/>
    <w:uiPriority w:val="48"/>
    <w:pPr>
      <w:spacing w:after="0"/>
    </w:pPr>
    <w:tblPr>
      <w:tblStyleRowBandSize w:val="1"/>
      <w:tblStyleColBandSize w:val="1"/>
      <w:tblBorders>
        <w:top w:val="single" w:sz="4" w:space="0" w:color="E27187" w:themeColor="accent6" w:themeTint="99"/>
        <w:left w:val="single" w:sz="4" w:space="0" w:color="E27187" w:themeColor="accent6" w:themeTint="99"/>
        <w:bottom w:val="single" w:sz="4" w:space="0" w:color="E27187" w:themeColor="accent6" w:themeTint="99"/>
        <w:right w:val="single" w:sz="4" w:space="0" w:color="E27187" w:themeColor="accent6" w:themeTint="99"/>
        <w:insideH w:val="single" w:sz="4" w:space="0" w:color="E27187" w:themeColor="accent6" w:themeTint="99"/>
        <w:insideV w:val="single" w:sz="4" w:space="0" w:color="E2718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CFD7" w:themeFill="accent6" w:themeFillTint="33"/>
      </w:tcPr>
    </w:tblStylePr>
    <w:tblStylePr w:type="band1Horz">
      <w:tblPr/>
      <w:tcPr>
        <w:shd w:val="clear" w:color="auto" w:fill="F5CFD7" w:themeFill="accent6" w:themeFillTint="33"/>
      </w:tcPr>
    </w:tblStylePr>
    <w:tblStylePr w:type="neCell">
      <w:tblPr/>
      <w:tcPr>
        <w:tcBorders>
          <w:bottom w:val="single" w:sz="4" w:space="0" w:color="E27187" w:themeColor="accent6" w:themeTint="99"/>
        </w:tcBorders>
      </w:tcPr>
    </w:tblStylePr>
    <w:tblStylePr w:type="nwCell">
      <w:tblPr/>
      <w:tcPr>
        <w:tcBorders>
          <w:bottom w:val="single" w:sz="4" w:space="0" w:color="E27187" w:themeColor="accent6" w:themeTint="99"/>
        </w:tcBorders>
      </w:tcPr>
    </w:tblStylePr>
    <w:tblStylePr w:type="seCell">
      <w:tblPr/>
      <w:tcPr>
        <w:tcBorders>
          <w:top w:val="single" w:sz="4" w:space="0" w:color="E27187" w:themeColor="accent6" w:themeTint="99"/>
        </w:tcBorders>
      </w:tcPr>
    </w:tblStylePr>
    <w:tblStylePr w:type="swCell">
      <w:tblPr/>
      <w:tcPr>
        <w:tcBorders>
          <w:top w:val="single" w:sz="4" w:space="0" w:color="E27187" w:themeColor="accent6" w:themeTint="99"/>
        </w:tcBorders>
      </w:tcPr>
    </w:tblStylePr>
  </w:style>
  <w:style w:type="table" w:styleId="GridTable4">
    <w:name w:val="Grid Table 4"/>
    <w:basedOn w:val="TableNormal"/>
    <w:uiPriority w:val="4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pPr>
      <w:spacing w:after="0"/>
    </w:pPr>
    <w:tblPr>
      <w:tblStyleRowBandSize w:val="1"/>
      <w:tblStyleColBandSize w:val="1"/>
      <w:tblBorders>
        <w:top w:val="single" w:sz="4" w:space="0" w:color="20FBEF" w:themeColor="accent1" w:themeTint="99"/>
        <w:left w:val="single" w:sz="4" w:space="0" w:color="20FBEF" w:themeColor="accent1" w:themeTint="99"/>
        <w:bottom w:val="single" w:sz="4" w:space="0" w:color="20FBEF" w:themeColor="accent1" w:themeTint="99"/>
        <w:right w:val="single" w:sz="4" w:space="0" w:color="20FBEF" w:themeColor="accent1" w:themeTint="99"/>
        <w:insideH w:val="single" w:sz="4" w:space="0" w:color="20FBEF" w:themeColor="accent1" w:themeTint="99"/>
        <w:insideV w:val="single" w:sz="4" w:space="0" w:color="20FBEF" w:themeColor="accent1" w:themeTint="99"/>
      </w:tblBorders>
    </w:tblPr>
    <w:tblStylePr w:type="firstRow">
      <w:rPr>
        <w:b/>
        <w:bCs/>
        <w:color w:val="FFFFFF" w:themeColor="background1"/>
      </w:rPr>
      <w:tblPr/>
      <w:tcPr>
        <w:tcBorders>
          <w:top w:val="single" w:sz="4" w:space="0" w:color="02847D" w:themeColor="accent1"/>
          <w:left w:val="single" w:sz="4" w:space="0" w:color="02847D" w:themeColor="accent1"/>
          <w:bottom w:val="single" w:sz="4" w:space="0" w:color="02847D" w:themeColor="accent1"/>
          <w:right w:val="single" w:sz="4" w:space="0" w:color="02847D" w:themeColor="accent1"/>
          <w:insideH w:val="nil"/>
          <w:insideV w:val="nil"/>
        </w:tcBorders>
        <w:shd w:val="clear" w:color="auto" w:fill="02847D" w:themeFill="accent1"/>
      </w:tcPr>
    </w:tblStylePr>
    <w:tblStylePr w:type="lastRow">
      <w:rPr>
        <w:b/>
        <w:bCs/>
      </w:rPr>
      <w:tblPr/>
      <w:tcPr>
        <w:tcBorders>
          <w:top w:val="double" w:sz="4" w:space="0" w:color="02847D" w:themeColor="accent1"/>
        </w:tcBorders>
      </w:tcPr>
    </w:tblStylePr>
    <w:tblStylePr w:type="firstCol">
      <w:rPr>
        <w:b/>
        <w:bCs/>
      </w:rPr>
    </w:tblStylePr>
    <w:tblStylePr w:type="lastCol">
      <w:rPr>
        <w:b/>
        <w:bCs/>
      </w:rPr>
    </w:tblStylePr>
    <w:tblStylePr w:type="band1Vert">
      <w:tblPr/>
      <w:tcPr>
        <w:shd w:val="clear" w:color="auto" w:fill="B4FEF9" w:themeFill="accent1" w:themeFillTint="33"/>
      </w:tcPr>
    </w:tblStylePr>
    <w:tblStylePr w:type="band1Horz">
      <w:tblPr/>
      <w:tcPr>
        <w:shd w:val="clear" w:color="auto" w:fill="B4FEF9" w:themeFill="accent1" w:themeFillTint="33"/>
      </w:tcPr>
    </w:tblStylePr>
  </w:style>
  <w:style w:type="table" w:styleId="GridTable4-Accent3">
    <w:name w:val="Grid Table 4 Accent 3"/>
    <w:basedOn w:val="TableNormal"/>
    <w:uiPriority w:val="49"/>
    <w:pPr>
      <w:spacing w:after="0"/>
    </w:pPr>
    <w:tblPr>
      <w:tblStyleRowBandSize w:val="1"/>
      <w:tblStyleColBandSize w:val="1"/>
      <w:tblBorders>
        <w:top w:val="single" w:sz="4" w:space="0" w:color="9BD7D4" w:themeColor="accent3" w:themeTint="99"/>
        <w:left w:val="single" w:sz="4" w:space="0" w:color="9BD7D4" w:themeColor="accent3" w:themeTint="99"/>
        <w:bottom w:val="single" w:sz="4" w:space="0" w:color="9BD7D4" w:themeColor="accent3" w:themeTint="99"/>
        <w:right w:val="single" w:sz="4" w:space="0" w:color="9BD7D4" w:themeColor="accent3" w:themeTint="99"/>
        <w:insideH w:val="single" w:sz="4" w:space="0" w:color="9BD7D4" w:themeColor="accent3" w:themeTint="99"/>
        <w:insideV w:val="single" w:sz="4" w:space="0" w:color="9BD7D4" w:themeColor="accent3" w:themeTint="99"/>
      </w:tblBorders>
    </w:tblPr>
    <w:tblStylePr w:type="firstRow">
      <w:rPr>
        <w:b/>
        <w:bCs/>
        <w:color w:val="FFFFFF" w:themeColor="background1"/>
      </w:rPr>
      <w:tblPr/>
      <w:tcPr>
        <w:tcBorders>
          <w:top w:val="single" w:sz="4" w:space="0" w:color="59BDB8" w:themeColor="accent3"/>
          <w:left w:val="single" w:sz="4" w:space="0" w:color="59BDB8" w:themeColor="accent3"/>
          <w:bottom w:val="single" w:sz="4" w:space="0" w:color="59BDB8" w:themeColor="accent3"/>
          <w:right w:val="single" w:sz="4" w:space="0" w:color="59BDB8" w:themeColor="accent3"/>
          <w:insideH w:val="nil"/>
          <w:insideV w:val="nil"/>
        </w:tcBorders>
        <w:shd w:val="clear" w:color="auto" w:fill="59BDB8" w:themeFill="accent3"/>
      </w:tcPr>
    </w:tblStylePr>
    <w:tblStylePr w:type="lastRow">
      <w:rPr>
        <w:b/>
        <w:bCs/>
      </w:rPr>
      <w:tblPr/>
      <w:tcPr>
        <w:tcBorders>
          <w:top w:val="double" w:sz="4" w:space="0" w:color="59BDB8" w:themeColor="accent3"/>
        </w:tcBorders>
      </w:tcPr>
    </w:tblStylePr>
    <w:tblStylePr w:type="firstCol">
      <w:rPr>
        <w:b/>
        <w:bCs/>
      </w:rPr>
    </w:tblStylePr>
    <w:tblStylePr w:type="lastCol">
      <w:rPr>
        <w:b/>
        <w:bCs/>
      </w:rPr>
    </w:tblStylePr>
    <w:tblStylePr w:type="band1Vert">
      <w:tblPr/>
      <w:tcPr>
        <w:shd w:val="clear" w:color="auto" w:fill="DDF1F0" w:themeFill="accent3" w:themeFillTint="33"/>
      </w:tcPr>
    </w:tblStylePr>
    <w:tblStylePr w:type="band1Horz">
      <w:tblPr/>
      <w:tcPr>
        <w:shd w:val="clear" w:color="auto" w:fill="DDF1F0" w:themeFill="accent3" w:themeFillTint="33"/>
      </w:tcPr>
    </w:tblStylePr>
  </w:style>
  <w:style w:type="table" w:styleId="GridTable4-Accent4">
    <w:name w:val="Grid Table 4 Accent 4"/>
    <w:basedOn w:val="TableNormal"/>
    <w:uiPriority w:val="49"/>
    <w:pPr>
      <w:spacing w:after="0"/>
    </w:pPr>
    <w:tblPr>
      <w:tblStyleRowBandSize w:val="1"/>
      <w:tblStyleColBandSize w:val="1"/>
      <w:tblBorders>
        <w:top w:val="single" w:sz="4" w:space="0" w:color="FDD484" w:themeColor="accent4" w:themeTint="99"/>
        <w:left w:val="single" w:sz="4" w:space="0" w:color="FDD484" w:themeColor="accent4" w:themeTint="99"/>
        <w:bottom w:val="single" w:sz="4" w:space="0" w:color="FDD484" w:themeColor="accent4" w:themeTint="99"/>
        <w:right w:val="single" w:sz="4" w:space="0" w:color="FDD484" w:themeColor="accent4" w:themeTint="99"/>
        <w:insideH w:val="single" w:sz="4" w:space="0" w:color="FDD484" w:themeColor="accent4" w:themeTint="99"/>
        <w:insideV w:val="single" w:sz="4" w:space="0" w:color="FDD484" w:themeColor="accent4" w:themeTint="99"/>
      </w:tblBorders>
    </w:tblPr>
    <w:tblStylePr w:type="firstRow">
      <w:rPr>
        <w:b/>
        <w:bCs/>
        <w:color w:val="FFFFFF" w:themeColor="background1"/>
      </w:rPr>
      <w:tblPr/>
      <w:tcPr>
        <w:tcBorders>
          <w:top w:val="single" w:sz="4" w:space="0" w:color="FDB933" w:themeColor="accent4"/>
          <w:left w:val="single" w:sz="4" w:space="0" w:color="FDB933" w:themeColor="accent4"/>
          <w:bottom w:val="single" w:sz="4" w:space="0" w:color="FDB933" w:themeColor="accent4"/>
          <w:right w:val="single" w:sz="4" w:space="0" w:color="FDB933" w:themeColor="accent4"/>
          <w:insideH w:val="nil"/>
          <w:insideV w:val="nil"/>
        </w:tcBorders>
        <w:shd w:val="clear" w:color="auto" w:fill="FDB933" w:themeFill="accent4"/>
      </w:tcPr>
    </w:tblStylePr>
    <w:tblStylePr w:type="lastRow">
      <w:rPr>
        <w:b/>
        <w:bCs/>
      </w:rPr>
      <w:tblPr/>
      <w:tcPr>
        <w:tcBorders>
          <w:top w:val="double" w:sz="4" w:space="0" w:color="FDB933" w:themeColor="accent4"/>
        </w:tcBorders>
      </w:tcPr>
    </w:tblStylePr>
    <w:tblStylePr w:type="firstCol">
      <w:rPr>
        <w:b/>
        <w:bCs/>
      </w:rPr>
    </w:tblStylePr>
    <w:tblStylePr w:type="lastCol">
      <w:rPr>
        <w:b/>
        <w:bCs/>
      </w:rPr>
    </w:tblStylePr>
    <w:tblStylePr w:type="band1Vert">
      <w:tblPr/>
      <w:tcPr>
        <w:shd w:val="clear" w:color="auto" w:fill="FEF0D6" w:themeFill="accent4" w:themeFillTint="33"/>
      </w:tcPr>
    </w:tblStylePr>
    <w:tblStylePr w:type="band1Horz">
      <w:tblPr/>
      <w:tcPr>
        <w:shd w:val="clear" w:color="auto" w:fill="FEF0D6" w:themeFill="accent4" w:themeFillTint="33"/>
      </w:tcPr>
    </w:tblStylePr>
  </w:style>
  <w:style w:type="table" w:styleId="GridTable4-Accent5">
    <w:name w:val="Grid Table 4 Accent 5"/>
    <w:basedOn w:val="TableNormal"/>
    <w:uiPriority w:val="49"/>
    <w:pPr>
      <w:spacing w:after="0"/>
    </w:pPr>
    <w:tblPr>
      <w:tblStyleRowBandSize w:val="1"/>
      <w:tblStyleColBandSize w:val="1"/>
      <w:tblBorders>
        <w:top w:val="single" w:sz="4" w:space="0" w:color="A6CDA6" w:themeColor="accent5" w:themeTint="99"/>
        <w:left w:val="single" w:sz="4" w:space="0" w:color="A6CDA6" w:themeColor="accent5" w:themeTint="99"/>
        <w:bottom w:val="single" w:sz="4" w:space="0" w:color="A6CDA6" w:themeColor="accent5" w:themeTint="99"/>
        <w:right w:val="single" w:sz="4" w:space="0" w:color="A6CDA6" w:themeColor="accent5" w:themeTint="99"/>
        <w:insideH w:val="single" w:sz="4" w:space="0" w:color="A6CDA6" w:themeColor="accent5" w:themeTint="99"/>
        <w:insideV w:val="single" w:sz="4" w:space="0" w:color="A6CDA6" w:themeColor="accent5" w:themeTint="99"/>
      </w:tblBorders>
    </w:tblPr>
    <w:tblStylePr w:type="firstRow">
      <w:rPr>
        <w:b/>
        <w:bCs/>
        <w:color w:val="FFFFFF" w:themeColor="background1"/>
      </w:rPr>
      <w:tblPr/>
      <w:tcPr>
        <w:tcBorders>
          <w:top w:val="single" w:sz="4" w:space="0" w:color="6CAD6C" w:themeColor="accent5"/>
          <w:left w:val="single" w:sz="4" w:space="0" w:color="6CAD6C" w:themeColor="accent5"/>
          <w:bottom w:val="single" w:sz="4" w:space="0" w:color="6CAD6C" w:themeColor="accent5"/>
          <w:right w:val="single" w:sz="4" w:space="0" w:color="6CAD6C" w:themeColor="accent5"/>
          <w:insideH w:val="nil"/>
          <w:insideV w:val="nil"/>
        </w:tcBorders>
        <w:shd w:val="clear" w:color="auto" w:fill="6CAD6C" w:themeFill="accent5"/>
      </w:tcPr>
    </w:tblStylePr>
    <w:tblStylePr w:type="lastRow">
      <w:rPr>
        <w:b/>
        <w:bCs/>
      </w:rPr>
      <w:tblPr/>
      <w:tcPr>
        <w:tcBorders>
          <w:top w:val="double" w:sz="4" w:space="0" w:color="6CAD6C" w:themeColor="accent5"/>
        </w:tcBorders>
      </w:tcPr>
    </w:tblStylePr>
    <w:tblStylePr w:type="firstCol">
      <w:rPr>
        <w:b/>
        <w:bCs/>
      </w:rPr>
    </w:tblStylePr>
    <w:tblStylePr w:type="lastCol">
      <w:rPr>
        <w:b/>
        <w:bCs/>
      </w:rPr>
    </w:tblStylePr>
    <w:tblStylePr w:type="band1Vert">
      <w:tblPr/>
      <w:tcPr>
        <w:shd w:val="clear" w:color="auto" w:fill="E1EEE1" w:themeFill="accent5" w:themeFillTint="33"/>
      </w:tcPr>
    </w:tblStylePr>
    <w:tblStylePr w:type="band1Horz">
      <w:tblPr/>
      <w:tcPr>
        <w:shd w:val="clear" w:color="auto" w:fill="E1EEE1" w:themeFill="accent5" w:themeFillTint="33"/>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E27187" w:themeColor="accent6" w:themeTint="99"/>
        <w:left w:val="single" w:sz="4" w:space="0" w:color="E27187" w:themeColor="accent6" w:themeTint="99"/>
        <w:bottom w:val="single" w:sz="4" w:space="0" w:color="E27187" w:themeColor="accent6" w:themeTint="99"/>
        <w:right w:val="single" w:sz="4" w:space="0" w:color="E27187" w:themeColor="accent6" w:themeTint="99"/>
        <w:insideH w:val="single" w:sz="4" w:space="0" w:color="E27187" w:themeColor="accent6" w:themeTint="99"/>
        <w:insideV w:val="single" w:sz="4" w:space="0" w:color="E27187" w:themeColor="accent6" w:themeTint="99"/>
      </w:tblBorders>
    </w:tblPr>
    <w:tblStylePr w:type="firstRow">
      <w:rPr>
        <w:b/>
        <w:bCs/>
        <w:color w:val="FFFFFF" w:themeColor="background1"/>
      </w:rPr>
      <w:tblPr/>
      <w:tcPr>
        <w:tcBorders>
          <w:top w:val="single" w:sz="4" w:space="0" w:color="BD2644" w:themeColor="accent6"/>
          <w:left w:val="single" w:sz="4" w:space="0" w:color="BD2644" w:themeColor="accent6"/>
          <w:bottom w:val="single" w:sz="4" w:space="0" w:color="BD2644" w:themeColor="accent6"/>
          <w:right w:val="single" w:sz="4" w:space="0" w:color="BD2644" w:themeColor="accent6"/>
          <w:insideH w:val="nil"/>
          <w:insideV w:val="nil"/>
        </w:tcBorders>
        <w:shd w:val="clear" w:color="auto" w:fill="BD2644" w:themeFill="accent6"/>
      </w:tcPr>
    </w:tblStylePr>
    <w:tblStylePr w:type="lastRow">
      <w:rPr>
        <w:b/>
        <w:bCs/>
      </w:rPr>
      <w:tblPr/>
      <w:tcPr>
        <w:tcBorders>
          <w:top w:val="double" w:sz="4" w:space="0" w:color="BD2644" w:themeColor="accent6"/>
        </w:tcBorders>
      </w:tcPr>
    </w:tblStylePr>
    <w:tblStylePr w:type="firstCol">
      <w:rPr>
        <w:b/>
        <w:bCs/>
      </w:rPr>
    </w:tblStylePr>
    <w:tblStylePr w:type="lastCol">
      <w:rPr>
        <w:b/>
        <w:bCs/>
      </w:rPr>
    </w:tblStylePr>
    <w:tblStylePr w:type="band1Vert">
      <w:tblPr/>
      <w:tcPr>
        <w:shd w:val="clear" w:color="auto" w:fill="F5CFD7" w:themeFill="accent6" w:themeFillTint="33"/>
      </w:tcPr>
    </w:tblStylePr>
    <w:tblStylePr w:type="band1Horz">
      <w:tblPr/>
      <w:tcPr>
        <w:shd w:val="clear" w:color="auto" w:fill="F5CFD7" w:themeFill="accent6" w:themeFillTint="33"/>
      </w:tcPr>
    </w:tblStylePr>
  </w:style>
  <w:style w:type="table" w:styleId="GridTable5Dark">
    <w:name w:val="Grid Table 5 Dark"/>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F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847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847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847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847D" w:themeFill="accent1"/>
      </w:tcPr>
    </w:tblStylePr>
    <w:tblStylePr w:type="band1Vert">
      <w:tblPr/>
      <w:tcPr>
        <w:shd w:val="clear" w:color="auto" w:fill="6AFCF4" w:themeFill="accent1" w:themeFillTint="66"/>
      </w:tcPr>
    </w:tblStylePr>
    <w:tblStylePr w:type="band1Horz">
      <w:tblPr/>
      <w:tcPr>
        <w:shd w:val="clear" w:color="auto" w:fill="6AFCF4" w:themeFill="accent1" w:themeFillTint="66"/>
      </w:tcPr>
    </w:tblStylePr>
  </w:style>
  <w:style w:type="table" w:styleId="GridTable5Dark-Accent2">
    <w:name w:val="Grid Table 5 Dark Accent 2"/>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1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6E4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6E4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6E4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6E44" w:themeFill="accent2"/>
      </w:tcPr>
    </w:tblStylePr>
    <w:tblStylePr w:type="band1Vert">
      <w:tblPr/>
      <w:tcPr>
        <w:shd w:val="clear" w:color="auto" w:fill="FAC4B4" w:themeFill="accent2" w:themeFillTint="66"/>
      </w:tcPr>
    </w:tblStylePr>
    <w:tblStylePr w:type="band1Horz">
      <w:tblPr/>
      <w:tcPr>
        <w:shd w:val="clear" w:color="auto" w:fill="FAC4B4" w:themeFill="accent2" w:themeFillTint="66"/>
      </w:tcPr>
    </w:tblStylePr>
  </w:style>
  <w:style w:type="table" w:styleId="GridTable5Dark-Accent3">
    <w:name w:val="Grid Table 5 Dark Accent 3"/>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BDB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BDB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BDB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BDB8" w:themeFill="accent3"/>
      </w:tcPr>
    </w:tblStylePr>
    <w:tblStylePr w:type="band1Vert">
      <w:tblPr/>
      <w:tcPr>
        <w:shd w:val="clear" w:color="auto" w:fill="BCE4E2" w:themeFill="accent3" w:themeFillTint="66"/>
      </w:tcPr>
    </w:tblStylePr>
    <w:tblStylePr w:type="band1Horz">
      <w:tblPr/>
      <w:tcPr>
        <w:shd w:val="clear" w:color="auto" w:fill="BCE4E2" w:themeFill="accent3" w:themeFillTint="66"/>
      </w:tcPr>
    </w:tblStylePr>
  </w:style>
  <w:style w:type="table" w:styleId="GridTable5Dark-Accent4">
    <w:name w:val="Grid Table 5 Dark Accent 4"/>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0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B93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B93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B93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B933" w:themeFill="accent4"/>
      </w:tcPr>
    </w:tblStylePr>
    <w:tblStylePr w:type="band1Vert">
      <w:tblPr/>
      <w:tcPr>
        <w:shd w:val="clear" w:color="auto" w:fill="FEE2AD" w:themeFill="accent4" w:themeFillTint="66"/>
      </w:tcPr>
    </w:tblStylePr>
    <w:tblStylePr w:type="band1Horz">
      <w:tblPr/>
      <w:tcPr>
        <w:shd w:val="clear" w:color="auto" w:fill="FEE2AD" w:themeFill="accent4" w:themeFillTint="66"/>
      </w:tcPr>
    </w:tblStylePr>
  </w:style>
  <w:style w:type="table" w:styleId="GridTable5Dark-Accent5">
    <w:name w:val="Grid Table 5 Dark Accent 5"/>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E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CAD6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CAD6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CAD6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CAD6C" w:themeFill="accent5"/>
      </w:tcPr>
    </w:tblStylePr>
    <w:tblStylePr w:type="band1Vert">
      <w:tblPr/>
      <w:tcPr>
        <w:shd w:val="clear" w:color="auto" w:fill="C4DEC4" w:themeFill="accent5" w:themeFillTint="66"/>
      </w:tcPr>
    </w:tblStylePr>
    <w:tblStylePr w:type="band1Horz">
      <w:tblPr/>
      <w:tcPr>
        <w:shd w:val="clear" w:color="auto" w:fill="C4DEC4" w:themeFill="accent5" w:themeFillTint="66"/>
      </w:tcPr>
    </w:tblStylePr>
  </w:style>
  <w:style w:type="table" w:styleId="GridTable5Dark-Accent6">
    <w:name w:val="Grid Table 5 Dark Accent 6"/>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CFD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D26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D26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D26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D2644" w:themeFill="accent6"/>
      </w:tcPr>
    </w:tblStylePr>
    <w:tblStylePr w:type="band1Vert">
      <w:tblPr/>
      <w:tcPr>
        <w:shd w:val="clear" w:color="auto" w:fill="ECA0AF" w:themeFill="accent6" w:themeFillTint="66"/>
      </w:tcPr>
    </w:tblStylePr>
    <w:tblStylePr w:type="band1Horz">
      <w:tblPr/>
      <w:tcPr>
        <w:shd w:val="clear" w:color="auto" w:fill="ECA0AF" w:themeFill="accent6" w:themeFillTint="66"/>
      </w:tcPr>
    </w:tblStylePr>
  </w:style>
  <w:style w:type="table" w:styleId="GridTable6Colorful">
    <w:name w:val="Grid Table 6 Colorful"/>
    <w:basedOn w:val="TableNormal"/>
    <w:uiPriority w:val="51"/>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pPr>
      <w:spacing w:after="0"/>
    </w:pPr>
    <w:rPr>
      <w:color w:val="01625D" w:themeColor="accent1" w:themeShade="BF"/>
    </w:rPr>
    <w:tblPr>
      <w:tblStyleRowBandSize w:val="1"/>
      <w:tblStyleColBandSize w:val="1"/>
      <w:tblBorders>
        <w:top w:val="single" w:sz="4" w:space="0" w:color="20FBEF" w:themeColor="accent1" w:themeTint="99"/>
        <w:left w:val="single" w:sz="4" w:space="0" w:color="20FBEF" w:themeColor="accent1" w:themeTint="99"/>
        <w:bottom w:val="single" w:sz="4" w:space="0" w:color="20FBEF" w:themeColor="accent1" w:themeTint="99"/>
        <w:right w:val="single" w:sz="4" w:space="0" w:color="20FBEF" w:themeColor="accent1" w:themeTint="99"/>
        <w:insideH w:val="single" w:sz="4" w:space="0" w:color="20FBEF" w:themeColor="accent1" w:themeTint="99"/>
        <w:insideV w:val="single" w:sz="4" w:space="0" w:color="20FBEF" w:themeColor="accent1" w:themeTint="99"/>
      </w:tblBorders>
    </w:tblPr>
    <w:tblStylePr w:type="firstRow">
      <w:rPr>
        <w:b/>
        <w:bCs/>
      </w:rPr>
      <w:tblPr/>
      <w:tcPr>
        <w:tcBorders>
          <w:bottom w:val="single" w:sz="12" w:space="0" w:color="20FBEF" w:themeColor="accent1" w:themeTint="99"/>
        </w:tcBorders>
      </w:tcPr>
    </w:tblStylePr>
    <w:tblStylePr w:type="lastRow">
      <w:rPr>
        <w:b/>
        <w:bCs/>
      </w:rPr>
      <w:tblPr/>
      <w:tcPr>
        <w:tcBorders>
          <w:top w:val="double" w:sz="4" w:space="0" w:color="20FBEF" w:themeColor="accent1" w:themeTint="99"/>
        </w:tcBorders>
      </w:tcPr>
    </w:tblStylePr>
    <w:tblStylePr w:type="firstCol">
      <w:rPr>
        <w:b/>
        <w:bCs/>
      </w:rPr>
    </w:tblStylePr>
    <w:tblStylePr w:type="lastCol">
      <w:rPr>
        <w:b/>
        <w:bCs/>
      </w:rPr>
    </w:tblStylePr>
    <w:tblStylePr w:type="band1Vert">
      <w:tblPr/>
      <w:tcPr>
        <w:shd w:val="clear" w:color="auto" w:fill="B4FEF9" w:themeFill="accent1" w:themeFillTint="33"/>
      </w:tcPr>
    </w:tblStylePr>
    <w:tblStylePr w:type="band1Horz">
      <w:tblPr/>
      <w:tcPr>
        <w:shd w:val="clear" w:color="auto" w:fill="B4FEF9" w:themeFill="accent1" w:themeFillTint="33"/>
      </w:tcPr>
    </w:tblStylePr>
  </w:style>
  <w:style w:type="table" w:styleId="GridTable6Colorful-Accent2">
    <w:name w:val="Grid Table 6 Colorful Accent 2"/>
    <w:basedOn w:val="TableNormal"/>
    <w:uiPriority w:val="51"/>
    <w:pPr>
      <w:spacing w:after="0"/>
    </w:pPr>
    <w:rPr>
      <w:color w:val="DA3F0E" w:themeColor="accent2" w:themeShade="BF"/>
    </w:rPr>
    <w:tblPr>
      <w:tblStyleRowBandSize w:val="1"/>
      <w:tblStyleColBandSize w:val="1"/>
      <w:tblBorders>
        <w:top w:val="single" w:sz="4" w:space="0" w:color="F7A78E" w:themeColor="accent2" w:themeTint="99"/>
        <w:left w:val="single" w:sz="4" w:space="0" w:color="F7A78E" w:themeColor="accent2" w:themeTint="99"/>
        <w:bottom w:val="single" w:sz="4" w:space="0" w:color="F7A78E" w:themeColor="accent2" w:themeTint="99"/>
        <w:right w:val="single" w:sz="4" w:space="0" w:color="F7A78E" w:themeColor="accent2" w:themeTint="99"/>
        <w:insideH w:val="single" w:sz="4" w:space="0" w:color="F7A78E" w:themeColor="accent2" w:themeTint="99"/>
        <w:insideV w:val="single" w:sz="4" w:space="0" w:color="F7A78E" w:themeColor="accent2" w:themeTint="99"/>
      </w:tblBorders>
    </w:tblPr>
    <w:tblStylePr w:type="firstRow">
      <w:rPr>
        <w:b/>
        <w:bCs/>
      </w:rPr>
      <w:tblPr/>
      <w:tcPr>
        <w:tcBorders>
          <w:bottom w:val="single" w:sz="12" w:space="0" w:color="F7A78E" w:themeColor="accent2" w:themeTint="99"/>
        </w:tcBorders>
      </w:tcPr>
    </w:tblStylePr>
    <w:tblStylePr w:type="lastRow">
      <w:rPr>
        <w:b/>
        <w:bCs/>
      </w:rPr>
      <w:tblPr/>
      <w:tcPr>
        <w:tcBorders>
          <w:top w:val="double" w:sz="4" w:space="0" w:color="F7A78E" w:themeColor="accent2" w:themeTint="99"/>
        </w:tcBorders>
      </w:tcPr>
    </w:tblStylePr>
    <w:tblStylePr w:type="firstCol">
      <w:rPr>
        <w:b/>
        <w:bCs/>
      </w:rPr>
    </w:tblStylePr>
    <w:tblStylePr w:type="lastCol">
      <w:rPr>
        <w:b/>
        <w:bCs/>
      </w:rPr>
    </w:tblStylePr>
    <w:tblStylePr w:type="band1Vert">
      <w:tblPr/>
      <w:tcPr>
        <w:shd w:val="clear" w:color="auto" w:fill="FCE1D9" w:themeFill="accent2" w:themeFillTint="33"/>
      </w:tcPr>
    </w:tblStylePr>
    <w:tblStylePr w:type="band1Horz">
      <w:tblPr/>
      <w:tcPr>
        <w:shd w:val="clear" w:color="auto" w:fill="FCE1D9" w:themeFill="accent2" w:themeFillTint="33"/>
      </w:tcPr>
    </w:tblStylePr>
  </w:style>
  <w:style w:type="table" w:styleId="GridTable6Colorful-Accent3">
    <w:name w:val="Grid Table 6 Colorful Accent 3"/>
    <w:basedOn w:val="TableNormal"/>
    <w:uiPriority w:val="51"/>
    <w:pPr>
      <w:spacing w:after="0"/>
    </w:pPr>
    <w:rPr>
      <w:color w:val="3B9490" w:themeColor="accent3" w:themeShade="BF"/>
    </w:rPr>
    <w:tblPr>
      <w:tblStyleRowBandSize w:val="1"/>
      <w:tblStyleColBandSize w:val="1"/>
      <w:tblBorders>
        <w:top w:val="single" w:sz="4" w:space="0" w:color="9BD7D4" w:themeColor="accent3" w:themeTint="99"/>
        <w:left w:val="single" w:sz="4" w:space="0" w:color="9BD7D4" w:themeColor="accent3" w:themeTint="99"/>
        <w:bottom w:val="single" w:sz="4" w:space="0" w:color="9BD7D4" w:themeColor="accent3" w:themeTint="99"/>
        <w:right w:val="single" w:sz="4" w:space="0" w:color="9BD7D4" w:themeColor="accent3" w:themeTint="99"/>
        <w:insideH w:val="single" w:sz="4" w:space="0" w:color="9BD7D4" w:themeColor="accent3" w:themeTint="99"/>
        <w:insideV w:val="single" w:sz="4" w:space="0" w:color="9BD7D4" w:themeColor="accent3" w:themeTint="99"/>
      </w:tblBorders>
    </w:tblPr>
    <w:tblStylePr w:type="firstRow">
      <w:rPr>
        <w:b/>
        <w:bCs/>
      </w:rPr>
      <w:tblPr/>
      <w:tcPr>
        <w:tcBorders>
          <w:bottom w:val="single" w:sz="12" w:space="0" w:color="9BD7D4" w:themeColor="accent3" w:themeTint="99"/>
        </w:tcBorders>
      </w:tcPr>
    </w:tblStylePr>
    <w:tblStylePr w:type="lastRow">
      <w:rPr>
        <w:b/>
        <w:bCs/>
      </w:rPr>
      <w:tblPr/>
      <w:tcPr>
        <w:tcBorders>
          <w:top w:val="double" w:sz="4" w:space="0" w:color="9BD7D4" w:themeColor="accent3" w:themeTint="99"/>
        </w:tcBorders>
      </w:tcPr>
    </w:tblStylePr>
    <w:tblStylePr w:type="firstCol">
      <w:rPr>
        <w:b/>
        <w:bCs/>
      </w:rPr>
    </w:tblStylePr>
    <w:tblStylePr w:type="lastCol">
      <w:rPr>
        <w:b/>
        <w:bCs/>
      </w:rPr>
    </w:tblStylePr>
    <w:tblStylePr w:type="band1Vert">
      <w:tblPr/>
      <w:tcPr>
        <w:shd w:val="clear" w:color="auto" w:fill="DDF1F0" w:themeFill="accent3" w:themeFillTint="33"/>
      </w:tcPr>
    </w:tblStylePr>
    <w:tblStylePr w:type="band1Horz">
      <w:tblPr/>
      <w:tcPr>
        <w:shd w:val="clear" w:color="auto" w:fill="DDF1F0" w:themeFill="accent3" w:themeFillTint="33"/>
      </w:tcPr>
    </w:tblStylePr>
  </w:style>
  <w:style w:type="table" w:styleId="GridTable6Colorful-Accent4">
    <w:name w:val="Grid Table 6 Colorful Accent 4"/>
    <w:basedOn w:val="TableNormal"/>
    <w:uiPriority w:val="51"/>
    <w:pPr>
      <w:spacing w:after="0"/>
    </w:pPr>
    <w:rPr>
      <w:color w:val="E19602" w:themeColor="accent4" w:themeShade="BF"/>
    </w:rPr>
    <w:tblPr>
      <w:tblStyleRowBandSize w:val="1"/>
      <w:tblStyleColBandSize w:val="1"/>
      <w:tblBorders>
        <w:top w:val="single" w:sz="4" w:space="0" w:color="FDD484" w:themeColor="accent4" w:themeTint="99"/>
        <w:left w:val="single" w:sz="4" w:space="0" w:color="FDD484" w:themeColor="accent4" w:themeTint="99"/>
        <w:bottom w:val="single" w:sz="4" w:space="0" w:color="FDD484" w:themeColor="accent4" w:themeTint="99"/>
        <w:right w:val="single" w:sz="4" w:space="0" w:color="FDD484" w:themeColor="accent4" w:themeTint="99"/>
        <w:insideH w:val="single" w:sz="4" w:space="0" w:color="FDD484" w:themeColor="accent4" w:themeTint="99"/>
        <w:insideV w:val="single" w:sz="4" w:space="0" w:color="FDD484" w:themeColor="accent4" w:themeTint="99"/>
      </w:tblBorders>
    </w:tblPr>
    <w:tblStylePr w:type="firstRow">
      <w:rPr>
        <w:b/>
        <w:bCs/>
      </w:rPr>
      <w:tblPr/>
      <w:tcPr>
        <w:tcBorders>
          <w:bottom w:val="single" w:sz="12" w:space="0" w:color="FDD484" w:themeColor="accent4" w:themeTint="99"/>
        </w:tcBorders>
      </w:tcPr>
    </w:tblStylePr>
    <w:tblStylePr w:type="lastRow">
      <w:rPr>
        <w:b/>
        <w:bCs/>
      </w:rPr>
      <w:tblPr/>
      <w:tcPr>
        <w:tcBorders>
          <w:top w:val="double" w:sz="4" w:space="0" w:color="FDD484" w:themeColor="accent4" w:themeTint="99"/>
        </w:tcBorders>
      </w:tcPr>
    </w:tblStylePr>
    <w:tblStylePr w:type="firstCol">
      <w:rPr>
        <w:b/>
        <w:bCs/>
      </w:rPr>
    </w:tblStylePr>
    <w:tblStylePr w:type="lastCol">
      <w:rPr>
        <w:b/>
        <w:bCs/>
      </w:rPr>
    </w:tblStylePr>
    <w:tblStylePr w:type="band1Vert">
      <w:tblPr/>
      <w:tcPr>
        <w:shd w:val="clear" w:color="auto" w:fill="FEF0D6" w:themeFill="accent4" w:themeFillTint="33"/>
      </w:tcPr>
    </w:tblStylePr>
    <w:tblStylePr w:type="band1Horz">
      <w:tblPr/>
      <w:tcPr>
        <w:shd w:val="clear" w:color="auto" w:fill="FEF0D6" w:themeFill="accent4" w:themeFillTint="33"/>
      </w:tcPr>
    </w:tblStylePr>
  </w:style>
  <w:style w:type="table" w:styleId="GridTable6Colorful-Accent5">
    <w:name w:val="Grid Table 6 Colorful Accent 5"/>
    <w:basedOn w:val="TableNormal"/>
    <w:uiPriority w:val="51"/>
    <w:pPr>
      <w:spacing w:after="0"/>
    </w:pPr>
    <w:rPr>
      <w:color w:val="4B864B" w:themeColor="accent5" w:themeShade="BF"/>
    </w:rPr>
    <w:tblPr>
      <w:tblStyleRowBandSize w:val="1"/>
      <w:tblStyleColBandSize w:val="1"/>
      <w:tblBorders>
        <w:top w:val="single" w:sz="4" w:space="0" w:color="A6CDA6" w:themeColor="accent5" w:themeTint="99"/>
        <w:left w:val="single" w:sz="4" w:space="0" w:color="A6CDA6" w:themeColor="accent5" w:themeTint="99"/>
        <w:bottom w:val="single" w:sz="4" w:space="0" w:color="A6CDA6" w:themeColor="accent5" w:themeTint="99"/>
        <w:right w:val="single" w:sz="4" w:space="0" w:color="A6CDA6" w:themeColor="accent5" w:themeTint="99"/>
        <w:insideH w:val="single" w:sz="4" w:space="0" w:color="A6CDA6" w:themeColor="accent5" w:themeTint="99"/>
        <w:insideV w:val="single" w:sz="4" w:space="0" w:color="A6CDA6" w:themeColor="accent5" w:themeTint="99"/>
      </w:tblBorders>
    </w:tblPr>
    <w:tblStylePr w:type="firstRow">
      <w:rPr>
        <w:b/>
        <w:bCs/>
      </w:rPr>
      <w:tblPr/>
      <w:tcPr>
        <w:tcBorders>
          <w:bottom w:val="single" w:sz="12" w:space="0" w:color="A6CDA6" w:themeColor="accent5" w:themeTint="99"/>
        </w:tcBorders>
      </w:tcPr>
    </w:tblStylePr>
    <w:tblStylePr w:type="lastRow">
      <w:rPr>
        <w:b/>
        <w:bCs/>
      </w:rPr>
      <w:tblPr/>
      <w:tcPr>
        <w:tcBorders>
          <w:top w:val="double" w:sz="4" w:space="0" w:color="A6CDA6" w:themeColor="accent5" w:themeTint="99"/>
        </w:tcBorders>
      </w:tcPr>
    </w:tblStylePr>
    <w:tblStylePr w:type="firstCol">
      <w:rPr>
        <w:b/>
        <w:bCs/>
      </w:rPr>
    </w:tblStylePr>
    <w:tblStylePr w:type="lastCol">
      <w:rPr>
        <w:b/>
        <w:bCs/>
      </w:rPr>
    </w:tblStylePr>
    <w:tblStylePr w:type="band1Vert">
      <w:tblPr/>
      <w:tcPr>
        <w:shd w:val="clear" w:color="auto" w:fill="E1EEE1" w:themeFill="accent5" w:themeFillTint="33"/>
      </w:tcPr>
    </w:tblStylePr>
    <w:tblStylePr w:type="band1Horz">
      <w:tblPr/>
      <w:tcPr>
        <w:shd w:val="clear" w:color="auto" w:fill="E1EEE1" w:themeFill="accent5" w:themeFillTint="33"/>
      </w:tcPr>
    </w:tblStylePr>
  </w:style>
  <w:style w:type="table" w:styleId="GridTable6Colorful-Accent6">
    <w:name w:val="Grid Table 6 Colorful Accent 6"/>
    <w:basedOn w:val="TableNormal"/>
    <w:uiPriority w:val="51"/>
    <w:pPr>
      <w:spacing w:after="0"/>
    </w:pPr>
    <w:rPr>
      <w:color w:val="8D1C32" w:themeColor="accent6" w:themeShade="BF"/>
    </w:rPr>
    <w:tblPr>
      <w:tblStyleRowBandSize w:val="1"/>
      <w:tblStyleColBandSize w:val="1"/>
      <w:tblBorders>
        <w:top w:val="single" w:sz="4" w:space="0" w:color="E27187" w:themeColor="accent6" w:themeTint="99"/>
        <w:left w:val="single" w:sz="4" w:space="0" w:color="E27187" w:themeColor="accent6" w:themeTint="99"/>
        <w:bottom w:val="single" w:sz="4" w:space="0" w:color="E27187" w:themeColor="accent6" w:themeTint="99"/>
        <w:right w:val="single" w:sz="4" w:space="0" w:color="E27187" w:themeColor="accent6" w:themeTint="99"/>
        <w:insideH w:val="single" w:sz="4" w:space="0" w:color="E27187" w:themeColor="accent6" w:themeTint="99"/>
        <w:insideV w:val="single" w:sz="4" w:space="0" w:color="E27187" w:themeColor="accent6" w:themeTint="99"/>
      </w:tblBorders>
    </w:tblPr>
    <w:tblStylePr w:type="firstRow">
      <w:rPr>
        <w:b/>
        <w:bCs/>
      </w:rPr>
      <w:tblPr/>
      <w:tcPr>
        <w:tcBorders>
          <w:bottom w:val="single" w:sz="12" w:space="0" w:color="E27187" w:themeColor="accent6" w:themeTint="99"/>
        </w:tcBorders>
      </w:tcPr>
    </w:tblStylePr>
    <w:tblStylePr w:type="lastRow">
      <w:rPr>
        <w:b/>
        <w:bCs/>
      </w:rPr>
      <w:tblPr/>
      <w:tcPr>
        <w:tcBorders>
          <w:top w:val="double" w:sz="4" w:space="0" w:color="E27187" w:themeColor="accent6" w:themeTint="99"/>
        </w:tcBorders>
      </w:tcPr>
    </w:tblStylePr>
    <w:tblStylePr w:type="firstCol">
      <w:rPr>
        <w:b/>
        <w:bCs/>
      </w:rPr>
    </w:tblStylePr>
    <w:tblStylePr w:type="lastCol">
      <w:rPr>
        <w:b/>
        <w:bCs/>
      </w:rPr>
    </w:tblStylePr>
    <w:tblStylePr w:type="band1Vert">
      <w:tblPr/>
      <w:tcPr>
        <w:shd w:val="clear" w:color="auto" w:fill="F5CFD7" w:themeFill="accent6" w:themeFillTint="33"/>
      </w:tcPr>
    </w:tblStylePr>
    <w:tblStylePr w:type="band1Horz">
      <w:tblPr/>
      <w:tcPr>
        <w:shd w:val="clear" w:color="auto" w:fill="F5CFD7" w:themeFill="accent6" w:themeFillTint="33"/>
      </w:tcPr>
    </w:tblStylePr>
  </w:style>
  <w:style w:type="table" w:styleId="GridTable7Colorful">
    <w:name w:val="Grid Table 7 Colorful"/>
    <w:basedOn w:val="TableNormal"/>
    <w:uiPriority w:val="5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pPr>
      <w:spacing w:after="0"/>
    </w:pPr>
    <w:rPr>
      <w:color w:val="01625D" w:themeColor="accent1" w:themeShade="BF"/>
    </w:rPr>
    <w:tblPr>
      <w:tblStyleRowBandSize w:val="1"/>
      <w:tblStyleColBandSize w:val="1"/>
      <w:tblBorders>
        <w:top w:val="single" w:sz="4" w:space="0" w:color="20FBEF" w:themeColor="accent1" w:themeTint="99"/>
        <w:left w:val="single" w:sz="4" w:space="0" w:color="20FBEF" w:themeColor="accent1" w:themeTint="99"/>
        <w:bottom w:val="single" w:sz="4" w:space="0" w:color="20FBEF" w:themeColor="accent1" w:themeTint="99"/>
        <w:right w:val="single" w:sz="4" w:space="0" w:color="20FBEF" w:themeColor="accent1" w:themeTint="99"/>
        <w:insideH w:val="single" w:sz="4" w:space="0" w:color="20FBEF" w:themeColor="accent1" w:themeTint="99"/>
        <w:insideV w:val="single" w:sz="4" w:space="0" w:color="20FBE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FEF9" w:themeFill="accent1" w:themeFillTint="33"/>
      </w:tcPr>
    </w:tblStylePr>
    <w:tblStylePr w:type="band1Horz">
      <w:tblPr/>
      <w:tcPr>
        <w:shd w:val="clear" w:color="auto" w:fill="B4FEF9" w:themeFill="accent1" w:themeFillTint="33"/>
      </w:tcPr>
    </w:tblStylePr>
    <w:tblStylePr w:type="neCell">
      <w:tblPr/>
      <w:tcPr>
        <w:tcBorders>
          <w:bottom w:val="single" w:sz="4" w:space="0" w:color="20FBEF" w:themeColor="accent1" w:themeTint="99"/>
        </w:tcBorders>
      </w:tcPr>
    </w:tblStylePr>
    <w:tblStylePr w:type="nwCell">
      <w:tblPr/>
      <w:tcPr>
        <w:tcBorders>
          <w:bottom w:val="single" w:sz="4" w:space="0" w:color="20FBEF" w:themeColor="accent1" w:themeTint="99"/>
        </w:tcBorders>
      </w:tcPr>
    </w:tblStylePr>
    <w:tblStylePr w:type="seCell">
      <w:tblPr/>
      <w:tcPr>
        <w:tcBorders>
          <w:top w:val="single" w:sz="4" w:space="0" w:color="20FBEF" w:themeColor="accent1" w:themeTint="99"/>
        </w:tcBorders>
      </w:tcPr>
    </w:tblStylePr>
    <w:tblStylePr w:type="swCell">
      <w:tblPr/>
      <w:tcPr>
        <w:tcBorders>
          <w:top w:val="single" w:sz="4" w:space="0" w:color="20FBEF" w:themeColor="accent1" w:themeTint="99"/>
        </w:tcBorders>
      </w:tcPr>
    </w:tblStylePr>
  </w:style>
  <w:style w:type="table" w:styleId="GridTable7Colorful-Accent2">
    <w:name w:val="Grid Table 7 Colorful Accent 2"/>
    <w:basedOn w:val="TableNormal"/>
    <w:uiPriority w:val="52"/>
    <w:pPr>
      <w:spacing w:after="0"/>
    </w:pPr>
    <w:rPr>
      <w:color w:val="DA3F0E" w:themeColor="accent2" w:themeShade="BF"/>
    </w:rPr>
    <w:tblPr>
      <w:tblStyleRowBandSize w:val="1"/>
      <w:tblStyleColBandSize w:val="1"/>
      <w:tblBorders>
        <w:top w:val="single" w:sz="4" w:space="0" w:color="F7A78E" w:themeColor="accent2" w:themeTint="99"/>
        <w:left w:val="single" w:sz="4" w:space="0" w:color="F7A78E" w:themeColor="accent2" w:themeTint="99"/>
        <w:bottom w:val="single" w:sz="4" w:space="0" w:color="F7A78E" w:themeColor="accent2" w:themeTint="99"/>
        <w:right w:val="single" w:sz="4" w:space="0" w:color="F7A78E" w:themeColor="accent2" w:themeTint="99"/>
        <w:insideH w:val="single" w:sz="4" w:space="0" w:color="F7A78E" w:themeColor="accent2" w:themeTint="99"/>
        <w:insideV w:val="single" w:sz="4" w:space="0" w:color="F7A78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1D9" w:themeFill="accent2" w:themeFillTint="33"/>
      </w:tcPr>
    </w:tblStylePr>
    <w:tblStylePr w:type="band1Horz">
      <w:tblPr/>
      <w:tcPr>
        <w:shd w:val="clear" w:color="auto" w:fill="FCE1D9" w:themeFill="accent2" w:themeFillTint="33"/>
      </w:tcPr>
    </w:tblStylePr>
    <w:tblStylePr w:type="neCell">
      <w:tblPr/>
      <w:tcPr>
        <w:tcBorders>
          <w:bottom w:val="single" w:sz="4" w:space="0" w:color="F7A78E" w:themeColor="accent2" w:themeTint="99"/>
        </w:tcBorders>
      </w:tcPr>
    </w:tblStylePr>
    <w:tblStylePr w:type="nwCell">
      <w:tblPr/>
      <w:tcPr>
        <w:tcBorders>
          <w:bottom w:val="single" w:sz="4" w:space="0" w:color="F7A78E" w:themeColor="accent2" w:themeTint="99"/>
        </w:tcBorders>
      </w:tcPr>
    </w:tblStylePr>
    <w:tblStylePr w:type="seCell">
      <w:tblPr/>
      <w:tcPr>
        <w:tcBorders>
          <w:top w:val="single" w:sz="4" w:space="0" w:color="F7A78E" w:themeColor="accent2" w:themeTint="99"/>
        </w:tcBorders>
      </w:tcPr>
    </w:tblStylePr>
    <w:tblStylePr w:type="swCell">
      <w:tblPr/>
      <w:tcPr>
        <w:tcBorders>
          <w:top w:val="single" w:sz="4" w:space="0" w:color="F7A78E" w:themeColor="accent2" w:themeTint="99"/>
        </w:tcBorders>
      </w:tcPr>
    </w:tblStylePr>
  </w:style>
  <w:style w:type="table" w:styleId="GridTable7Colorful-Accent3">
    <w:name w:val="Grid Table 7 Colorful Accent 3"/>
    <w:basedOn w:val="TableNormal"/>
    <w:uiPriority w:val="52"/>
    <w:pPr>
      <w:spacing w:after="0"/>
    </w:pPr>
    <w:rPr>
      <w:color w:val="3B9490" w:themeColor="accent3" w:themeShade="BF"/>
    </w:rPr>
    <w:tblPr>
      <w:tblStyleRowBandSize w:val="1"/>
      <w:tblStyleColBandSize w:val="1"/>
      <w:tblBorders>
        <w:top w:val="single" w:sz="4" w:space="0" w:color="9BD7D4" w:themeColor="accent3" w:themeTint="99"/>
        <w:left w:val="single" w:sz="4" w:space="0" w:color="9BD7D4" w:themeColor="accent3" w:themeTint="99"/>
        <w:bottom w:val="single" w:sz="4" w:space="0" w:color="9BD7D4" w:themeColor="accent3" w:themeTint="99"/>
        <w:right w:val="single" w:sz="4" w:space="0" w:color="9BD7D4" w:themeColor="accent3" w:themeTint="99"/>
        <w:insideH w:val="single" w:sz="4" w:space="0" w:color="9BD7D4" w:themeColor="accent3" w:themeTint="99"/>
        <w:insideV w:val="single" w:sz="4" w:space="0" w:color="9BD7D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F0" w:themeFill="accent3" w:themeFillTint="33"/>
      </w:tcPr>
    </w:tblStylePr>
    <w:tblStylePr w:type="band1Horz">
      <w:tblPr/>
      <w:tcPr>
        <w:shd w:val="clear" w:color="auto" w:fill="DDF1F0" w:themeFill="accent3" w:themeFillTint="33"/>
      </w:tcPr>
    </w:tblStylePr>
    <w:tblStylePr w:type="neCell">
      <w:tblPr/>
      <w:tcPr>
        <w:tcBorders>
          <w:bottom w:val="single" w:sz="4" w:space="0" w:color="9BD7D4" w:themeColor="accent3" w:themeTint="99"/>
        </w:tcBorders>
      </w:tcPr>
    </w:tblStylePr>
    <w:tblStylePr w:type="nwCell">
      <w:tblPr/>
      <w:tcPr>
        <w:tcBorders>
          <w:bottom w:val="single" w:sz="4" w:space="0" w:color="9BD7D4" w:themeColor="accent3" w:themeTint="99"/>
        </w:tcBorders>
      </w:tcPr>
    </w:tblStylePr>
    <w:tblStylePr w:type="seCell">
      <w:tblPr/>
      <w:tcPr>
        <w:tcBorders>
          <w:top w:val="single" w:sz="4" w:space="0" w:color="9BD7D4" w:themeColor="accent3" w:themeTint="99"/>
        </w:tcBorders>
      </w:tcPr>
    </w:tblStylePr>
    <w:tblStylePr w:type="swCell">
      <w:tblPr/>
      <w:tcPr>
        <w:tcBorders>
          <w:top w:val="single" w:sz="4" w:space="0" w:color="9BD7D4" w:themeColor="accent3" w:themeTint="99"/>
        </w:tcBorders>
      </w:tcPr>
    </w:tblStylePr>
  </w:style>
  <w:style w:type="table" w:styleId="GridTable7Colorful-Accent4">
    <w:name w:val="Grid Table 7 Colorful Accent 4"/>
    <w:basedOn w:val="TableNormal"/>
    <w:uiPriority w:val="52"/>
    <w:pPr>
      <w:spacing w:after="0"/>
    </w:pPr>
    <w:rPr>
      <w:color w:val="E19602" w:themeColor="accent4" w:themeShade="BF"/>
    </w:rPr>
    <w:tblPr>
      <w:tblStyleRowBandSize w:val="1"/>
      <w:tblStyleColBandSize w:val="1"/>
      <w:tblBorders>
        <w:top w:val="single" w:sz="4" w:space="0" w:color="FDD484" w:themeColor="accent4" w:themeTint="99"/>
        <w:left w:val="single" w:sz="4" w:space="0" w:color="FDD484" w:themeColor="accent4" w:themeTint="99"/>
        <w:bottom w:val="single" w:sz="4" w:space="0" w:color="FDD484" w:themeColor="accent4" w:themeTint="99"/>
        <w:right w:val="single" w:sz="4" w:space="0" w:color="FDD484" w:themeColor="accent4" w:themeTint="99"/>
        <w:insideH w:val="single" w:sz="4" w:space="0" w:color="FDD484" w:themeColor="accent4" w:themeTint="99"/>
        <w:insideV w:val="single" w:sz="4" w:space="0" w:color="FDD48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0D6" w:themeFill="accent4" w:themeFillTint="33"/>
      </w:tcPr>
    </w:tblStylePr>
    <w:tblStylePr w:type="band1Horz">
      <w:tblPr/>
      <w:tcPr>
        <w:shd w:val="clear" w:color="auto" w:fill="FEF0D6" w:themeFill="accent4" w:themeFillTint="33"/>
      </w:tcPr>
    </w:tblStylePr>
    <w:tblStylePr w:type="neCell">
      <w:tblPr/>
      <w:tcPr>
        <w:tcBorders>
          <w:bottom w:val="single" w:sz="4" w:space="0" w:color="FDD484" w:themeColor="accent4" w:themeTint="99"/>
        </w:tcBorders>
      </w:tcPr>
    </w:tblStylePr>
    <w:tblStylePr w:type="nwCell">
      <w:tblPr/>
      <w:tcPr>
        <w:tcBorders>
          <w:bottom w:val="single" w:sz="4" w:space="0" w:color="FDD484" w:themeColor="accent4" w:themeTint="99"/>
        </w:tcBorders>
      </w:tcPr>
    </w:tblStylePr>
    <w:tblStylePr w:type="seCell">
      <w:tblPr/>
      <w:tcPr>
        <w:tcBorders>
          <w:top w:val="single" w:sz="4" w:space="0" w:color="FDD484" w:themeColor="accent4" w:themeTint="99"/>
        </w:tcBorders>
      </w:tcPr>
    </w:tblStylePr>
    <w:tblStylePr w:type="swCell">
      <w:tblPr/>
      <w:tcPr>
        <w:tcBorders>
          <w:top w:val="single" w:sz="4" w:space="0" w:color="FDD484" w:themeColor="accent4" w:themeTint="99"/>
        </w:tcBorders>
      </w:tcPr>
    </w:tblStylePr>
  </w:style>
  <w:style w:type="table" w:styleId="GridTable7Colorful-Accent5">
    <w:name w:val="Grid Table 7 Colorful Accent 5"/>
    <w:basedOn w:val="TableNormal"/>
    <w:uiPriority w:val="52"/>
    <w:pPr>
      <w:spacing w:after="0"/>
    </w:pPr>
    <w:rPr>
      <w:color w:val="4B864B" w:themeColor="accent5" w:themeShade="BF"/>
    </w:rPr>
    <w:tblPr>
      <w:tblStyleRowBandSize w:val="1"/>
      <w:tblStyleColBandSize w:val="1"/>
      <w:tblBorders>
        <w:top w:val="single" w:sz="4" w:space="0" w:color="A6CDA6" w:themeColor="accent5" w:themeTint="99"/>
        <w:left w:val="single" w:sz="4" w:space="0" w:color="A6CDA6" w:themeColor="accent5" w:themeTint="99"/>
        <w:bottom w:val="single" w:sz="4" w:space="0" w:color="A6CDA6" w:themeColor="accent5" w:themeTint="99"/>
        <w:right w:val="single" w:sz="4" w:space="0" w:color="A6CDA6" w:themeColor="accent5" w:themeTint="99"/>
        <w:insideH w:val="single" w:sz="4" w:space="0" w:color="A6CDA6" w:themeColor="accent5" w:themeTint="99"/>
        <w:insideV w:val="single" w:sz="4" w:space="0" w:color="A6CDA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EE1" w:themeFill="accent5" w:themeFillTint="33"/>
      </w:tcPr>
    </w:tblStylePr>
    <w:tblStylePr w:type="band1Horz">
      <w:tblPr/>
      <w:tcPr>
        <w:shd w:val="clear" w:color="auto" w:fill="E1EEE1" w:themeFill="accent5" w:themeFillTint="33"/>
      </w:tcPr>
    </w:tblStylePr>
    <w:tblStylePr w:type="neCell">
      <w:tblPr/>
      <w:tcPr>
        <w:tcBorders>
          <w:bottom w:val="single" w:sz="4" w:space="0" w:color="A6CDA6" w:themeColor="accent5" w:themeTint="99"/>
        </w:tcBorders>
      </w:tcPr>
    </w:tblStylePr>
    <w:tblStylePr w:type="nwCell">
      <w:tblPr/>
      <w:tcPr>
        <w:tcBorders>
          <w:bottom w:val="single" w:sz="4" w:space="0" w:color="A6CDA6" w:themeColor="accent5" w:themeTint="99"/>
        </w:tcBorders>
      </w:tcPr>
    </w:tblStylePr>
    <w:tblStylePr w:type="seCell">
      <w:tblPr/>
      <w:tcPr>
        <w:tcBorders>
          <w:top w:val="single" w:sz="4" w:space="0" w:color="A6CDA6" w:themeColor="accent5" w:themeTint="99"/>
        </w:tcBorders>
      </w:tcPr>
    </w:tblStylePr>
    <w:tblStylePr w:type="swCell">
      <w:tblPr/>
      <w:tcPr>
        <w:tcBorders>
          <w:top w:val="single" w:sz="4" w:space="0" w:color="A6CDA6" w:themeColor="accent5" w:themeTint="99"/>
        </w:tcBorders>
      </w:tcPr>
    </w:tblStylePr>
  </w:style>
  <w:style w:type="table" w:styleId="GridTable7Colorful-Accent6">
    <w:name w:val="Grid Table 7 Colorful Accent 6"/>
    <w:basedOn w:val="TableNormal"/>
    <w:uiPriority w:val="52"/>
    <w:pPr>
      <w:spacing w:after="0"/>
    </w:pPr>
    <w:rPr>
      <w:color w:val="8D1C32" w:themeColor="accent6" w:themeShade="BF"/>
    </w:rPr>
    <w:tblPr>
      <w:tblStyleRowBandSize w:val="1"/>
      <w:tblStyleColBandSize w:val="1"/>
      <w:tblBorders>
        <w:top w:val="single" w:sz="4" w:space="0" w:color="E27187" w:themeColor="accent6" w:themeTint="99"/>
        <w:left w:val="single" w:sz="4" w:space="0" w:color="E27187" w:themeColor="accent6" w:themeTint="99"/>
        <w:bottom w:val="single" w:sz="4" w:space="0" w:color="E27187" w:themeColor="accent6" w:themeTint="99"/>
        <w:right w:val="single" w:sz="4" w:space="0" w:color="E27187" w:themeColor="accent6" w:themeTint="99"/>
        <w:insideH w:val="single" w:sz="4" w:space="0" w:color="E27187" w:themeColor="accent6" w:themeTint="99"/>
        <w:insideV w:val="single" w:sz="4" w:space="0" w:color="E2718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CFD7" w:themeFill="accent6" w:themeFillTint="33"/>
      </w:tcPr>
    </w:tblStylePr>
    <w:tblStylePr w:type="band1Horz">
      <w:tblPr/>
      <w:tcPr>
        <w:shd w:val="clear" w:color="auto" w:fill="F5CFD7" w:themeFill="accent6" w:themeFillTint="33"/>
      </w:tcPr>
    </w:tblStylePr>
    <w:tblStylePr w:type="neCell">
      <w:tblPr/>
      <w:tcPr>
        <w:tcBorders>
          <w:bottom w:val="single" w:sz="4" w:space="0" w:color="E27187" w:themeColor="accent6" w:themeTint="99"/>
        </w:tcBorders>
      </w:tcPr>
    </w:tblStylePr>
    <w:tblStylePr w:type="nwCell">
      <w:tblPr/>
      <w:tcPr>
        <w:tcBorders>
          <w:bottom w:val="single" w:sz="4" w:space="0" w:color="E27187" w:themeColor="accent6" w:themeTint="99"/>
        </w:tcBorders>
      </w:tcPr>
    </w:tblStylePr>
    <w:tblStylePr w:type="seCell">
      <w:tblPr/>
      <w:tcPr>
        <w:tcBorders>
          <w:top w:val="single" w:sz="4" w:space="0" w:color="E27187" w:themeColor="accent6" w:themeTint="99"/>
        </w:tcBorders>
      </w:tcPr>
    </w:tblStylePr>
    <w:tblStylePr w:type="swCell">
      <w:tblPr/>
      <w:tcPr>
        <w:tcBorders>
          <w:top w:val="single" w:sz="4" w:space="0" w:color="E27187" w:themeColor="accent6" w:themeTint="99"/>
        </w:tcBorders>
      </w:tcPr>
    </w:tblStylePr>
  </w:style>
  <w:style w:type="character" w:styleId="IntenseEmphasis">
    <w:name w:val="Intense Emphasis"/>
    <w:basedOn w:val="DefaultParagraphFont"/>
    <w:uiPriority w:val="21"/>
    <w:semiHidden/>
    <w:rPr>
      <w:i/>
      <w:iCs/>
      <w:color w:val="245F95" w:themeColor="text2"/>
      <w:lang w:val="pl-PL"/>
    </w:rPr>
  </w:style>
  <w:style w:type="character" w:styleId="IntenseReference">
    <w:name w:val="Intense Reference"/>
    <w:basedOn w:val="DefaultParagraphFont"/>
    <w:uiPriority w:val="32"/>
    <w:semiHidden/>
    <w:rPr>
      <w:b/>
      <w:bCs/>
      <w:smallCaps/>
      <w:color w:val="245F95" w:themeColor="text2"/>
      <w:spacing w:val="5"/>
      <w:lang w:val="pl-PL"/>
    </w:rPr>
  </w:style>
  <w:style w:type="table" w:styleId="LightGrid">
    <w:name w:val="Light Grid"/>
    <w:basedOn w:val="TableNormal"/>
    <w:uiPriority w:val="62"/>
    <w:semiHidden/>
    <w:unhideWhenUsed/>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after="0"/>
    </w:pPr>
    <w:tblPr>
      <w:tblStyleRowBandSize w:val="1"/>
      <w:tblStyleColBandSize w:val="1"/>
      <w:tblBorders>
        <w:top w:val="single" w:sz="8" w:space="0" w:color="02847D" w:themeColor="accent1"/>
        <w:left w:val="single" w:sz="8" w:space="0" w:color="02847D" w:themeColor="accent1"/>
        <w:bottom w:val="single" w:sz="8" w:space="0" w:color="02847D" w:themeColor="accent1"/>
        <w:right w:val="single" w:sz="8" w:space="0" w:color="02847D" w:themeColor="accent1"/>
        <w:insideH w:val="single" w:sz="8" w:space="0" w:color="02847D" w:themeColor="accent1"/>
        <w:insideV w:val="single" w:sz="8" w:space="0" w:color="02847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847D" w:themeColor="accent1"/>
          <w:left w:val="single" w:sz="8" w:space="0" w:color="02847D" w:themeColor="accent1"/>
          <w:bottom w:val="single" w:sz="18" w:space="0" w:color="02847D" w:themeColor="accent1"/>
          <w:right w:val="single" w:sz="8" w:space="0" w:color="02847D" w:themeColor="accent1"/>
          <w:insideH w:val="nil"/>
          <w:insideV w:val="single" w:sz="8" w:space="0" w:color="02847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847D" w:themeColor="accent1"/>
          <w:left w:val="single" w:sz="8" w:space="0" w:color="02847D" w:themeColor="accent1"/>
          <w:bottom w:val="single" w:sz="8" w:space="0" w:color="02847D" w:themeColor="accent1"/>
          <w:right w:val="single" w:sz="8" w:space="0" w:color="02847D" w:themeColor="accent1"/>
          <w:insideH w:val="nil"/>
          <w:insideV w:val="single" w:sz="8" w:space="0" w:color="02847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847D" w:themeColor="accent1"/>
          <w:left w:val="single" w:sz="8" w:space="0" w:color="02847D" w:themeColor="accent1"/>
          <w:bottom w:val="single" w:sz="8" w:space="0" w:color="02847D" w:themeColor="accent1"/>
          <w:right w:val="single" w:sz="8" w:space="0" w:color="02847D" w:themeColor="accent1"/>
        </w:tcBorders>
      </w:tcPr>
    </w:tblStylePr>
    <w:tblStylePr w:type="band1Vert">
      <w:tblPr/>
      <w:tcPr>
        <w:tcBorders>
          <w:top w:val="single" w:sz="8" w:space="0" w:color="02847D" w:themeColor="accent1"/>
          <w:left w:val="single" w:sz="8" w:space="0" w:color="02847D" w:themeColor="accent1"/>
          <w:bottom w:val="single" w:sz="8" w:space="0" w:color="02847D" w:themeColor="accent1"/>
          <w:right w:val="single" w:sz="8" w:space="0" w:color="02847D" w:themeColor="accent1"/>
        </w:tcBorders>
        <w:shd w:val="clear" w:color="auto" w:fill="A3FDF8" w:themeFill="accent1" w:themeFillTint="3F"/>
      </w:tcPr>
    </w:tblStylePr>
    <w:tblStylePr w:type="band1Horz">
      <w:tblPr/>
      <w:tcPr>
        <w:tcBorders>
          <w:top w:val="single" w:sz="8" w:space="0" w:color="02847D" w:themeColor="accent1"/>
          <w:left w:val="single" w:sz="8" w:space="0" w:color="02847D" w:themeColor="accent1"/>
          <w:bottom w:val="single" w:sz="8" w:space="0" w:color="02847D" w:themeColor="accent1"/>
          <w:right w:val="single" w:sz="8" w:space="0" w:color="02847D" w:themeColor="accent1"/>
          <w:insideV w:val="single" w:sz="8" w:space="0" w:color="02847D" w:themeColor="accent1"/>
        </w:tcBorders>
        <w:shd w:val="clear" w:color="auto" w:fill="A3FDF8" w:themeFill="accent1" w:themeFillTint="3F"/>
      </w:tcPr>
    </w:tblStylePr>
    <w:tblStylePr w:type="band2Horz">
      <w:tblPr/>
      <w:tcPr>
        <w:tcBorders>
          <w:top w:val="single" w:sz="8" w:space="0" w:color="02847D" w:themeColor="accent1"/>
          <w:left w:val="single" w:sz="8" w:space="0" w:color="02847D" w:themeColor="accent1"/>
          <w:bottom w:val="single" w:sz="8" w:space="0" w:color="02847D" w:themeColor="accent1"/>
          <w:right w:val="single" w:sz="8" w:space="0" w:color="02847D" w:themeColor="accent1"/>
          <w:insideV w:val="single" w:sz="8" w:space="0" w:color="02847D" w:themeColor="accent1"/>
        </w:tcBorders>
      </w:tcPr>
    </w:tblStylePr>
  </w:style>
  <w:style w:type="table" w:styleId="LightGrid-Accent2">
    <w:name w:val="Light Grid Accent 2"/>
    <w:basedOn w:val="TableNormal"/>
    <w:uiPriority w:val="62"/>
    <w:semiHidden/>
    <w:unhideWhenUsed/>
    <w:pPr>
      <w:spacing w:before="0" w:after="0"/>
    </w:pPr>
    <w:tblPr>
      <w:tblStyleRowBandSize w:val="1"/>
      <w:tblStyleColBandSize w:val="1"/>
      <w:tblBorders>
        <w:top w:val="single" w:sz="8" w:space="0" w:color="F36E44" w:themeColor="accent2"/>
        <w:left w:val="single" w:sz="8" w:space="0" w:color="F36E44" w:themeColor="accent2"/>
        <w:bottom w:val="single" w:sz="8" w:space="0" w:color="F36E44" w:themeColor="accent2"/>
        <w:right w:val="single" w:sz="8" w:space="0" w:color="F36E44" w:themeColor="accent2"/>
        <w:insideH w:val="single" w:sz="8" w:space="0" w:color="F36E44" w:themeColor="accent2"/>
        <w:insideV w:val="single" w:sz="8" w:space="0" w:color="F36E4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6E44" w:themeColor="accent2"/>
          <w:left w:val="single" w:sz="8" w:space="0" w:color="F36E44" w:themeColor="accent2"/>
          <w:bottom w:val="single" w:sz="18" w:space="0" w:color="F36E44" w:themeColor="accent2"/>
          <w:right w:val="single" w:sz="8" w:space="0" w:color="F36E44" w:themeColor="accent2"/>
          <w:insideH w:val="nil"/>
          <w:insideV w:val="single" w:sz="8" w:space="0" w:color="F36E4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6E44" w:themeColor="accent2"/>
          <w:left w:val="single" w:sz="8" w:space="0" w:color="F36E44" w:themeColor="accent2"/>
          <w:bottom w:val="single" w:sz="8" w:space="0" w:color="F36E44" w:themeColor="accent2"/>
          <w:right w:val="single" w:sz="8" w:space="0" w:color="F36E44" w:themeColor="accent2"/>
          <w:insideH w:val="nil"/>
          <w:insideV w:val="single" w:sz="8" w:space="0" w:color="F36E4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6E44" w:themeColor="accent2"/>
          <w:left w:val="single" w:sz="8" w:space="0" w:color="F36E44" w:themeColor="accent2"/>
          <w:bottom w:val="single" w:sz="8" w:space="0" w:color="F36E44" w:themeColor="accent2"/>
          <w:right w:val="single" w:sz="8" w:space="0" w:color="F36E44" w:themeColor="accent2"/>
        </w:tcBorders>
      </w:tcPr>
    </w:tblStylePr>
    <w:tblStylePr w:type="band1Vert">
      <w:tblPr/>
      <w:tcPr>
        <w:tcBorders>
          <w:top w:val="single" w:sz="8" w:space="0" w:color="F36E44" w:themeColor="accent2"/>
          <w:left w:val="single" w:sz="8" w:space="0" w:color="F36E44" w:themeColor="accent2"/>
          <w:bottom w:val="single" w:sz="8" w:space="0" w:color="F36E44" w:themeColor="accent2"/>
          <w:right w:val="single" w:sz="8" w:space="0" w:color="F36E44" w:themeColor="accent2"/>
        </w:tcBorders>
        <w:shd w:val="clear" w:color="auto" w:fill="FCDAD0" w:themeFill="accent2" w:themeFillTint="3F"/>
      </w:tcPr>
    </w:tblStylePr>
    <w:tblStylePr w:type="band1Horz">
      <w:tblPr/>
      <w:tcPr>
        <w:tcBorders>
          <w:top w:val="single" w:sz="8" w:space="0" w:color="F36E44" w:themeColor="accent2"/>
          <w:left w:val="single" w:sz="8" w:space="0" w:color="F36E44" w:themeColor="accent2"/>
          <w:bottom w:val="single" w:sz="8" w:space="0" w:color="F36E44" w:themeColor="accent2"/>
          <w:right w:val="single" w:sz="8" w:space="0" w:color="F36E44" w:themeColor="accent2"/>
          <w:insideV w:val="single" w:sz="8" w:space="0" w:color="F36E44" w:themeColor="accent2"/>
        </w:tcBorders>
        <w:shd w:val="clear" w:color="auto" w:fill="FCDAD0" w:themeFill="accent2" w:themeFillTint="3F"/>
      </w:tcPr>
    </w:tblStylePr>
    <w:tblStylePr w:type="band2Horz">
      <w:tblPr/>
      <w:tcPr>
        <w:tcBorders>
          <w:top w:val="single" w:sz="8" w:space="0" w:color="F36E44" w:themeColor="accent2"/>
          <w:left w:val="single" w:sz="8" w:space="0" w:color="F36E44" w:themeColor="accent2"/>
          <w:bottom w:val="single" w:sz="8" w:space="0" w:color="F36E44" w:themeColor="accent2"/>
          <w:right w:val="single" w:sz="8" w:space="0" w:color="F36E44" w:themeColor="accent2"/>
          <w:insideV w:val="single" w:sz="8" w:space="0" w:color="F36E44" w:themeColor="accent2"/>
        </w:tcBorders>
      </w:tcPr>
    </w:tblStylePr>
  </w:style>
  <w:style w:type="table" w:styleId="LightGrid-Accent3">
    <w:name w:val="Light Grid Accent 3"/>
    <w:basedOn w:val="TableNormal"/>
    <w:uiPriority w:val="62"/>
    <w:semiHidden/>
    <w:unhideWhenUsed/>
    <w:pPr>
      <w:spacing w:before="0" w:after="0"/>
    </w:pPr>
    <w:tblPr>
      <w:tblStyleRowBandSize w:val="1"/>
      <w:tblStyleColBandSize w:val="1"/>
      <w:tblBorders>
        <w:top w:val="single" w:sz="8" w:space="0" w:color="59BDB8" w:themeColor="accent3"/>
        <w:left w:val="single" w:sz="8" w:space="0" w:color="59BDB8" w:themeColor="accent3"/>
        <w:bottom w:val="single" w:sz="8" w:space="0" w:color="59BDB8" w:themeColor="accent3"/>
        <w:right w:val="single" w:sz="8" w:space="0" w:color="59BDB8" w:themeColor="accent3"/>
        <w:insideH w:val="single" w:sz="8" w:space="0" w:color="59BDB8" w:themeColor="accent3"/>
        <w:insideV w:val="single" w:sz="8" w:space="0" w:color="59BDB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BDB8" w:themeColor="accent3"/>
          <w:left w:val="single" w:sz="8" w:space="0" w:color="59BDB8" w:themeColor="accent3"/>
          <w:bottom w:val="single" w:sz="18" w:space="0" w:color="59BDB8" w:themeColor="accent3"/>
          <w:right w:val="single" w:sz="8" w:space="0" w:color="59BDB8" w:themeColor="accent3"/>
          <w:insideH w:val="nil"/>
          <w:insideV w:val="single" w:sz="8" w:space="0" w:color="59BDB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BDB8" w:themeColor="accent3"/>
          <w:left w:val="single" w:sz="8" w:space="0" w:color="59BDB8" w:themeColor="accent3"/>
          <w:bottom w:val="single" w:sz="8" w:space="0" w:color="59BDB8" w:themeColor="accent3"/>
          <w:right w:val="single" w:sz="8" w:space="0" w:color="59BDB8" w:themeColor="accent3"/>
          <w:insideH w:val="nil"/>
          <w:insideV w:val="single" w:sz="8" w:space="0" w:color="59BDB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BDB8" w:themeColor="accent3"/>
          <w:left w:val="single" w:sz="8" w:space="0" w:color="59BDB8" w:themeColor="accent3"/>
          <w:bottom w:val="single" w:sz="8" w:space="0" w:color="59BDB8" w:themeColor="accent3"/>
          <w:right w:val="single" w:sz="8" w:space="0" w:color="59BDB8" w:themeColor="accent3"/>
        </w:tcBorders>
      </w:tcPr>
    </w:tblStylePr>
    <w:tblStylePr w:type="band1Vert">
      <w:tblPr/>
      <w:tcPr>
        <w:tcBorders>
          <w:top w:val="single" w:sz="8" w:space="0" w:color="59BDB8" w:themeColor="accent3"/>
          <w:left w:val="single" w:sz="8" w:space="0" w:color="59BDB8" w:themeColor="accent3"/>
          <w:bottom w:val="single" w:sz="8" w:space="0" w:color="59BDB8" w:themeColor="accent3"/>
          <w:right w:val="single" w:sz="8" w:space="0" w:color="59BDB8" w:themeColor="accent3"/>
        </w:tcBorders>
        <w:shd w:val="clear" w:color="auto" w:fill="D5EEED" w:themeFill="accent3" w:themeFillTint="3F"/>
      </w:tcPr>
    </w:tblStylePr>
    <w:tblStylePr w:type="band1Horz">
      <w:tblPr/>
      <w:tcPr>
        <w:tcBorders>
          <w:top w:val="single" w:sz="8" w:space="0" w:color="59BDB8" w:themeColor="accent3"/>
          <w:left w:val="single" w:sz="8" w:space="0" w:color="59BDB8" w:themeColor="accent3"/>
          <w:bottom w:val="single" w:sz="8" w:space="0" w:color="59BDB8" w:themeColor="accent3"/>
          <w:right w:val="single" w:sz="8" w:space="0" w:color="59BDB8" w:themeColor="accent3"/>
          <w:insideV w:val="single" w:sz="8" w:space="0" w:color="59BDB8" w:themeColor="accent3"/>
        </w:tcBorders>
        <w:shd w:val="clear" w:color="auto" w:fill="D5EEED" w:themeFill="accent3" w:themeFillTint="3F"/>
      </w:tcPr>
    </w:tblStylePr>
    <w:tblStylePr w:type="band2Horz">
      <w:tblPr/>
      <w:tcPr>
        <w:tcBorders>
          <w:top w:val="single" w:sz="8" w:space="0" w:color="59BDB8" w:themeColor="accent3"/>
          <w:left w:val="single" w:sz="8" w:space="0" w:color="59BDB8" w:themeColor="accent3"/>
          <w:bottom w:val="single" w:sz="8" w:space="0" w:color="59BDB8" w:themeColor="accent3"/>
          <w:right w:val="single" w:sz="8" w:space="0" w:color="59BDB8" w:themeColor="accent3"/>
          <w:insideV w:val="single" w:sz="8" w:space="0" w:color="59BDB8" w:themeColor="accent3"/>
        </w:tcBorders>
      </w:tcPr>
    </w:tblStylePr>
  </w:style>
  <w:style w:type="table" w:styleId="LightGrid-Accent4">
    <w:name w:val="Light Grid Accent 4"/>
    <w:basedOn w:val="TableNormal"/>
    <w:uiPriority w:val="62"/>
    <w:semiHidden/>
    <w:unhideWhenUsed/>
    <w:pPr>
      <w:spacing w:before="0" w:after="0"/>
    </w:pPr>
    <w:tblPr>
      <w:tblStyleRowBandSize w:val="1"/>
      <w:tblStyleColBandSize w:val="1"/>
      <w:tblBorders>
        <w:top w:val="single" w:sz="8" w:space="0" w:color="FDB933" w:themeColor="accent4"/>
        <w:left w:val="single" w:sz="8" w:space="0" w:color="FDB933" w:themeColor="accent4"/>
        <w:bottom w:val="single" w:sz="8" w:space="0" w:color="FDB933" w:themeColor="accent4"/>
        <w:right w:val="single" w:sz="8" w:space="0" w:color="FDB933" w:themeColor="accent4"/>
        <w:insideH w:val="single" w:sz="8" w:space="0" w:color="FDB933" w:themeColor="accent4"/>
        <w:insideV w:val="single" w:sz="8" w:space="0" w:color="FDB93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B933" w:themeColor="accent4"/>
          <w:left w:val="single" w:sz="8" w:space="0" w:color="FDB933" w:themeColor="accent4"/>
          <w:bottom w:val="single" w:sz="18" w:space="0" w:color="FDB933" w:themeColor="accent4"/>
          <w:right w:val="single" w:sz="8" w:space="0" w:color="FDB933" w:themeColor="accent4"/>
          <w:insideH w:val="nil"/>
          <w:insideV w:val="single" w:sz="8" w:space="0" w:color="FDB93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B933" w:themeColor="accent4"/>
          <w:left w:val="single" w:sz="8" w:space="0" w:color="FDB933" w:themeColor="accent4"/>
          <w:bottom w:val="single" w:sz="8" w:space="0" w:color="FDB933" w:themeColor="accent4"/>
          <w:right w:val="single" w:sz="8" w:space="0" w:color="FDB933" w:themeColor="accent4"/>
          <w:insideH w:val="nil"/>
          <w:insideV w:val="single" w:sz="8" w:space="0" w:color="FDB93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B933" w:themeColor="accent4"/>
          <w:left w:val="single" w:sz="8" w:space="0" w:color="FDB933" w:themeColor="accent4"/>
          <w:bottom w:val="single" w:sz="8" w:space="0" w:color="FDB933" w:themeColor="accent4"/>
          <w:right w:val="single" w:sz="8" w:space="0" w:color="FDB933" w:themeColor="accent4"/>
        </w:tcBorders>
      </w:tcPr>
    </w:tblStylePr>
    <w:tblStylePr w:type="band1Vert">
      <w:tblPr/>
      <w:tcPr>
        <w:tcBorders>
          <w:top w:val="single" w:sz="8" w:space="0" w:color="FDB933" w:themeColor="accent4"/>
          <w:left w:val="single" w:sz="8" w:space="0" w:color="FDB933" w:themeColor="accent4"/>
          <w:bottom w:val="single" w:sz="8" w:space="0" w:color="FDB933" w:themeColor="accent4"/>
          <w:right w:val="single" w:sz="8" w:space="0" w:color="FDB933" w:themeColor="accent4"/>
        </w:tcBorders>
        <w:shd w:val="clear" w:color="auto" w:fill="FEEDCC" w:themeFill="accent4" w:themeFillTint="3F"/>
      </w:tcPr>
    </w:tblStylePr>
    <w:tblStylePr w:type="band1Horz">
      <w:tblPr/>
      <w:tcPr>
        <w:tcBorders>
          <w:top w:val="single" w:sz="8" w:space="0" w:color="FDB933" w:themeColor="accent4"/>
          <w:left w:val="single" w:sz="8" w:space="0" w:color="FDB933" w:themeColor="accent4"/>
          <w:bottom w:val="single" w:sz="8" w:space="0" w:color="FDB933" w:themeColor="accent4"/>
          <w:right w:val="single" w:sz="8" w:space="0" w:color="FDB933" w:themeColor="accent4"/>
          <w:insideV w:val="single" w:sz="8" w:space="0" w:color="FDB933" w:themeColor="accent4"/>
        </w:tcBorders>
        <w:shd w:val="clear" w:color="auto" w:fill="FEEDCC" w:themeFill="accent4" w:themeFillTint="3F"/>
      </w:tcPr>
    </w:tblStylePr>
    <w:tblStylePr w:type="band2Horz">
      <w:tblPr/>
      <w:tcPr>
        <w:tcBorders>
          <w:top w:val="single" w:sz="8" w:space="0" w:color="FDB933" w:themeColor="accent4"/>
          <w:left w:val="single" w:sz="8" w:space="0" w:color="FDB933" w:themeColor="accent4"/>
          <w:bottom w:val="single" w:sz="8" w:space="0" w:color="FDB933" w:themeColor="accent4"/>
          <w:right w:val="single" w:sz="8" w:space="0" w:color="FDB933" w:themeColor="accent4"/>
          <w:insideV w:val="single" w:sz="8" w:space="0" w:color="FDB933" w:themeColor="accent4"/>
        </w:tcBorders>
      </w:tcPr>
    </w:tblStylePr>
  </w:style>
  <w:style w:type="table" w:styleId="LightGrid-Accent5">
    <w:name w:val="Light Grid Accent 5"/>
    <w:basedOn w:val="TableNormal"/>
    <w:uiPriority w:val="62"/>
    <w:semiHidden/>
    <w:unhideWhenUsed/>
    <w:pPr>
      <w:spacing w:before="0" w:after="0"/>
    </w:pPr>
    <w:tblPr>
      <w:tblStyleRowBandSize w:val="1"/>
      <w:tblStyleColBandSize w:val="1"/>
      <w:tblBorders>
        <w:top w:val="single" w:sz="8" w:space="0" w:color="6CAD6C" w:themeColor="accent5"/>
        <w:left w:val="single" w:sz="8" w:space="0" w:color="6CAD6C" w:themeColor="accent5"/>
        <w:bottom w:val="single" w:sz="8" w:space="0" w:color="6CAD6C" w:themeColor="accent5"/>
        <w:right w:val="single" w:sz="8" w:space="0" w:color="6CAD6C" w:themeColor="accent5"/>
        <w:insideH w:val="single" w:sz="8" w:space="0" w:color="6CAD6C" w:themeColor="accent5"/>
        <w:insideV w:val="single" w:sz="8" w:space="0" w:color="6CAD6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AD6C" w:themeColor="accent5"/>
          <w:left w:val="single" w:sz="8" w:space="0" w:color="6CAD6C" w:themeColor="accent5"/>
          <w:bottom w:val="single" w:sz="18" w:space="0" w:color="6CAD6C" w:themeColor="accent5"/>
          <w:right w:val="single" w:sz="8" w:space="0" w:color="6CAD6C" w:themeColor="accent5"/>
          <w:insideH w:val="nil"/>
          <w:insideV w:val="single" w:sz="8" w:space="0" w:color="6CAD6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AD6C" w:themeColor="accent5"/>
          <w:left w:val="single" w:sz="8" w:space="0" w:color="6CAD6C" w:themeColor="accent5"/>
          <w:bottom w:val="single" w:sz="8" w:space="0" w:color="6CAD6C" w:themeColor="accent5"/>
          <w:right w:val="single" w:sz="8" w:space="0" w:color="6CAD6C" w:themeColor="accent5"/>
          <w:insideH w:val="nil"/>
          <w:insideV w:val="single" w:sz="8" w:space="0" w:color="6CAD6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AD6C" w:themeColor="accent5"/>
          <w:left w:val="single" w:sz="8" w:space="0" w:color="6CAD6C" w:themeColor="accent5"/>
          <w:bottom w:val="single" w:sz="8" w:space="0" w:color="6CAD6C" w:themeColor="accent5"/>
          <w:right w:val="single" w:sz="8" w:space="0" w:color="6CAD6C" w:themeColor="accent5"/>
        </w:tcBorders>
      </w:tcPr>
    </w:tblStylePr>
    <w:tblStylePr w:type="band1Vert">
      <w:tblPr/>
      <w:tcPr>
        <w:tcBorders>
          <w:top w:val="single" w:sz="8" w:space="0" w:color="6CAD6C" w:themeColor="accent5"/>
          <w:left w:val="single" w:sz="8" w:space="0" w:color="6CAD6C" w:themeColor="accent5"/>
          <w:bottom w:val="single" w:sz="8" w:space="0" w:color="6CAD6C" w:themeColor="accent5"/>
          <w:right w:val="single" w:sz="8" w:space="0" w:color="6CAD6C" w:themeColor="accent5"/>
        </w:tcBorders>
        <w:shd w:val="clear" w:color="auto" w:fill="DAEADA" w:themeFill="accent5" w:themeFillTint="3F"/>
      </w:tcPr>
    </w:tblStylePr>
    <w:tblStylePr w:type="band1Horz">
      <w:tblPr/>
      <w:tcPr>
        <w:tcBorders>
          <w:top w:val="single" w:sz="8" w:space="0" w:color="6CAD6C" w:themeColor="accent5"/>
          <w:left w:val="single" w:sz="8" w:space="0" w:color="6CAD6C" w:themeColor="accent5"/>
          <w:bottom w:val="single" w:sz="8" w:space="0" w:color="6CAD6C" w:themeColor="accent5"/>
          <w:right w:val="single" w:sz="8" w:space="0" w:color="6CAD6C" w:themeColor="accent5"/>
          <w:insideV w:val="single" w:sz="8" w:space="0" w:color="6CAD6C" w:themeColor="accent5"/>
        </w:tcBorders>
        <w:shd w:val="clear" w:color="auto" w:fill="DAEADA" w:themeFill="accent5" w:themeFillTint="3F"/>
      </w:tcPr>
    </w:tblStylePr>
    <w:tblStylePr w:type="band2Horz">
      <w:tblPr/>
      <w:tcPr>
        <w:tcBorders>
          <w:top w:val="single" w:sz="8" w:space="0" w:color="6CAD6C" w:themeColor="accent5"/>
          <w:left w:val="single" w:sz="8" w:space="0" w:color="6CAD6C" w:themeColor="accent5"/>
          <w:bottom w:val="single" w:sz="8" w:space="0" w:color="6CAD6C" w:themeColor="accent5"/>
          <w:right w:val="single" w:sz="8" w:space="0" w:color="6CAD6C" w:themeColor="accent5"/>
          <w:insideV w:val="single" w:sz="8" w:space="0" w:color="6CAD6C" w:themeColor="accent5"/>
        </w:tcBorders>
      </w:tcPr>
    </w:tblStylePr>
  </w:style>
  <w:style w:type="table" w:styleId="LightGrid-Accent6">
    <w:name w:val="Light Grid Accent 6"/>
    <w:basedOn w:val="TableNormal"/>
    <w:uiPriority w:val="62"/>
    <w:semiHidden/>
    <w:unhideWhenUsed/>
    <w:pPr>
      <w:spacing w:before="0" w:after="0"/>
    </w:pPr>
    <w:tblPr>
      <w:tblStyleRowBandSize w:val="1"/>
      <w:tblStyleColBandSize w:val="1"/>
      <w:tblBorders>
        <w:top w:val="single" w:sz="8" w:space="0" w:color="BD2644" w:themeColor="accent6"/>
        <w:left w:val="single" w:sz="8" w:space="0" w:color="BD2644" w:themeColor="accent6"/>
        <w:bottom w:val="single" w:sz="8" w:space="0" w:color="BD2644" w:themeColor="accent6"/>
        <w:right w:val="single" w:sz="8" w:space="0" w:color="BD2644" w:themeColor="accent6"/>
        <w:insideH w:val="single" w:sz="8" w:space="0" w:color="BD2644" w:themeColor="accent6"/>
        <w:insideV w:val="single" w:sz="8" w:space="0" w:color="BD26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2644" w:themeColor="accent6"/>
          <w:left w:val="single" w:sz="8" w:space="0" w:color="BD2644" w:themeColor="accent6"/>
          <w:bottom w:val="single" w:sz="18" w:space="0" w:color="BD2644" w:themeColor="accent6"/>
          <w:right w:val="single" w:sz="8" w:space="0" w:color="BD2644" w:themeColor="accent6"/>
          <w:insideH w:val="nil"/>
          <w:insideV w:val="single" w:sz="8" w:space="0" w:color="BD26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2644" w:themeColor="accent6"/>
          <w:left w:val="single" w:sz="8" w:space="0" w:color="BD2644" w:themeColor="accent6"/>
          <w:bottom w:val="single" w:sz="8" w:space="0" w:color="BD2644" w:themeColor="accent6"/>
          <w:right w:val="single" w:sz="8" w:space="0" w:color="BD2644" w:themeColor="accent6"/>
          <w:insideH w:val="nil"/>
          <w:insideV w:val="single" w:sz="8" w:space="0" w:color="BD26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2644" w:themeColor="accent6"/>
          <w:left w:val="single" w:sz="8" w:space="0" w:color="BD2644" w:themeColor="accent6"/>
          <w:bottom w:val="single" w:sz="8" w:space="0" w:color="BD2644" w:themeColor="accent6"/>
          <w:right w:val="single" w:sz="8" w:space="0" w:color="BD2644" w:themeColor="accent6"/>
        </w:tcBorders>
      </w:tcPr>
    </w:tblStylePr>
    <w:tblStylePr w:type="band1Vert">
      <w:tblPr/>
      <w:tcPr>
        <w:tcBorders>
          <w:top w:val="single" w:sz="8" w:space="0" w:color="BD2644" w:themeColor="accent6"/>
          <w:left w:val="single" w:sz="8" w:space="0" w:color="BD2644" w:themeColor="accent6"/>
          <w:bottom w:val="single" w:sz="8" w:space="0" w:color="BD2644" w:themeColor="accent6"/>
          <w:right w:val="single" w:sz="8" w:space="0" w:color="BD2644" w:themeColor="accent6"/>
        </w:tcBorders>
        <w:shd w:val="clear" w:color="auto" w:fill="F3C4CD" w:themeFill="accent6" w:themeFillTint="3F"/>
      </w:tcPr>
    </w:tblStylePr>
    <w:tblStylePr w:type="band1Horz">
      <w:tblPr/>
      <w:tcPr>
        <w:tcBorders>
          <w:top w:val="single" w:sz="8" w:space="0" w:color="BD2644" w:themeColor="accent6"/>
          <w:left w:val="single" w:sz="8" w:space="0" w:color="BD2644" w:themeColor="accent6"/>
          <w:bottom w:val="single" w:sz="8" w:space="0" w:color="BD2644" w:themeColor="accent6"/>
          <w:right w:val="single" w:sz="8" w:space="0" w:color="BD2644" w:themeColor="accent6"/>
          <w:insideV w:val="single" w:sz="8" w:space="0" w:color="BD2644" w:themeColor="accent6"/>
        </w:tcBorders>
        <w:shd w:val="clear" w:color="auto" w:fill="F3C4CD" w:themeFill="accent6" w:themeFillTint="3F"/>
      </w:tcPr>
    </w:tblStylePr>
    <w:tblStylePr w:type="band2Horz">
      <w:tblPr/>
      <w:tcPr>
        <w:tcBorders>
          <w:top w:val="single" w:sz="8" w:space="0" w:color="BD2644" w:themeColor="accent6"/>
          <w:left w:val="single" w:sz="8" w:space="0" w:color="BD2644" w:themeColor="accent6"/>
          <w:bottom w:val="single" w:sz="8" w:space="0" w:color="BD2644" w:themeColor="accent6"/>
          <w:right w:val="single" w:sz="8" w:space="0" w:color="BD2644" w:themeColor="accent6"/>
          <w:insideV w:val="single" w:sz="8" w:space="0" w:color="BD2644" w:themeColor="accent6"/>
        </w:tcBorders>
      </w:tcPr>
    </w:tblStylePr>
  </w:style>
  <w:style w:type="table" w:styleId="LightList">
    <w:name w:val="Light List"/>
    <w:basedOn w:val="TableNormal"/>
    <w:uiPriority w:val="61"/>
    <w:semiHidden/>
    <w:unhideWhenUsed/>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after="0"/>
    </w:pPr>
    <w:tblPr>
      <w:tblStyleRowBandSize w:val="1"/>
      <w:tblStyleColBandSize w:val="1"/>
      <w:tblBorders>
        <w:top w:val="single" w:sz="8" w:space="0" w:color="02847D" w:themeColor="accent1"/>
        <w:left w:val="single" w:sz="8" w:space="0" w:color="02847D" w:themeColor="accent1"/>
        <w:bottom w:val="single" w:sz="8" w:space="0" w:color="02847D" w:themeColor="accent1"/>
        <w:right w:val="single" w:sz="8" w:space="0" w:color="02847D" w:themeColor="accent1"/>
      </w:tblBorders>
    </w:tblPr>
    <w:tblStylePr w:type="firstRow">
      <w:pPr>
        <w:spacing w:before="0" w:after="0" w:line="240" w:lineRule="auto"/>
      </w:pPr>
      <w:rPr>
        <w:b/>
        <w:bCs/>
        <w:color w:val="FFFFFF" w:themeColor="background1"/>
      </w:rPr>
      <w:tblPr/>
      <w:tcPr>
        <w:shd w:val="clear" w:color="auto" w:fill="02847D" w:themeFill="accent1"/>
      </w:tcPr>
    </w:tblStylePr>
    <w:tblStylePr w:type="lastRow">
      <w:pPr>
        <w:spacing w:before="0" w:after="0" w:line="240" w:lineRule="auto"/>
      </w:pPr>
      <w:rPr>
        <w:b/>
        <w:bCs/>
      </w:rPr>
      <w:tblPr/>
      <w:tcPr>
        <w:tcBorders>
          <w:top w:val="double" w:sz="6" w:space="0" w:color="02847D" w:themeColor="accent1"/>
          <w:left w:val="single" w:sz="8" w:space="0" w:color="02847D" w:themeColor="accent1"/>
          <w:bottom w:val="single" w:sz="8" w:space="0" w:color="02847D" w:themeColor="accent1"/>
          <w:right w:val="single" w:sz="8" w:space="0" w:color="02847D" w:themeColor="accent1"/>
        </w:tcBorders>
      </w:tcPr>
    </w:tblStylePr>
    <w:tblStylePr w:type="firstCol">
      <w:rPr>
        <w:b/>
        <w:bCs/>
      </w:rPr>
    </w:tblStylePr>
    <w:tblStylePr w:type="lastCol">
      <w:rPr>
        <w:b/>
        <w:bCs/>
      </w:rPr>
    </w:tblStylePr>
    <w:tblStylePr w:type="band1Vert">
      <w:tblPr/>
      <w:tcPr>
        <w:tcBorders>
          <w:top w:val="single" w:sz="8" w:space="0" w:color="02847D" w:themeColor="accent1"/>
          <w:left w:val="single" w:sz="8" w:space="0" w:color="02847D" w:themeColor="accent1"/>
          <w:bottom w:val="single" w:sz="8" w:space="0" w:color="02847D" w:themeColor="accent1"/>
          <w:right w:val="single" w:sz="8" w:space="0" w:color="02847D" w:themeColor="accent1"/>
        </w:tcBorders>
      </w:tcPr>
    </w:tblStylePr>
    <w:tblStylePr w:type="band1Horz">
      <w:tblPr/>
      <w:tcPr>
        <w:tcBorders>
          <w:top w:val="single" w:sz="8" w:space="0" w:color="02847D" w:themeColor="accent1"/>
          <w:left w:val="single" w:sz="8" w:space="0" w:color="02847D" w:themeColor="accent1"/>
          <w:bottom w:val="single" w:sz="8" w:space="0" w:color="02847D" w:themeColor="accent1"/>
          <w:right w:val="single" w:sz="8" w:space="0" w:color="02847D" w:themeColor="accent1"/>
        </w:tcBorders>
      </w:tcPr>
    </w:tblStylePr>
  </w:style>
  <w:style w:type="table" w:styleId="LightList-Accent2">
    <w:name w:val="Light List Accent 2"/>
    <w:basedOn w:val="TableNormal"/>
    <w:uiPriority w:val="61"/>
    <w:semiHidden/>
    <w:unhideWhenUsed/>
    <w:pPr>
      <w:spacing w:before="0" w:after="0"/>
    </w:pPr>
    <w:tblPr>
      <w:tblStyleRowBandSize w:val="1"/>
      <w:tblStyleColBandSize w:val="1"/>
      <w:tblBorders>
        <w:top w:val="single" w:sz="8" w:space="0" w:color="F36E44" w:themeColor="accent2"/>
        <w:left w:val="single" w:sz="8" w:space="0" w:color="F36E44" w:themeColor="accent2"/>
        <w:bottom w:val="single" w:sz="8" w:space="0" w:color="F36E44" w:themeColor="accent2"/>
        <w:right w:val="single" w:sz="8" w:space="0" w:color="F36E44" w:themeColor="accent2"/>
      </w:tblBorders>
    </w:tblPr>
    <w:tblStylePr w:type="firstRow">
      <w:pPr>
        <w:spacing w:before="0" w:after="0" w:line="240" w:lineRule="auto"/>
      </w:pPr>
      <w:rPr>
        <w:b/>
        <w:bCs/>
        <w:color w:val="FFFFFF" w:themeColor="background1"/>
      </w:rPr>
      <w:tblPr/>
      <w:tcPr>
        <w:shd w:val="clear" w:color="auto" w:fill="F36E44" w:themeFill="accent2"/>
      </w:tcPr>
    </w:tblStylePr>
    <w:tblStylePr w:type="lastRow">
      <w:pPr>
        <w:spacing w:before="0" w:after="0" w:line="240" w:lineRule="auto"/>
      </w:pPr>
      <w:rPr>
        <w:b/>
        <w:bCs/>
      </w:rPr>
      <w:tblPr/>
      <w:tcPr>
        <w:tcBorders>
          <w:top w:val="double" w:sz="6" w:space="0" w:color="F36E44" w:themeColor="accent2"/>
          <w:left w:val="single" w:sz="8" w:space="0" w:color="F36E44" w:themeColor="accent2"/>
          <w:bottom w:val="single" w:sz="8" w:space="0" w:color="F36E44" w:themeColor="accent2"/>
          <w:right w:val="single" w:sz="8" w:space="0" w:color="F36E44" w:themeColor="accent2"/>
        </w:tcBorders>
      </w:tcPr>
    </w:tblStylePr>
    <w:tblStylePr w:type="firstCol">
      <w:rPr>
        <w:b/>
        <w:bCs/>
      </w:rPr>
    </w:tblStylePr>
    <w:tblStylePr w:type="lastCol">
      <w:rPr>
        <w:b/>
        <w:bCs/>
      </w:rPr>
    </w:tblStylePr>
    <w:tblStylePr w:type="band1Vert">
      <w:tblPr/>
      <w:tcPr>
        <w:tcBorders>
          <w:top w:val="single" w:sz="8" w:space="0" w:color="F36E44" w:themeColor="accent2"/>
          <w:left w:val="single" w:sz="8" w:space="0" w:color="F36E44" w:themeColor="accent2"/>
          <w:bottom w:val="single" w:sz="8" w:space="0" w:color="F36E44" w:themeColor="accent2"/>
          <w:right w:val="single" w:sz="8" w:space="0" w:color="F36E44" w:themeColor="accent2"/>
        </w:tcBorders>
      </w:tcPr>
    </w:tblStylePr>
    <w:tblStylePr w:type="band1Horz">
      <w:tblPr/>
      <w:tcPr>
        <w:tcBorders>
          <w:top w:val="single" w:sz="8" w:space="0" w:color="F36E44" w:themeColor="accent2"/>
          <w:left w:val="single" w:sz="8" w:space="0" w:color="F36E44" w:themeColor="accent2"/>
          <w:bottom w:val="single" w:sz="8" w:space="0" w:color="F36E44" w:themeColor="accent2"/>
          <w:right w:val="single" w:sz="8" w:space="0" w:color="F36E44" w:themeColor="accent2"/>
        </w:tcBorders>
      </w:tcPr>
    </w:tblStylePr>
  </w:style>
  <w:style w:type="table" w:styleId="LightList-Accent3">
    <w:name w:val="Light List Accent 3"/>
    <w:basedOn w:val="TableNormal"/>
    <w:uiPriority w:val="61"/>
    <w:semiHidden/>
    <w:unhideWhenUsed/>
    <w:pPr>
      <w:spacing w:before="0" w:after="0"/>
    </w:pPr>
    <w:tblPr>
      <w:tblStyleRowBandSize w:val="1"/>
      <w:tblStyleColBandSize w:val="1"/>
      <w:tblBorders>
        <w:top w:val="single" w:sz="8" w:space="0" w:color="59BDB8" w:themeColor="accent3"/>
        <w:left w:val="single" w:sz="8" w:space="0" w:color="59BDB8" w:themeColor="accent3"/>
        <w:bottom w:val="single" w:sz="8" w:space="0" w:color="59BDB8" w:themeColor="accent3"/>
        <w:right w:val="single" w:sz="8" w:space="0" w:color="59BDB8" w:themeColor="accent3"/>
      </w:tblBorders>
    </w:tblPr>
    <w:tblStylePr w:type="firstRow">
      <w:pPr>
        <w:spacing w:before="0" w:after="0" w:line="240" w:lineRule="auto"/>
      </w:pPr>
      <w:rPr>
        <w:b/>
        <w:bCs/>
        <w:color w:val="FFFFFF" w:themeColor="background1"/>
      </w:rPr>
      <w:tblPr/>
      <w:tcPr>
        <w:shd w:val="clear" w:color="auto" w:fill="59BDB8" w:themeFill="accent3"/>
      </w:tcPr>
    </w:tblStylePr>
    <w:tblStylePr w:type="lastRow">
      <w:pPr>
        <w:spacing w:before="0" w:after="0" w:line="240" w:lineRule="auto"/>
      </w:pPr>
      <w:rPr>
        <w:b/>
        <w:bCs/>
      </w:rPr>
      <w:tblPr/>
      <w:tcPr>
        <w:tcBorders>
          <w:top w:val="double" w:sz="6" w:space="0" w:color="59BDB8" w:themeColor="accent3"/>
          <w:left w:val="single" w:sz="8" w:space="0" w:color="59BDB8" w:themeColor="accent3"/>
          <w:bottom w:val="single" w:sz="8" w:space="0" w:color="59BDB8" w:themeColor="accent3"/>
          <w:right w:val="single" w:sz="8" w:space="0" w:color="59BDB8" w:themeColor="accent3"/>
        </w:tcBorders>
      </w:tcPr>
    </w:tblStylePr>
    <w:tblStylePr w:type="firstCol">
      <w:rPr>
        <w:b/>
        <w:bCs/>
      </w:rPr>
    </w:tblStylePr>
    <w:tblStylePr w:type="lastCol">
      <w:rPr>
        <w:b/>
        <w:bCs/>
      </w:rPr>
    </w:tblStylePr>
    <w:tblStylePr w:type="band1Vert">
      <w:tblPr/>
      <w:tcPr>
        <w:tcBorders>
          <w:top w:val="single" w:sz="8" w:space="0" w:color="59BDB8" w:themeColor="accent3"/>
          <w:left w:val="single" w:sz="8" w:space="0" w:color="59BDB8" w:themeColor="accent3"/>
          <w:bottom w:val="single" w:sz="8" w:space="0" w:color="59BDB8" w:themeColor="accent3"/>
          <w:right w:val="single" w:sz="8" w:space="0" w:color="59BDB8" w:themeColor="accent3"/>
        </w:tcBorders>
      </w:tcPr>
    </w:tblStylePr>
    <w:tblStylePr w:type="band1Horz">
      <w:tblPr/>
      <w:tcPr>
        <w:tcBorders>
          <w:top w:val="single" w:sz="8" w:space="0" w:color="59BDB8" w:themeColor="accent3"/>
          <w:left w:val="single" w:sz="8" w:space="0" w:color="59BDB8" w:themeColor="accent3"/>
          <w:bottom w:val="single" w:sz="8" w:space="0" w:color="59BDB8" w:themeColor="accent3"/>
          <w:right w:val="single" w:sz="8" w:space="0" w:color="59BDB8" w:themeColor="accent3"/>
        </w:tcBorders>
      </w:tcPr>
    </w:tblStylePr>
  </w:style>
  <w:style w:type="table" w:styleId="LightList-Accent4">
    <w:name w:val="Light List Accent 4"/>
    <w:basedOn w:val="TableNormal"/>
    <w:uiPriority w:val="61"/>
    <w:semiHidden/>
    <w:unhideWhenUsed/>
    <w:pPr>
      <w:spacing w:before="0" w:after="0"/>
    </w:pPr>
    <w:tblPr>
      <w:tblStyleRowBandSize w:val="1"/>
      <w:tblStyleColBandSize w:val="1"/>
      <w:tblBorders>
        <w:top w:val="single" w:sz="8" w:space="0" w:color="FDB933" w:themeColor="accent4"/>
        <w:left w:val="single" w:sz="8" w:space="0" w:color="FDB933" w:themeColor="accent4"/>
        <w:bottom w:val="single" w:sz="8" w:space="0" w:color="FDB933" w:themeColor="accent4"/>
        <w:right w:val="single" w:sz="8" w:space="0" w:color="FDB933" w:themeColor="accent4"/>
      </w:tblBorders>
    </w:tblPr>
    <w:tblStylePr w:type="firstRow">
      <w:pPr>
        <w:spacing w:before="0" w:after="0" w:line="240" w:lineRule="auto"/>
      </w:pPr>
      <w:rPr>
        <w:b/>
        <w:bCs/>
        <w:color w:val="FFFFFF" w:themeColor="background1"/>
      </w:rPr>
      <w:tblPr/>
      <w:tcPr>
        <w:shd w:val="clear" w:color="auto" w:fill="FDB933" w:themeFill="accent4"/>
      </w:tcPr>
    </w:tblStylePr>
    <w:tblStylePr w:type="lastRow">
      <w:pPr>
        <w:spacing w:before="0" w:after="0" w:line="240" w:lineRule="auto"/>
      </w:pPr>
      <w:rPr>
        <w:b/>
        <w:bCs/>
      </w:rPr>
      <w:tblPr/>
      <w:tcPr>
        <w:tcBorders>
          <w:top w:val="double" w:sz="6" w:space="0" w:color="FDB933" w:themeColor="accent4"/>
          <w:left w:val="single" w:sz="8" w:space="0" w:color="FDB933" w:themeColor="accent4"/>
          <w:bottom w:val="single" w:sz="8" w:space="0" w:color="FDB933" w:themeColor="accent4"/>
          <w:right w:val="single" w:sz="8" w:space="0" w:color="FDB933" w:themeColor="accent4"/>
        </w:tcBorders>
      </w:tcPr>
    </w:tblStylePr>
    <w:tblStylePr w:type="firstCol">
      <w:rPr>
        <w:b/>
        <w:bCs/>
      </w:rPr>
    </w:tblStylePr>
    <w:tblStylePr w:type="lastCol">
      <w:rPr>
        <w:b/>
        <w:bCs/>
      </w:rPr>
    </w:tblStylePr>
    <w:tblStylePr w:type="band1Vert">
      <w:tblPr/>
      <w:tcPr>
        <w:tcBorders>
          <w:top w:val="single" w:sz="8" w:space="0" w:color="FDB933" w:themeColor="accent4"/>
          <w:left w:val="single" w:sz="8" w:space="0" w:color="FDB933" w:themeColor="accent4"/>
          <w:bottom w:val="single" w:sz="8" w:space="0" w:color="FDB933" w:themeColor="accent4"/>
          <w:right w:val="single" w:sz="8" w:space="0" w:color="FDB933" w:themeColor="accent4"/>
        </w:tcBorders>
      </w:tcPr>
    </w:tblStylePr>
    <w:tblStylePr w:type="band1Horz">
      <w:tblPr/>
      <w:tcPr>
        <w:tcBorders>
          <w:top w:val="single" w:sz="8" w:space="0" w:color="FDB933" w:themeColor="accent4"/>
          <w:left w:val="single" w:sz="8" w:space="0" w:color="FDB933" w:themeColor="accent4"/>
          <w:bottom w:val="single" w:sz="8" w:space="0" w:color="FDB933" w:themeColor="accent4"/>
          <w:right w:val="single" w:sz="8" w:space="0" w:color="FDB933" w:themeColor="accent4"/>
        </w:tcBorders>
      </w:tcPr>
    </w:tblStylePr>
  </w:style>
  <w:style w:type="table" w:styleId="LightList-Accent5">
    <w:name w:val="Light List Accent 5"/>
    <w:basedOn w:val="TableNormal"/>
    <w:uiPriority w:val="61"/>
    <w:semiHidden/>
    <w:unhideWhenUsed/>
    <w:pPr>
      <w:spacing w:before="0" w:after="0"/>
    </w:pPr>
    <w:tblPr>
      <w:tblStyleRowBandSize w:val="1"/>
      <w:tblStyleColBandSize w:val="1"/>
      <w:tblBorders>
        <w:top w:val="single" w:sz="8" w:space="0" w:color="6CAD6C" w:themeColor="accent5"/>
        <w:left w:val="single" w:sz="8" w:space="0" w:color="6CAD6C" w:themeColor="accent5"/>
        <w:bottom w:val="single" w:sz="8" w:space="0" w:color="6CAD6C" w:themeColor="accent5"/>
        <w:right w:val="single" w:sz="8" w:space="0" w:color="6CAD6C" w:themeColor="accent5"/>
      </w:tblBorders>
    </w:tblPr>
    <w:tblStylePr w:type="firstRow">
      <w:pPr>
        <w:spacing w:before="0" w:after="0" w:line="240" w:lineRule="auto"/>
      </w:pPr>
      <w:rPr>
        <w:b/>
        <w:bCs/>
        <w:color w:val="FFFFFF" w:themeColor="background1"/>
      </w:rPr>
      <w:tblPr/>
      <w:tcPr>
        <w:shd w:val="clear" w:color="auto" w:fill="6CAD6C" w:themeFill="accent5"/>
      </w:tcPr>
    </w:tblStylePr>
    <w:tblStylePr w:type="lastRow">
      <w:pPr>
        <w:spacing w:before="0" w:after="0" w:line="240" w:lineRule="auto"/>
      </w:pPr>
      <w:rPr>
        <w:b/>
        <w:bCs/>
      </w:rPr>
      <w:tblPr/>
      <w:tcPr>
        <w:tcBorders>
          <w:top w:val="double" w:sz="6" w:space="0" w:color="6CAD6C" w:themeColor="accent5"/>
          <w:left w:val="single" w:sz="8" w:space="0" w:color="6CAD6C" w:themeColor="accent5"/>
          <w:bottom w:val="single" w:sz="8" w:space="0" w:color="6CAD6C" w:themeColor="accent5"/>
          <w:right w:val="single" w:sz="8" w:space="0" w:color="6CAD6C" w:themeColor="accent5"/>
        </w:tcBorders>
      </w:tcPr>
    </w:tblStylePr>
    <w:tblStylePr w:type="firstCol">
      <w:rPr>
        <w:b/>
        <w:bCs/>
      </w:rPr>
    </w:tblStylePr>
    <w:tblStylePr w:type="lastCol">
      <w:rPr>
        <w:b/>
        <w:bCs/>
      </w:rPr>
    </w:tblStylePr>
    <w:tblStylePr w:type="band1Vert">
      <w:tblPr/>
      <w:tcPr>
        <w:tcBorders>
          <w:top w:val="single" w:sz="8" w:space="0" w:color="6CAD6C" w:themeColor="accent5"/>
          <w:left w:val="single" w:sz="8" w:space="0" w:color="6CAD6C" w:themeColor="accent5"/>
          <w:bottom w:val="single" w:sz="8" w:space="0" w:color="6CAD6C" w:themeColor="accent5"/>
          <w:right w:val="single" w:sz="8" w:space="0" w:color="6CAD6C" w:themeColor="accent5"/>
        </w:tcBorders>
      </w:tcPr>
    </w:tblStylePr>
    <w:tblStylePr w:type="band1Horz">
      <w:tblPr/>
      <w:tcPr>
        <w:tcBorders>
          <w:top w:val="single" w:sz="8" w:space="0" w:color="6CAD6C" w:themeColor="accent5"/>
          <w:left w:val="single" w:sz="8" w:space="0" w:color="6CAD6C" w:themeColor="accent5"/>
          <w:bottom w:val="single" w:sz="8" w:space="0" w:color="6CAD6C" w:themeColor="accent5"/>
          <w:right w:val="single" w:sz="8" w:space="0" w:color="6CAD6C" w:themeColor="accent5"/>
        </w:tcBorders>
      </w:tcPr>
    </w:tblStylePr>
  </w:style>
  <w:style w:type="table" w:styleId="LightList-Accent6">
    <w:name w:val="Light List Accent 6"/>
    <w:basedOn w:val="TableNormal"/>
    <w:uiPriority w:val="61"/>
    <w:semiHidden/>
    <w:unhideWhenUsed/>
    <w:pPr>
      <w:spacing w:before="0" w:after="0"/>
    </w:pPr>
    <w:tblPr>
      <w:tblStyleRowBandSize w:val="1"/>
      <w:tblStyleColBandSize w:val="1"/>
      <w:tblBorders>
        <w:top w:val="single" w:sz="8" w:space="0" w:color="BD2644" w:themeColor="accent6"/>
        <w:left w:val="single" w:sz="8" w:space="0" w:color="BD2644" w:themeColor="accent6"/>
        <w:bottom w:val="single" w:sz="8" w:space="0" w:color="BD2644" w:themeColor="accent6"/>
        <w:right w:val="single" w:sz="8" w:space="0" w:color="BD2644" w:themeColor="accent6"/>
      </w:tblBorders>
    </w:tblPr>
    <w:tblStylePr w:type="firstRow">
      <w:pPr>
        <w:spacing w:before="0" w:after="0" w:line="240" w:lineRule="auto"/>
      </w:pPr>
      <w:rPr>
        <w:b/>
        <w:bCs/>
        <w:color w:val="FFFFFF" w:themeColor="background1"/>
      </w:rPr>
      <w:tblPr/>
      <w:tcPr>
        <w:shd w:val="clear" w:color="auto" w:fill="BD2644" w:themeFill="accent6"/>
      </w:tcPr>
    </w:tblStylePr>
    <w:tblStylePr w:type="lastRow">
      <w:pPr>
        <w:spacing w:before="0" w:after="0" w:line="240" w:lineRule="auto"/>
      </w:pPr>
      <w:rPr>
        <w:b/>
        <w:bCs/>
      </w:rPr>
      <w:tblPr/>
      <w:tcPr>
        <w:tcBorders>
          <w:top w:val="double" w:sz="6" w:space="0" w:color="BD2644" w:themeColor="accent6"/>
          <w:left w:val="single" w:sz="8" w:space="0" w:color="BD2644" w:themeColor="accent6"/>
          <w:bottom w:val="single" w:sz="8" w:space="0" w:color="BD2644" w:themeColor="accent6"/>
          <w:right w:val="single" w:sz="8" w:space="0" w:color="BD2644" w:themeColor="accent6"/>
        </w:tcBorders>
      </w:tcPr>
    </w:tblStylePr>
    <w:tblStylePr w:type="firstCol">
      <w:rPr>
        <w:b/>
        <w:bCs/>
      </w:rPr>
    </w:tblStylePr>
    <w:tblStylePr w:type="lastCol">
      <w:rPr>
        <w:b/>
        <w:bCs/>
      </w:rPr>
    </w:tblStylePr>
    <w:tblStylePr w:type="band1Vert">
      <w:tblPr/>
      <w:tcPr>
        <w:tcBorders>
          <w:top w:val="single" w:sz="8" w:space="0" w:color="BD2644" w:themeColor="accent6"/>
          <w:left w:val="single" w:sz="8" w:space="0" w:color="BD2644" w:themeColor="accent6"/>
          <w:bottom w:val="single" w:sz="8" w:space="0" w:color="BD2644" w:themeColor="accent6"/>
          <w:right w:val="single" w:sz="8" w:space="0" w:color="BD2644" w:themeColor="accent6"/>
        </w:tcBorders>
      </w:tcPr>
    </w:tblStylePr>
    <w:tblStylePr w:type="band1Horz">
      <w:tblPr/>
      <w:tcPr>
        <w:tcBorders>
          <w:top w:val="single" w:sz="8" w:space="0" w:color="BD2644" w:themeColor="accent6"/>
          <w:left w:val="single" w:sz="8" w:space="0" w:color="BD2644" w:themeColor="accent6"/>
          <w:bottom w:val="single" w:sz="8" w:space="0" w:color="BD2644" w:themeColor="accent6"/>
          <w:right w:val="single" w:sz="8" w:space="0" w:color="BD2644" w:themeColor="accent6"/>
        </w:tcBorders>
      </w:tcPr>
    </w:tblStylePr>
  </w:style>
  <w:style w:type="table" w:styleId="LightShading-Accent1">
    <w:name w:val="Light Shading Accent 1"/>
    <w:basedOn w:val="TableNormal"/>
    <w:uiPriority w:val="60"/>
    <w:semiHidden/>
    <w:unhideWhenUsed/>
    <w:pPr>
      <w:spacing w:before="0" w:after="0"/>
    </w:pPr>
    <w:rPr>
      <w:color w:val="01625D" w:themeColor="accent1" w:themeShade="BF"/>
    </w:rPr>
    <w:tblPr>
      <w:tblStyleRowBandSize w:val="1"/>
      <w:tblStyleColBandSize w:val="1"/>
      <w:tblBorders>
        <w:top w:val="single" w:sz="8" w:space="0" w:color="02847D" w:themeColor="accent1"/>
        <w:bottom w:val="single" w:sz="8" w:space="0" w:color="02847D" w:themeColor="accent1"/>
      </w:tblBorders>
    </w:tblPr>
    <w:tblStylePr w:type="firstRow">
      <w:pPr>
        <w:spacing w:before="0" w:after="0" w:line="240" w:lineRule="auto"/>
      </w:pPr>
      <w:rPr>
        <w:b/>
        <w:bCs/>
      </w:rPr>
      <w:tblPr/>
      <w:tcPr>
        <w:tcBorders>
          <w:top w:val="single" w:sz="8" w:space="0" w:color="02847D" w:themeColor="accent1"/>
          <w:left w:val="nil"/>
          <w:bottom w:val="single" w:sz="8" w:space="0" w:color="02847D" w:themeColor="accent1"/>
          <w:right w:val="nil"/>
          <w:insideH w:val="nil"/>
          <w:insideV w:val="nil"/>
        </w:tcBorders>
      </w:tcPr>
    </w:tblStylePr>
    <w:tblStylePr w:type="lastRow">
      <w:pPr>
        <w:spacing w:before="0" w:after="0" w:line="240" w:lineRule="auto"/>
      </w:pPr>
      <w:rPr>
        <w:b/>
        <w:bCs/>
      </w:rPr>
      <w:tblPr/>
      <w:tcPr>
        <w:tcBorders>
          <w:top w:val="single" w:sz="8" w:space="0" w:color="02847D" w:themeColor="accent1"/>
          <w:left w:val="nil"/>
          <w:bottom w:val="single" w:sz="8" w:space="0" w:color="02847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FDF8" w:themeFill="accent1" w:themeFillTint="3F"/>
      </w:tcPr>
    </w:tblStylePr>
    <w:tblStylePr w:type="band1Horz">
      <w:tblPr/>
      <w:tcPr>
        <w:tcBorders>
          <w:left w:val="nil"/>
          <w:right w:val="nil"/>
          <w:insideH w:val="nil"/>
          <w:insideV w:val="nil"/>
        </w:tcBorders>
        <w:shd w:val="clear" w:color="auto" w:fill="A3FDF8" w:themeFill="accent1" w:themeFillTint="3F"/>
      </w:tcPr>
    </w:tblStylePr>
  </w:style>
  <w:style w:type="table" w:styleId="LightShading-Accent2">
    <w:name w:val="Light Shading Accent 2"/>
    <w:basedOn w:val="TableNormal"/>
    <w:uiPriority w:val="60"/>
    <w:semiHidden/>
    <w:unhideWhenUsed/>
    <w:pPr>
      <w:spacing w:before="0" w:after="0"/>
    </w:pPr>
    <w:rPr>
      <w:color w:val="DA3F0E" w:themeColor="accent2" w:themeShade="BF"/>
    </w:rPr>
    <w:tblPr>
      <w:tblStyleRowBandSize w:val="1"/>
      <w:tblStyleColBandSize w:val="1"/>
      <w:tblBorders>
        <w:top w:val="single" w:sz="8" w:space="0" w:color="F36E44" w:themeColor="accent2"/>
        <w:bottom w:val="single" w:sz="8" w:space="0" w:color="F36E44" w:themeColor="accent2"/>
      </w:tblBorders>
    </w:tblPr>
    <w:tblStylePr w:type="firstRow">
      <w:pPr>
        <w:spacing w:before="0" w:after="0" w:line="240" w:lineRule="auto"/>
      </w:pPr>
      <w:rPr>
        <w:b/>
        <w:bCs/>
      </w:rPr>
      <w:tblPr/>
      <w:tcPr>
        <w:tcBorders>
          <w:top w:val="single" w:sz="8" w:space="0" w:color="F36E44" w:themeColor="accent2"/>
          <w:left w:val="nil"/>
          <w:bottom w:val="single" w:sz="8" w:space="0" w:color="F36E44" w:themeColor="accent2"/>
          <w:right w:val="nil"/>
          <w:insideH w:val="nil"/>
          <w:insideV w:val="nil"/>
        </w:tcBorders>
      </w:tcPr>
    </w:tblStylePr>
    <w:tblStylePr w:type="lastRow">
      <w:pPr>
        <w:spacing w:before="0" w:after="0" w:line="240" w:lineRule="auto"/>
      </w:pPr>
      <w:rPr>
        <w:b/>
        <w:bCs/>
      </w:rPr>
      <w:tblPr/>
      <w:tcPr>
        <w:tcBorders>
          <w:top w:val="single" w:sz="8" w:space="0" w:color="F36E44" w:themeColor="accent2"/>
          <w:left w:val="nil"/>
          <w:bottom w:val="single" w:sz="8" w:space="0" w:color="F36E4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AD0" w:themeFill="accent2" w:themeFillTint="3F"/>
      </w:tcPr>
    </w:tblStylePr>
    <w:tblStylePr w:type="band1Horz">
      <w:tblPr/>
      <w:tcPr>
        <w:tcBorders>
          <w:left w:val="nil"/>
          <w:right w:val="nil"/>
          <w:insideH w:val="nil"/>
          <w:insideV w:val="nil"/>
        </w:tcBorders>
        <w:shd w:val="clear" w:color="auto" w:fill="FCDAD0" w:themeFill="accent2" w:themeFillTint="3F"/>
      </w:tcPr>
    </w:tblStylePr>
  </w:style>
  <w:style w:type="table" w:styleId="LightShading-Accent3">
    <w:name w:val="Light Shading Accent 3"/>
    <w:basedOn w:val="TableNormal"/>
    <w:uiPriority w:val="60"/>
    <w:semiHidden/>
    <w:unhideWhenUsed/>
    <w:pPr>
      <w:spacing w:before="0" w:after="0"/>
    </w:pPr>
    <w:rPr>
      <w:color w:val="3B9490" w:themeColor="accent3" w:themeShade="BF"/>
    </w:rPr>
    <w:tblPr>
      <w:tblStyleRowBandSize w:val="1"/>
      <w:tblStyleColBandSize w:val="1"/>
      <w:tblBorders>
        <w:top w:val="single" w:sz="8" w:space="0" w:color="59BDB8" w:themeColor="accent3"/>
        <w:bottom w:val="single" w:sz="8" w:space="0" w:color="59BDB8" w:themeColor="accent3"/>
      </w:tblBorders>
    </w:tblPr>
    <w:tblStylePr w:type="firstRow">
      <w:pPr>
        <w:spacing w:before="0" w:after="0" w:line="240" w:lineRule="auto"/>
      </w:pPr>
      <w:rPr>
        <w:b/>
        <w:bCs/>
      </w:rPr>
      <w:tblPr/>
      <w:tcPr>
        <w:tcBorders>
          <w:top w:val="single" w:sz="8" w:space="0" w:color="59BDB8" w:themeColor="accent3"/>
          <w:left w:val="nil"/>
          <w:bottom w:val="single" w:sz="8" w:space="0" w:color="59BDB8" w:themeColor="accent3"/>
          <w:right w:val="nil"/>
          <w:insideH w:val="nil"/>
          <w:insideV w:val="nil"/>
        </w:tcBorders>
      </w:tcPr>
    </w:tblStylePr>
    <w:tblStylePr w:type="lastRow">
      <w:pPr>
        <w:spacing w:before="0" w:after="0" w:line="240" w:lineRule="auto"/>
      </w:pPr>
      <w:rPr>
        <w:b/>
        <w:bCs/>
      </w:rPr>
      <w:tblPr/>
      <w:tcPr>
        <w:tcBorders>
          <w:top w:val="single" w:sz="8" w:space="0" w:color="59BDB8" w:themeColor="accent3"/>
          <w:left w:val="nil"/>
          <w:bottom w:val="single" w:sz="8" w:space="0" w:color="59BDB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EED" w:themeFill="accent3" w:themeFillTint="3F"/>
      </w:tcPr>
    </w:tblStylePr>
    <w:tblStylePr w:type="band1Horz">
      <w:tblPr/>
      <w:tcPr>
        <w:tcBorders>
          <w:left w:val="nil"/>
          <w:right w:val="nil"/>
          <w:insideH w:val="nil"/>
          <w:insideV w:val="nil"/>
        </w:tcBorders>
        <w:shd w:val="clear" w:color="auto" w:fill="D5EEED" w:themeFill="accent3" w:themeFillTint="3F"/>
      </w:tcPr>
    </w:tblStylePr>
  </w:style>
  <w:style w:type="table" w:styleId="LightShading-Accent4">
    <w:name w:val="Light Shading Accent 4"/>
    <w:basedOn w:val="TableNormal"/>
    <w:uiPriority w:val="60"/>
    <w:semiHidden/>
    <w:unhideWhenUsed/>
    <w:pPr>
      <w:spacing w:before="0" w:after="0"/>
    </w:pPr>
    <w:rPr>
      <w:color w:val="E19602" w:themeColor="accent4" w:themeShade="BF"/>
    </w:rPr>
    <w:tblPr>
      <w:tblStyleRowBandSize w:val="1"/>
      <w:tblStyleColBandSize w:val="1"/>
      <w:tblBorders>
        <w:top w:val="single" w:sz="8" w:space="0" w:color="FDB933" w:themeColor="accent4"/>
        <w:bottom w:val="single" w:sz="8" w:space="0" w:color="FDB933" w:themeColor="accent4"/>
      </w:tblBorders>
    </w:tblPr>
    <w:tblStylePr w:type="firstRow">
      <w:pPr>
        <w:spacing w:before="0" w:after="0" w:line="240" w:lineRule="auto"/>
      </w:pPr>
      <w:rPr>
        <w:b/>
        <w:bCs/>
      </w:rPr>
      <w:tblPr/>
      <w:tcPr>
        <w:tcBorders>
          <w:top w:val="single" w:sz="8" w:space="0" w:color="FDB933" w:themeColor="accent4"/>
          <w:left w:val="nil"/>
          <w:bottom w:val="single" w:sz="8" w:space="0" w:color="FDB933" w:themeColor="accent4"/>
          <w:right w:val="nil"/>
          <w:insideH w:val="nil"/>
          <w:insideV w:val="nil"/>
        </w:tcBorders>
      </w:tcPr>
    </w:tblStylePr>
    <w:tblStylePr w:type="lastRow">
      <w:pPr>
        <w:spacing w:before="0" w:after="0" w:line="240" w:lineRule="auto"/>
      </w:pPr>
      <w:rPr>
        <w:b/>
        <w:bCs/>
      </w:rPr>
      <w:tblPr/>
      <w:tcPr>
        <w:tcBorders>
          <w:top w:val="single" w:sz="8" w:space="0" w:color="FDB933" w:themeColor="accent4"/>
          <w:left w:val="nil"/>
          <w:bottom w:val="single" w:sz="8" w:space="0" w:color="FDB93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C" w:themeFill="accent4" w:themeFillTint="3F"/>
      </w:tcPr>
    </w:tblStylePr>
    <w:tblStylePr w:type="band1Horz">
      <w:tblPr/>
      <w:tcPr>
        <w:tcBorders>
          <w:left w:val="nil"/>
          <w:right w:val="nil"/>
          <w:insideH w:val="nil"/>
          <w:insideV w:val="nil"/>
        </w:tcBorders>
        <w:shd w:val="clear" w:color="auto" w:fill="FEEDCC" w:themeFill="accent4" w:themeFillTint="3F"/>
      </w:tcPr>
    </w:tblStylePr>
  </w:style>
  <w:style w:type="table" w:styleId="ListTable1Light">
    <w:name w:val="List Table 1 Light"/>
    <w:basedOn w:val="TableNormal"/>
    <w:uiPriority w:val="4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pPr>
      <w:spacing w:after="0"/>
    </w:pPr>
    <w:tblPr>
      <w:tblStyleRowBandSize w:val="1"/>
      <w:tblStyleColBandSize w:val="1"/>
    </w:tblPr>
    <w:tblStylePr w:type="firstRow">
      <w:rPr>
        <w:b/>
        <w:bCs/>
      </w:rPr>
      <w:tblPr/>
      <w:tcPr>
        <w:tcBorders>
          <w:bottom w:val="single" w:sz="4" w:space="0" w:color="20FBEF" w:themeColor="accent1" w:themeTint="99"/>
        </w:tcBorders>
      </w:tcPr>
    </w:tblStylePr>
    <w:tblStylePr w:type="lastRow">
      <w:rPr>
        <w:b/>
        <w:bCs/>
      </w:rPr>
      <w:tblPr/>
      <w:tcPr>
        <w:tcBorders>
          <w:top w:val="single" w:sz="4" w:space="0" w:color="20FBEF" w:themeColor="accent1" w:themeTint="99"/>
        </w:tcBorders>
      </w:tcPr>
    </w:tblStylePr>
    <w:tblStylePr w:type="firstCol">
      <w:rPr>
        <w:b/>
        <w:bCs/>
      </w:rPr>
    </w:tblStylePr>
    <w:tblStylePr w:type="lastCol">
      <w:rPr>
        <w:b/>
        <w:bCs/>
      </w:rPr>
    </w:tblStylePr>
    <w:tblStylePr w:type="band1Vert">
      <w:tblPr/>
      <w:tcPr>
        <w:shd w:val="clear" w:color="auto" w:fill="B4FEF9" w:themeFill="accent1" w:themeFillTint="33"/>
      </w:tcPr>
    </w:tblStylePr>
    <w:tblStylePr w:type="band1Horz">
      <w:tblPr/>
      <w:tcPr>
        <w:shd w:val="clear" w:color="auto" w:fill="B4FEF9"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Pr>
    <w:tblStylePr w:type="firstRow">
      <w:rPr>
        <w:b/>
        <w:bCs/>
      </w:rPr>
      <w:tblPr/>
      <w:tcPr>
        <w:tcBorders>
          <w:bottom w:val="single" w:sz="4" w:space="0" w:color="F7A78E" w:themeColor="accent2" w:themeTint="99"/>
        </w:tcBorders>
      </w:tcPr>
    </w:tblStylePr>
    <w:tblStylePr w:type="lastRow">
      <w:rPr>
        <w:b/>
        <w:bCs/>
      </w:rPr>
      <w:tblPr/>
      <w:tcPr>
        <w:tcBorders>
          <w:top w:val="single" w:sz="4" w:space="0" w:color="F7A78E" w:themeColor="accent2" w:themeTint="99"/>
        </w:tcBorders>
      </w:tcPr>
    </w:tblStylePr>
    <w:tblStylePr w:type="firstCol">
      <w:rPr>
        <w:b/>
        <w:bCs/>
      </w:rPr>
    </w:tblStylePr>
    <w:tblStylePr w:type="lastCol">
      <w:rPr>
        <w:b/>
        <w:bCs/>
      </w:rPr>
    </w:tblStylePr>
    <w:tblStylePr w:type="band1Vert">
      <w:tblPr/>
      <w:tcPr>
        <w:shd w:val="clear" w:color="auto" w:fill="FCE1D9" w:themeFill="accent2" w:themeFillTint="33"/>
      </w:tcPr>
    </w:tblStylePr>
    <w:tblStylePr w:type="band1Horz">
      <w:tblPr/>
      <w:tcPr>
        <w:shd w:val="clear" w:color="auto" w:fill="FCE1D9" w:themeFill="accent2" w:themeFillTint="33"/>
      </w:tcPr>
    </w:tblStylePr>
  </w:style>
  <w:style w:type="table" w:styleId="ListTable1Light-Accent3">
    <w:name w:val="List Table 1 Light Accent 3"/>
    <w:basedOn w:val="TableNormal"/>
    <w:uiPriority w:val="46"/>
    <w:pPr>
      <w:spacing w:after="0"/>
    </w:pPr>
    <w:tblPr>
      <w:tblStyleRowBandSize w:val="1"/>
      <w:tblStyleColBandSize w:val="1"/>
    </w:tblPr>
    <w:tblStylePr w:type="firstRow">
      <w:rPr>
        <w:b/>
        <w:bCs/>
      </w:rPr>
      <w:tblPr/>
      <w:tcPr>
        <w:tcBorders>
          <w:bottom w:val="single" w:sz="4" w:space="0" w:color="9BD7D4" w:themeColor="accent3" w:themeTint="99"/>
        </w:tcBorders>
      </w:tcPr>
    </w:tblStylePr>
    <w:tblStylePr w:type="lastRow">
      <w:rPr>
        <w:b/>
        <w:bCs/>
      </w:rPr>
      <w:tblPr/>
      <w:tcPr>
        <w:tcBorders>
          <w:top w:val="single" w:sz="4" w:space="0" w:color="9BD7D4" w:themeColor="accent3" w:themeTint="99"/>
        </w:tcBorders>
      </w:tcPr>
    </w:tblStylePr>
    <w:tblStylePr w:type="firstCol">
      <w:rPr>
        <w:b/>
        <w:bCs/>
      </w:rPr>
    </w:tblStylePr>
    <w:tblStylePr w:type="lastCol">
      <w:rPr>
        <w:b/>
        <w:bCs/>
      </w:rPr>
    </w:tblStylePr>
    <w:tblStylePr w:type="band1Vert">
      <w:tblPr/>
      <w:tcPr>
        <w:shd w:val="clear" w:color="auto" w:fill="DDF1F0" w:themeFill="accent3" w:themeFillTint="33"/>
      </w:tcPr>
    </w:tblStylePr>
    <w:tblStylePr w:type="band1Horz">
      <w:tblPr/>
      <w:tcPr>
        <w:shd w:val="clear" w:color="auto" w:fill="DDF1F0" w:themeFill="accent3" w:themeFillTint="33"/>
      </w:tcPr>
    </w:tblStylePr>
  </w:style>
  <w:style w:type="table" w:styleId="ListTable1Light-Accent4">
    <w:name w:val="List Table 1 Light Accent 4"/>
    <w:basedOn w:val="TableNormal"/>
    <w:uiPriority w:val="46"/>
    <w:pPr>
      <w:spacing w:after="0"/>
    </w:pPr>
    <w:tblPr>
      <w:tblStyleRowBandSize w:val="1"/>
      <w:tblStyleColBandSize w:val="1"/>
    </w:tblPr>
    <w:tblStylePr w:type="firstRow">
      <w:rPr>
        <w:b/>
        <w:bCs/>
      </w:rPr>
      <w:tblPr/>
      <w:tcPr>
        <w:tcBorders>
          <w:bottom w:val="single" w:sz="4" w:space="0" w:color="FDD484" w:themeColor="accent4" w:themeTint="99"/>
        </w:tcBorders>
      </w:tcPr>
    </w:tblStylePr>
    <w:tblStylePr w:type="lastRow">
      <w:rPr>
        <w:b/>
        <w:bCs/>
      </w:rPr>
      <w:tblPr/>
      <w:tcPr>
        <w:tcBorders>
          <w:top w:val="single" w:sz="4" w:space="0" w:color="FDD484" w:themeColor="accent4" w:themeTint="99"/>
        </w:tcBorders>
      </w:tcPr>
    </w:tblStylePr>
    <w:tblStylePr w:type="firstCol">
      <w:rPr>
        <w:b/>
        <w:bCs/>
      </w:rPr>
    </w:tblStylePr>
    <w:tblStylePr w:type="lastCol">
      <w:rPr>
        <w:b/>
        <w:bCs/>
      </w:rPr>
    </w:tblStylePr>
    <w:tblStylePr w:type="band1Vert">
      <w:tblPr/>
      <w:tcPr>
        <w:shd w:val="clear" w:color="auto" w:fill="FEF0D6" w:themeFill="accent4" w:themeFillTint="33"/>
      </w:tcPr>
    </w:tblStylePr>
    <w:tblStylePr w:type="band1Horz">
      <w:tblPr/>
      <w:tcPr>
        <w:shd w:val="clear" w:color="auto" w:fill="FEF0D6" w:themeFill="accent4" w:themeFillTint="33"/>
      </w:tcPr>
    </w:tblStylePr>
  </w:style>
  <w:style w:type="table" w:styleId="ListTable1Light-Accent5">
    <w:name w:val="List Table 1 Light Accent 5"/>
    <w:basedOn w:val="TableNormal"/>
    <w:uiPriority w:val="46"/>
    <w:pPr>
      <w:spacing w:after="0"/>
    </w:pPr>
    <w:tblPr>
      <w:tblStyleRowBandSize w:val="1"/>
      <w:tblStyleColBandSize w:val="1"/>
    </w:tblPr>
    <w:tblStylePr w:type="firstRow">
      <w:rPr>
        <w:b/>
        <w:bCs/>
      </w:rPr>
      <w:tblPr/>
      <w:tcPr>
        <w:tcBorders>
          <w:bottom w:val="single" w:sz="4" w:space="0" w:color="A6CDA6" w:themeColor="accent5" w:themeTint="99"/>
        </w:tcBorders>
      </w:tcPr>
    </w:tblStylePr>
    <w:tblStylePr w:type="lastRow">
      <w:rPr>
        <w:b/>
        <w:bCs/>
      </w:rPr>
      <w:tblPr/>
      <w:tcPr>
        <w:tcBorders>
          <w:top w:val="single" w:sz="4" w:space="0" w:color="A6CDA6" w:themeColor="accent5" w:themeTint="99"/>
        </w:tcBorders>
      </w:tcPr>
    </w:tblStylePr>
    <w:tblStylePr w:type="firstCol">
      <w:rPr>
        <w:b/>
        <w:bCs/>
      </w:rPr>
    </w:tblStylePr>
    <w:tblStylePr w:type="lastCol">
      <w:rPr>
        <w:b/>
        <w:bCs/>
      </w:rPr>
    </w:tblStylePr>
    <w:tblStylePr w:type="band1Vert">
      <w:tblPr/>
      <w:tcPr>
        <w:shd w:val="clear" w:color="auto" w:fill="E1EEE1" w:themeFill="accent5" w:themeFillTint="33"/>
      </w:tcPr>
    </w:tblStylePr>
    <w:tblStylePr w:type="band1Horz">
      <w:tblPr/>
      <w:tcPr>
        <w:shd w:val="clear" w:color="auto" w:fill="E1EEE1" w:themeFill="accent5" w:themeFillTint="33"/>
      </w:tcPr>
    </w:tblStylePr>
  </w:style>
  <w:style w:type="table" w:styleId="ListTable1Light-Accent6">
    <w:name w:val="List Table 1 Light Accent 6"/>
    <w:basedOn w:val="TableNormal"/>
    <w:uiPriority w:val="46"/>
    <w:pPr>
      <w:spacing w:after="0"/>
    </w:pPr>
    <w:tblPr>
      <w:tblStyleRowBandSize w:val="1"/>
      <w:tblStyleColBandSize w:val="1"/>
    </w:tblPr>
    <w:tblStylePr w:type="firstRow">
      <w:rPr>
        <w:b/>
        <w:bCs/>
      </w:rPr>
      <w:tblPr/>
      <w:tcPr>
        <w:tcBorders>
          <w:bottom w:val="single" w:sz="4" w:space="0" w:color="E27187" w:themeColor="accent6" w:themeTint="99"/>
        </w:tcBorders>
      </w:tcPr>
    </w:tblStylePr>
    <w:tblStylePr w:type="lastRow">
      <w:rPr>
        <w:b/>
        <w:bCs/>
      </w:rPr>
      <w:tblPr/>
      <w:tcPr>
        <w:tcBorders>
          <w:top w:val="single" w:sz="4" w:space="0" w:color="E27187" w:themeColor="accent6" w:themeTint="99"/>
        </w:tcBorders>
      </w:tcPr>
    </w:tblStylePr>
    <w:tblStylePr w:type="firstCol">
      <w:rPr>
        <w:b/>
        <w:bCs/>
      </w:rPr>
    </w:tblStylePr>
    <w:tblStylePr w:type="lastCol">
      <w:rPr>
        <w:b/>
        <w:bCs/>
      </w:rPr>
    </w:tblStylePr>
    <w:tblStylePr w:type="band1Vert">
      <w:tblPr/>
      <w:tcPr>
        <w:shd w:val="clear" w:color="auto" w:fill="F5CFD7" w:themeFill="accent6" w:themeFillTint="33"/>
      </w:tcPr>
    </w:tblStylePr>
    <w:tblStylePr w:type="band1Horz">
      <w:tblPr/>
      <w:tcPr>
        <w:shd w:val="clear" w:color="auto" w:fill="F5CFD7" w:themeFill="accent6" w:themeFillTint="33"/>
      </w:tcPr>
    </w:tblStylePr>
  </w:style>
  <w:style w:type="table" w:styleId="ListTable2">
    <w:name w:val="List Table 2"/>
    <w:basedOn w:val="TableNormal"/>
    <w:uiPriority w:val="47"/>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20FBEF" w:themeColor="accent1" w:themeTint="99"/>
        <w:bottom w:val="single" w:sz="4" w:space="0" w:color="20FBEF" w:themeColor="accent1" w:themeTint="99"/>
        <w:insideH w:val="single" w:sz="4" w:space="0" w:color="20FBE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FEF9" w:themeFill="accent1" w:themeFillTint="33"/>
      </w:tcPr>
    </w:tblStylePr>
    <w:tblStylePr w:type="band1Horz">
      <w:tblPr/>
      <w:tcPr>
        <w:shd w:val="clear" w:color="auto" w:fill="B4FEF9" w:themeFill="accent1" w:themeFillTint="33"/>
      </w:tcPr>
    </w:tblStylePr>
  </w:style>
  <w:style w:type="table" w:styleId="ListTable2-Accent3">
    <w:name w:val="List Table 2 Accent 3"/>
    <w:basedOn w:val="TableNormal"/>
    <w:uiPriority w:val="47"/>
    <w:pPr>
      <w:spacing w:after="0"/>
    </w:pPr>
    <w:tblPr>
      <w:tblStyleRowBandSize w:val="1"/>
      <w:tblStyleColBandSize w:val="1"/>
      <w:tblBorders>
        <w:top w:val="single" w:sz="4" w:space="0" w:color="9BD7D4" w:themeColor="accent3" w:themeTint="99"/>
        <w:bottom w:val="single" w:sz="4" w:space="0" w:color="9BD7D4" w:themeColor="accent3" w:themeTint="99"/>
        <w:insideH w:val="single" w:sz="4" w:space="0" w:color="9BD7D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F0" w:themeFill="accent3" w:themeFillTint="33"/>
      </w:tcPr>
    </w:tblStylePr>
    <w:tblStylePr w:type="band1Horz">
      <w:tblPr/>
      <w:tcPr>
        <w:shd w:val="clear" w:color="auto" w:fill="DDF1F0" w:themeFill="accent3" w:themeFillTint="33"/>
      </w:tcPr>
    </w:tblStylePr>
  </w:style>
  <w:style w:type="table" w:styleId="ListTable2-Accent4">
    <w:name w:val="List Table 2 Accent 4"/>
    <w:basedOn w:val="TableNormal"/>
    <w:uiPriority w:val="47"/>
    <w:pPr>
      <w:spacing w:after="0"/>
    </w:pPr>
    <w:tblPr>
      <w:tblStyleRowBandSize w:val="1"/>
      <w:tblStyleColBandSize w:val="1"/>
      <w:tblBorders>
        <w:top w:val="single" w:sz="4" w:space="0" w:color="FDD484" w:themeColor="accent4" w:themeTint="99"/>
        <w:bottom w:val="single" w:sz="4" w:space="0" w:color="FDD484" w:themeColor="accent4" w:themeTint="99"/>
        <w:insideH w:val="single" w:sz="4" w:space="0" w:color="FDD48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0D6" w:themeFill="accent4" w:themeFillTint="33"/>
      </w:tcPr>
    </w:tblStylePr>
    <w:tblStylePr w:type="band1Horz">
      <w:tblPr/>
      <w:tcPr>
        <w:shd w:val="clear" w:color="auto" w:fill="FEF0D6" w:themeFill="accent4" w:themeFillTint="33"/>
      </w:tcPr>
    </w:tblStylePr>
  </w:style>
  <w:style w:type="table" w:styleId="ListTable2-Accent5">
    <w:name w:val="List Table 2 Accent 5"/>
    <w:basedOn w:val="TableNormal"/>
    <w:uiPriority w:val="47"/>
    <w:pPr>
      <w:spacing w:after="0"/>
    </w:pPr>
    <w:tblPr>
      <w:tblStyleRowBandSize w:val="1"/>
      <w:tblStyleColBandSize w:val="1"/>
      <w:tblBorders>
        <w:top w:val="single" w:sz="4" w:space="0" w:color="A6CDA6" w:themeColor="accent5" w:themeTint="99"/>
        <w:bottom w:val="single" w:sz="4" w:space="0" w:color="A6CDA6" w:themeColor="accent5" w:themeTint="99"/>
        <w:insideH w:val="single" w:sz="4" w:space="0" w:color="A6CDA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1" w:themeFill="accent5" w:themeFillTint="33"/>
      </w:tcPr>
    </w:tblStylePr>
    <w:tblStylePr w:type="band1Horz">
      <w:tblPr/>
      <w:tcPr>
        <w:shd w:val="clear" w:color="auto" w:fill="E1EEE1" w:themeFill="accent5" w:themeFillTint="33"/>
      </w:tcPr>
    </w:tblStylePr>
  </w:style>
  <w:style w:type="table" w:styleId="ListTable2-Accent6">
    <w:name w:val="List Table 2 Accent 6"/>
    <w:basedOn w:val="TableNormal"/>
    <w:uiPriority w:val="47"/>
    <w:pPr>
      <w:spacing w:after="0"/>
    </w:pPr>
    <w:tblPr>
      <w:tblStyleRowBandSize w:val="1"/>
      <w:tblStyleColBandSize w:val="1"/>
      <w:tblBorders>
        <w:top w:val="single" w:sz="4" w:space="0" w:color="E27187" w:themeColor="accent6" w:themeTint="99"/>
        <w:bottom w:val="single" w:sz="4" w:space="0" w:color="E27187" w:themeColor="accent6" w:themeTint="99"/>
        <w:insideH w:val="single" w:sz="4" w:space="0" w:color="E2718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CFD7" w:themeFill="accent6" w:themeFillTint="33"/>
      </w:tcPr>
    </w:tblStylePr>
    <w:tblStylePr w:type="band1Horz">
      <w:tblPr/>
      <w:tcPr>
        <w:shd w:val="clear" w:color="auto" w:fill="F5CFD7" w:themeFill="accent6" w:themeFillTint="33"/>
      </w:tcPr>
    </w:tblStylePr>
  </w:style>
  <w:style w:type="table" w:styleId="ListTable3">
    <w:name w:val="List Table 3"/>
    <w:basedOn w:val="TableNormal"/>
    <w:uiPriority w:val="4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pPr>
      <w:spacing w:after="0"/>
    </w:pPr>
    <w:tblPr>
      <w:tblStyleRowBandSize w:val="1"/>
      <w:tblStyleColBandSize w:val="1"/>
      <w:tblBorders>
        <w:top w:val="single" w:sz="4" w:space="0" w:color="02847D" w:themeColor="accent1"/>
        <w:left w:val="single" w:sz="4" w:space="0" w:color="02847D" w:themeColor="accent1"/>
        <w:bottom w:val="single" w:sz="4" w:space="0" w:color="02847D" w:themeColor="accent1"/>
        <w:right w:val="single" w:sz="4" w:space="0" w:color="02847D" w:themeColor="accent1"/>
      </w:tblBorders>
    </w:tblPr>
    <w:tblStylePr w:type="firstRow">
      <w:rPr>
        <w:b/>
        <w:bCs/>
        <w:color w:val="FFFFFF" w:themeColor="background1"/>
      </w:rPr>
      <w:tblPr/>
      <w:tcPr>
        <w:shd w:val="clear" w:color="auto" w:fill="02847D" w:themeFill="accent1"/>
      </w:tcPr>
    </w:tblStylePr>
    <w:tblStylePr w:type="lastRow">
      <w:rPr>
        <w:b/>
        <w:bCs/>
      </w:rPr>
      <w:tblPr/>
      <w:tcPr>
        <w:tcBorders>
          <w:top w:val="double" w:sz="4" w:space="0" w:color="02847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847D" w:themeColor="accent1"/>
          <w:right w:val="single" w:sz="4" w:space="0" w:color="02847D" w:themeColor="accent1"/>
        </w:tcBorders>
      </w:tcPr>
    </w:tblStylePr>
    <w:tblStylePr w:type="band1Horz">
      <w:tblPr/>
      <w:tcPr>
        <w:tcBorders>
          <w:top w:val="single" w:sz="4" w:space="0" w:color="02847D" w:themeColor="accent1"/>
          <w:bottom w:val="single" w:sz="4" w:space="0" w:color="02847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847D" w:themeColor="accent1"/>
          <w:left w:val="nil"/>
        </w:tcBorders>
      </w:tcPr>
    </w:tblStylePr>
    <w:tblStylePr w:type="swCell">
      <w:tblPr/>
      <w:tcPr>
        <w:tcBorders>
          <w:top w:val="double" w:sz="4" w:space="0" w:color="02847D" w:themeColor="accent1"/>
          <w:right w:val="nil"/>
        </w:tcBorders>
      </w:tcPr>
    </w:tblStylePr>
  </w:style>
  <w:style w:type="table" w:styleId="ListTable3-Accent2">
    <w:name w:val="List Table 3 Accent 2"/>
    <w:basedOn w:val="TableNormal"/>
    <w:uiPriority w:val="48"/>
    <w:pPr>
      <w:spacing w:after="0"/>
    </w:pPr>
    <w:tblPr>
      <w:tblStyleRowBandSize w:val="1"/>
      <w:tblStyleColBandSize w:val="1"/>
      <w:tblBorders>
        <w:top w:val="single" w:sz="4" w:space="0" w:color="F36E44" w:themeColor="accent2"/>
        <w:left w:val="single" w:sz="4" w:space="0" w:color="F36E44" w:themeColor="accent2"/>
        <w:bottom w:val="single" w:sz="4" w:space="0" w:color="F36E44" w:themeColor="accent2"/>
        <w:right w:val="single" w:sz="4" w:space="0" w:color="F36E44" w:themeColor="accent2"/>
      </w:tblBorders>
    </w:tblPr>
    <w:tblStylePr w:type="firstRow">
      <w:rPr>
        <w:b/>
        <w:bCs/>
        <w:color w:val="FFFFFF" w:themeColor="background1"/>
      </w:rPr>
      <w:tblPr/>
      <w:tcPr>
        <w:shd w:val="clear" w:color="auto" w:fill="F36E44" w:themeFill="accent2"/>
      </w:tcPr>
    </w:tblStylePr>
    <w:tblStylePr w:type="lastRow">
      <w:rPr>
        <w:b/>
        <w:bCs/>
      </w:rPr>
      <w:tblPr/>
      <w:tcPr>
        <w:tcBorders>
          <w:top w:val="double" w:sz="4" w:space="0" w:color="F36E4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6E44" w:themeColor="accent2"/>
          <w:right w:val="single" w:sz="4" w:space="0" w:color="F36E44" w:themeColor="accent2"/>
        </w:tcBorders>
      </w:tcPr>
    </w:tblStylePr>
    <w:tblStylePr w:type="band1Horz">
      <w:tblPr/>
      <w:tcPr>
        <w:tcBorders>
          <w:top w:val="single" w:sz="4" w:space="0" w:color="F36E44" w:themeColor="accent2"/>
          <w:bottom w:val="single" w:sz="4" w:space="0" w:color="F36E4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6E44" w:themeColor="accent2"/>
          <w:left w:val="nil"/>
        </w:tcBorders>
      </w:tcPr>
    </w:tblStylePr>
    <w:tblStylePr w:type="swCell">
      <w:tblPr/>
      <w:tcPr>
        <w:tcBorders>
          <w:top w:val="double" w:sz="4" w:space="0" w:color="F36E44" w:themeColor="accent2"/>
          <w:right w:val="nil"/>
        </w:tcBorders>
      </w:tcPr>
    </w:tblStylePr>
  </w:style>
  <w:style w:type="table" w:styleId="ListTable3-Accent3">
    <w:name w:val="List Table 3 Accent 3"/>
    <w:basedOn w:val="TableNormal"/>
    <w:uiPriority w:val="48"/>
    <w:pPr>
      <w:spacing w:after="0"/>
    </w:pPr>
    <w:tblPr>
      <w:tblStyleRowBandSize w:val="1"/>
      <w:tblStyleColBandSize w:val="1"/>
      <w:tblBorders>
        <w:top w:val="single" w:sz="4" w:space="0" w:color="59BDB8" w:themeColor="accent3"/>
        <w:left w:val="single" w:sz="4" w:space="0" w:color="59BDB8" w:themeColor="accent3"/>
        <w:bottom w:val="single" w:sz="4" w:space="0" w:color="59BDB8" w:themeColor="accent3"/>
        <w:right w:val="single" w:sz="4" w:space="0" w:color="59BDB8" w:themeColor="accent3"/>
      </w:tblBorders>
    </w:tblPr>
    <w:tblStylePr w:type="firstRow">
      <w:rPr>
        <w:b/>
        <w:bCs/>
        <w:color w:val="FFFFFF" w:themeColor="background1"/>
      </w:rPr>
      <w:tblPr/>
      <w:tcPr>
        <w:shd w:val="clear" w:color="auto" w:fill="59BDB8" w:themeFill="accent3"/>
      </w:tcPr>
    </w:tblStylePr>
    <w:tblStylePr w:type="lastRow">
      <w:rPr>
        <w:b/>
        <w:bCs/>
      </w:rPr>
      <w:tblPr/>
      <w:tcPr>
        <w:tcBorders>
          <w:top w:val="double" w:sz="4" w:space="0" w:color="59BDB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BDB8" w:themeColor="accent3"/>
          <w:right w:val="single" w:sz="4" w:space="0" w:color="59BDB8" w:themeColor="accent3"/>
        </w:tcBorders>
      </w:tcPr>
    </w:tblStylePr>
    <w:tblStylePr w:type="band1Horz">
      <w:tblPr/>
      <w:tcPr>
        <w:tcBorders>
          <w:top w:val="single" w:sz="4" w:space="0" w:color="59BDB8" w:themeColor="accent3"/>
          <w:bottom w:val="single" w:sz="4" w:space="0" w:color="59BDB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BDB8" w:themeColor="accent3"/>
          <w:left w:val="nil"/>
        </w:tcBorders>
      </w:tcPr>
    </w:tblStylePr>
    <w:tblStylePr w:type="swCell">
      <w:tblPr/>
      <w:tcPr>
        <w:tcBorders>
          <w:top w:val="double" w:sz="4" w:space="0" w:color="59BDB8" w:themeColor="accent3"/>
          <w:right w:val="nil"/>
        </w:tcBorders>
      </w:tcPr>
    </w:tblStylePr>
  </w:style>
  <w:style w:type="table" w:styleId="ListTable3-Accent4">
    <w:name w:val="List Table 3 Accent 4"/>
    <w:basedOn w:val="TableNormal"/>
    <w:uiPriority w:val="48"/>
    <w:pPr>
      <w:spacing w:after="0"/>
    </w:pPr>
    <w:tblPr>
      <w:tblStyleRowBandSize w:val="1"/>
      <w:tblStyleColBandSize w:val="1"/>
      <w:tblBorders>
        <w:top w:val="single" w:sz="4" w:space="0" w:color="FDB933" w:themeColor="accent4"/>
        <w:left w:val="single" w:sz="4" w:space="0" w:color="FDB933" w:themeColor="accent4"/>
        <w:bottom w:val="single" w:sz="4" w:space="0" w:color="FDB933" w:themeColor="accent4"/>
        <w:right w:val="single" w:sz="4" w:space="0" w:color="FDB933" w:themeColor="accent4"/>
      </w:tblBorders>
    </w:tblPr>
    <w:tblStylePr w:type="firstRow">
      <w:rPr>
        <w:b/>
        <w:bCs/>
        <w:color w:val="FFFFFF" w:themeColor="background1"/>
      </w:rPr>
      <w:tblPr/>
      <w:tcPr>
        <w:shd w:val="clear" w:color="auto" w:fill="FDB933" w:themeFill="accent4"/>
      </w:tcPr>
    </w:tblStylePr>
    <w:tblStylePr w:type="lastRow">
      <w:rPr>
        <w:b/>
        <w:bCs/>
      </w:rPr>
      <w:tblPr/>
      <w:tcPr>
        <w:tcBorders>
          <w:top w:val="double" w:sz="4" w:space="0" w:color="FDB93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B933" w:themeColor="accent4"/>
          <w:right w:val="single" w:sz="4" w:space="0" w:color="FDB933" w:themeColor="accent4"/>
        </w:tcBorders>
      </w:tcPr>
    </w:tblStylePr>
    <w:tblStylePr w:type="band1Horz">
      <w:tblPr/>
      <w:tcPr>
        <w:tcBorders>
          <w:top w:val="single" w:sz="4" w:space="0" w:color="FDB933" w:themeColor="accent4"/>
          <w:bottom w:val="single" w:sz="4" w:space="0" w:color="FDB93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B933" w:themeColor="accent4"/>
          <w:left w:val="nil"/>
        </w:tcBorders>
      </w:tcPr>
    </w:tblStylePr>
    <w:tblStylePr w:type="swCell">
      <w:tblPr/>
      <w:tcPr>
        <w:tcBorders>
          <w:top w:val="double" w:sz="4" w:space="0" w:color="FDB933" w:themeColor="accent4"/>
          <w:right w:val="nil"/>
        </w:tcBorders>
      </w:tcPr>
    </w:tblStylePr>
  </w:style>
  <w:style w:type="table" w:styleId="ListTable3-Accent5">
    <w:name w:val="List Table 3 Accent 5"/>
    <w:basedOn w:val="TableNormal"/>
    <w:uiPriority w:val="48"/>
    <w:pPr>
      <w:spacing w:after="0"/>
    </w:pPr>
    <w:tblPr>
      <w:tblStyleRowBandSize w:val="1"/>
      <w:tblStyleColBandSize w:val="1"/>
      <w:tblBorders>
        <w:top w:val="single" w:sz="4" w:space="0" w:color="6CAD6C" w:themeColor="accent5"/>
        <w:left w:val="single" w:sz="4" w:space="0" w:color="6CAD6C" w:themeColor="accent5"/>
        <w:bottom w:val="single" w:sz="4" w:space="0" w:color="6CAD6C" w:themeColor="accent5"/>
        <w:right w:val="single" w:sz="4" w:space="0" w:color="6CAD6C" w:themeColor="accent5"/>
      </w:tblBorders>
    </w:tblPr>
    <w:tblStylePr w:type="firstRow">
      <w:rPr>
        <w:b/>
        <w:bCs/>
        <w:color w:val="FFFFFF" w:themeColor="background1"/>
      </w:rPr>
      <w:tblPr/>
      <w:tcPr>
        <w:shd w:val="clear" w:color="auto" w:fill="6CAD6C" w:themeFill="accent5"/>
      </w:tcPr>
    </w:tblStylePr>
    <w:tblStylePr w:type="lastRow">
      <w:rPr>
        <w:b/>
        <w:bCs/>
      </w:rPr>
      <w:tblPr/>
      <w:tcPr>
        <w:tcBorders>
          <w:top w:val="double" w:sz="4" w:space="0" w:color="6CAD6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CAD6C" w:themeColor="accent5"/>
          <w:right w:val="single" w:sz="4" w:space="0" w:color="6CAD6C" w:themeColor="accent5"/>
        </w:tcBorders>
      </w:tcPr>
    </w:tblStylePr>
    <w:tblStylePr w:type="band1Horz">
      <w:tblPr/>
      <w:tcPr>
        <w:tcBorders>
          <w:top w:val="single" w:sz="4" w:space="0" w:color="6CAD6C" w:themeColor="accent5"/>
          <w:bottom w:val="single" w:sz="4" w:space="0" w:color="6CAD6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CAD6C" w:themeColor="accent5"/>
          <w:left w:val="nil"/>
        </w:tcBorders>
      </w:tcPr>
    </w:tblStylePr>
    <w:tblStylePr w:type="swCell">
      <w:tblPr/>
      <w:tcPr>
        <w:tcBorders>
          <w:top w:val="double" w:sz="4" w:space="0" w:color="6CAD6C" w:themeColor="accent5"/>
          <w:right w:val="nil"/>
        </w:tcBorders>
      </w:tcPr>
    </w:tblStylePr>
  </w:style>
  <w:style w:type="table" w:styleId="ListTable3-Accent6">
    <w:name w:val="List Table 3 Accent 6"/>
    <w:basedOn w:val="TableNormal"/>
    <w:uiPriority w:val="48"/>
    <w:pPr>
      <w:spacing w:after="0"/>
    </w:pPr>
    <w:tblPr>
      <w:tblStyleRowBandSize w:val="1"/>
      <w:tblStyleColBandSize w:val="1"/>
      <w:tblBorders>
        <w:top w:val="single" w:sz="4" w:space="0" w:color="BD2644" w:themeColor="accent6"/>
        <w:left w:val="single" w:sz="4" w:space="0" w:color="BD2644" w:themeColor="accent6"/>
        <w:bottom w:val="single" w:sz="4" w:space="0" w:color="BD2644" w:themeColor="accent6"/>
        <w:right w:val="single" w:sz="4" w:space="0" w:color="BD2644" w:themeColor="accent6"/>
      </w:tblBorders>
    </w:tblPr>
    <w:tblStylePr w:type="firstRow">
      <w:rPr>
        <w:b/>
        <w:bCs/>
        <w:color w:val="FFFFFF" w:themeColor="background1"/>
      </w:rPr>
      <w:tblPr/>
      <w:tcPr>
        <w:shd w:val="clear" w:color="auto" w:fill="BD2644" w:themeFill="accent6"/>
      </w:tcPr>
    </w:tblStylePr>
    <w:tblStylePr w:type="lastRow">
      <w:rPr>
        <w:b/>
        <w:bCs/>
      </w:rPr>
      <w:tblPr/>
      <w:tcPr>
        <w:tcBorders>
          <w:top w:val="double" w:sz="4" w:space="0" w:color="BD26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D2644" w:themeColor="accent6"/>
          <w:right w:val="single" w:sz="4" w:space="0" w:color="BD2644" w:themeColor="accent6"/>
        </w:tcBorders>
      </w:tcPr>
    </w:tblStylePr>
    <w:tblStylePr w:type="band1Horz">
      <w:tblPr/>
      <w:tcPr>
        <w:tcBorders>
          <w:top w:val="single" w:sz="4" w:space="0" w:color="BD2644" w:themeColor="accent6"/>
          <w:bottom w:val="single" w:sz="4" w:space="0" w:color="BD26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D2644" w:themeColor="accent6"/>
          <w:left w:val="nil"/>
        </w:tcBorders>
      </w:tcPr>
    </w:tblStylePr>
    <w:tblStylePr w:type="swCell">
      <w:tblPr/>
      <w:tcPr>
        <w:tcBorders>
          <w:top w:val="double" w:sz="4" w:space="0" w:color="BD2644" w:themeColor="accent6"/>
          <w:right w:val="nil"/>
        </w:tcBorders>
      </w:tcPr>
    </w:tblStylePr>
  </w:style>
  <w:style w:type="table" w:styleId="ListTable4">
    <w:name w:val="List Table 4"/>
    <w:basedOn w:val="TableNormal"/>
    <w:uiPriority w:val="4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pPr>
      <w:spacing w:after="0"/>
    </w:pPr>
    <w:tblPr>
      <w:tblStyleRowBandSize w:val="1"/>
      <w:tblStyleColBandSize w:val="1"/>
      <w:tblBorders>
        <w:top w:val="single" w:sz="4" w:space="0" w:color="20FBEF" w:themeColor="accent1" w:themeTint="99"/>
        <w:left w:val="single" w:sz="4" w:space="0" w:color="20FBEF" w:themeColor="accent1" w:themeTint="99"/>
        <w:bottom w:val="single" w:sz="4" w:space="0" w:color="20FBEF" w:themeColor="accent1" w:themeTint="99"/>
        <w:right w:val="single" w:sz="4" w:space="0" w:color="20FBEF" w:themeColor="accent1" w:themeTint="99"/>
        <w:insideH w:val="single" w:sz="4" w:space="0" w:color="20FBEF" w:themeColor="accent1" w:themeTint="99"/>
      </w:tblBorders>
    </w:tblPr>
    <w:tblStylePr w:type="firstRow">
      <w:rPr>
        <w:b/>
        <w:bCs/>
        <w:color w:val="FFFFFF" w:themeColor="background1"/>
      </w:rPr>
      <w:tblPr/>
      <w:tcPr>
        <w:tcBorders>
          <w:top w:val="single" w:sz="4" w:space="0" w:color="02847D" w:themeColor="accent1"/>
          <w:left w:val="single" w:sz="4" w:space="0" w:color="02847D" w:themeColor="accent1"/>
          <w:bottom w:val="single" w:sz="4" w:space="0" w:color="02847D" w:themeColor="accent1"/>
          <w:right w:val="single" w:sz="4" w:space="0" w:color="02847D" w:themeColor="accent1"/>
          <w:insideH w:val="nil"/>
        </w:tcBorders>
        <w:shd w:val="clear" w:color="auto" w:fill="02847D" w:themeFill="accent1"/>
      </w:tcPr>
    </w:tblStylePr>
    <w:tblStylePr w:type="lastRow">
      <w:rPr>
        <w:b/>
        <w:bCs/>
      </w:rPr>
      <w:tblPr/>
      <w:tcPr>
        <w:tcBorders>
          <w:top w:val="double" w:sz="4" w:space="0" w:color="20FBEF" w:themeColor="accent1" w:themeTint="99"/>
        </w:tcBorders>
      </w:tcPr>
    </w:tblStylePr>
    <w:tblStylePr w:type="firstCol">
      <w:rPr>
        <w:b/>
        <w:bCs/>
      </w:rPr>
    </w:tblStylePr>
    <w:tblStylePr w:type="lastCol">
      <w:rPr>
        <w:b/>
        <w:bCs/>
      </w:rPr>
    </w:tblStylePr>
    <w:tblStylePr w:type="band1Vert">
      <w:tblPr/>
      <w:tcPr>
        <w:shd w:val="clear" w:color="auto" w:fill="B4FEF9" w:themeFill="accent1" w:themeFillTint="33"/>
      </w:tcPr>
    </w:tblStylePr>
    <w:tblStylePr w:type="band1Horz">
      <w:tblPr/>
      <w:tcPr>
        <w:shd w:val="clear" w:color="auto" w:fill="B4FEF9" w:themeFill="accent1" w:themeFillTint="33"/>
      </w:tcPr>
    </w:tblStylePr>
  </w:style>
  <w:style w:type="table" w:styleId="ListTable4-Accent2">
    <w:name w:val="List Table 4 Accent 2"/>
    <w:basedOn w:val="TableNormal"/>
    <w:uiPriority w:val="49"/>
    <w:pPr>
      <w:spacing w:after="0"/>
    </w:pPr>
    <w:tblPr>
      <w:tblStyleRowBandSize w:val="1"/>
      <w:tblStyleColBandSize w:val="1"/>
      <w:tblBorders>
        <w:top w:val="single" w:sz="4" w:space="0" w:color="F7A78E" w:themeColor="accent2" w:themeTint="99"/>
        <w:left w:val="single" w:sz="4" w:space="0" w:color="F7A78E" w:themeColor="accent2" w:themeTint="99"/>
        <w:bottom w:val="single" w:sz="4" w:space="0" w:color="F7A78E" w:themeColor="accent2" w:themeTint="99"/>
        <w:right w:val="single" w:sz="4" w:space="0" w:color="F7A78E" w:themeColor="accent2" w:themeTint="99"/>
        <w:insideH w:val="single" w:sz="4" w:space="0" w:color="F7A78E" w:themeColor="accent2" w:themeTint="99"/>
      </w:tblBorders>
    </w:tblPr>
    <w:tblStylePr w:type="firstRow">
      <w:rPr>
        <w:b/>
        <w:bCs/>
        <w:color w:val="FFFFFF" w:themeColor="background1"/>
      </w:rPr>
      <w:tblPr/>
      <w:tcPr>
        <w:tcBorders>
          <w:top w:val="single" w:sz="4" w:space="0" w:color="F36E44" w:themeColor="accent2"/>
          <w:left w:val="single" w:sz="4" w:space="0" w:color="F36E44" w:themeColor="accent2"/>
          <w:bottom w:val="single" w:sz="4" w:space="0" w:color="F36E44" w:themeColor="accent2"/>
          <w:right w:val="single" w:sz="4" w:space="0" w:color="F36E44" w:themeColor="accent2"/>
          <w:insideH w:val="nil"/>
        </w:tcBorders>
        <w:shd w:val="clear" w:color="auto" w:fill="F36E44" w:themeFill="accent2"/>
      </w:tcPr>
    </w:tblStylePr>
    <w:tblStylePr w:type="lastRow">
      <w:rPr>
        <w:b/>
        <w:bCs/>
      </w:rPr>
      <w:tblPr/>
      <w:tcPr>
        <w:tcBorders>
          <w:top w:val="double" w:sz="4" w:space="0" w:color="F7A78E" w:themeColor="accent2" w:themeTint="99"/>
        </w:tcBorders>
      </w:tcPr>
    </w:tblStylePr>
    <w:tblStylePr w:type="firstCol">
      <w:rPr>
        <w:b/>
        <w:bCs/>
      </w:rPr>
    </w:tblStylePr>
    <w:tblStylePr w:type="lastCol">
      <w:rPr>
        <w:b/>
        <w:bCs/>
      </w:rPr>
    </w:tblStylePr>
    <w:tblStylePr w:type="band1Vert">
      <w:tblPr/>
      <w:tcPr>
        <w:shd w:val="clear" w:color="auto" w:fill="FCE1D9" w:themeFill="accent2" w:themeFillTint="33"/>
      </w:tcPr>
    </w:tblStylePr>
    <w:tblStylePr w:type="band1Horz">
      <w:tblPr/>
      <w:tcPr>
        <w:shd w:val="clear" w:color="auto" w:fill="FCE1D9" w:themeFill="accent2" w:themeFillTint="33"/>
      </w:tcPr>
    </w:tblStylePr>
  </w:style>
  <w:style w:type="table" w:styleId="ListTable4-Accent3">
    <w:name w:val="List Table 4 Accent 3"/>
    <w:basedOn w:val="TableNormal"/>
    <w:uiPriority w:val="49"/>
    <w:pPr>
      <w:spacing w:after="0"/>
    </w:pPr>
    <w:tblPr>
      <w:tblStyleRowBandSize w:val="1"/>
      <w:tblStyleColBandSize w:val="1"/>
      <w:tblBorders>
        <w:top w:val="single" w:sz="4" w:space="0" w:color="9BD7D4" w:themeColor="accent3" w:themeTint="99"/>
        <w:left w:val="single" w:sz="4" w:space="0" w:color="9BD7D4" w:themeColor="accent3" w:themeTint="99"/>
        <w:bottom w:val="single" w:sz="4" w:space="0" w:color="9BD7D4" w:themeColor="accent3" w:themeTint="99"/>
        <w:right w:val="single" w:sz="4" w:space="0" w:color="9BD7D4" w:themeColor="accent3" w:themeTint="99"/>
        <w:insideH w:val="single" w:sz="4" w:space="0" w:color="9BD7D4" w:themeColor="accent3" w:themeTint="99"/>
      </w:tblBorders>
    </w:tblPr>
    <w:tblStylePr w:type="firstRow">
      <w:rPr>
        <w:b/>
        <w:bCs/>
        <w:color w:val="FFFFFF" w:themeColor="background1"/>
      </w:rPr>
      <w:tblPr/>
      <w:tcPr>
        <w:tcBorders>
          <w:top w:val="single" w:sz="4" w:space="0" w:color="59BDB8" w:themeColor="accent3"/>
          <w:left w:val="single" w:sz="4" w:space="0" w:color="59BDB8" w:themeColor="accent3"/>
          <w:bottom w:val="single" w:sz="4" w:space="0" w:color="59BDB8" w:themeColor="accent3"/>
          <w:right w:val="single" w:sz="4" w:space="0" w:color="59BDB8" w:themeColor="accent3"/>
          <w:insideH w:val="nil"/>
        </w:tcBorders>
        <w:shd w:val="clear" w:color="auto" w:fill="59BDB8" w:themeFill="accent3"/>
      </w:tcPr>
    </w:tblStylePr>
    <w:tblStylePr w:type="lastRow">
      <w:rPr>
        <w:b/>
        <w:bCs/>
      </w:rPr>
      <w:tblPr/>
      <w:tcPr>
        <w:tcBorders>
          <w:top w:val="double" w:sz="4" w:space="0" w:color="9BD7D4" w:themeColor="accent3" w:themeTint="99"/>
        </w:tcBorders>
      </w:tcPr>
    </w:tblStylePr>
    <w:tblStylePr w:type="firstCol">
      <w:rPr>
        <w:b/>
        <w:bCs/>
      </w:rPr>
    </w:tblStylePr>
    <w:tblStylePr w:type="lastCol">
      <w:rPr>
        <w:b/>
        <w:bCs/>
      </w:rPr>
    </w:tblStylePr>
    <w:tblStylePr w:type="band1Vert">
      <w:tblPr/>
      <w:tcPr>
        <w:shd w:val="clear" w:color="auto" w:fill="DDF1F0" w:themeFill="accent3" w:themeFillTint="33"/>
      </w:tcPr>
    </w:tblStylePr>
    <w:tblStylePr w:type="band1Horz">
      <w:tblPr/>
      <w:tcPr>
        <w:shd w:val="clear" w:color="auto" w:fill="DDF1F0" w:themeFill="accent3" w:themeFillTint="33"/>
      </w:tcPr>
    </w:tblStylePr>
  </w:style>
  <w:style w:type="table" w:styleId="ListTable4-Accent4">
    <w:name w:val="List Table 4 Accent 4"/>
    <w:basedOn w:val="TableNormal"/>
    <w:uiPriority w:val="49"/>
    <w:pPr>
      <w:spacing w:after="0"/>
    </w:pPr>
    <w:tblPr>
      <w:tblStyleRowBandSize w:val="1"/>
      <w:tblStyleColBandSize w:val="1"/>
      <w:tblBorders>
        <w:top w:val="single" w:sz="4" w:space="0" w:color="FDD484" w:themeColor="accent4" w:themeTint="99"/>
        <w:left w:val="single" w:sz="4" w:space="0" w:color="FDD484" w:themeColor="accent4" w:themeTint="99"/>
        <w:bottom w:val="single" w:sz="4" w:space="0" w:color="FDD484" w:themeColor="accent4" w:themeTint="99"/>
        <w:right w:val="single" w:sz="4" w:space="0" w:color="FDD484" w:themeColor="accent4" w:themeTint="99"/>
        <w:insideH w:val="single" w:sz="4" w:space="0" w:color="FDD484" w:themeColor="accent4" w:themeTint="99"/>
      </w:tblBorders>
    </w:tblPr>
    <w:tblStylePr w:type="firstRow">
      <w:rPr>
        <w:b/>
        <w:bCs/>
        <w:color w:val="FFFFFF" w:themeColor="background1"/>
      </w:rPr>
      <w:tblPr/>
      <w:tcPr>
        <w:tcBorders>
          <w:top w:val="single" w:sz="4" w:space="0" w:color="FDB933" w:themeColor="accent4"/>
          <w:left w:val="single" w:sz="4" w:space="0" w:color="FDB933" w:themeColor="accent4"/>
          <w:bottom w:val="single" w:sz="4" w:space="0" w:color="FDB933" w:themeColor="accent4"/>
          <w:right w:val="single" w:sz="4" w:space="0" w:color="FDB933" w:themeColor="accent4"/>
          <w:insideH w:val="nil"/>
        </w:tcBorders>
        <w:shd w:val="clear" w:color="auto" w:fill="FDB933" w:themeFill="accent4"/>
      </w:tcPr>
    </w:tblStylePr>
    <w:tblStylePr w:type="lastRow">
      <w:rPr>
        <w:b/>
        <w:bCs/>
      </w:rPr>
      <w:tblPr/>
      <w:tcPr>
        <w:tcBorders>
          <w:top w:val="double" w:sz="4" w:space="0" w:color="FDD484" w:themeColor="accent4" w:themeTint="99"/>
        </w:tcBorders>
      </w:tcPr>
    </w:tblStylePr>
    <w:tblStylePr w:type="firstCol">
      <w:rPr>
        <w:b/>
        <w:bCs/>
      </w:rPr>
    </w:tblStylePr>
    <w:tblStylePr w:type="lastCol">
      <w:rPr>
        <w:b/>
        <w:bCs/>
      </w:rPr>
    </w:tblStylePr>
    <w:tblStylePr w:type="band1Vert">
      <w:tblPr/>
      <w:tcPr>
        <w:shd w:val="clear" w:color="auto" w:fill="FEF0D6" w:themeFill="accent4" w:themeFillTint="33"/>
      </w:tcPr>
    </w:tblStylePr>
    <w:tblStylePr w:type="band1Horz">
      <w:tblPr/>
      <w:tcPr>
        <w:shd w:val="clear" w:color="auto" w:fill="FEF0D6" w:themeFill="accent4" w:themeFillTint="33"/>
      </w:tcPr>
    </w:tblStylePr>
  </w:style>
  <w:style w:type="table" w:styleId="ListTable4-Accent5">
    <w:name w:val="List Table 4 Accent 5"/>
    <w:basedOn w:val="TableNormal"/>
    <w:uiPriority w:val="49"/>
    <w:pPr>
      <w:spacing w:after="0"/>
    </w:pPr>
    <w:tblPr>
      <w:tblStyleRowBandSize w:val="1"/>
      <w:tblStyleColBandSize w:val="1"/>
      <w:tblBorders>
        <w:top w:val="single" w:sz="4" w:space="0" w:color="A6CDA6" w:themeColor="accent5" w:themeTint="99"/>
        <w:left w:val="single" w:sz="4" w:space="0" w:color="A6CDA6" w:themeColor="accent5" w:themeTint="99"/>
        <w:bottom w:val="single" w:sz="4" w:space="0" w:color="A6CDA6" w:themeColor="accent5" w:themeTint="99"/>
        <w:right w:val="single" w:sz="4" w:space="0" w:color="A6CDA6" w:themeColor="accent5" w:themeTint="99"/>
        <w:insideH w:val="single" w:sz="4" w:space="0" w:color="A6CDA6" w:themeColor="accent5" w:themeTint="99"/>
      </w:tblBorders>
    </w:tblPr>
    <w:tblStylePr w:type="firstRow">
      <w:rPr>
        <w:b/>
        <w:bCs/>
        <w:color w:val="FFFFFF" w:themeColor="background1"/>
      </w:rPr>
      <w:tblPr/>
      <w:tcPr>
        <w:tcBorders>
          <w:top w:val="single" w:sz="4" w:space="0" w:color="6CAD6C" w:themeColor="accent5"/>
          <w:left w:val="single" w:sz="4" w:space="0" w:color="6CAD6C" w:themeColor="accent5"/>
          <w:bottom w:val="single" w:sz="4" w:space="0" w:color="6CAD6C" w:themeColor="accent5"/>
          <w:right w:val="single" w:sz="4" w:space="0" w:color="6CAD6C" w:themeColor="accent5"/>
          <w:insideH w:val="nil"/>
        </w:tcBorders>
        <w:shd w:val="clear" w:color="auto" w:fill="6CAD6C" w:themeFill="accent5"/>
      </w:tcPr>
    </w:tblStylePr>
    <w:tblStylePr w:type="lastRow">
      <w:rPr>
        <w:b/>
        <w:bCs/>
      </w:rPr>
      <w:tblPr/>
      <w:tcPr>
        <w:tcBorders>
          <w:top w:val="double" w:sz="4" w:space="0" w:color="A6CDA6" w:themeColor="accent5" w:themeTint="99"/>
        </w:tcBorders>
      </w:tcPr>
    </w:tblStylePr>
    <w:tblStylePr w:type="firstCol">
      <w:rPr>
        <w:b/>
        <w:bCs/>
      </w:rPr>
    </w:tblStylePr>
    <w:tblStylePr w:type="lastCol">
      <w:rPr>
        <w:b/>
        <w:bCs/>
      </w:rPr>
    </w:tblStylePr>
    <w:tblStylePr w:type="band1Vert">
      <w:tblPr/>
      <w:tcPr>
        <w:shd w:val="clear" w:color="auto" w:fill="E1EEE1" w:themeFill="accent5" w:themeFillTint="33"/>
      </w:tcPr>
    </w:tblStylePr>
    <w:tblStylePr w:type="band1Horz">
      <w:tblPr/>
      <w:tcPr>
        <w:shd w:val="clear" w:color="auto" w:fill="E1EEE1" w:themeFill="accent5" w:themeFillTint="33"/>
      </w:tcPr>
    </w:tblStylePr>
  </w:style>
  <w:style w:type="table" w:styleId="ListTable4-Accent6">
    <w:name w:val="List Table 4 Accent 6"/>
    <w:basedOn w:val="TableNormal"/>
    <w:uiPriority w:val="49"/>
    <w:pPr>
      <w:spacing w:after="0"/>
    </w:pPr>
    <w:tblPr>
      <w:tblStyleRowBandSize w:val="1"/>
      <w:tblStyleColBandSize w:val="1"/>
      <w:tblBorders>
        <w:top w:val="single" w:sz="4" w:space="0" w:color="E27187" w:themeColor="accent6" w:themeTint="99"/>
        <w:left w:val="single" w:sz="4" w:space="0" w:color="E27187" w:themeColor="accent6" w:themeTint="99"/>
        <w:bottom w:val="single" w:sz="4" w:space="0" w:color="E27187" w:themeColor="accent6" w:themeTint="99"/>
        <w:right w:val="single" w:sz="4" w:space="0" w:color="E27187" w:themeColor="accent6" w:themeTint="99"/>
        <w:insideH w:val="single" w:sz="4" w:space="0" w:color="E27187" w:themeColor="accent6" w:themeTint="99"/>
      </w:tblBorders>
    </w:tblPr>
    <w:tblStylePr w:type="firstRow">
      <w:rPr>
        <w:b/>
        <w:bCs/>
        <w:color w:val="FFFFFF" w:themeColor="background1"/>
      </w:rPr>
      <w:tblPr/>
      <w:tcPr>
        <w:tcBorders>
          <w:top w:val="single" w:sz="4" w:space="0" w:color="BD2644" w:themeColor="accent6"/>
          <w:left w:val="single" w:sz="4" w:space="0" w:color="BD2644" w:themeColor="accent6"/>
          <w:bottom w:val="single" w:sz="4" w:space="0" w:color="BD2644" w:themeColor="accent6"/>
          <w:right w:val="single" w:sz="4" w:space="0" w:color="BD2644" w:themeColor="accent6"/>
          <w:insideH w:val="nil"/>
        </w:tcBorders>
        <w:shd w:val="clear" w:color="auto" w:fill="BD2644" w:themeFill="accent6"/>
      </w:tcPr>
    </w:tblStylePr>
    <w:tblStylePr w:type="lastRow">
      <w:rPr>
        <w:b/>
        <w:bCs/>
      </w:rPr>
      <w:tblPr/>
      <w:tcPr>
        <w:tcBorders>
          <w:top w:val="double" w:sz="4" w:space="0" w:color="E27187" w:themeColor="accent6" w:themeTint="99"/>
        </w:tcBorders>
      </w:tcPr>
    </w:tblStylePr>
    <w:tblStylePr w:type="firstCol">
      <w:rPr>
        <w:b/>
        <w:bCs/>
      </w:rPr>
    </w:tblStylePr>
    <w:tblStylePr w:type="lastCol">
      <w:rPr>
        <w:b/>
        <w:bCs/>
      </w:rPr>
    </w:tblStylePr>
    <w:tblStylePr w:type="band1Vert">
      <w:tblPr/>
      <w:tcPr>
        <w:shd w:val="clear" w:color="auto" w:fill="F5CFD7" w:themeFill="accent6" w:themeFillTint="33"/>
      </w:tcPr>
    </w:tblStylePr>
    <w:tblStylePr w:type="band1Horz">
      <w:tblPr/>
      <w:tcPr>
        <w:shd w:val="clear" w:color="auto" w:fill="F5CFD7" w:themeFill="accent6" w:themeFillTint="33"/>
      </w:tcPr>
    </w:tblStylePr>
  </w:style>
  <w:style w:type="table" w:styleId="ListTable5Dark">
    <w:name w:val="List Table 5 Dark"/>
    <w:basedOn w:val="TableNormal"/>
    <w:uiPriority w:val="50"/>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pPr>
      <w:spacing w:after="0"/>
    </w:pPr>
    <w:rPr>
      <w:color w:val="FFFFFF" w:themeColor="background1"/>
    </w:rPr>
    <w:tblPr>
      <w:tblStyleRowBandSize w:val="1"/>
      <w:tblStyleColBandSize w:val="1"/>
      <w:tblBorders>
        <w:top w:val="single" w:sz="24" w:space="0" w:color="02847D" w:themeColor="accent1"/>
        <w:left w:val="single" w:sz="24" w:space="0" w:color="02847D" w:themeColor="accent1"/>
        <w:bottom w:val="single" w:sz="24" w:space="0" w:color="02847D" w:themeColor="accent1"/>
        <w:right w:val="single" w:sz="24" w:space="0" w:color="02847D" w:themeColor="accent1"/>
      </w:tblBorders>
    </w:tblPr>
    <w:tcPr>
      <w:shd w:val="clear" w:color="auto" w:fill="02847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pPr>
      <w:spacing w:after="0"/>
    </w:pPr>
    <w:rPr>
      <w:color w:val="FFFFFF" w:themeColor="background1"/>
    </w:rPr>
    <w:tblPr>
      <w:tblStyleRowBandSize w:val="1"/>
      <w:tblStyleColBandSize w:val="1"/>
      <w:tblBorders>
        <w:top w:val="single" w:sz="24" w:space="0" w:color="F36E44" w:themeColor="accent2"/>
        <w:left w:val="single" w:sz="24" w:space="0" w:color="F36E44" w:themeColor="accent2"/>
        <w:bottom w:val="single" w:sz="24" w:space="0" w:color="F36E44" w:themeColor="accent2"/>
        <w:right w:val="single" w:sz="24" w:space="0" w:color="F36E44" w:themeColor="accent2"/>
      </w:tblBorders>
    </w:tblPr>
    <w:tcPr>
      <w:shd w:val="clear" w:color="auto" w:fill="F36E4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pPr>
      <w:spacing w:after="0"/>
    </w:pPr>
    <w:rPr>
      <w:color w:val="FFFFFF" w:themeColor="background1"/>
    </w:rPr>
    <w:tblPr>
      <w:tblStyleRowBandSize w:val="1"/>
      <w:tblStyleColBandSize w:val="1"/>
      <w:tblBorders>
        <w:top w:val="single" w:sz="24" w:space="0" w:color="59BDB8" w:themeColor="accent3"/>
        <w:left w:val="single" w:sz="24" w:space="0" w:color="59BDB8" w:themeColor="accent3"/>
        <w:bottom w:val="single" w:sz="24" w:space="0" w:color="59BDB8" w:themeColor="accent3"/>
        <w:right w:val="single" w:sz="24" w:space="0" w:color="59BDB8" w:themeColor="accent3"/>
      </w:tblBorders>
    </w:tblPr>
    <w:tcPr>
      <w:shd w:val="clear" w:color="auto" w:fill="59BDB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pPr>
      <w:spacing w:after="0"/>
    </w:pPr>
    <w:rPr>
      <w:color w:val="FFFFFF" w:themeColor="background1"/>
    </w:rPr>
    <w:tblPr>
      <w:tblStyleRowBandSize w:val="1"/>
      <w:tblStyleColBandSize w:val="1"/>
      <w:tblBorders>
        <w:top w:val="single" w:sz="24" w:space="0" w:color="FDB933" w:themeColor="accent4"/>
        <w:left w:val="single" w:sz="24" w:space="0" w:color="FDB933" w:themeColor="accent4"/>
        <w:bottom w:val="single" w:sz="24" w:space="0" w:color="FDB933" w:themeColor="accent4"/>
        <w:right w:val="single" w:sz="24" w:space="0" w:color="FDB933" w:themeColor="accent4"/>
      </w:tblBorders>
    </w:tblPr>
    <w:tcPr>
      <w:shd w:val="clear" w:color="auto" w:fill="FDB93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pPr>
      <w:spacing w:after="0"/>
    </w:pPr>
    <w:rPr>
      <w:color w:val="FFFFFF" w:themeColor="background1"/>
    </w:rPr>
    <w:tblPr>
      <w:tblStyleRowBandSize w:val="1"/>
      <w:tblStyleColBandSize w:val="1"/>
      <w:tblBorders>
        <w:top w:val="single" w:sz="24" w:space="0" w:color="6CAD6C" w:themeColor="accent5"/>
        <w:left w:val="single" w:sz="24" w:space="0" w:color="6CAD6C" w:themeColor="accent5"/>
        <w:bottom w:val="single" w:sz="24" w:space="0" w:color="6CAD6C" w:themeColor="accent5"/>
        <w:right w:val="single" w:sz="24" w:space="0" w:color="6CAD6C" w:themeColor="accent5"/>
      </w:tblBorders>
    </w:tblPr>
    <w:tcPr>
      <w:shd w:val="clear" w:color="auto" w:fill="6CAD6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pPr>
      <w:spacing w:after="0"/>
    </w:pPr>
    <w:rPr>
      <w:color w:val="FFFFFF" w:themeColor="background1"/>
    </w:rPr>
    <w:tblPr>
      <w:tblStyleRowBandSize w:val="1"/>
      <w:tblStyleColBandSize w:val="1"/>
      <w:tblBorders>
        <w:top w:val="single" w:sz="24" w:space="0" w:color="BD2644" w:themeColor="accent6"/>
        <w:left w:val="single" w:sz="24" w:space="0" w:color="BD2644" w:themeColor="accent6"/>
        <w:bottom w:val="single" w:sz="24" w:space="0" w:color="BD2644" w:themeColor="accent6"/>
        <w:right w:val="single" w:sz="24" w:space="0" w:color="BD2644" w:themeColor="accent6"/>
      </w:tblBorders>
    </w:tblPr>
    <w:tcPr>
      <w:shd w:val="clear" w:color="auto" w:fill="BD26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pPr>
      <w:spacing w:after="0"/>
    </w:pPr>
    <w:rPr>
      <w:color w:val="01625D" w:themeColor="accent1" w:themeShade="BF"/>
    </w:rPr>
    <w:tblPr>
      <w:tblStyleRowBandSize w:val="1"/>
      <w:tblStyleColBandSize w:val="1"/>
      <w:tblBorders>
        <w:top w:val="single" w:sz="4" w:space="0" w:color="02847D" w:themeColor="accent1"/>
        <w:bottom w:val="single" w:sz="4" w:space="0" w:color="02847D" w:themeColor="accent1"/>
      </w:tblBorders>
    </w:tblPr>
    <w:tblStylePr w:type="firstRow">
      <w:rPr>
        <w:b/>
        <w:bCs/>
      </w:rPr>
      <w:tblPr/>
      <w:tcPr>
        <w:tcBorders>
          <w:bottom w:val="single" w:sz="4" w:space="0" w:color="02847D" w:themeColor="accent1"/>
        </w:tcBorders>
      </w:tcPr>
    </w:tblStylePr>
    <w:tblStylePr w:type="lastRow">
      <w:rPr>
        <w:b/>
        <w:bCs/>
      </w:rPr>
      <w:tblPr/>
      <w:tcPr>
        <w:tcBorders>
          <w:top w:val="double" w:sz="4" w:space="0" w:color="02847D" w:themeColor="accent1"/>
        </w:tcBorders>
      </w:tcPr>
    </w:tblStylePr>
    <w:tblStylePr w:type="firstCol">
      <w:rPr>
        <w:b/>
        <w:bCs/>
      </w:rPr>
    </w:tblStylePr>
    <w:tblStylePr w:type="lastCol">
      <w:rPr>
        <w:b/>
        <w:bCs/>
      </w:rPr>
    </w:tblStylePr>
    <w:tblStylePr w:type="band1Vert">
      <w:tblPr/>
      <w:tcPr>
        <w:shd w:val="clear" w:color="auto" w:fill="B4FEF9" w:themeFill="accent1" w:themeFillTint="33"/>
      </w:tcPr>
    </w:tblStylePr>
    <w:tblStylePr w:type="band1Horz">
      <w:tblPr/>
      <w:tcPr>
        <w:shd w:val="clear" w:color="auto" w:fill="B4FEF9" w:themeFill="accent1" w:themeFillTint="33"/>
      </w:tcPr>
    </w:tblStylePr>
  </w:style>
  <w:style w:type="table" w:styleId="ListTable6Colorful-Accent2">
    <w:name w:val="List Table 6 Colorful Accent 2"/>
    <w:basedOn w:val="TableNormal"/>
    <w:uiPriority w:val="51"/>
    <w:pPr>
      <w:spacing w:after="0"/>
    </w:pPr>
    <w:rPr>
      <w:color w:val="DA3F0E" w:themeColor="accent2" w:themeShade="BF"/>
    </w:rPr>
    <w:tblPr>
      <w:tblStyleRowBandSize w:val="1"/>
      <w:tblStyleColBandSize w:val="1"/>
      <w:tblBorders>
        <w:top w:val="single" w:sz="4" w:space="0" w:color="F36E44" w:themeColor="accent2"/>
        <w:bottom w:val="single" w:sz="4" w:space="0" w:color="F36E44" w:themeColor="accent2"/>
      </w:tblBorders>
    </w:tblPr>
    <w:tblStylePr w:type="firstRow">
      <w:rPr>
        <w:b/>
        <w:bCs/>
      </w:rPr>
      <w:tblPr/>
      <w:tcPr>
        <w:tcBorders>
          <w:bottom w:val="single" w:sz="4" w:space="0" w:color="F36E44" w:themeColor="accent2"/>
        </w:tcBorders>
      </w:tcPr>
    </w:tblStylePr>
    <w:tblStylePr w:type="lastRow">
      <w:rPr>
        <w:b/>
        <w:bCs/>
      </w:rPr>
      <w:tblPr/>
      <w:tcPr>
        <w:tcBorders>
          <w:top w:val="double" w:sz="4" w:space="0" w:color="F36E44" w:themeColor="accent2"/>
        </w:tcBorders>
      </w:tcPr>
    </w:tblStylePr>
    <w:tblStylePr w:type="firstCol">
      <w:rPr>
        <w:b/>
        <w:bCs/>
      </w:rPr>
    </w:tblStylePr>
    <w:tblStylePr w:type="lastCol">
      <w:rPr>
        <w:b/>
        <w:bCs/>
      </w:rPr>
    </w:tblStylePr>
    <w:tblStylePr w:type="band1Vert">
      <w:tblPr/>
      <w:tcPr>
        <w:shd w:val="clear" w:color="auto" w:fill="FCE1D9" w:themeFill="accent2" w:themeFillTint="33"/>
      </w:tcPr>
    </w:tblStylePr>
    <w:tblStylePr w:type="band1Horz">
      <w:tblPr/>
      <w:tcPr>
        <w:shd w:val="clear" w:color="auto" w:fill="FCE1D9" w:themeFill="accent2" w:themeFillTint="33"/>
      </w:tcPr>
    </w:tblStylePr>
  </w:style>
  <w:style w:type="table" w:styleId="ListTable6Colorful-Accent3">
    <w:name w:val="List Table 6 Colorful Accent 3"/>
    <w:basedOn w:val="TableNormal"/>
    <w:uiPriority w:val="51"/>
    <w:pPr>
      <w:spacing w:after="0"/>
    </w:pPr>
    <w:rPr>
      <w:color w:val="3B9490" w:themeColor="accent3" w:themeShade="BF"/>
    </w:rPr>
    <w:tblPr>
      <w:tblStyleRowBandSize w:val="1"/>
      <w:tblStyleColBandSize w:val="1"/>
      <w:tblBorders>
        <w:top w:val="single" w:sz="4" w:space="0" w:color="59BDB8" w:themeColor="accent3"/>
        <w:bottom w:val="single" w:sz="4" w:space="0" w:color="59BDB8" w:themeColor="accent3"/>
      </w:tblBorders>
    </w:tblPr>
    <w:tblStylePr w:type="firstRow">
      <w:rPr>
        <w:b/>
        <w:bCs/>
      </w:rPr>
      <w:tblPr/>
      <w:tcPr>
        <w:tcBorders>
          <w:bottom w:val="single" w:sz="4" w:space="0" w:color="59BDB8" w:themeColor="accent3"/>
        </w:tcBorders>
      </w:tcPr>
    </w:tblStylePr>
    <w:tblStylePr w:type="lastRow">
      <w:rPr>
        <w:b/>
        <w:bCs/>
      </w:rPr>
      <w:tblPr/>
      <w:tcPr>
        <w:tcBorders>
          <w:top w:val="double" w:sz="4" w:space="0" w:color="59BDB8" w:themeColor="accent3"/>
        </w:tcBorders>
      </w:tcPr>
    </w:tblStylePr>
    <w:tblStylePr w:type="firstCol">
      <w:rPr>
        <w:b/>
        <w:bCs/>
      </w:rPr>
    </w:tblStylePr>
    <w:tblStylePr w:type="lastCol">
      <w:rPr>
        <w:b/>
        <w:bCs/>
      </w:rPr>
    </w:tblStylePr>
    <w:tblStylePr w:type="band1Vert">
      <w:tblPr/>
      <w:tcPr>
        <w:shd w:val="clear" w:color="auto" w:fill="DDF1F0" w:themeFill="accent3" w:themeFillTint="33"/>
      </w:tcPr>
    </w:tblStylePr>
    <w:tblStylePr w:type="band1Horz">
      <w:tblPr/>
      <w:tcPr>
        <w:shd w:val="clear" w:color="auto" w:fill="DDF1F0" w:themeFill="accent3" w:themeFillTint="33"/>
      </w:tcPr>
    </w:tblStylePr>
  </w:style>
  <w:style w:type="table" w:styleId="ListTable6Colorful-Accent4">
    <w:name w:val="List Table 6 Colorful Accent 4"/>
    <w:basedOn w:val="TableNormal"/>
    <w:uiPriority w:val="51"/>
    <w:pPr>
      <w:spacing w:after="0"/>
    </w:pPr>
    <w:rPr>
      <w:color w:val="E19602" w:themeColor="accent4" w:themeShade="BF"/>
    </w:rPr>
    <w:tblPr>
      <w:tblStyleRowBandSize w:val="1"/>
      <w:tblStyleColBandSize w:val="1"/>
      <w:tblBorders>
        <w:top w:val="single" w:sz="4" w:space="0" w:color="FDB933" w:themeColor="accent4"/>
        <w:bottom w:val="single" w:sz="4" w:space="0" w:color="FDB933" w:themeColor="accent4"/>
      </w:tblBorders>
    </w:tblPr>
    <w:tblStylePr w:type="firstRow">
      <w:rPr>
        <w:b/>
        <w:bCs/>
      </w:rPr>
      <w:tblPr/>
      <w:tcPr>
        <w:tcBorders>
          <w:bottom w:val="single" w:sz="4" w:space="0" w:color="FDB933" w:themeColor="accent4"/>
        </w:tcBorders>
      </w:tcPr>
    </w:tblStylePr>
    <w:tblStylePr w:type="lastRow">
      <w:rPr>
        <w:b/>
        <w:bCs/>
      </w:rPr>
      <w:tblPr/>
      <w:tcPr>
        <w:tcBorders>
          <w:top w:val="double" w:sz="4" w:space="0" w:color="FDB933" w:themeColor="accent4"/>
        </w:tcBorders>
      </w:tcPr>
    </w:tblStylePr>
    <w:tblStylePr w:type="firstCol">
      <w:rPr>
        <w:b/>
        <w:bCs/>
      </w:rPr>
    </w:tblStylePr>
    <w:tblStylePr w:type="lastCol">
      <w:rPr>
        <w:b/>
        <w:bCs/>
      </w:rPr>
    </w:tblStylePr>
    <w:tblStylePr w:type="band1Vert">
      <w:tblPr/>
      <w:tcPr>
        <w:shd w:val="clear" w:color="auto" w:fill="FEF0D6" w:themeFill="accent4" w:themeFillTint="33"/>
      </w:tcPr>
    </w:tblStylePr>
    <w:tblStylePr w:type="band1Horz">
      <w:tblPr/>
      <w:tcPr>
        <w:shd w:val="clear" w:color="auto" w:fill="FEF0D6" w:themeFill="accent4" w:themeFillTint="33"/>
      </w:tcPr>
    </w:tblStylePr>
  </w:style>
  <w:style w:type="table" w:styleId="ListTable6Colorful-Accent5">
    <w:name w:val="List Table 6 Colorful Accent 5"/>
    <w:basedOn w:val="TableNormal"/>
    <w:uiPriority w:val="51"/>
    <w:pPr>
      <w:spacing w:after="0"/>
    </w:pPr>
    <w:rPr>
      <w:color w:val="4B864B" w:themeColor="accent5" w:themeShade="BF"/>
    </w:rPr>
    <w:tblPr>
      <w:tblStyleRowBandSize w:val="1"/>
      <w:tblStyleColBandSize w:val="1"/>
      <w:tblBorders>
        <w:top w:val="single" w:sz="4" w:space="0" w:color="6CAD6C" w:themeColor="accent5"/>
        <w:bottom w:val="single" w:sz="4" w:space="0" w:color="6CAD6C" w:themeColor="accent5"/>
      </w:tblBorders>
    </w:tblPr>
    <w:tblStylePr w:type="firstRow">
      <w:rPr>
        <w:b/>
        <w:bCs/>
      </w:rPr>
      <w:tblPr/>
      <w:tcPr>
        <w:tcBorders>
          <w:bottom w:val="single" w:sz="4" w:space="0" w:color="6CAD6C" w:themeColor="accent5"/>
        </w:tcBorders>
      </w:tcPr>
    </w:tblStylePr>
    <w:tblStylePr w:type="lastRow">
      <w:rPr>
        <w:b/>
        <w:bCs/>
      </w:rPr>
      <w:tblPr/>
      <w:tcPr>
        <w:tcBorders>
          <w:top w:val="double" w:sz="4" w:space="0" w:color="6CAD6C" w:themeColor="accent5"/>
        </w:tcBorders>
      </w:tcPr>
    </w:tblStylePr>
    <w:tblStylePr w:type="firstCol">
      <w:rPr>
        <w:b/>
        <w:bCs/>
      </w:rPr>
    </w:tblStylePr>
    <w:tblStylePr w:type="lastCol">
      <w:rPr>
        <w:b/>
        <w:bCs/>
      </w:rPr>
    </w:tblStylePr>
    <w:tblStylePr w:type="band1Vert">
      <w:tblPr/>
      <w:tcPr>
        <w:shd w:val="clear" w:color="auto" w:fill="E1EEE1" w:themeFill="accent5" w:themeFillTint="33"/>
      </w:tcPr>
    </w:tblStylePr>
    <w:tblStylePr w:type="band1Horz">
      <w:tblPr/>
      <w:tcPr>
        <w:shd w:val="clear" w:color="auto" w:fill="E1EEE1" w:themeFill="accent5" w:themeFillTint="33"/>
      </w:tcPr>
    </w:tblStylePr>
  </w:style>
  <w:style w:type="table" w:styleId="ListTable6Colorful-Accent6">
    <w:name w:val="List Table 6 Colorful Accent 6"/>
    <w:basedOn w:val="TableNormal"/>
    <w:uiPriority w:val="51"/>
    <w:pPr>
      <w:spacing w:after="0"/>
    </w:pPr>
    <w:rPr>
      <w:color w:val="8D1C32" w:themeColor="accent6" w:themeShade="BF"/>
    </w:rPr>
    <w:tblPr>
      <w:tblStyleRowBandSize w:val="1"/>
      <w:tblStyleColBandSize w:val="1"/>
      <w:tblBorders>
        <w:top w:val="single" w:sz="4" w:space="0" w:color="BD2644" w:themeColor="accent6"/>
        <w:bottom w:val="single" w:sz="4" w:space="0" w:color="BD2644" w:themeColor="accent6"/>
      </w:tblBorders>
    </w:tblPr>
    <w:tblStylePr w:type="firstRow">
      <w:rPr>
        <w:b/>
        <w:bCs/>
      </w:rPr>
      <w:tblPr/>
      <w:tcPr>
        <w:tcBorders>
          <w:bottom w:val="single" w:sz="4" w:space="0" w:color="BD2644" w:themeColor="accent6"/>
        </w:tcBorders>
      </w:tcPr>
    </w:tblStylePr>
    <w:tblStylePr w:type="lastRow">
      <w:rPr>
        <w:b/>
        <w:bCs/>
      </w:rPr>
      <w:tblPr/>
      <w:tcPr>
        <w:tcBorders>
          <w:top w:val="double" w:sz="4" w:space="0" w:color="BD2644" w:themeColor="accent6"/>
        </w:tcBorders>
      </w:tcPr>
    </w:tblStylePr>
    <w:tblStylePr w:type="firstCol">
      <w:rPr>
        <w:b/>
        <w:bCs/>
      </w:rPr>
    </w:tblStylePr>
    <w:tblStylePr w:type="lastCol">
      <w:rPr>
        <w:b/>
        <w:bCs/>
      </w:rPr>
    </w:tblStylePr>
    <w:tblStylePr w:type="band1Vert">
      <w:tblPr/>
      <w:tcPr>
        <w:shd w:val="clear" w:color="auto" w:fill="F5CFD7" w:themeFill="accent6" w:themeFillTint="33"/>
      </w:tcPr>
    </w:tblStylePr>
    <w:tblStylePr w:type="band1Horz">
      <w:tblPr/>
      <w:tcPr>
        <w:shd w:val="clear" w:color="auto" w:fill="F5CFD7" w:themeFill="accent6" w:themeFillTint="33"/>
      </w:tcPr>
    </w:tblStylePr>
  </w:style>
  <w:style w:type="table" w:styleId="ListTable7Colorful">
    <w:name w:val="List Table 7 Colorful"/>
    <w:basedOn w:val="TableNormal"/>
    <w:uiPriority w:val="52"/>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pPr>
      <w:spacing w:after="0"/>
    </w:pPr>
    <w:rPr>
      <w:color w:val="01625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847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847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847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847D" w:themeColor="accent1"/>
        </w:tcBorders>
        <w:shd w:val="clear" w:color="auto" w:fill="FFFFFF" w:themeFill="background1"/>
      </w:tcPr>
    </w:tblStylePr>
    <w:tblStylePr w:type="band1Vert">
      <w:tblPr/>
      <w:tcPr>
        <w:shd w:val="clear" w:color="auto" w:fill="B4FEF9" w:themeFill="accent1" w:themeFillTint="33"/>
      </w:tcPr>
    </w:tblStylePr>
    <w:tblStylePr w:type="band1Horz">
      <w:tblPr/>
      <w:tcPr>
        <w:shd w:val="clear" w:color="auto" w:fill="B4FEF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pPr>
      <w:spacing w:after="0"/>
    </w:pPr>
    <w:rPr>
      <w:color w:val="DA3F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6E4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6E4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6E4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6E44" w:themeColor="accent2"/>
        </w:tcBorders>
        <w:shd w:val="clear" w:color="auto" w:fill="FFFFFF" w:themeFill="background1"/>
      </w:tcPr>
    </w:tblStylePr>
    <w:tblStylePr w:type="band1Vert">
      <w:tblPr/>
      <w:tcPr>
        <w:shd w:val="clear" w:color="auto" w:fill="FCE1D9" w:themeFill="accent2" w:themeFillTint="33"/>
      </w:tcPr>
    </w:tblStylePr>
    <w:tblStylePr w:type="band1Horz">
      <w:tblPr/>
      <w:tcPr>
        <w:shd w:val="clear" w:color="auto" w:fill="FCE1D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pPr>
      <w:spacing w:after="0"/>
    </w:pPr>
    <w:rPr>
      <w:color w:val="3B949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BDB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BDB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BDB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BDB8" w:themeColor="accent3"/>
        </w:tcBorders>
        <w:shd w:val="clear" w:color="auto" w:fill="FFFFFF" w:themeFill="background1"/>
      </w:tcPr>
    </w:tblStylePr>
    <w:tblStylePr w:type="band1Vert">
      <w:tblPr/>
      <w:tcPr>
        <w:shd w:val="clear" w:color="auto" w:fill="DDF1F0" w:themeFill="accent3" w:themeFillTint="33"/>
      </w:tcPr>
    </w:tblStylePr>
    <w:tblStylePr w:type="band1Horz">
      <w:tblPr/>
      <w:tcPr>
        <w:shd w:val="clear" w:color="auto" w:fill="DDF1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pPr>
      <w:spacing w:after="0"/>
    </w:pPr>
    <w:rPr>
      <w:color w:val="E1960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B93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B93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B93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B933" w:themeColor="accent4"/>
        </w:tcBorders>
        <w:shd w:val="clear" w:color="auto" w:fill="FFFFFF" w:themeFill="background1"/>
      </w:tcPr>
    </w:tblStylePr>
    <w:tblStylePr w:type="band1Vert">
      <w:tblPr/>
      <w:tcPr>
        <w:shd w:val="clear" w:color="auto" w:fill="FEF0D6" w:themeFill="accent4" w:themeFillTint="33"/>
      </w:tcPr>
    </w:tblStylePr>
    <w:tblStylePr w:type="band1Horz">
      <w:tblPr/>
      <w:tcPr>
        <w:shd w:val="clear" w:color="auto" w:fill="FEF0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pPr>
      <w:spacing w:after="0"/>
    </w:pPr>
    <w:rPr>
      <w:color w:val="4B864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AD6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AD6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AD6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AD6C" w:themeColor="accent5"/>
        </w:tcBorders>
        <w:shd w:val="clear" w:color="auto" w:fill="FFFFFF" w:themeFill="background1"/>
      </w:tcPr>
    </w:tblStylePr>
    <w:tblStylePr w:type="band1Vert">
      <w:tblPr/>
      <w:tcPr>
        <w:shd w:val="clear" w:color="auto" w:fill="E1EEE1" w:themeFill="accent5" w:themeFillTint="33"/>
      </w:tcPr>
    </w:tblStylePr>
    <w:tblStylePr w:type="band1Horz">
      <w:tblPr/>
      <w:tcPr>
        <w:shd w:val="clear" w:color="auto" w:fill="E1EE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pPr>
      <w:spacing w:after="0"/>
    </w:pPr>
    <w:rPr>
      <w:color w:val="8D1C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D26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D26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D26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D2644" w:themeColor="accent6"/>
        </w:tcBorders>
        <w:shd w:val="clear" w:color="auto" w:fill="FFFFFF" w:themeFill="background1"/>
      </w:tcPr>
    </w:tblStylePr>
    <w:tblStylePr w:type="band1Vert">
      <w:tblPr/>
      <w:tcPr>
        <w:shd w:val="clear" w:color="auto" w:fill="F5CFD7" w:themeFill="accent6" w:themeFillTint="33"/>
      </w:tcPr>
    </w:tblStylePr>
    <w:tblStylePr w:type="band1Horz">
      <w:tblPr/>
      <w:tcPr>
        <w:shd w:val="clear" w:color="auto" w:fill="F5CFD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after="0"/>
    </w:pPr>
    <w:tblPr>
      <w:tblStyleRowBandSize w:val="1"/>
      <w:tblStyleColBandSize w:val="1"/>
      <w:tblBorders>
        <w:top w:val="single" w:sz="8" w:space="0" w:color="03E0D4" w:themeColor="accent1" w:themeTint="BF"/>
        <w:left w:val="single" w:sz="8" w:space="0" w:color="03E0D4" w:themeColor="accent1" w:themeTint="BF"/>
        <w:bottom w:val="single" w:sz="8" w:space="0" w:color="03E0D4" w:themeColor="accent1" w:themeTint="BF"/>
        <w:right w:val="single" w:sz="8" w:space="0" w:color="03E0D4" w:themeColor="accent1" w:themeTint="BF"/>
        <w:insideH w:val="single" w:sz="8" w:space="0" w:color="03E0D4" w:themeColor="accent1" w:themeTint="BF"/>
        <w:insideV w:val="single" w:sz="8" w:space="0" w:color="03E0D4" w:themeColor="accent1" w:themeTint="BF"/>
      </w:tblBorders>
    </w:tblPr>
    <w:tcPr>
      <w:shd w:val="clear" w:color="auto" w:fill="A3FDF8" w:themeFill="accent1" w:themeFillTint="3F"/>
    </w:tcPr>
    <w:tblStylePr w:type="firstRow">
      <w:rPr>
        <w:b/>
        <w:bCs/>
      </w:rPr>
    </w:tblStylePr>
    <w:tblStylePr w:type="lastRow">
      <w:rPr>
        <w:b/>
        <w:bCs/>
      </w:rPr>
      <w:tblPr/>
      <w:tcPr>
        <w:tcBorders>
          <w:top w:val="single" w:sz="18" w:space="0" w:color="03E0D4" w:themeColor="accent1" w:themeTint="BF"/>
        </w:tcBorders>
      </w:tcPr>
    </w:tblStylePr>
    <w:tblStylePr w:type="firstCol">
      <w:rPr>
        <w:b/>
        <w:bCs/>
      </w:rPr>
    </w:tblStylePr>
    <w:tblStylePr w:type="lastCol">
      <w:rPr>
        <w:b/>
        <w:bCs/>
      </w:rPr>
    </w:tblStylePr>
    <w:tblStylePr w:type="band1Vert">
      <w:tblPr/>
      <w:tcPr>
        <w:shd w:val="clear" w:color="auto" w:fill="46FCF2" w:themeFill="accent1" w:themeFillTint="7F"/>
      </w:tcPr>
    </w:tblStylePr>
    <w:tblStylePr w:type="band1Horz">
      <w:tblPr/>
      <w:tcPr>
        <w:shd w:val="clear" w:color="auto" w:fill="46FCF2" w:themeFill="accent1" w:themeFillTint="7F"/>
      </w:tcPr>
    </w:tblStylePr>
  </w:style>
  <w:style w:type="table" w:styleId="MediumGrid1-Accent2">
    <w:name w:val="Medium Grid 1 Accent 2"/>
    <w:basedOn w:val="TableNormal"/>
    <w:uiPriority w:val="67"/>
    <w:semiHidden/>
    <w:unhideWhenUsed/>
    <w:pPr>
      <w:spacing w:before="0" w:after="0"/>
    </w:pPr>
    <w:tblPr>
      <w:tblStyleRowBandSize w:val="1"/>
      <w:tblStyleColBandSize w:val="1"/>
      <w:tblBorders>
        <w:top w:val="single" w:sz="8" w:space="0" w:color="F69272" w:themeColor="accent2" w:themeTint="BF"/>
        <w:left w:val="single" w:sz="8" w:space="0" w:color="F69272" w:themeColor="accent2" w:themeTint="BF"/>
        <w:bottom w:val="single" w:sz="8" w:space="0" w:color="F69272" w:themeColor="accent2" w:themeTint="BF"/>
        <w:right w:val="single" w:sz="8" w:space="0" w:color="F69272" w:themeColor="accent2" w:themeTint="BF"/>
        <w:insideH w:val="single" w:sz="8" w:space="0" w:color="F69272" w:themeColor="accent2" w:themeTint="BF"/>
        <w:insideV w:val="single" w:sz="8" w:space="0" w:color="F69272" w:themeColor="accent2" w:themeTint="BF"/>
      </w:tblBorders>
    </w:tblPr>
    <w:tcPr>
      <w:shd w:val="clear" w:color="auto" w:fill="FCDAD0" w:themeFill="accent2" w:themeFillTint="3F"/>
    </w:tcPr>
    <w:tblStylePr w:type="firstRow">
      <w:rPr>
        <w:b/>
        <w:bCs/>
      </w:rPr>
    </w:tblStylePr>
    <w:tblStylePr w:type="lastRow">
      <w:rPr>
        <w:b/>
        <w:bCs/>
      </w:rPr>
      <w:tblPr/>
      <w:tcPr>
        <w:tcBorders>
          <w:top w:val="single" w:sz="18" w:space="0" w:color="F69272" w:themeColor="accent2" w:themeTint="BF"/>
        </w:tcBorders>
      </w:tcPr>
    </w:tblStylePr>
    <w:tblStylePr w:type="firstCol">
      <w:rPr>
        <w:b/>
        <w:bCs/>
      </w:rPr>
    </w:tblStylePr>
    <w:tblStylePr w:type="lastCol">
      <w:rPr>
        <w:b/>
        <w:bCs/>
      </w:rPr>
    </w:tblStylePr>
    <w:tblStylePr w:type="band1Vert">
      <w:tblPr/>
      <w:tcPr>
        <w:shd w:val="clear" w:color="auto" w:fill="F9B6A1" w:themeFill="accent2" w:themeFillTint="7F"/>
      </w:tcPr>
    </w:tblStylePr>
    <w:tblStylePr w:type="band1Horz">
      <w:tblPr/>
      <w:tcPr>
        <w:shd w:val="clear" w:color="auto" w:fill="F9B6A1" w:themeFill="accent2" w:themeFillTint="7F"/>
      </w:tcPr>
    </w:tblStylePr>
  </w:style>
  <w:style w:type="table" w:styleId="MediumGrid1-Accent3">
    <w:name w:val="Medium Grid 1 Accent 3"/>
    <w:basedOn w:val="TableNormal"/>
    <w:uiPriority w:val="67"/>
    <w:semiHidden/>
    <w:unhideWhenUsed/>
    <w:pPr>
      <w:spacing w:before="0" w:after="0"/>
    </w:pPr>
    <w:tblPr>
      <w:tblStyleRowBandSize w:val="1"/>
      <w:tblStyleColBandSize w:val="1"/>
      <w:tblBorders>
        <w:top w:val="single" w:sz="8" w:space="0" w:color="82CDC9" w:themeColor="accent3" w:themeTint="BF"/>
        <w:left w:val="single" w:sz="8" w:space="0" w:color="82CDC9" w:themeColor="accent3" w:themeTint="BF"/>
        <w:bottom w:val="single" w:sz="8" w:space="0" w:color="82CDC9" w:themeColor="accent3" w:themeTint="BF"/>
        <w:right w:val="single" w:sz="8" w:space="0" w:color="82CDC9" w:themeColor="accent3" w:themeTint="BF"/>
        <w:insideH w:val="single" w:sz="8" w:space="0" w:color="82CDC9" w:themeColor="accent3" w:themeTint="BF"/>
        <w:insideV w:val="single" w:sz="8" w:space="0" w:color="82CDC9" w:themeColor="accent3" w:themeTint="BF"/>
      </w:tblBorders>
    </w:tblPr>
    <w:tcPr>
      <w:shd w:val="clear" w:color="auto" w:fill="D5EEED" w:themeFill="accent3" w:themeFillTint="3F"/>
    </w:tcPr>
    <w:tblStylePr w:type="firstRow">
      <w:rPr>
        <w:b/>
        <w:bCs/>
      </w:rPr>
    </w:tblStylePr>
    <w:tblStylePr w:type="lastRow">
      <w:rPr>
        <w:b/>
        <w:bCs/>
      </w:rPr>
      <w:tblPr/>
      <w:tcPr>
        <w:tcBorders>
          <w:top w:val="single" w:sz="18" w:space="0" w:color="82CDC9" w:themeColor="accent3" w:themeTint="BF"/>
        </w:tcBorders>
      </w:tcPr>
    </w:tblStylePr>
    <w:tblStylePr w:type="firstCol">
      <w:rPr>
        <w:b/>
        <w:bCs/>
      </w:rPr>
    </w:tblStylePr>
    <w:tblStylePr w:type="lastCol">
      <w:rPr>
        <w:b/>
        <w:bCs/>
      </w:rPr>
    </w:tblStylePr>
    <w:tblStylePr w:type="band1Vert">
      <w:tblPr/>
      <w:tcPr>
        <w:shd w:val="clear" w:color="auto" w:fill="ACDEDB" w:themeFill="accent3" w:themeFillTint="7F"/>
      </w:tcPr>
    </w:tblStylePr>
    <w:tblStylePr w:type="band1Horz">
      <w:tblPr/>
      <w:tcPr>
        <w:shd w:val="clear" w:color="auto" w:fill="ACDEDB" w:themeFill="accent3" w:themeFillTint="7F"/>
      </w:tcPr>
    </w:tblStylePr>
  </w:style>
  <w:style w:type="table" w:styleId="MediumGrid1-Accent4">
    <w:name w:val="Medium Grid 1 Accent 4"/>
    <w:basedOn w:val="TableNormal"/>
    <w:uiPriority w:val="67"/>
    <w:semiHidden/>
    <w:unhideWhenUsed/>
    <w:pPr>
      <w:spacing w:before="0" w:after="0"/>
    </w:pPr>
    <w:tblPr>
      <w:tblStyleRowBandSize w:val="1"/>
      <w:tblStyleColBandSize w:val="1"/>
      <w:tblBorders>
        <w:top w:val="single" w:sz="8" w:space="0" w:color="FDCA66" w:themeColor="accent4" w:themeTint="BF"/>
        <w:left w:val="single" w:sz="8" w:space="0" w:color="FDCA66" w:themeColor="accent4" w:themeTint="BF"/>
        <w:bottom w:val="single" w:sz="8" w:space="0" w:color="FDCA66" w:themeColor="accent4" w:themeTint="BF"/>
        <w:right w:val="single" w:sz="8" w:space="0" w:color="FDCA66" w:themeColor="accent4" w:themeTint="BF"/>
        <w:insideH w:val="single" w:sz="8" w:space="0" w:color="FDCA66" w:themeColor="accent4" w:themeTint="BF"/>
        <w:insideV w:val="single" w:sz="8" w:space="0" w:color="FDCA66" w:themeColor="accent4" w:themeTint="BF"/>
      </w:tblBorders>
    </w:tblPr>
    <w:tcPr>
      <w:shd w:val="clear" w:color="auto" w:fill="FEEDCC" w:themeFill="accent4" w:themeFillTint="3F"/>
    </w:tcPr>
    <w:tblStylePr w:type="firstRow">
      <w:rPr>
        <w:b/>
        <w:bCs/>
      </w:rPr>
    </w:tblStylePr>
    <w:tblStylePr w:type="lastRow">
      <w:rPr>
        <w:b/>
        <w:bCs/>
      </w:rPr>
      <w:tblPr/>
      <w:tcPr>
        <w:tcBorders>
          <w:top w:val="single" w:sz="18" w:space="0" w:color="FDCA66" w:themeColor="accent4" w:themeTint="BF"/>
        </w:tcBorders>
      </w:tcPr>
    </w:tblStylePr>
    <w:tblStylePr w:type="firstCol">
      <w:rPr>
        <w:b/>
        <w:bCs/>
      </w:rPr>
    </w:tblStylePr>
    <w:tblStylePr w:type="lastCol">
      <w:rPr>
        <w:b/>
        <w:bCs/>
      </w:rPr>
    </w:tblStylePr>
    <w:tblStylePr w:type="band1Vert">
      <w:tblPr/>
      <w:tcPr>
        <w:shd w:val="clear" w:color="auto" w:fill="FEDC99" w:themeFill="accent4" w:themeFillTint="7F"/>
      </w:tcPr>
    </w:tblStylePr>
    <w:tblStylePr w:type="band1Horz">
      <w:tblPr/>
      <w:tcPr>
        <w:shd w:val="clear" w:color="auto" w:fill="FEDC99" w:themeFill="accent4" w:themeFillTint="7F"/>
      </w:tcPr>
    </w:tblStylePr>
  </w:style>
  <w:style w:type="table" w:styleId="MediumGrid1-Accent5">
    <w:name w:val="Medium Grid 1 Accent 5"/>
    <w:basedOn w:val="TableNormal"/>
    <w:uiPriority w:val="67"/>
    <w:semiHidden/>
    <w:unhideWhenUsed/>
    <w:pPr>
      <w:spacing w:before="0" w:after="0"/>
    </w:pPr>
    <w:tblPr>
      <w:tblStyleRowBandSize w:val="1"/>
      <w:tblStyleColBandSize w:val="1"/>
      <w:tblBorders>
        <w:top w:val="single" w:sz="8" w:space="0" w:color="90C190" w:themeColor="accent5" w:themeTint="BF"/>
        <w:left w:val="single" w:sz="8" w:space="0" w:color="90C190" w:themeColor="accent5" w:themeTint="BF"/>
        <w:bottom w:val="single" w:sz="8" w:space="0" w:color="90C190" w:themeColor="accent5" w:themeTint="BF"/>
        <w:right w:val="single" w:sz="8" w:space="0" w:color="90C190" w:themeColor="accent5" w:themeTint="BF"/>
        <w:insideH w:val="single" w:sz="8" w:space="0" w:color="90C190" w:themeColor="accent5" w:themeTint="BF"/>
        <w:insideV w:val="single" w:sz="8" w:space="0" w:color="90C190" w:themeColor="accent5" w:themeTint="BF"/>
      </w:tblBorders>
    </w:tblPr>
    <w:tcPr>
      <w:shd w:val="clear" w:color="auto" w:fill="DAEADA" w:themeFill="accent5" w:themeFillTint="3F"/>
    </w:tcPr>
    <w:tblStylePr w:type="firstRow">
      <w:rPr>
        <w:b/>
        <w:bCs/>
      </w:rPr>
    </w:tblStylePr>
    <w:tblStylePr w:type="lastRow">
      <w:rPr>
        <w:b/>
        <w:bCs/>
      </w:rPr>
      <w:tblPr/>
      <w:tcPr>
        <w:tcBorders>
          <w:top w:val="single" w:sz="18" w:space="0" w:color="90C190" w:themeColor="accent5" w:themeTint="BF"/>
        </w:tcBorders>
      </w:tcPr>
    </w:tblStylePr>
    <w:tblStylePr w:type="firstCol">
      <w:rPr>
        <w:b/>
        <w:bCs/>
      </w:rPr>
    </w:tblStylePr>
    <w:tblStylePr w:type="lastCol">
      <w:rPr>
        <w:b/>
        <w:bCs/>
      </w:rPr>
    </w:tblStylePr>
    <w:tblStylePr w:type="band1Vert">
      <w:tblPr/>
      <w:tcPr>
        <w:shd w:val="clear" w:color="auto" w:fill="B5D6B5" w:themeFill="accent5" w:themeFillTint="7F"/>
      </w:tcPr>
    </w:tblStylePr>
    <w:tblStylePr w:type="band1Horz">
      <w:tblPr/>
      <w:tcPr>
        <w:shd w:val="clear" w:color="auto" w:fill="B5D6B5" w:themeFill="accent5" w:themeFillTint="7F"/>
      </w:tcPr>
    </w:tblStylePr>
  </w:style>
  <w:style w:type="table" w:styleId="MediumGrid1-Accent6">
    <w:name w:val="Medium Grid 1 Accent 6"/>
    <w:basedOn w:val="TableNormal"/>
    <w:uiPriority w:val="67"/>
    <w:semiHidden/>
    <w:unhideWhenUsed/>
    <w:pPr>
      <w:spacing w:before="0" w:after="0"/>
    </w:pPr>
    <w:tblPr>
      <w:tblStyleRowBandSize w:val="1"/>
      <w:tblStyleColBandSize w:val="1"/>
      <w:tblBorders>
        <w:top w:val="single" w:sz="8" w:space="0" w:color="DB4E6A" w:themeColor="accent6" w:themeTint="BF"/>
        <w:left w:val="single" w:sz="8" w:space="0" w:color="DB4E6A" w:themeColor="accent6" w:themeTint="BF"/>
        <w:bottom w:val="single" w:sz="8" w:space="0" w:color="DB4E6A" w:themeColor="accent6" w:themeTint="BF"/>
        <w:right w:val="single" w:sz="8" w:space="0" w:color="DB4E6A" w:themeColor="accent6" w:themeTint="BF"/>
        <w:insideH w:val="single" w:sz="8" w:space="0" w:color="DB4E6A" w:themeColor="accent6" w:themeTint="BF"/>
        <w:insideV w:val="single" w:sz="8" w:space="0" w:color="DB4E6A" w:themeColor="accent6" w:themeTint="BF"/>
      </w:tblBorders>
    </w:tblPr>
    <w:tcPr>
      <w:shd w:val="clear" w:color="auto" w:fill="F3C4CD" w:themeFill="accent6" w:themeFillTint="3F"/>
    </w:tcPr>
    <w:tblStylePr w:type="firstRow">
      <w:rPr>
        <w:b/>
        <w:bCs/>
      </w:rPr>
    </w:tblStylePr>
    <w:tblStylePr w:type="lastRow">
      <w:rPr>
        <w:b/>
        <w:bCs/>
      </w:rPr>
      <w:tblPr/>
      <w:tcPr>
        <w:tcBorders>
          <w:top w:val="single" w:sz="18" w:space="0" w:color="DB4E6A" w:themeColor="accent6" w:themeTint="BF"/>
        </w:tcBorders>
      </w:tcPr>
    </w:tblStylePr>
    <w:tblStylePr w:type="firstCol">
      <w:rPr>
        <w:b/>
        <w:bCs/>
      </w:rPr>
    </w:tblStylePr>
    <w:tblStylePr w:type="lastCol">
      <w:rPr>
        <w:b/>
        <w:bCs/>
      </w:rPr>
    </w:tblStylePr>
    <w:tblStylePr w:type="band1Vert">
      <w:tblPr/>
      <w:tcPr>
        <w:shd w:val="clear" w:color="auto" w:fill="E7899B" w:themeFill="accent6" w:themeFillTint="7F"/>
      </w:tcPr>
    </w:tblStylePr>
    <w:tblStylePr w:type="band1Horz">
      <w:tblPr/>
      <w:tcPr>
        <w:shd w:val="clear" w:color="auto" w:fill="E7899B" w:themeFill="accent6" w:themeFillTint="7F"/>
      </w:tcPr>
    </w:tblStylePr>
  </w:style>
  <w:style w:type="table" w:styleId="MediumGrid2">
    <w:name w:val="Medium Grid 2"/>
    <w:basedOn w:val="TableNormal"/>
    <w:uiPriority w:val="68"/>
    <w:semiHidden/>
    <w:unhideWhenUsed/>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2847D" w:themeColor="accent1"/>
        <w:left w:val="single" w:sz="8" w:space="0" w:color="02847D" w:themeColor="accent1"/>
        <w:bottom w:val="single" w:sz="8" w:space="0" w:color="02847D" w:themeColor="accent1"/>
        <w:right w:val="single" w:sz="8" w:space="0" w:color="02847D" w:themeColor="accent1"/>
        <w:insideH w:val="single" w:sz="8" w:space="0" w:color="02847D" w:themeColor="accent1"/>
        <w:insideV w:val="single" w:sz="8" w:space="0" w:color="02847D" w:themeColor="accent1"/>
      </w:tblBorders>
    </w:tblPr>
    <w:tcPr>
      <w:shd w:val="clear" w:color="auto" w:fill="A3FDF8" w:themeFill="accent1" w:themeFillTint="3F"/>
    </w:tcPr>
    <w:tblStylePr w:type="firstRow">
      <w:rPr>
        <w:b/>
        <w:bCs/>
        <w:color w:val="000000" w:themeColor="text1"/>
      </w:rPr>
      <w:tblPr/>
      <w:tcPr>
        <w:shd w:val="clear" w:color="auto" w:fill="DAFE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EF9" w:themeFill="accent1" w:themeFillTint="33"/>
      </w:tcPr>
    </w:tblStylePr>
    <w:tblStylePr w:type="band1Vert">
      <w:tblPr/>
      <w:tcPr>
        <w:shd w:val="clear" w:color="auto" w:fill="46FCF2" w:themeFill="accent1" w:themeFillTint="7F"/>
      </w:tcPr>
    </w:tblStylePr>
    <w:tblStylePr w:type="band1Horz">
      <w:tblPr/>
      <w:tcPr>
        <w:tcBorders>
          <w:insideH w:val="single" w:sz="6" w:space="0" w:color="02847D" w:themeColor="accent1"/>
          <w:insideV w:val="single" w:sz="6" w:space="0" w:color="02847D" w:themeColor="accent1"/>
        </w:tcBorders>
        <w:shd w:val="clear" w:color="auto" w:fill="46FCF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6E44" w:themeColor="accent2"/>
        <w:left w:val="single" w:sz="8" w:space="0" w:color="F36E44" w:themeColor="accent2"/>
        <w:bottom w:val="single" w:sz="8" w:space="0" w:color="F36E44" w:themeColor="accent2"/>
        <w:right w:val="single" w:sz="8" w:space="0" w:color="F36E44" w:themeColor="accent2"/>
        <w:insideH w:val="single" w:sz="8" w:space="0" w:color="F36E44" w:themeColor="accent2"/>
        <w:insideV w:val="single" w:sz="8" w:space="0" w:color="F36E44" w:themeColor="accent2"/>
      </w:tblBorders>
    </w:tblPr>
    <w:tcPr>
      <w:shd w:val="clear" w:color="auto" w:fill="FCDAD0" w:themeFill="accent2" w:themeFillTint="3F"/>
    </w:tcPr>
    <w:tblStylePr w:type="firstRow">
      <w:rPr>
        <w:b/>
        <w:bCs/>
        <w:color w:val="000000" w:themeColor="text1"/>
      </w:rPr>
      <w:tblPr/>
      <w:tcPr>
        <w:shd w:val="clear" w:color="auto" w:fill="FDF0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1D9" w:themeFill="accent2" w:themeFillTint="33"/>
      </w:tcPr>
    </w:tblStylePr>
    <w:tblStylePr w:type="band1Vert">
      <w:tblPr/>
      <w:tcPr>
        <w:shd w:val="clear" w:color="auto" w:fill="F9B6A1" w:themeFill="accent2" w:themeFillTint="7F"/>
      </w:tcPr>
    </w:tblStylePr>
    <w:tblStylePr w:type="band1Horz">
      <w:tblPr/>
      <w:tcPr>
        <w:tcBorders>
          <w:insideH w:val="single" w:sz="6" w:space="0" w:color="F36E44" w:themeColor="accent2"/>
          <w:insideV w:val="single" w:sz="6" w:space="0" w:color="F36E44" w:themeColor="accent2"/>
        </w:tcBorders>
        <w:shd w:val="clear" w:color="auto" w:fill="F9B6A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59BDB8" w:themeColor="accent3"/>
        <w:left w:val="single" w:sz="8" w:space="0" w:color="59BDB8" w:themeColor="accent3"/>
        <w:bottom w:val="single" w:sz="8" w:space="0" w:color="59BDB8" w:themeColor="accent3"/>
        <w:right w:val="single" w:sz="8" w:space="0" w:color="59BDB8" w:themeColor="accent3"/>
        <w:insideH w:val="single" w:sz="8" w:space="0" w:color="59BDB8" w:themeColor="accent3"/>
        <w:insideV w:val="single" w:sz="8" w:space="0" w:color="59BDB8" w:themeColor="accent3"/>
      </w:tblBorders>
    </w:tblPr>
    <w:tcPr>
      <w:shd w:val="clear" w:color="auto" w:fill="D5EEED" w:themeFill="accent3" w:themeFillTint="3F"/>
    </w:tcPr>
    <w:tblStylePr w:type="firstRow">
      <w:rPr>
        <w:b/>
        <w:bCs/>
        <w:color w:val="000000" w:themeColor="text1"/>
      </w:rPr>
      <w:tblPr/>
      <w:tcPr>
        <w:shd w:val="clear" w:color="auto" w:fill="EEF8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F0" w:themeFill="accent3" w:themeFillTint="33"/>
      </w:tcPr>
    </w:tblStylePr>
    <w:tblStylePr w:type="band1Vert">
      <w:tblPr/>
      <w:tcPr>
        <w:shd w:val="clear" w:color="auto" w:fill="ACDEDB" w:themeFill="accent3" w:themeFillTint="7F"/>
      </w:tcPr>
    </w:tblStylePr>
    <w:tblStylePr w:type="band1Horz">
      <w:tblPr/>
      <w:tcPr>
        <w:tcBorders>
          <w:insideH w:val="single" w:sz="6" w:space="0" w:color="59BDB8" w:themeColor="accent3"/>
          <w:insideV w:val="single" w:sz="6" w:space="0" w:color="59BDB8" w:themeColor="accent3"/>
        </w:tcBorders>
        <w:shd w:val="clear" w:color="auto" w:fill="ACDED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DB933" w:themeColor="accent4"/>
        <w:left w:val="single" w:sz="8" w:space="0" w:color="FDB933" w:themeColor="accent4"/>
        <w:bottom w:val="single" w:sz="8" w:space="0" w:color="FDB933" w:themeColor="accent4"/>
        <w:right w:val="single" w:sz="8" w:space="0" w:color="FDB933" w:themeColor="accent4"/>
        <w:insideH w:val="single" w:sz="8" w:space="0" w:color="FDB933" w:themeColor="accent4"/>
        <w:insideV w:val="single" w:sz="8" w:space="0" w:color="FDB933" w:themeColor="accent4"/>
      </w:tblBorders>
    </w:tblPr>
    <w:tcPr>
      <w:shd w:val="clear" w:color="auto" w:fill="FEEDCC" w:themeFill="accent4" w:themeFillTint="3F"/>
    </w:tcPr>
    <w:tblStylePr w:type="firstRow">
      <w:rPr>
        <w:b/>
        <w:bCs/>
        <w:color w:val="000000" w:themeColor="text1"/>
      </w:rPr>
      <w:tblPr/>
      <w:tcPr>
        <w:shd w:val="clear" w:color="auto" w:fill="FEF8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0D6" w:themeFill="accent4" w:themeFillTint="33"/>
      </w:tcPr>
    </w:tblStylePr>
    <w:tblStylePr w:type="band1Vert">
      <w:tblPr/>
      <w:tcPr>
        <w:shd w:val="clear" w:color="auto" w:fill="FEDC99" w:themeFill="accent4" w:themeFillTint="7F"/>
      </w:tcPr>
    </w:tblStylePr>
    <w:tblStylePr w:type="band1Horz">
      <w:tblPr/>
      <w:tcPr>
        <w:tcBorders>
          <w:insideH w:val="single" w:sz="6" w:space="0" w:color="FDB933" w:themeColor="accent4"/>
          <w:insideV w:val="single" w:sz="6" w:space="0" w:color="FDB933" w:themeColor="accent4"/>
        </w:tcBorders>
        <w:shd w:val="clear" w:color="auto" w:fill="FEDC9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AD6C" w:themeColor="accent5"/>
        <w:left w:val="single" w:sz="8" w:space="0" w:color="6CAD6C" w:themeColor="accent5"/>
        <w:bottom w:val="single" w:sz="8" w:space="0" w:color="6CAD6C" w:themeColor="accent5"/>
        <w:right w:val="single" w:sz="8" w:space="0" w:color="6CAD6C" w:themeColor="accent5"/>
        <w:insideH w:val="single" w:sz="8" w:space="0" w:color="6CAD6C" w:themeColor="accent5"/>
        <w:insideV w:val="single" w:sz="8" w:space="0" w:color="6CAD6C" w:themeColor="accent5"/>
      </w:tblBorders>
    </w:tblPr>
    <w:tcPr>
      <w:shd w:val="clear" w:color="auto" w:fill="DAEADA" w:themeFill="accent5" w:themeFillTint="3F"/>
    </w:tcPr>
    <w:tblStylePr w:type="firstRow">
      <w:rPr>
        <w:b/>
        <w:bCs/>
        <w:color w:val="000000" w:themeColor="text1"/>
      </w:rPr>
      <w:tblPr/>
      <w:tcPr>
        <w:shd w:val="clear" w:color="auto" w:fill="F0F7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EE1" w:themeFill="accent5" w:themeFillTint="33"/>
      </w:tcPr>
    </w:tblStylePr>
    <w:tblStylePr w:type="band1Vert">
      <w:tblPr/>
      <w:tcPr>
        <w:shd w:val="clear" w:color="auto" w:fill="B5D6B5" w:themeFill="accent5" w:themeFillTint="7F"/>
      </w:tcPr>
    </w:tblStylePr>
    <w:tblStylePr w:type="band1Horz">
      <w:tblPr/>
      <w:tcPr>
        <w:tcBorders>
          <w:insideH w:val="single" w:sz="6" w:space="0" w:color="6CAD6C" w:themeColor="accent5"/>
          <w:insideV w:val="single" w:sz="6" w:space="0" w:color="6CAD6C" w:themeColor="accent5"/>
        </w:tcBorders>
        <w:shd w:val="clear" w:color="auto" w:fill="B5D6B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D2644" w:themeColor="accent6"/>
        <w:left w:val="single" w:sz="8" w:space="0" w:color="BD2644" w:themeColor="accent6"/>
        <w:bottom w:val="single" w:sz="8" w:space="0" w:color="BD2644" w:themeColor="accent6"/>
        <w:right w:val="single" w:sz="8" w:space="0" w:color="BD2644" w:themeColor="accent6"/>
        <w:insideH w:val="single" w:sz="8" w:space="0" w:color="BD2644" w:themeColor="accent6"/>
        <w:insideV w:val="single" w:sz="8" w:space="0" w:color="BD2644" w:themeColor="accent6"/>
      </w:tblBorders>
    </w:tblPr>
    <w:tcPr>
      <w:shd w:val="clear" w:color="auto" w:fill="F3C4CD" w:themeFill="accent6" w:themeFillTint="3F"/>
    </w:tcPr>
    <w:tblStylePr w:type="firstRow">
      <w:rPr>
        <w:b/>
        <w:bCs/>
        <w:color w:val="000000" w:themeColor="text1"/>
      </w:rPr>
      <w:tblPr/>
      <w:tcPr>
        <w:shd w:val="clear" w:color="auto" w:fill="FAE7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CFD7" w:themeFill="accent6" w:themeFillTint="33"/>
      </w:tcPr>
    </w:tblStylePr>
    <w:tblStylePr w:type="band1Vert">
      <w:tblPr/>
      <w:tcPr>
        <w:shd w:val="clear" w:color="auto" w:fill="E7899B" w:themeFill="accent6" w:themeFillTint="7F"/>
      </w:tcPr>
    </w:tblStylePr>
    <w:tblStylePr w:type="band1Horz">
      <w:tblPr/>
      <w:tcPr>
        <w:tcBorders>
          <w:insideH w:val="single" w:sz="6" w:space="0" w:color="BD2644" w:themeColor="accent6"/>
          <w:insideV w:val="single" w:sz="6" w:space="0" w:color="BD2644" w:themeColor="accent6"/>
        </w:tcBorders>
        <w:shd w:val="clear" w:color="auto" w:fill="E7899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FDF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847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847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847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847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FCF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FCF2" w:themeFill="accent1" w:themeFillTint="7F"/>
      </w:tcPr>
    </w:tblStylePr>
  </w:style>
  <w:style w:type="table" w:styleId="MediumGrid3-Accent2">
    <w:name w:val="Medium Grid 3 Accent 2"/>
    <w:basedOn w:val="TableNormal"/>
    <w:uiPriority w:val="69"/>
    <w:semiHidden/>
    <w:unhideWhenUsed/>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AD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6E4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6E4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6E4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6E4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B6A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B6A1" w:themeFill="accent2" w:themeFillTint="7F"/>
      </w:tcPr>
    </w:tblStylePr>
  </w:style>
  <w:style w:type="table" w:styleId="MediumGrid3-Accent3">
    <w:name w:val="Medium Grid 3 Accent 3"/>
    <w:basedOn w:val="TableNormal"/>
    <w:uiPriority w:val="69"/>
    <w:semiHidden/>
    <w:unhideWhenUsed/>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E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BDB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BDB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BDB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BDB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ED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EDB" w:themeFill="accent3" w:themeFillTint="7F"/>
      </w:tcPr>
    </w:tblStylePr>
  </w:style>
  <w:style w:type="table" w:styleId="MediumGrid3-Accent4">
    <w:name w:val="Medium Grid 3 Accent 4"/>
    <w:basedOn w:val="TableNormal"/>
    <w:uiPriority w:val="69"/>
    <w:semiHidden/>
    <w:unhideWhenUsed/>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D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B93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B93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B93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B93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C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C99" w:themeFill="accent4" w:themeFillTint="7F"/>
      </w:tcPr>
    </w:tblStylePr>
  </w:style>
  <w:style w:type="table" w:styleId="MediumGrid3-Accent5">
    <w:name w:val="Medium Grid 3 Accent 5"/>
    <w:basedOn w:val="TableNormal"/>
    <w:uiPriority w:val="69"/>
    <w:semiHidden/>
    <w:unhideWhenUsed/>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AD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AD6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AD6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AD6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AD6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D6B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D6B5" w:themeFill="accent5" w:themeFillTint="7F"/>
      </w:tcPr>
    </w:tblStylePr>
  </w:style>
  <w:style w:type="table" w:styleId="MediumGrid3-Accent6">
    <w:name w:val="Medium Grid 3 Accent 6"/>
    <w:basedOn w:val="TableNormal"/>
    <w:uiPriority w:val="69"/>
    <w:semiHidden/>
    <w:unhideWhenUsed/>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4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26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26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26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26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899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899B" w:themeFill="accent6" w:themeFillTint="7F"/>
      </w:tcPr>
    </w:tblStylePr>
  </w:style>
  <w:style w:type="table" w:styleId="MediumList1">
    <w:name w:val="Medium List 1"/>
    <w:basedOn w:val="TableNormal"/>
    <w:uiPriority w:val="65"/>
    <w:semiHidden/>
    <w:unhideWhenUsed/>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45F9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after="0"/>
    </w:pPr>
    <w:rPr>
      <w:color w:val="000000" w:themeColor="text1"/>
    </w:rPr>
    <w:tblPr>
      <w:tblStyleRowBandSize w:val="1"/>
      <w:tblStyleColBandSize w:val="1"/>
      <w:tblBorders>
        <w:top w:val="single" w:sz="8" w:space="0" w:color="02847D" w:themeColor="accent1"/>
        <w:bottom w:val="single" w:sz="8" w:space="0" w:color="02847D" w:themeColor="accent1"/>
      </w:tblBorders>
    </w:tblPr>
    <w:tblStylePr w:type="firstRow">
      <w:rPr>
        <w:rFonts w:asciiTheme="majorHAnsi" w:eastAsiaTheme="majorEastAsia" w:hAnsiTheme="majorHAnsi" w:cstheme="majorBidi"/>
      </w:rPr>
      <w:tblPr/>
      <w:tcPr>
        <w:tcBorders>
          <w:top w:val="nil"/>
          <w:bottom w:val="single" w:sz="8" w:space="0" w:color="02847D" w:themeColor="accent1"/>
        </w:tcBorders>
      </w:tcPr>
    </w:tblStylePr>
    <w:tblStylePr w:type="lastRow">
      <w:rPr>
        <w:b/>
        <w:bCs/>
        <w:color w:val="245F95" w:themeColor="text2"/>
      </w:rPr>
      <w:tblPr/>
      <w:tcPr>
        <w:tcBorders>
          <w:top w:val="single" w:sz="8" w:space="0" w:color="02847D" w:themeColor="accent1"/>
          <w:bottom w:val="single" w:sz="8" w:space="0" w:color="02847D" w:themeColor="accent1"/>
        </w:tcBorders>
      </w:tcPr>
    </w:tblStylePr>
    <w:tblStylePr w:type="firstCol">
      <w:rPr>
        <w:b/>
        <w:bCs/>
      </w:rPr>
    </w:tblStylePr>
    <w:tblStylePr w:type="lastCol">
      <w:rPr>
        <w:b/>
        <w:bCs/>
      </w:rPr>
      <w:tblPr/>
      <w:tcPr>
        <w:tcBorders>
          <w:top w:val="single" w:sz="8" w:space="0" w:color="02847D" w:themeColor="accent1"/>
          <w:bottom w:val="single" w:sz="8" w:space="0" w:color="02847D" w:themeColor="accent1"/>
        </w:tcBorders>
      </w:tcPr>
    </w:tblStylePr>
    <w:tblStylePr w:type="band1Vert">
      <w:tblPr/>
      <w:tcPr>
        <w:shd w:val="clear" w:color="auto" w:fill="A3FDF8" w:themeFill="accent1" w:themeFillTint="3F"/>
      </w:tcPr>
    </w:tblStylePr>
    <w:tblStylePr w:type="band1Horz">
      <w:tblPr/>
      <w:tcPr>
        <w:shd w:val="clear" w:color="auto" w:fill="A3FDF8" w:themeFill="accent1" w:themeFillTint="3F"/>
      </w:tcPr>
    </w:tblStylePr>
  </w:style>
  <w:style w:type="table" w:styleId="MediumList1-Accent2">
    <w:name w:val="Medium List 1 Accent 2"/>
    <w:basedOn w:val="TableNormal"/>
    <w:uiPriority w:val="65"/>
    <w:semiHidden/>
    <w:unhideWhenUsed/>
    <w:pPr>
      <w:spacing w:before="0" w:after="0"/>
    </w:pPr>
    <w:rPr>
      <w:color w:val="000000" w:themeColor="text1"/>
    </w:rPr>
    <w:tblPr>
      <w:tblStyleRowBandSize w:val="1"/>
      <w:tblStyleColBandSize w:val="1"/>
      <w:tblBorders>
        <w:top w:val="single" w:sz="8" w:space="0" w:color="F36E44" w:themeColor="accent2"/>
        <w:bottom w:val="single" w:sz="8" w:space="0" w:color="F36E44" w:themeColor="accent2"/>
      </w:tblBorders>
    </w:tblPr>
    <w:tblStylePr w:type="firstRow">
      <w:rPr>
        <w:rFonts w:asciiTheme="majorHAnsi" w:eastAsiaTheme="majorEastAsia" w:hAnsiTheme="majorHAnsi" w:cstheme="majorBidi"/>
      </w:rPr>
      <w:tblPr/>
      <w:tcPr>
        <w:tcBorders>
          <w:top w:val="nil"/>
          <w:bottom w:val="single" w:sz="8" w:space="0" w:color="F36E44" w:themeColor="accent2"/>
        </w:tcBorders>
      </w:tcPr>
    </w:tblStylePr>
    <w:tblStylePr w:type="lastRow">
      <w:rPr>
        <w:b/>
        <w:bCs/>
        <w:color w:val="245F95" w:themeColor="text2"/>
      </w:rPr>
      <w:tblPr/>
      <w:tcPr>
        <w:tcBorders>
          <w:top w:val="single" w:sz="8" w:space="0" w:color="F36E44" w:themeColor="accent2"/>
          <w:bottom w:val="single" w:sz="8" w:space="0" w:color="F36E44" w:themeColor="accent2"/>
        </w:tcBorders>
      </w:tcPr>
    </w:tblStylePr>
    <w:tblStylePr w:type="firstCol">
      <w:rPr>
        <w:b/>
        <w:bCs/>
      </w:rPr>
    </w:tblStylePr>
    <w:tblStylePr w:type="lastCol">
      <w:rPr>
        <w:b/>
        <w:bCs/>
      </w:rPr>
      <w:tblPr/>
      <w:tcPr>
        <w:tcBorders>
          <w:top w:val="single" w:sz="8" w:space="0" w:color="F36E44" w:themeColor="accent2"/>
          <w:bottom w:val="single" w:sz="8" w:space="0" w:color="F36E44" w:themeColor="accent2"/>
        </w:tcBorders>
      </w:tcPr>
    </w:tblStylePr>
    <w:tblStylePr w:type="band1Vert">
      <w:tblPr/>
      <w:tcPr>
        <w:shd w:val="clear" w:color="auto" w:fill="FCDAD0" w:themeFill="accent2" w:themeFillTint="3F"/>
      </w:tcPr>
    </w:tblStylePr>
    <w:tblStylePr w:type="band1Horz">
      <w:tblPr/>
      <w:tcPr>
        <w:shd w:val="clear" w:color="auto" w:fill="FCDAD0" w:themeFill="accent2" w:themeFillTint="3F"/>
      </w:tcPr>
    </w:tblStylePr>
  </w:style>
  <w:style w:type="table" w:styleId="MediumList1-Accent3">
    <w:name w:val="Medium List 1 Accent 3"/>
    <w:basedOn w:val="TableNormal"/>
    <w:uiPriority w:val="65"/>
    <w:semiHidden/>
    <w:unhideWhenUsed/>
    <w:pPr>
      <w:spacing w:before="0" w:after="0"/>
    </w:pPr>
    <w:rPr>
      <w:color w:val="000000" w:themeColor="text1"/>
    </w:rPr>
    <w:tblPr>
      <w:tblStyleRowBandSize w:val="1"/>
      <w:tblStyleColBandSize w:val="1"/>
      <w:tblBorders>
        <w:top w:val="single" w:sz="8" w:space="0" w:color="59BDB8" w:themeColor="accent3"/>
        <w:bottom w:val="single" w:sz="8" w:space="0" w:color="59BDB8" w:themeColor="accent3"/>
      </w:tblBorders>
    </w:tblPr>
    <w:tblStylePr w:type="firstRow">
      <w:rPr>
        <w:rFonts w:asciiTheme="majorHAnsi" w:eastAsiaTheme="majorEastAsia" w:hAnsiTheme="majorHAnsi" w:cstheme="majorBidi"/>
      </w:rPr>
      <w:tblPr/>
      <w:tcPr>
        <w:tcBorders>
          <w:top w:val="nil"/>
          <w:bottom w:val="single" w:sz="8" w:space="0" w:color="59BDB8" w:themeColor="accent3"/>
        </w:tcBorders>
      </w:tcPr>
    </w:tblStylePr>
    <w:tblStylePr w:type="lastRow">
      <w:rPr>
        <w:b/>
        <w:bCs/>
        <w:color w:val="245F95" w:themeColor="text2"/>
      </w:rPr>
      <w:tblPr/>
      <w:tcPr>
        <w:tcBorders>
          <w:top w:val="single" w:sz="8" w:space="0" w:color="59BDB8" w:themeColor="accent3"/>
          <w:bottom w:val="single" w:sz="8" w:space="0" w:color="59BDB8" w:themeColor="accent3"/>
        </w:tcBorders>
      </w:tcPr>
    </w:tblStylePr>
    <w:tblStylePr w:type="firstCol">
      <w:rPr>
        <w:b/>
        <w:bCs/>
      </w:rPr>
    </w:tblStylePr>
    <w:tblStylePr w:type="lastCol">
      <w:rPr>
        <w:b/>
        <w:bCs/>
      </w:rPr>
      <w:tblPr/>
      <w:tcPr>
        <w:tcBorders>
          <w:top w:val="single" w:sz="8" w:space="0" w:color="59BDB8" w:themeColor="accent3"/>
          <w:bottom w:val="single" w:sz="8" w:space="0" w:color="59BDB8" w:themeColor="accent3"/>
        </w:tcBorders>
      </w:tcPr>
    </w:tblStylePr>
    <w:tblStylePr w:type="band1Vert">
      <w:tblPr/>
      <w:tcPr>
        <w:shd w:val="clear" w:color="auto" w:fill="D5EEED" w:themeFill="accent3" w:themeFillTint="3F"/>
      </w:tcPr>
    </w:tblStylePr>
    <w:tblStylePr w:type="band1Horz">
      <w:tblPr/>
      <w:tcPr>
        <w:shd w:val="clear" w:color="auto" w:fill="D5EEED" w:themeFill="accent3" w:themeFillTint="3F"/>
      </w:tcPr>
    </w:tblStylePr>
  </w:style>
  <w:style w:type="table" w:styleId="MediumList1-Accent4">
    <w:name w:val="Medium List 1 Accent 4"/>
    <w:basedOn w:val="TableNormal"/>
    <w:uiPriority w:val="65"/>
    <w:semiHidden/>
    <w:unhideWhenUsed/>
    <w:pPr>
      <w:spacing w:before="0" w:after="0"/>
    </w:pPr>
    <w:rPr>
      <w:color w:val="000000" w:themeColor="text1"/>
    </w:rPr>
    <w:tblPr>
      <w:tblStyleRowBandSize w:val="1"/>
      <w:tblStyleColBandSize w:val="1"/>
      <w:tblBorders>
        <w:top w:val="single" w:sz="8" w:space="0" w:color="FDB933" w:themeColor="accent4"/>
        <w:bottom w:val="single" w:sz="8" w:space="0" w:color="FDB933" w:themeColor="accent4"/>
      </w:tblBorders>
    </w:tblPr>
    <w:tblStylePr w:type="firstRow">
      <w:rPr>
        <w:rFonts w:asciiTheme="majorHAnsi" w:eastAsiaTheme="majorEastAsia" w:hAnsiTheme="majorHAnsi" w:cstheme="majorBidi"/>
      </w:rPr>
      <w:tblPr/>
      <w:tcPr>
        <w:tcBorders>
          <w:top w:val="nil"/>
          <w:bottom w:val="single" w:sz="8" w:space="0" w:color="FDB933" w:themeColor="accent4"/>
        </w:tcBorders>
      </w:tcPr>
    </w:tblStylePr>
    <w:tblStylePr w:type="lastRow">
      <w:rPr>
        <w:b/>
        <w:bCs/>
        <w:color w:val="245F95" w:themeColor="text2"/>
      </w:rPr>
      <w:tblPr/>
      <w:tcPr>
        <w:tcBorders>
          <w:top w:val="single" w:sz="8" w:space="0" w:color="FDB933" w:themeColor="accent4"/>
          <w:bottom w:val="single" w:sz="8" w:space="0" w:color="FDB933" w:themeColor="accent4"/>
        </w:tcBorders>
      </w:tcPr>
    </w:tblStylePr>
    <w:tblStylePr w:type="firstCol">
      <w:rPr>
        <w:b/>
        <w:bCs/>
      </w:rPr>
    </w:tblStylePr>
    <w:tblStylePr w:type="lastCol">
      <w:rPr>
        <w:b/>
        <w:bCs/>
      </w:rPr>
      <w:tblPr/>
      <w:tcPr>
        <w:tcBorders>
          <w:top w:val="single" w:sz="8" w:space="0" w:color="FDB933" w:themeColor="accent4"/>
          <w:bottom w:val="single" w:sz="8" w:space="0" w:color="FDB933" w:themeColor="accent4"/>
        </w:tcBorders>
      </w:tcPr>
    </w:tblStylePr>
    <w:tblStylePr w:type="band1Vert">
      <w:tblPr/>
      <w:tcPr>
        <w:shd w:val="clear" w:color="auto" w:fill="FEEDCC" w:themeFill="accent4" w:themeFillTint="3F"/>
      </w:tcPr>
    </w:tblStylePr>
    <w:tblStylePr w:type="band1Horz">
      <w:tblPr/>
      <w:tcPr>
        <w:shd w:val="clear" w:color="auto" w:fill="FEEDCC" w:themeFill="accent4" w:themeFillTint="3F"/>
      </w:tcPr>
    </w:tblStylePr>
  </w:style>
  <w:style w:type="table" w:styleId="MediumList1-Accent5">
    <w:name w:val="Medium List 1 Accent 5"/>
    <w:basedOn w:val="TableNormal"/>
    <w:uiPriority w:val="65"/>
    <w:semiHidden/>
    <w:unhideWhenUsed/>
    <w:pPr>
      <w:spacing w:before="0" w:after="0"/>
    </w:pPr>
    <w:rPr>
      <w:color w:val="000000" w:themeColor="text1"/>
    </w:rPr>
    <w:tblPr>
      <w:tblStyleRowBandSize w:val="1"/>
      <w:tblStyleColBandSize w:val="1"/>
      <w:tblBorders>
        <w:top w:val="single" w:sz="8" w:space="0" w:color="6CAD6C" w:themeColor="accent5"/>
        <w:bottom w:val="single" w:sz="8" w:space="0" w:color="6CAD6C" w:themeColor="accent5"/>
      </w:tblBorders>
    </w:tblPr>
    <w:tblStylePr w:type="firstRow">
      <w:rPr>
        <w:rFonts w:asciiTheme="majorHAnsi" w:eastAsiaTheme="majorEastAsia" w:hAnsiTheme="majorHAnsi" w:cstheme="majorBidi"/>
      </w:rPr>
      <w:tblPr/>
      <w:tcPr>
        <w:tcBorders>
          <w:top w:val="nil"/>
          <w:bottom w:val="single" w:sz="8" w:space="0" w:color="6CAD6C" w:themeColor="accent5"/>
        </w:tcBorders>
      </w:tcPr>
    </w:tblStylePr>
    <w:tblStylePr w:type="lastRow">
      <w:rPr>
        <w:b/>
        <w:bCs/>
        <w:color w:val="245F95" w:themeColor="text2"/>
      </w:rPr>
      <w:tblPr/>
      <w:tcPr>
        <w:tcBorders>
          <w:top w:val="single" w:sz="8" w:space="0" w:color="6CAD6C" w:themeColor="accent5"/>
          <w:bottom w:val="single" w:sz="8" w:space="0" w:color="6CAD6C" w:themeColor="accent5"/>
        </w:tcBorders>
      </w:tcPr>
    </w:tblStylePr>
    <w:tblStylePr w:type="firstCol">
      <w:rPr>
        <w:b/>
        <w:bCs/>
      </w:rPr>
    </w:tblStylePr>
    <w:tblStylePr w:type="lastCol">
      <w:rPr>
        <w:b/>
        <w:bCs/>
      </w:rPr>
      <w:tblPr/>
      <w:tcPr>
        <w:tcBorders>
          <w:top w:val="single" w:sz="8" w:space="0" w:color="6CAD6C" w:themeColor="accent5"/>
          <w:bottom w:val="single" w:sz="8" w:space="0" w:color="6CAD6C" w:themeColor="accent5"/>
        </w:tcBorders>
      </w:tcPr>
    </w:tblStylePr>
    <w:tblStylePr w:type="band1Vert">
      <w:tblPr/>
      <w:tcPr>
        <w:shd w:val="clear" w:color="auto" w:fill="DAEADA" w:themeFill="accent5" w:themeFillTint="3F"/>
      </w:tcPr>
    </w:tblStylePr>
    <w:tblStylePr w:type="band1Horz">
      <w:tblPr/>
      <w:tcPr>
        <w:shd w:val="clear" w:color="auto" w:fill="DAEADA" w:themeFill="accent5" w:themeFillTint="3F"/>
      </w:tcPr>
    </w:tblStylePr>
  </w:style>
  <w:style w:type="table" w:styleId="MediumList1-Accent6">
    <w:name w:val="Medium List 1 Accent 6"/>
    <w:basedOn w:val="TableNormal"/>
    <w:uiPriority w:val="65"/>
    <w:semiHidden/>
    <w:unhideWhenUsed/>
    <w:pPr>
      <w:spacing w:before="0" w:after="0"/>
    </w:pPr>
    <w:rPr>
      <w:color w:val="000000" w:themeColor="text1"/>
    </w:rPr>
    <w:tblPr>
      <w:tblStyleRowBandSize w:val="1"/>
      <w:tblStyleColBandSize w:val="1"/>
      <w:tblBorders>
        <w:top w:val="single" w:sz="8" w:space="0" w:color="BD2644" w:themeColor="accent6"/>
        <w:bottom w:val="single" w:sz="8" w:space="0" w:color="BD2644" w:themeColor="accent6"/>
      </w:tblBorders>
    </w:tblPr>
    <w:tblStylePr w:type="firstRow">
      <w:rPr>
        <w:rFonts w:asciiTheme="majorHAnsi" w:eastAsiaTheme="majorEastAsia" w:hAnsiTheme="majorHAnsi" w:cstheme="majorBidi"/>
      </w:rPr>
      <w:tblPr/>
      <w:tcPr>
        <w:tcBorders>
          <w:top w:val="nil"/>
          <w:bottom w:val="single" w:sz="8" w:space="0" w:color="BD2644" w:themeColor="accent6"/>
        </w:tcBorders>
      </w:tcPr>
    </w:tblStylePr>
    <w:tblStylePr w:type="lastRow">
      <w:rPr>
        <w:b/>
        <w:bCs/>
        <w:color w:val="245F95" w:themeColor="text2"/>
      </w:rPr>
      <w:tblPr/>
      <w:tcPr>
        <w:tcBorders>
          <w:top w:val="single" w:sz="8" w:space="0" w:color="BD2644" w:themeColor="accent6"/>
          <w:bottom w:val="single" w:sz="8" w:space="0" w:color="BD2644" w:themeColor="accent6"/>
        </w:tcBorders>
      </w:tcPr>
    </w:tblStylePr>
    <w:tblStylePr w:type="firstCol">
      <w:rPr>
        <w:b/>
        <w:bCs/>
      </w:rPr>
    </w:tblStylePr>
    <w:tblStylePr w:type="lastCol">
      <w:rPr>
        <w:b/>
        <w:bCs/>
      </w:rPr>
      <w:tblPr/>
      <w:tcPr>
        <w:tcBorders>
          <w:top w:val="single" w:sz="8" w:space="0" w:color="BD2644" w:themeColor="accent6"/>
          <w:bottom w:val="single" w:sz="8" w:space="0" w:color="BD2644" w:themeColor="accent6"/>
        </w:tcBorders>
      </w:tcPr>
    </w:tblStylePr>
    <w:tblStylePr w:type="band1Vert">
      <w:tblPr/>
      <w:tcPr>
        <w:shd w:val="clear" w:color="auto" w:fill="F3C4CD" w:themeFill="accent6" w:themeFillTint="3F"/>
      </w:tcPr>
    </w:tblStylePr>
    <w:tblStylePr w:type="band1Horz">
      <w:tblPr/>
      <w:tcPr>
        <w:shd w:val="clear" w:color="auto" w:fill="F3C4CD" w:themeFill="accent6" w:themeFillTint="3F"/>
      </w:tcPr>
    </w:tblStylePr>
  </w:style>
  <w:style w:type="table" w:styleId="MediumList2">
    <w:name w:val="Medium List 2"/>
    <w:basedOn w:val="TableNormal"/>
    <w:uiPriority w:val="66"/>
    <w:semiHidden/>
    <w:unhideWhenUsed/>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2847D" w:themeColor="accent1"/>
        <w:left w:val="single" w:sz="8" w:space="0" w:color="02847D" w:themeColor="accent1"/>
        <w:bottom w:val="single" w:sz="8" w:space="0" w:color="02847D" w:themeColor="accent1"/>
        <w:right w:val="single" w:sz="8" w:space="0" w:color="02847D" w:themeColor="accent1"/>
      </w:tblBorders>
    </w:tblPr>
    <w:tblStylePr w:type="firstRow">
      <w:rPr>
        <w:sz w:val="24"/>
        <w:szCs w:val="24"/>
      </w:rPr>
      <w:tblPr/>
      <w:tcPr>
        <w:tcBorders>
          <w:top w:val="nil"/>
          <w:left w:val="nil"/>
          <w:bottom w:val="single" w:sz="24" w:space="0" w:color="02847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847D" w:themeColor="accent1"/>
          <w:insideH w:val="nil"/>
          <w:insideV w:val="nil"/>
        </w:tcBorders>
        <w:shd w:val="clear" w:color="auto" w:fill="FFFFFF" w:themeFill="background1"/>
      </w:tcPr>
    </w:tblStylePr>
    <w:tblStylePr w:type="lastCol">
      <w:tblPr/>
      <w:tcPr>
        <w:tcBorders>
          <w:top w:val="nil"/>
          <w:left w:val="single" w:sz="8" w:space="0" w:color="02847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FDF8" w:themeFill="accent1" w:themeFillTint="3F"/>
      </w:tcPr>
    </w:tblStylePr>
    <w:tblStylePr w:type="band1Horz">
      <w:tblPr/>
      <w:tcPr>
        <w:tcBorders>
          <w:top w:val="nil"/>
          <w:bottom w:val="nil"/>
          <w:insideH w:val="nil"/>
          <w:insideV w:val="nil"/>
        </w:tcBorders>
        <w:shd w:val="clear" w:color="auto" w:fill="A3FDF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6E44" w:themeColor="accent2"/>
        <w:left w:val="single" w:sz="8" w:space="0" w:color="F36E44" w:themeColor="accent2"/>
        <w:bottom w:val="single" w:sz="8" w:space="0" w:color="F36E44" w:themeColor="accent2"/>
        <w:right w:val="single" w:sz="8" w:space="0" w:color="F36E44" w:themeColor="accent2"/>
      </w:tblBorders>
    </w:tblPr>
    <w:tblStylePr w:type="firstRow">
      <w:rPr>
        <w:sz w:val="24"/>
        <w:szCs w:val="24"/>
      </w:rPr>
      <w:tblPr/>
      <w:tcPr>
        <w:tcBorders>
          <w:top w:val="nil"/>
          <w:left w:val="nil"/>
          <w:bottom w:val="single" w:sz="24" w:space="0" w:color="F36E44"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6E44" w:themeColor="accent2"/>
          <w:insideH w:val="nil"/>
          <w:insideV w:val="nil"/>
        </w:tcBorders>
        <w:shd w:val="clear" w:color="auto" w:fill="FFFFFF" w:themeFill="background1"/>
      </w:tcPr>
    </w:tblStylePr>
    <w:tblStylePr w:type="lastCol">
      <w:tblPr/>
      <w:tcPr>
        <w:tcBorders>
          <w:top w:val="nil"/>
          <w:left w:val="single" w:sz="8" w:space="0" w:color="F36E4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AD0" w:themeFill="accent2" w:themeFillTint="3F"/>
      </w:tcPr>
    </w:tblStylePr>
    <w:tblStylePr w:type="band1Horz">
      <w:tblPr/>
      <w:tcPr>
        <w:tcBorders>
          <w:top w:val="nil"/>
          <w:bottom w:val="nil"/>
          <w:insideH w:val="nil"/>
          <w:insideV w:val="nil"/>
        </w:tcBorders>
        <w:shd w:val="clear" w:color="auto" w:fill="FCDAD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59BDB8" w:themeColor="accent3"/>
        <w:left w:val="single" w:sz="8" w:space="0" w:color="59BDB8" w:themeColor="accent3"/>
        <w:bottom w:val="single" w:sz="8" w:space="0" w:color="59BDB8" w:themeColor="accent3"/>
        <w:right w:val="single" w:sz="8" w:space="0" w:color="59BDB8" w:themeColor="accent3"/>
      </w:tblBorders>
    </w:tblPr>
    <w:tblStylePr w:type="firstRow">
      <w:rPr>
        <w:sz w:val="24"/>
        <w:szCs w:val="24"/>
      </w:rPr>
      <w:tblPr/>
      <w:tcPr>
        <w:tcBorders>
          <w:top w:val="nil"/>
          <w:left w:val="nil"/>
          <w:bottom w:val="single" w:sz="24" w:space="0" w:color="59BDB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BDB8" w:themeColor="accent3"/>
          <w:insideH w:val="nil"/>
          <w:insideV w:val="nil"/>
        </w:tcBorders>
        <w:shd w:val="clear" w:color="auto" w:fill="FFFFFF" w:themeFill="background1"/>
      </w:tcPr>
    </w:tblStylePr>
    <w:tblStylePr w:type="lastCol">
      <w:tblPr/>
      <w:tcPr>
        <w:tcBorders>
          <w:top w:val="nil"/>
          <w:left w:val="single" w:sz="8" w:space="0" w:color="59BDB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EED" w:themeFill="accent3" w:themeFillTint="3F"/>
      </w:tcPr>
    </w:tblStylePr>
    <w:tblStylePr w:type="band1Horz">
      <w:tblPr/>
      <w:tcPr>
        <w:tcBorders>
          <w:top w:val="nil"/>
          <w:bottom w:val="nil"/>
          <w:insideH w:val="nil"/>
          <w:insideV w:val="nil"/>
        </w:tcBorders>
        <w:shd w:val="clear" w:color="auto" w:fill="D5EE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DB933" w:themeColor="accent4"/>
        <w:left w:val="single" w:sz="8" w:space="0" w:color="FDB933" w:themeColor="accent4"/>
        <w:bottom w:val="single" w:sz="8" w:space="0" w:color="FDB933" w:themeColor="accent4"/>
        <w:right w:val="single" w:sz="8" w:space="0" w:color="FDB933" w:themeColor="accent4"/>
      </w:tblBorders>
    </w:tblPr>
    <w:tblStylePr w:type="firstRow">
      <w:rPr>
        <w:sz w:val="24"/>
        <w:szCs w:val="24"/>
      </w:rPr>
      <w:tblPr/>
      <w:tcPr>
        <w:tcBorders>
          <w:top w:val="nil"/>
          <w:left w:val="nil"/>
          <w:bottom w:val="single" w:sz="24" w:space="0" w:color="FDB93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B933" w:themeColor="accent4"/>
          <w:insideH w:val="nil"/>
          <w:insideV w:val="nil"/>
        </w:tcBorders>
        <w:shd w:val="clear" w:color="auto" w:fill="FFFFFF" w:themeFill="background1"/>
      </w:tcPr>
    </w:tblStylePr>
    <w:tblStylePr w:type="lastCol">
      <w:tblPr/>
      <w:tcPr>
        <w:tcBorders>
          <w:top w:val="nil"/>
          <w:left w:val="single" w:sz="8" w:space="0" w:color="FDB93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DCC" w:themeFill="accent4" w:themeFillTint="3F"/>
      </w:tcPr>
    </w:tblStylePr>
    <w:tblStylePr w:type="band1Horz">
      <w:tblPr/>
      <w:tcPr>
        <w:tcBorders>
          <w:top w:val="nil"/>
          <w:bottom w:val="nil"/>
          <w:insideH w:val="nil"/>
          <w:insideV w:val="nil"/>
        </w:tcBorders>
        <w:shd w:val="clear" w:color="auto" w:fill="FEED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AD6C" w:themeColor="accent5"/>
        <w:left w:val="single" w:sz="8" w:space="0" w:color="6CAD6C" w:themeColor="accent5"/>
        <w:bottom w:val="single" w:sz="8" w:space="0" w:color="6CAD6C" w:themeColor="accent5"/>
        <w:right w:val="single" w:sz="8" w:space="0" w:color="6CAD6C" w:themeColor="accent5"/>
      </w:tblBorders>
    </w:tblPr>
    <w:tblStylePr w:type="firstRow">
      <w:rPr>
        <w:sz w:val="24"/>
        <w:szCs w:val="24"/>
      </w:rPr>
      <w:tblPr/>
      <w:tcPr>
        <w:tcBorders>
          <w:top w:val="nil"/>
          <w:left w:val="nil"/>
          <w:bottom w:val="single" w:sz="24" w:space="0" w:color="6CAD6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AD6C" w:themeColor="accent5"/>
          <w:insideH w:val="nil"/>
          <w:insideV w:val="nil"/>
        </w:tcBorders>
        <w:shd w:val="clear" w:color="auto" w:fill="FFFFFF" w:themeFill="background1"/>
      </w:tcPr>
    </w:tblStylePr>
    <w:tblStylePr w:type="lastCol">
      <w:tblPr/>
      <w:tcPr>
        <w:tcBorders>
          <w:top w:val="nil"/>
          <w:left w:val="single" w:sz="8" w:space="0" w:color="6CAD6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ADA" w:themeFill="accent5" w:themeFillTint="3F"/>
      </w:tcPr>
    </w:tblStylePr>
    <w:tblStylePr w:type="band1Horz">
      <w:tblPr/>
      <w:tcPr>
        <w:tcBorders>
          <w:top w:val="nil"/>
          <w:bottom w:val="nil"/>
          <w:insideH w:val="nil"/>
          <w:insideV w:val="nil"/>
        </w:tcBorders>
        <w:shd w:val="clear" w:color="auto" w:fill="DAEAD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D2644" w:themeColor="accent6"/>
        <w:left w:val="single" w:sz="8" w:space="0" w:color="BD2644" w:themeColor="accent6"/>
        <w:bottom w:val="single" w:sz="8" w:space="0" w:color="BD2644" w:themeColor="accent6"/>
        <w:right w:val="single" w:sz="8" w:space="0" w:color="BD2644" w:themeColor="accent6"/>
      </w:tblBorders>
    </w:tblPr>
    <w:tblStylePr w:type="firstRow">
      <w:rPr>
        <w:sz w:val="24"/>
        <w:szCs w:val="24"/>
      </w:rPr>
      <w:tblPr/>
      <w:tcPr>
        <w:tcBorders>
          <w:top w:val="nil"/>
          <w:left w:val="nil"/>
          <w:bottom w:val="single" w:sz="24" w:space="0" w:color="BD26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2644" w:themeColor="accent6"/>
          <w:insideH w:val="nil"/>
          <w:insideV w:val="nil"/>
        </w:tcBorders>
        <w:shd w:val="clear" w:color="auto" w:fill="FFFFFF" w:themeFill="background1"/>
      </w:tcPr>
    </w:tblStylePr>
    <w:tblStylePr w:type="lastCol">
      <w:tblPr/>
      <w:tcPr>
        <w:tcBorders>
          <w:top w:val="nil"/>
          <w:left w:val="single" w:sz="8" w:space="0" w:color="BD26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4CD" w:themeFill="accent6" w:themeFillTint="3F"/>
      </w:tcPr>
    </w:tblStylePr>
    <w:tblStylePr w:type="band1Horz">
      <w:tblPr/>
      <w:tcPr>
        <w:tcBorders>
          <w:top w:val="nil"/>
          <w:bottom w:val="nil"/>
          <w:insideH w:val="nil"/>
          <w:insideV w:val="nil"/>
        </w:tcBorders>
        <w:shd w:val="clear" w:color="auto" w:fill="F3C4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after="0"/>
    </w:pPr>
    <w:tblPr>
      <w:tblStyleRowBandSize w:val="1"/>
      <w:tblStyleColBandSize w:val="1"/>
      <w:tblBorders>
        <w:top w:val="single" w:sz="8" w:space="0" w:color="03E0D4" w:themeColor="accent1" w:themeTint="BF"/>
        <w:left w:val="single" w:sz="8" w:space="0" w:color="03E0D4" w:themeColor="accent1" w:themeTint="BF"/>
        <w:bottom w:val="single" w:sz="8" w:space="0" w:color="03E0D4" w:themeColor="accent1" w:themeTint="BF"/>
        <w:right w:val="single" w:sz="8" w:space="0" w:color="03E0D4" w:themeColor="accent1" w:themeTint="BF"/>
        <w:insideH w:val="single" w:sz="8" w:space="0" w:color="03E0D4" w:themeColor="accent1" w:themeTint="BF"/>
      </w:tblBorders>
    </w:tblPr>
    <w:tblStylePr w:type="firstRow">
      <w:pPr>
        <w:spacing w:before="0" w:after="0" w:line="240" w:lineRule="auto"/>
      </w:pPr>
      <w:rPr>
        <w:b/>
        <w:bCs/>
        <w:color w:val="FFFFFF" w:themeColor="background1"/>
      </w:rPr>
      <w:tblPr/>
      <w:tcPr>
        <w:tcBorders>
          <w:top w:val="single" w:sz="8" w:space="0" w:color="03E0D4" w:themeColor="accent1" w:themeTint="BF"/>
          <w:left w:val="single" w:sz="8" w:space="0" w:color="03E0D4" w:themeColor="accent1" w:themeTint="BF"/>
          <w:bottom w:val="single" w:sz="8" w:space="0" w:color="03E0D4" w:themeColor="accent1" w:themeTint="BF"/>
          <w:right w:val="single" w:sz="8" w:space="0" w:color="03E0D4" w:themeColor="accent1" w:themeTint="BF"/>
          <w:insideH w:val="nil"/>
          <w:insideV w:val="nil"/>
        </w:tcBorders>
        <w:shd w:val="clear" w:color="auto" w:fill="02847D" w:themeFill="accent1"/>
      </w:tcPr>
    </w:tblStylePr>
    <w:tblStylePr w:type="lastRow">
      <w:pPr>
        <w:spacing w:before="0" w:after="0" w:line="240" w:lineRule="auto"/>
      </w:pPr>
      <w:rPr>
        <w:b/>
        <w:bCs/>
      </w:rPr>
      <w:tblPr/>
      <w:tcPr>
        <w:tcBorders>
          <w:top w:val="double" w:sz="6" w:space="0" w:color="03E0D4" w:themeColor="accent1" w:themeTint="BF"/>
          <w:left w:val="single" w:sz="8" w:space="0" w:color="03E0D4" w:themeColor="accent1" w:themeTint="BF"/>
          <w:bottom w:val="single" w:sz="8" w:space="0" w:color="03E0D4" w:themeColor="accent1" w:themeTint="BF"/>
          <w:right w:val="single" w:sz="8" w:space="0" w:color="03E0D4"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FDF8" w:themeFill="accent1" w:themeFillTint="3F"/>
      </w:tcPr>
    </w:tblStylePr>
    <w:tblStylePr w:type="band1Horz">
      <w:tblPr/>
      <w:tcPr>
        <w:tcBorders>
          <w:insideH w:val="nil"/>
          <w:insideV w:val="nil"/>
        </w:tcBorders>
        <w:shd w:val="clear" w:color="auto" w:fill="A3FDF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after="0"/>
    </w:pPr>
    <w:tblPr>
      <w:tblStyleRowBandSize w:val="1"/>
      <w:tblStyleColBandSize w:val="1"/>
      <w:tblBorders>
        <w:top w:val="single" w:sz="8" w:space="0" w:color="F69272" w:themeColor="accent2" w:themeTint="BF"/>
        <w:left w:val="single" w:sz="8" w:space="0" w:color="F69272" w:themeColor="accent2" w:themeTint="BF"/>
        <w:bottom w:val="single" w:sz="8" w:space="0" w:color="F69272" w:themeColor="accent2" w:themeTint="BF"/>
        <w:right w:val="single" w:sz="8" w:space="0" w:color="F69272" w:themeColor="accent2" w:themeTint="BF"/>
        <w:insideH w:val="single" w:sz="8" w:space="0" w:color="F69272" w:themeColor="accent2" w:themeTint="BF"/>
      </w:tblBorders>
    </w:tblPr>
    <w:tblStylePr w:type="firstRow">
      <w:pPr>
        <w:spacing w:before="0" w:after="0" w:line="240" w:lineRule="auto"/>
      </w:pPr>
      <w:rPr>
        <w:b/>
        <w:bCs/>
        <w:color w:val="FFFFFF" w:themeColor="background1"/>
      </w:rPr>
      <w:tblPr/>
      <w:tcPr>
        <w:tcBorders>
          <w:top w:val="single" w:sz="8" w:space="0" w:color="F69272" w:themeColor="accent2" w:themeTint="BF"/>
          <w:left w:val="single" w:sz="8" w:space="0" w:color="F69272" w:themeColor="accent2" w:themeTint="BF"/>
          <w:bottom w:val="single" w:sz="8" w:space="0" w:color="F69272" w:themeColor="accent2" w:themeTint="BF"/>
          <w:right w:val="single" w:sz="8" w:space="0" w:color="F69272" w:themeColor="accent2" w:themeTint="BF"/>
          <w:insideH w:val="nil"/>
          <w:insideV w:val="nil"/>
        </w:tcBorders>
        <w:shd w:val="clear" w:color="auto" w:fill="F36E44" w:themeFill="accent2"/>
      </w:tcPr>
    </w:tblStylePr>
    <w:tblStylePr w:type="lastRow">
      <w:pPr>
        <w:spacing w:before="0" w:after="0" w:line="240" w:lineRule="auto"/>
      </w:pPr>
      <w:rPr>
        <w:b/>
        <w:bCs/>
      </w:rPr>
      <w:tblPr/>
      <w:tcPr>
        <w:tcBorders>
          <w:top w:val="double" w:sz="6" w:space="0" w:color="F69272" w:themeColor="accent2" w:themeTint="BF"/>
          <w:left w:val="single" w:sz="8" w:space="0" w:color="F69272" w:themeColor="accent2" w:themeTint="BF"/>
          <w:bottom w:val="single" w:sz="8" w:space="0" w:color="F69272" w:themeColor="accent2" w:themeTint="BF"/>
          <w:right w:val="single" w:sz="8" w:space="0" w:color="F6927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DAD0" w:themeFill="accent2" w:themeFillTint="3F"/>
      </w:tcPr>
    </w:tblStylePr>
    <w:tblStylePr w:type="band1Horz">
      <w:tblPr/>
      <w:tcPr>
        <w:tcBorders>
          <w:insideH w:val="nil"/>
          <w:insideV w:val="nil"/>
        </w:tcBorders>
        <w:shd w:val="clear" w:color="auto" w:fill="FCDAD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after="0"/>
    </w:pPr>
    <w:tblPr>
      <w:tblStyleRowBandSize w:val="1"/>
      <w:tblStyleColBandSize w:val="1"/>
      <w:tblBorders>
        <w:top w:val="single" w:sz="8" w:space="0" w:color="82CDC9" w:themeColor="accent3" w:themeTint="BF"/>
        <w:left w:val="single" w:sz="8" w:space="0" w:color="82CDC9" w:themeColor="accent3" w:themeTint="BF"/>
        <w:bottom w:val="single" w:sz="8" w:space="0" w:color="82CDC9" w:themeColor="accent3" w:themeTint="BF"/>
        <w:right w:val="single" w:sz="8" w:space="0" w:color="82CDC9" w:themeColor="accent3" w:themeTint="BF"/>
        <w:insideH w:val="single" w:sz="8" w:space="0" w:color="82CDC9" w:themeColor="accent3" w:themeTint="BF"/>
      </w:tblBorders>
    </w:tblPr>
    <w:tblStylePr w:type="firstRow">
      <w:pPr>
        <w:spacing w:before="0" w:after="0" w:line="240" w:lineRule="auto"/>
      </w:pPr>
      <w:rPr>
        <w:b/>
        <w:bCs/>
        <w:color w:val="FFFFFF" w:themeColor="background1"/>
      </w:rPr>
      <w:tblPr/>
      <w:tcPr>
        <w:tcBorders>
          <w:top w:val="single" w:sz="8" w:space="0" w:color="82CDC9" w:themeColor="accent3" w:themeTint="BF"/>
          <w:left w:val="single" w:sz="8" w:space="0" w:color="82CDC9" w:themeColor="accent3" w:themeTint="BF"/>
          <w:bottom w:val="single" w:sz="8" w:space="0" w:color="82CDC9" w:themeColor="accent3" w:themeTint="BF"/>
          <w:right w:val="single" w:sz="8" w:space="0" w:color="82CDC9" w:themeColor="accent3" w:themeTint="BF"/>
          <w:insideH w:val="nil"/>
          <w:insideV w:val="nil"/>
        </w:tcBorders>
        <w:shd w:val="clear" w:color="auto" w:fill="59BDB8" w:themeFill="accent3"/>
      </w:tcPr>
    </w:tblStylePr>
    <w:tblStylePr w:type="lastRow">
      <w:pPr>
        <w:spacing w:before="0" w:after="0" w:line="240" w:lineRule="auto"/>
      </w:pPr>
      <w:rPr>
        <w:b/>
        <w:bCs/>
      </w:rPr>
      <w:tblPr/>
      <w:tcPr>
        <w:tcBorders>
          <w:top w:val="double" w:sz="6" w:space="0" w:color="82CDC9" w:themeColor="accent3" w:themeTint="BF"/>
          <w:left w:val="single" w:sz="8" w:space="0" w:color="82CDC9" w:themeColor="accent3" w:themeTint="BF"/>
          <w:bottom w:val="single" w:sz="8" w:space="0" w:color="82CDC9" w:themeColor="accent3" w:themeTint="BF"/>
          <w:right w:val="single" w:sz="8" w:space="0" w:color="82CDC9"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EED" w:themeFill="accent3" w:themeFillTint="3F"/>
      </w:tcPr>
    </w:tblStylePr>
    <w:tblStylePr w:type="band1Horz">
      <w:tblPr/>
      <w:tcPr>
        <w:tcBorders>
          <w:insideH w:val="nil"/>
          <w:insideV w:val="nil"/>
        </w:tcBorders>
        <w:shd w:val="clear" w:color="auto" w:fill="D5EE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after="0"/>
    </w:pPr>
    <w:tblPr>
      <w:tblStyleRowBandSize w:val="1"/>
      <w:tblStyleColBandSize w:val="1"/>
      <w:tblBorders>
        <w:top w:val="single" w:sz="8" w:space="0" w:color="FDCA66" w:themeColor="accent4" w:themeTint="BF"/>
        <w:left w:val="single" w:sz="8" w:space="0" w:color="FDCA66" w:themeColor="accent4" w:themeTint="BF"/>
        <w:bottom w:val="single" w:sz="8" w:space="0" w:color="FDCA66" w:themeColor="accent4" w:themeTint="BF"/>
        <w:right w:val="single" w:sz="8" w:space="0" w:color="FDCA66" w:themeColor="accent4" w:themeTint="BF"/>
        <w:insideH w:val="single" w:sz="8" w:space="0" w:color="FDCA66" w:themeColor="accent4" w:themeTint="BF"/>
      </w:tblBorders>
    </w:tblPr>
    <w:tblStylePr w:type="firstRow">
      <w:pPr>
        <w:spacing w:before="0" w:after="0" w:line="240" w:lineRule="auto"/>
      </w:pPr>
      <w:rPr>
        <w:b/>
        <w:bCs/>
        <w:color w:val="FFFFFF" w:themeColor="background1"/>
      </w:rPr>
      <w:tblPr/>
      <w:tcPr>
        <w:tcBorders>
          <w:top w:val="single" w:sz="8" w:space="0" w:color="FDCA66" w:themeColor="accent4" w:themeTint="BF"/>
          <w:left w:val="single" w:sz="8" w:space="0" w:color="FDCA66" w:themeColor="accent4" w:themeTint="BF"/>
          <w:bottom w:val="single" w:sz="8" w:space="0" w:color="FDCA66" w:themeColor="accent4" w:themeTint="BF"/>
          <w:right w:val="single" w:sz="8" w:space="0" w:color="FDCA66" w:themeColor="accent4" w:themeTint="BF"/>
          <w:insideH w:val="nil"/>
          <w:insideV w:val="nil"/>
        </w:tcBorders>
        <w:shd w:val="clear" w:color="auto" w:fill="FDB933" w:themeFill="accent4"/>
      </w:tcPr>
    </w:tblStylePr>
    <w:tblStylePr w:type="lastRow">
      <w:pPr>
        <w:spacing w:before="0" w:after="0" w:line="240" w:lineRule="auto"/>
      </w:pPr>
      <w:rPr>
        <w:b/>
        <w:bCs/>
      </w:rPr>
      <w:tblPr/>
      <w:tcPr>
        <w:tcBorders>
          <w:top w:val="double" w:sz="6" w:space="0" w:color="FDCA66" w:themeColor="accent4" w:themeTint="BF"/>
          <w:left w:val="single" w:sz="8" w:space="0" w:color="FDCA66" w:themeColor="accent4" w:themeTint="BF"/>
          <w:bottom w:val="single" w:sz="8" w:space="0" w:color="FDCA66" w:themeColor="accent4" w:themeTint="BF"/>
          <w:right w:val="single" w:sz="8" w:space="0" w:color="FDCA6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C" w:themeFill="accent4" w:themeFillTint="3F"/>
      </w:tcPr>
    </w:tblStylePr>
    <w:tblStylePr w:type="band1Horz">
      <w:tblPr/>
      <w:tcPr>
        <w:tcBorders>
          <w:insideH w:val="nil"/>
          <w:insideV w:val="nil"/>
        </w:tcBorders>
        <w:shd w:val="clear" w:color="auto" w:fill="FEED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after="0"/>
    </w:pPr>
    <w:tblPr>
      <w:tblStyleRowBandSize w:val="1"/>
      <w:tblStyleColBandSize w:val="1"/>
      <w:tblBorders>
        <w:top w:val="single" w:sz="8" w:space="0" w:color="90C190" w:themeColor="accent5" w:themeTint="BF"/>
        <w:left w:val="single" w:sz="8" w:space="0" w:color="90C190" w:themeColor="accent5" w:themeTint="BF"/>
        <w:bottom w:val="single" w:sz="8" w:space="0" w:color="90C190" w:themeColor="accent5" w:themeTint="BF"/>
        <w:right w:val="single" w:sz="8" w:space="0" w:color="90C190" w:themeColor="accent5" w:themeTint="BF"/>
        <w:insideH w:val="single" w:sz="8" w:space="0" w:color="90C190" w:themeColor="accent5" w:themeTint="BF"/>
      </w:tblBorders>
    </w:tblPr>
    <w:tblStylePr w:type="firstRow">
      <w:pPr>
        <w:spacing w:before="0" w:after="0" w:line="240" w:lineRule="auto"/>
      </w:pPr>
      <w:rPr>
        <w:b/>
        <w:bCs/>
        <w:color w:val="FFFFFF" w:themeColor="background1"/>
      </w:rPr>
      <w:tblPr/>
      <w:tcPr>
        <w:tcBorders>
          <w:top w:val="single" w:sz="8" w:space="0" w:color="90C190" w:themeColor="accent5" w:themeTint="BF"/>
          <w:left w:val="single" w:sz="8" w:space="0" w:color="90C190" w:themeColor="accent5" w:themeTint="BF"/>
          <w:bottom w:val="single" w:sz="8" w:space="0" w:color="90C190" w:themeColor="accent5" w:themeTint="BF"/>
          <w:right w:val="single" w:sz="8" w:space="0" w:color="90C190" w:themeColor="accent5" w:themeTint="BF"/>
          <w:insideH w:val="nil"/>
          <w:insideV w:val="nil"/>
        </w:tcBorders>
        <w:shd w:val="clear" w:color="auto" w:fill="6CAD6C" w:themeFill="accent5"/>
      </w:tcPr>
    </w:tblStylePr>
    <w:tblStylePr w:type="lastRow">
      <w:pPr>
        <w:spacing w:before="0" w:after="0" w:line="240" w:lineRule="auto"/>
      </w:pPr>
      <w:rPr>
        <w:b/>
        <w:bCs/>
      </w:rPr>
      <w:tblPr/>
      <w:tcPr>
        <w:tcBorders>
          <w:top w:val="double" w:sz="6" w:space="0" w:color="90C190" w:themeColor="accent5" w:themeTint="BF"/>
          <w:left w:val="single" w:sz="8" w:space="0" w:color="90C190" w:themeColor="accent5" w:themeTint="BF"/>
          <w:bottom w:val="single" w:sz="8" w:space="0" w:color="90C190" w:themeColor="accent5" w:themeTint="BF"/>
          <w:right w:val="single" w:sz="8" w:space="0" w:color="90C19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AEADA" w:themeFill="accent5" w:themeFillTint="3F"/>
      </w:tcPr>
    </w:tblStylePr>
    <w:tblStylePr w:type="band1Horz">
      <w:tblPr/>
      <w:tcPr>
        <w:tcBorders>
          <w:insideH w:val="nil"/>
          <w:insideV w:val="nil"/>
        </w:tcBorders>
        <w:shd w:val="clear" w:color="auto" w:fill="DAEAD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after="0"/>
    </w:pPr>
    <w:tblPr>
      <w:tblStyleRowBandSize w:val="1"/>
      <w:tblStyleColBandSize w:val="1"/>
      <w:tblBorders>
        <w:top w:val="single" w:sz="8" w:space="0" w:color="DB4E6A" w:themeColor="accent6" w:themeTint="BF"/>
        <w:left w:val="single" w:sz="8" w:space="0" w:color="DB4E6A" w:themeColor="accent6" w:themeTint="BF"/>
        <w:bottom w:val="single" w:sz="8" w:space="0" w:color="DB4E6A" w:themeColor="accent6" w:themeTint="BF"/>
        <w:right w:val="single" w:sz="8" w:space="0" w:color="DB4E6A" w:themeColor="accent6" w:themeTint="BF"/>
        <w:insideH w:val="single" w:sz="8" w:space="0" w:color="DB4E6A" w:themeColor="accent6" w:themeTint="BF"/>
      </w:tblBorders>
    </w:tblPr>
    <w:tblStylePr w:type="firstRow">
      <w:pPr>
        <w:spacing w:before="0" w:after="0" w:line="240" w:lineRule="auto"/>
      </w:pPr>
      <w:rPr>
        <w:b/>
        <w:bCs/>
        <w:color w:val="FFFFFF" w:themeColor="background1"/>
      </w:rPr>
      <w:tblPr/>
      <w:tcPr>
        <w:tcBorders>
          <w:top w:val="single" w:sz="8" w:space="0" w:color="DB4E6A" w:themeColor="accent6" w:themeTint="BF"/>
          <w:left w:val="single" w:sz="8" w:space="0" w:color="DB4E6A" w:themeColor="accent6" w:themeTint="BF"/>
          <w:bottom w:val="single" w:sz="8" w:space="0" w:color="DB4E6A" w:themeColor="accent6" w:themeTint="BF"/>
          <w:right w:val="single" w:sz="8" w:space="0" w:color="DB4E6A" w:themeColor="accent6" w:themeTint="BF"/>
          <w:insideH w:val="nil"/>
          <w:insideV w:val="nil"/>
        </w:tcBorders>
        <w:shd w:val="clear" w:color="auto" w:fill="BD2644" w:themeFill="accent6"/>
      </w:tcPr>
    </w:tblStylePr>
    <w:tblStylePr w:type="lastRow">
      <w:pPr>
        <w:spacing w:before="0" w:after="0" w:line="240" w:lineRule="auto"/>
      </w:pPr>
      <w:rPr>
        <w:b/>
        <w:bCs/>
      </w:rPr>
      <w:tblPr/>
      <w:tcPr>
        <w:tcBorders>
          <w:top w:val="double" w:sz="6" w:space="0" w:color="DB4E6A" w:themeColor="accent6" w:themeTint="BF"/>
          <w:left w:val="single" w:sz="8" w:space="0" w:color="DB4E6A" w:themeColor="accent6" w:themeTint="BF"/>
          <w:bottom w:val="single" w:sz="8" w:space="0" w:color="DB4E6A" w:themeColor="accent6" w:themeTint="BF"/>
          <w:right w:val="single" w:sz="8" w:space="0" w:color="DB4E6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3C4CD" w:themeFill="accent6" w:themeFillTint="3F"/>
      </w:tcPr>
    </w:tblStylePr>
    <w:tblStylePr w:type="band1Horz">
      <w:tblPr/>
      <w:tcPr>
        <w:tcBorders>
          <w:insideH w:val="nil"/>
          <w:insideV w:val="nil"/>
        </w:tcBorders>
        <w:shd w:val="clear" w:color="auto" w:fill="F3C4C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6E4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6E44" w:themeFill="accent2"/>
      </w:tcPr>
    </w:tblStylePr>
    <w:tblStylePr w:type="lastCol">
      <w:rPr>
        <w:b/>
        <w:bCs/>
        <w:color w:val="FFFFFF" w:themeColor="background1"/>
      </w:rPr>
      <w:tblPr/>
      <w:tcPr>
        <w:tcBorders>
          <w:left w:val="nil"/>
          <w:right w:val="nil"/>
          <w:insideH w:val="nil"/>
          <w:insideV w:val="nil"/>
        </w:tcBorders>
        <w:shd w:val="clear" w:color="auto" w:fill="F36E4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BDB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BDB8" w:themeFill="accent3"/>
      </w:tcPr>
    </w:tblStylePr>
    <w:tblStylePr w:type="lastCol">
      <w:rPr>
        <w:b/>
        <w:bCs/>
        <w:color w:val="FFFFFF" w:themeColor="background1"/>
      </w:rPr>
      <w:tblPr/>
      <w:tcPr>
        <w:tcBorders>
          <w:left w:val="nil"/>
          <w:right w:val="nil"/>
          <w:insideH w:val="nil"/>
          <w:insideV w:val="nil"/>
        </w:tcBorders>
        <w:shd w:val="clear" w:color="auto" w:fill="59BDB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B93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DB933" w:themeFill="accent4"/>
      </w:tcPr>
    </w:tblStylePr>
    <w:tblStylePr w:type="lastCol">
      <w:rPr>
        <w:b/>
        <w:bCs/>
        <w:color w:val="FFFFFF" w:themeColor="background1"/>
      </w:rPr>
      <w:tblPr/>
      <w:tcPr>
        <w:tcBorders>
          <w:left w:val="nil"/>
          <w:right w:val="nil"/>
          <w:insideH w:val="nil"/>
          <w:insideV w:val="nil"/>
        </w:tcBorders>
        <w:shd w:val="clear" w:color="auto" w:fill="FDB93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AD6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CAD6C" w:themeFill="accent5"/>
      </w:tcPr>
    </w:tblStylePr>
    <w:tblStylePr w:type="lastCol">
      <w:rPr>
        <w:b/>
        <w:bCs/>
        <w:color w:val="FFFFFF" w:themeColor="background1"/>
      </w:rPr>
      <w:tblPr/>
      <w:tcPr>
        <w:tcBorders>
          <w:left w:val="nil"/>
          <w:right w:val="nil"/>
          <w:insideH w:val="nil"/>
          <w:insideV w:val="nil"/>
        </w:tcBorders>
        <w:shd w:val="clear" w:color="auto" w:fill="6CAD6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26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D2644" w:themeFill="accent6"/>
      </w:tcPr>
    </w:tblStylePr>
    <w:tblStylePr w:type="lastCol">
      <w:rPr>
        <w:b/>
        <w:bCs/>
        <w:color w:val="FFFFFF" w:themeColor="background1"/>
      </w:rPr>
      <w:tblPr/>
      <w:tcPr>
        <w:tcBorders>
          <w:left w:val="nil"/>
          <w:right w:val="nil"/>
          <w:insideH w:val="nil"/>
          <w:insideV w:val="nil"/>
        </w:tcBorders>
        <w:shd w:val="clear" w:color="auto" w:fill="BD26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PlainTable1">
    <w:name w:val="Plain Table 1"/>
    <w:basedOn w:val="TableNormal"/>
    <w:uiPriority w:val="4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lang w:val="pl-PL"/>
    </w:rPr>
  </w:style>
  <w:style w:type="character" w:styleId="Strong">
    <w:name w:val="Strong"/>
    <w:basedOn w:val="DefaultParagraphFont"/>
    <w:uiPriority w:val="22"/>
    <w:qFormat/>
    <w:rPr>
      <w:b/>
      <w:bCs/>
      <w:lang w:val="pl-PL"/>
    </w:rPr>
  </w:style>
  <w:style w:type="paragraph" w:styleId="Subtitle">
    <w:name w:val="Subtitle"/>
    <w:basedOn w:val="Normal"/>
    <w:next w:val="Normal"/>
    <w:link w:val="SubtitleChar"/>
    <w:uiPriority w:val="11"/>
    <w:pPr>
      <w:numPr>
        <w:ilvl w:val="1"/>
      </w:numPr>
    </w:pPr>
    <w:rPr>
      <w:rFonts w:asciiTheme="minorHAnsi" w:eastAsiaTheme="minorEastAsia" w:hAnsiTheme="minorHAnsi"/>
      <w:color w:val="000000" w:themeColor="text1"/>
      <w:spacing w:val="15"/>
      <w:sz w:val="22"/>
      <w:szCs w:val="22"/>
    </w:rPr>
  </w:style>
  <w:style w:type="character" w:customStyle="1" w:styleId="SubtitleChar">
    <w:name w:val="Subtitle Char"/>
    <w:basedOn w:val="DefaultParagraphFont"/>
    <w:link w:val="Subtitle"/>
    <w:uiPriority w:val="11"/>
    <w:rPr>
      <w:rFonts w:asciiTheme="minorHAnsi" w:eastAsiaTheme="minorEastAsia" w:hAnsiTheme="minorHAnsi"/>
      <w:color w:val="000000" w:themeColor="text1"/>
      <w:spacing w:val="15"/>
      <w:sz w:val="22"/>
      <w:szCs w:val="22"/>
      <w:lang w:val="pl-PL"/>
    </w:rPr>
  </w:style>
  <w:style w:type="character" w:styleId="SubtleEmphasis">
    <w:name w:val="Subtle Emphasis"/>
    <w:basedOn w:val="DefaultParagraphFont"/>
    <w:uiPriority w:val="19"/>
    <w:semiHidden/>
    <w:rPr>
      <w:i/>
      <w:iCs/>
      <w:color w:val="404040" w:themeColor="text1" w:themeTint="BF"/>
      <w:lang w:val="pl-PL"/>
    </w:rPr>
  </w:style>
  <w:style w:type="character" w:styleId="SubtleReference">
    <w:name w:val="Subtle Reference"/>
    <w:basedOn w:val="DefaultParagraphFont"/>
    <w:uiPriority w:val="31"/>
    <w:semiHidden/>
    <w:qFormat/>
    <w:rPr>
      <w:smallCaps/>
      <w:color w:val="5A5A5A" w:themeColor="text1" w:themeTint="A5"/>
      <w:lang w:val="pl-PL"/>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pl-PL"/>
    </w:rPr>
  </w:style>
  <w:style w:type="paragraph" w:styleId="TOC2">
    <w:name w:val="toc 2"/>
    <w:basedOn w:val="Normal"/>
    <w:next w:val="Normal"/>
    <w:autoRedefine/>
    <w:uiPriority w:val="39"/>
    <w:unhideWhenUsed/>
    <w:qFormat/>
    <w:rsid w:val="00355CD1"/>
    <w:pPr>
      <w:tabs>
        <w:tab w:val="left" w:pos="880"/>
        <w:tab w:val="right" w:leader="dot" w:pos="9072"/>
        <w:tab w:val="right" w:leader="dot" w:pos="9594"/>
      </w:tabs>
      <w:spacing w:before="0" w:after="120" w:line="240" w:lineRule="auto"/>
    </w:pPr>
    <w:rPr>
      <w:noProof/>
    </w:rPr>
  </w:style>
  <w:style w:type="paragraph" w:styleId="TOC3">
    <w:name w:val="toc 3"/>
    <w:basedOn w:val="Normal"/>
    <w:next w:val="Normal"/>
    <w:autoRedefine/>
    <w:uiPriority w:val="39"/>
    <w:unhideWhenUsed/>
    <w:qFormat/>
    <w:rsid w:val="000E4F78"/>
    <w:pPr>
      <w:tabs>
        <w:tab w:val="left" w:pos="1400"/>
        <w:tab w:val="right" w:leader="dot" w:pos="9072"/>
      </w:tabs>
      <w:ind w:left="284"/>
    </w:pPr>
  </w:style>
  <w:style w:type="paragraph" w:styleId="TOC4">
    <w:name w:val="toc 4"/>
    <w:basedOn w:val="Normal"/>
    <w:next w:val="Normal"/>
    <w:autoRedefine/>
    <w:uiPriority w:val="39"/>
    <w:semiHidden/>
    <w:unhideWhenUsed/>
    <w:pPr>
      <w:spacing w:after="100"/>
      <w:ind w:left="600"/>
    </w:pPr>
  </w:style>
  <w:style w:type="paragraph" w:styleId="TOC5">
    <w:name w:val="toc 5"/>
    <w:basedOn w:val="Normal"/>
    <w:next w:val="Normal"/>
    <w:autoRedefine/>
    <w:uiPriority w:val="39"/>
    <w:semiHidden/>
    <w:unhideWhenUsed/>
    <w:pPr>
      <w:spacing w:after="100"/>
      <w:ind w:left="800"/>
    </w:pPr>
  </w:style>
  <w:style w:type="paragraph" w:styleId="TOC6">
    <w:name w:val="toc 6"/>
    <w:basedOn w:val="Normal"/>
    <w:next w:val="Normal"/>
    <w:autoRedefine/>
    <w:uiPriority w:val="39"/>
    <w:semiHidden/>
    <w:unhideWhenUsed/>
    <w:pPr>
      <w:spacing w:after="100"/>
      <w:ind w:left="1000"/>
    </w:pPr>
  </w:style>
  <w:style w:type="paragraph" w:styleId="TOC7">
    <w:name w:val="toc 7"/>
    <w:basedOn w:val="Normal"/>
    <w:next w:val="Normal"/>
    <w:autoRedefine/>
    <w:uiPriority w:val="39"/>
    <w:semiHidden/>
    <w:unhideWhenUsed/>
    <w:pPr>
      <w:spacing w:after="100"/>
      <w:ind w:left="1200"/>
    </w:pPr>
  </w:style>
  <w:style w:type="paragraph" w:styleId="TOC8">
    <w:name w:val="toc 8"/>
    <w:basedOn w:val="Normal"/>
    <w:next w:val="Normal"/>
    <w:autoRedefine/>
    <w:uiPriority w:val="39"/>
    <w:semiHidden/>
    <w:unhideWhenUsed/>
    <w:pPr>
      <w:spacing w:after="100"/>
      <w:ind w:left="1400"/>
    </w:pPr>
  </w:style>
  <w:style w:type="paragraph" w:styleId="TOC9">
    <w:name w:val="toc 9"/>
    <w:basedOn w:val="Normal"/>
    <w:next w:val="Normal"/>
    <w:autoRedefine/>
    <w:uiPriority w:val="39"/>
    <w:semiHidden/>
    <w:unhideWhenUsed/>
    <w:pPr>
      <w:spacing w:after="100"/>
      <w:ind w:left="1600"/>
    </w:pPr>
  </w:style>
  <w:style w:type="paragraph" w:styleId="TOCHeading">
    <w:name w:val="TOC Heading"/>
    <w:basedOn w:val="amprH1TITLE-noTOC"/>
    <w:next w:val="Normal"/>
    <w:uiPriority w:val="39"/>
    <w:unhideWhenUsed/>
    <w:qFormat/>
  </w:style>
  <w:style w:type="paragraph" w:customStyle="1" w:styleId="amprH2TITLE1-Numbered-1">
    <w:name w:val="[ampr H2] TITLE 1 - Numbered - 1."/>
    <w:basedOn w:val="amprH2TITLE1"/>
    <w:next w:val="amprBodyText"/>
    <w:uiPriority w:val="9"/>
    <w:qFormat/>
    <w:rsid w:val="007E57AA"/>
    <w:pPr>
      <w:pageBreakBefore w:val="0"/>
      <w:numPr>
        <w:numId w:val="13"/>
      </w:numPr>
      <w:spacing w:before="360" w:after="480"/>
    </w:pPr>
  </w:style>
  <w:style w:type="paragraph" w:customStyle="1" w:styleId="amprH3Title2-Numbered-11">
    <w:name w:val="[ampr H3] Title 2 - Numbered - 1.1."/>
    <w:basedOn w:val="amprH3Title2"/>
    <w:next w:val="amprBodyText"/>
    <w:uiPriority w:val="9"/>
    <w:qFormat/>
    <w:rsid w:val="00FB4DAD"/>
    <w:pPr>
      <w:numPr>
        <w:ilvl w:val="1"/>
        <w:numId w:val="13"/>
      </w:numPr>
      <w:ind w:left="576" w:hanging="576"/>
    </w:pPr>
  </w:style>
  <w:style w:type="paragraph" w:customStyle="1" w:styleId="amprH5Subhead2-Numbered-1111">
    <w:name w:val="[ampr H5] Subhead 2 - Numbered - 1.1.1.1."/>
    <w:basedOn w:val="amprH5Subhead2"/>
    <w:next w:val="amprBodyText"/>
    <w:uiPriority w:val="9"/>
    <w:qFormat/>
    <w:pPr>
      <w:numPr>
        <w:ilvl w:val="3"/>
        <w:numId w:val="13"/>
      </w:numPr>
    </w:pPr>
  </w:style>
  <w:style w:type="table" w:customStyle="1" w:styleId="amprbox1">
    <w:name w:val="[ampr] box 1"/>
    <w:basedOn w:val="TableNormal"/>
    <w:uiPriority w:val="99"/>
    <w:pPr>
      <w:keepLines/>
    </w:pPr>
    <w:tblPr>
      <w:jc w:val="center"/>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blBorders>
      <w:tblCellMar>
        <w:left w:w="198" w:type="dxa"/>
        <w:right w:w="198" w:type="dxa"/>
      </w:tblCellMar>
    </w:tblPr>
    <w:trPr>
      <w:jc w:val="center"/>
    </w:trPr>
    <w:tcPr>
      <w:shd w:val="clear" w:color="auto" w:fill="F2F2F2" w:themeFill="background1" w:themeFillShade="F2"/>
    </w:tcPr>
  </w:style>
  <w:style w:type="paragraph" w:customStyle="1" w:styleId="amprboxGREYtext">
    <w:name w:val="[ampr box GREY] text"/>
    <w:basedOn w:val="BASE-STYLE-TEXT"/>
    <w:uiPriority w:val="5"/>
    <w:qFormat/>
    <w:pPr>
      <w:pBdr>
        <w:top w:val="single" w:sz="12" w:space="8" w:color="F2F2F2" w:themeColor="background1" w:themeShade="F2"/>
        <w:left w:val="single" w:sz="12" w:space="8" w:color="F2F2F2" w:themeColor="background1" w:themeShade="F2"/>
        <w:bottom w:val="single" w:sz="12" w:space="8" w:color="F2F2F2" w:themeColor="background1" w:themeShade="F2"/>
        <w:right w:val="single" w:sz="12" w:space="8" w:color="F2F2F2" w:themeColor="background1" w:themeShade="F2"/>
      </w:pBdr>
      <w:shd w:val="clear" w:color="auto" w:fill="F2F2F2" w:themeFill="background1" w:themeFillShade="F2"/>
      <w:spacing w:before="240" w:after="240"/>
    </w:pPr>
    <w:rPr>
      <w:color w:val="auto"/>
      <w:sz w:val="20"/>
      <w:lang w:eastAsia="fr-BE"/>
    </w:rPr>
  </w:style>
  <w:style w:type="paragraph" w:customStyle="1" w:styleId="amprLISTblackbullets-L1consecutiveparagraph">
    <w:name w:val="[ampr LIST black] bullets - L1 (consecutive paragraph)"/>
    <w:basedOn w:val="amprLISTblackbullets-L1"/>
    <w:uiPriority w:val="5"/>
    <w:qFormat/>
    <w:pPr>
      <w:numPr>
        <w:numId w:val="0"/>
      </w:numPr>
      <w:ind w:left="720"/>
    </w:pPr>
  </w:style>
  <w:style w:type="paragraph" w:customStyle="1" w:styleId="amprLISTblackbullets-L2consecutiveparagraph">
    <w:name w:val="[ampr LIST black] bullets - L2 (consecutive paragraph)"/>
    <w:basedOn w:val="amprLISTblackbullets-L2"/>
    <w:uiPriority w:val="5"/>
    <w:qFormat/>
    <w:pPr>
      <w:numPr>
        <w:ilvl w:val="0"/>
        <w:numId w:val="0"/>
      </w:numPr>
      <w:ind w:left="1435"/>
    </w:pPr>
  </w:style>
  <w:style w:type="paragraph" w:customStyle="1" w:styleId="amprLISTgreenbullets-L2consecutiveparagraph">
    <w:name w:val="[ampr LIST green] bullets - L2 (consecutive paragraph)"/>
    <w:basedOn w:val="amprLISTgreenbullets-L2"/>
    <w:uiPriority w:val="5"/>
    <w:qFormat/>
    <w:pPr>
      <w:numPr>
        <w:ilvl w:val="0"/>
        <w:numId w:val="0"/>
      </w:numPr>
      <w:ind w:left="1435"/>
    </w:pPr>
  </w:style>
  <w:style w:type="paragraph" w:customStyle="1" w:styleId="amprH1Sectiontitle">
    <w:name w:val="[ampr H1] Section title"/>
    <w:basedOn w:val="BASE-STYLE-HEADINGS"/>
    <w:next w:val="amprBodyText"/>
    <w:uiPriority w:val="9"/>
    <w:qFormat/>
    <w:pPr>
      <w:spacing w:before="8000" w:after="240"/>
      <w:ind w:left="4321"/>
      <w:jc w:val="left"/>
      <w:outlineLvl w:val="0"/>
    </w:pPr>
    <w:rPr>
      <w:rFonts w:ascii="EC Square Sans Pro Light" w:eastAsiaTheme="minorHAnsi" w:hAnsi="EC Square Sans Pro Light" w:cstheme="minorBidi"/>
      <w:color w:val="FFFFFF" w:themeColor="background1"/>
      <w:sz w:val="96"/>
      <w:szCs w:val="96"/>
    </w:rPr>
  </w:style>
  <w:style w:type="numbering" w:customStyle="1" w:styleId="amprHLISTNumberedheadings">
    <w:name w:val="[ampr H LIST] Numbered headings"/>
    <w:uiPriority w:val="99"/>
    <w:pPr>
      <w:numPr>
        <w:numId w:val="12"/>
      </w:numPr>
    </w:pPr>
  </w:style>
  <w:style w:type="table" w:customStyle="1" w:styleId="amprbox2">
    <w:name w:val="[ampr] box 2"/>
    <w:basedOn w:val="TableNormal"/>
    <w:uiPriority w:val="99"/>
    <w:pPr>
      <w:keepLines/>
    </w:pPr>
    <w:rPr>
      <w:color w:val="FFFFFF" w:themeColor="background1"/>
    </w:rPr>
    <w:tblPr>
      <w:jc w:val="center"/>
      <w:tblBorders>
        <w:top w:val="single" w:sz="12" w:space="0" w:color="245F95" w:themeColor="text2"/>
        <w:left w:val="single" w:sz="12" w:space="0" w:color="245F95" w:themeColor="text2"/>
        <w:bottom w:val="single" w:sz="12" w:space="0" w:color="245F95" w:themeColor="text2"/>
        <w:right w:val="single" w:sz="12" w:space="0" w:color="245F95" w:themeColor="text2"/>
        <w:insideH w:val="single" w:sz="12" w:space="0" w:color="245F95" w:themeColor="text2"/>
        <w:insideV w:val="single" w:sz="12" w:space="0" w:color="245F95" w:themeColor="text2"/>
      </w:tblBorders>
      <w:tblCellMar>
        <w:left w:w="198" w:type="dxa"/>
        <w:right w:w="198" w:type="dxa"/>
      </w:tblCellMar>
    </w:tblPr>
    <w:trPr>
      <w:jc w:val="center"/>
    </w:trPr>
    <w:tcPr>
      <w:shd w:val="clear" w:color="auto" w:fill="245F95" w:themeFill="text2"/>
    </w:tcPr>
  </w:style>
  <w:style w:type="table" w:customStyle="1" w:styleId="amprbox3">
    <w:name w:val="[ampr] box 3"/>
    <w:basedOn w:val="TableNormal"/>
    <w:uiPriority w:val="99"/>
    <w:pPr>
      <w:keepLines/>
    </w:pPr>
    <w:tblPr>
      <w:jc w:val="center"/>
      <w:tblBorders>
        <w:top w:val="dashSmallGap" w:sz="12" w:space="0" w:color="02847D" w:themeColor="accent1"/>
        <w:left w:val="dashSmallGap" w:sz="12" w:space="0" w:color="02847D" w:themeColor="accent1"/>
        <w:bottom w:val="dashSmallGap" w:sz="12" w:space="0" w:color="02847D" w:themeColor="accent1"/>
        <w:right w:val="dashSmallGap" w:sz="12" w:space="0" w:color="02847D" w:themeColor="accent1"/>
      </w:tblBorders>
      <w:tblCellMar>
        <w:left w:w="198" w:type="dxa"/>
        <w:right w:w="198" w:type="dxa"/>
      </w:tblCellMar>
    </w:tblPr>
    <w:trPr>
      <w:jc w:val="center"/>
    </w:trPr>
    <w:tcPr>
      <w:shd w:val="clear" w:color="auto" w:fill="auto"/>
    </w:tcPr>
  </w:style>
  <w:style w:type="paragraph" w:customStyle="1" w:styleId="amprboxBLUEdashedtext">
    <w:name w:val="[ampr box BLUE dashed] text"/>
    <w:basedOn w:val="BASE-STYLE-TEXT"/>
    <w:uiPriority w:val="5"/>
    <w:qFormat/>
    <w:pPr>
      <w:keepLines/>
      <w:pBdr>
        <w:top w:val="dashSmallGap" w:sz="12" w:space="8" w:color="245F95" w:themeColor="text2"/>
        <w:left w:val="dashSmallGap" w:sz="12" w:space="8" w:color="245F95" w:themeColor="text2"/>
        <w:bottom w:val="dashSmallGap" w:sz="12" w:space="8" w:color="245F95" w:themeColor="text2"/>
        <w:right w:val="dashSmallGap" w:sz="12" w:space="8" w:color="245F95" w:themeColor="text2"/>
      </w:pBdr>
      <w:spacing w:before="240" w:after="240"/>
    </w:pPr>
    <w:rPr>
      <w:sz w:val="20"/>
      <w:lang w:eastAsia="fr-BE"/>
    </w:rPr>
  </w:style>
  <w:style w:type="paragraph" w:customStyle="1" w:styleId="amprboxBLUEdashedheading">
    <w:name w:val="[ampr box BLUE dashed] heading"/>
    <w:basedOn w:val="amprboxBLUEdashedtext"/>
    <w:next w:val="amprboxBLUEdashedtext"/>
    <w:uiPriority w:val="5"/>
    <w:qFormat/>
    <w:pPr>
      <w:keepNext/>
    </w:pPr>
    <w:rPr>
      <w:b/>
      <w:color w:val="245F95" w:themeColor="text2"/>
    </w:rPr>
  </w:style>
  <w:style w:type="paragraph" w:customStyle="1" w:styleId="amprboxBLUEdashedbulletlist">
    <w:name w:val="[ampr box BLUE dashed] bullet list"/>
    <w:basedOn w:val="amprboxBLUEdashedtext"/>
    <w:next w:val="amprboxBLUEdashedtext"/>
    <w:uiPriority w:val="5"/>
    <w:qFormat/>
    <w:pPr>
      <w:numPr>
        <w:numId w:val="14"/>
      </w:numPr>
      <w:spacing w:before="60" w:after="60"/>
      <w:ind w:left="357" w:hanging="357"/>
    </w:pPr>
  </w:style>
  <w:style w:type="paragraph" w:customStyle="1" w:styleId="amprLISTOrdered-L1">
    <w:name w:val="[ampr LIST Ordered] - L1"/>
    <w:basedOn w:val="BASE-STYLE-TEXT"/>
    <w:uiPriority w:val="5"/>
    <w:qFormat/>
    <w:pPr>
      <w:numPr>
        <w:numId w:val="15"/>
      </w:numPr>
      <w:spacing w:before="80" w:after="80"/>
    </w:pPr>
    <w:rPr>
      <w:rFonts w:ascii="Proxima Nova" w:hAnsi="Proxima Nova"/>
      <w:szCs w:val="22"/>
    </w:rPr>
  </w:style>
  <w:style w:type="paragraph" w:customStyle="1" w:styleId="amprLISTOrdered-L2">
    <w:name w:val="[ampr LIST Ordered] - L2"/>
    <w:basedOn w:val="amprLISTOrdered-L1"/>
    <w:uiPriority w:val="5"/>
    <w:qFormat/>
    <w:pPr>
      <w:numPr>
        <w:ilvl w:val="1"/>
      </w:numPr>
    </w:pPr>
  </w:style>
  <w:style w:type="paragraph" w:customStyle="1" w:styleId="amprLISTOrdered-L3">
    <w:name w:val="[ampr LIST Ordered] - L3"/>
    <w:basedOn w:val="amprLISTOrdered-L2"/>
    <w:uiPriority w:val="5"/>
    <w:qFormat/>
    <w:pPr>
      <w:numPr>
        <w:ilvl w:val="2"/>
      </w:numPr>
    </w:pPr>
  </w:style>
  <w:style w:type="paragraph" w:customStyle="1" w:styleId="amprLISTOrdered-L1consecutiveparagraph">
    <w:name w:val="[ampr LIST Ordered] - L1 (consecutive paragraph)"/>
    <w:basedOn w:val="amprLISTOrdered-L1"/>
    <w:uiPriority w:val="5"/>
    <w:qFormat/>
    <w:pPr>
      <w:numPr>
        <w:numId w:val="0"/>
      </w:numPr>
      <w:ind w:left="714"/>
    </w:pPr>
  </w:style>
  <w:style w:type="paragraph" w:customStyle="1" w:styleId="amprLISTOrdered-L2consecutiveparagraph">
    <w:name w:val="[ampr LIST Ordered] - L2 (consecutive paragraph)"/>
    <w:basedOn w:val="amprLISTOrdered-L2"/>
    <w:uiPriority w:val="5"/>
    <w:qFormat/>
    <w:pPr>
      <w:numPr>
        <w:ilvl w:val="0"/>
        <w:numId w:val="0"/>
      </w:numPr>
      <w:ind w:left="1185"/>
    </w:pPr>
  </w:style>
  <w:style w:type="paragraph" w:customStyle="1" w:styleId="amprLISTOrdered-L3consecutiveparagraph">
    <w:name w:val="[ampr LIST Ordered] - L3 (consecutive paragraph)"/>
    <w:basedOn w:val="amprLISTOrdered-L3"/>
    <w:uiPriority w:val="5"/>
    <w:qFormat/>
    <w:pPr>
      <w:numPr>
        <w:ilvl w:val="0"/>
        <w:numId w:val="0"/>
      </w:numPr>
      <w:ind w:left="1769"/>
    </w:pPr>
  </w:style>
  <w:style w:type="numbering" w:customStyle="1" w:styleId="amprLIST-Ordered">
    <w:name w:val="[ampr LIST]-Ordered"/>
    <w:uiPriority w:val="99"/>
    <w:pPr>
      <w:numPr>
        <w:numId w:val="15"/>
      </w:numPr>
    </w:pPr>
  </w:style>
  <w:style w:type="paragraph" w:customStyle="1" w:styleId="amprLISTOrdered-L4">
    <w:name w:val="[ampr LIST Ordered] - L4"/>
    <w:basedOn w:val="amprLISTOrdered-L3"/>
    <w:uiPriority w:val="5"/>
    <w:qFormat/>
    <w:pPr>
      <w:numPr>
        <w:ilvl w:val="3"/>
      </w:numPr>
    </w:pPr>
  </w:style>
  <w:style w:type="paragraph" w:customStyle="1" w:styleId="amprLISTOrdered-L4consecutiveparagraph">
    <w:name w:val="[ampr LIST Ordered] - L4 (consecutive paragraph)"/>
    <w:basedOn w:val="amprLISTOrdered-L4"/>
    <w:uiPriority w:val="5"/>
    <w:qFormat/>
    <w:pPr>
      <w:numPr>
        <w:ilvl w:val="0"/>
        <w:numId w:val="0"/>
      </w:numPr>
      <w:ind w:left="2466"/>
    </w:pPr>
  </w:style>
  <w:style w:type="paragraph" w:customStyle="1" w:styleId="amprLISTMixed-L1">
    <w:name w:val="[ampr LIST Mixed] - L1"/>
    <w:basedOn w:val="BASE-STYLE-TEXT"/>
    <w:uiPriority w:val="5"/>
    <w:qFormat/>
    <w:pPr>
      <w:numPr>
        <w:numId w:val="17"/>
      </w:numPr>
      <w:spacing w:before="80" w:after="80"/>
    </w:pPr>
    <w:rPr>
      <w:szCs w:val="22"/>
    </w:rPr>
  </w:style>
  <w:style w:type="paragraph" w:customStyle="1" w:styleId="amprLISTMixed-L2">
    <w:name w:val="[ampr LIST Mixed] - L2"/>
    <w:basedOn w:val="amprLISTMixed-L1"/>
    <w:uiPriority w:val="5"/>
    <w:qFormat/>
    <w:pPr>
      <w:numPr>
        <w:ilvl w:val="1"/>
      </w:numPr>
    </w:pPr>
  </w:style>
  <w:style w:type="paragraph" w:customStyle="1" w:styleId="amprLISTMixed-L3">
    <w:name w:val="[ampr LIST Mixed] - L3"/>
    <w:basedOn w:val="amprLISTMixed-L2"/>
    <w:uiPriority w:val="5"/>
    <w:qFormat/>
    <w:pPr>
      <w:numPr>
        <w:ilvl w:val="2"/>
      </w:numPr>
    </w:pPr>
  </w:style>
  <w:style w:type="paragraph" w:customStyle="1" w:styleId="amprLISTMixed-L1consecutiveparagraph">
    <w:name w:val="[ampr LIST Mixed] - L1 (consecutive paragraph)"/>
    <w:basedOn w:val="amprLISTMixed-L1"/>
    <w:uiPriority w:val="5"/>
    <w:qFormat/>
    <w:pPr>
      <w:numPr>
        <w:numId w:val="0"/>
      </w:numPr>
      <w:ind w:left="714"/>
    </w:pPr>
  </w:style>
  <w:style w:type="paragraph" w:customStyle="1" w:styleId="amprLISTMixed-L2consecutiveparagraph">
    <w:name w:val="[ampr LIST Mixed] - L2 (consecutive paragraph)"/>
    <w:basedOn w:val="amprLISTMixed-L2"/>
    <w:uiPriority w:val="5"/>
    <w:qFormat/>
    <w:pPr>
      <w:numPr>
        <w:ilvl w:val="0"/>
        <w:numId w:val="0"/>
      </w:numPr>
      <w:ind w:left="1072"/>
    </w:pPr>
  </w:style>
  <w:style w:type="paragraph" w:customStyle="1" w:styleId="amprLISTMixed-L3consecutiveparagraph">
    <w:name w:val="[ampr LIST Mixed] - L3 (consecutive paragraph)"/>
    <w:basedOn w:val="amprLISTMixed-L3"/>
    <w:uiPriority w:val="5"/>
    <w:qFormat/>
    <w:pPr>
      <w:numPr>
        <w:ilvl w:val="0"/>
        <w:numId w:val="0"/>
      </w:numPr>
      <w:ind w:left="1429"/>
    </w:pPr>
  </w:style>
  <w:style w:type="numbering" w:customStyle="1" w:styleId="amprLIST-Mixed">
    <w:name w:val="[ampr LIST]-Mixed"/>
    <w:uiPriority w:val="99"/>
    <w:pPr>
      <w:numPr>
        <w:numId w:val="16"/>
      </w:numPr>
    </w:pPr>
  </w:style>
  <w:style w:type="table" w:customStyle="1" w:styleId="AMPR20212">
    <w:name w:val="AMPR_2021_2"/>
    <w:basedOn w:val="TableNormal"/>
    <w:uiPriority w:val="99"/>
    <w:pPr>
      <w:spacing w:before="60" w:after="60" w:line="240" w:lineRule="auto"/>
    </w:pPr>
    <w:tblPr>
      <w:jc w:val="center"/>
      <w:tblBorders>
        <w:top w:val="single" w:sz="4" w:space="0" w:color="8C8C8C"/>
        <w:left w:val="single" w:sz="4" w:space="0" w:color="8C8C8C"/>
        <w:bottom w:val="single" w:sz="4" w:space="0" w:color="8C8C8C"/>
        <w:right w:val="single" w:sz="4" w:space="0" w:color="8C8C8C"/>
        <w:insideH w:val="single" w:sz="4" w:space="0" w:color="8C8C8C"/>
        <w:insideV w:val="single" w:sz="4" w:space="0" w:color="8C8C8C"/>
      </w:tblBorders>
    </w:tblPr>
    <w:trPr>
      <w:jc w:val="center"/>
    </w:trPr>
    <w:tcPr>
      <w:shd w:val="clear" w:color="auto" w:fill="F2F2F2" w:themeFill="background1" w:themeFillShade="F2"/>
    </w:tcPr>
    <w:tblStylePr w:type="firstRow">
      <w:pPr>
        <w:wordWrap/>
        <w:spacing w:beforeLines="0" w:before="100" w:beforeAutospacing="0" w:afterLines="0" w:after="100" w:afterAutospacing="0" w:line="240" w:lineRule="auto"/>
        <w:contextualSpacing w:val="0"/>
      </w:pPr>
      <w:rPr>
        <w:b/>
        <w:color w:val="FFFFFF" w:themeColor="background1"/>
      </w:rPr>
      <w:tblPr/>
      <w:tcPr>
        <w:tcBorders>
          <w:top w:val="single" w:sz="4" w:space="0" w:color="245F95" w:themeColor="text2"/>
          <w:left w:val="single" w:sz="4" w:space="0" w:color="245F95" w:themeColor="text2"/>
          <w:bottom w:val="single" w:sz="4" w:space="0" w:color="245F95" w:themeColor="text2"/>
          <w:right w:val="single" w:sz="4" w:space="0" w:color="245F95" w:themeColor="text2"/>
          <w:insideH w:val="nil"/>
          <w:insideV w:val="single" w:sz="4" w:space="0" w:color="FFFFFF" w:themeColor="background1"/>
          <w:tl2br w:val="nil"/>
          <w:tr2bl w:val="nil"/>
        </w:tcBorders>
        <w:shd w:val="clear" w:color="auto" w:fill="245F95" w:themeFill="text2"/>
      </w:tcPr>
    </w:tblStylePr>
    <w:tblStylePr w:type="firstCol">
      <w:rPr>
        <w:b/>
        <w:i w:val="0"/>
        <w:color w:val="02847D" w:themeColor="accent1"/>
      </w:rPr>
    </w:tblStylePr>
  </w:style>
  <w:style w:type="paragraph" w:customStyle="1" w:styleId="ZCom">
    <w:name w:val="Z_Com"/>
    <w:basedOn w:val="Normal"/>
    <w:next w:val="ZDGName"/>
    <w:pPr>
      <w:widowControl w:val="0"/>
      <w:autoSpaceDE w:val="0"/>
      <w:autoSpaceDN w:val="0"/>
      <w:spacing w:before="0" w:after="0" w:line="240" w:lineRule="auto"/>
      <w:ind w:right="85"/>
      <w:jc w:val="both"/>
    </w:pPr>
    <w:rPr>
      <w:rFonts w:ascii="Arial" w:eastAsia="Times New Roman" w:hAnsi="Arial" w:cs="Arial"/>
      <w:sz w:val="24"/>
      <w:szCs w:val="24"/>
      <w:lang w:eastAsia="ko-KR"/>
    </w:rPr>
  </w:style>
  <w:style w:type="paragraph" w:customStyle="1" w:styleId="ZDGName">
    <w:name w:val="Z_DGName"/>
    <w:basedOn w:val="Normal"/>
    <w:pPr>
      <w:widowControl w:val="0"/>
      <w:autoSpaceDE w:val="0"/>
      <w:autoSpaceDN w:val="0"/>
      <w:spacing w:before="0" w:after="0" w:line="240" w:lineRule="auto"/>
      <w:ind w:right="85"/>
    </w:pPr>
    <w:rPr>
      <w:rFonts w:ascii="Arial" w:eastAsia="Times New Roman" w:hAnsi="Arial" w:cs="Arial"/>
      <w:sz w:val="16"/>
      <w:szCs w:val="16"/>
      <w:lang w:eastAsia="ko-KR"/>
    </w:rPr>
  </w:style>
  <w:style w:type="paragraph" w:customStyle="1" w:styleId="NoteHead">
    <w:name w:val="NoteHead"/>
    <w:basedOn w:val="Normal"/>
    <w:next w:val="Normal"/>
    <w:pPr>
      <w:spacing w:before="720" w:after="720" w:line="240" w:lineRule="auto"/>
      <w:jc w:val="center"/>
    </w:pPr>
    <w:rPr>
      <w:rFonts w:ascii="Times New Roman" w:eastAsia="Times New Roman" w:hAnsi="Times New Roman" w:cs="Times New Roman"/>
      <w:b/>
      <w:smallCaps/>
      <w:sz w:val="24"/>
    </w:rPr>
  </w:style>
  <w:style w:type="paragraph" w:customStyle="1" w:styleId="Text3">
    <w:name w:val="Text 3"/>
    <w:basedOn w:val="Normal"/>
    <w:pPr>
      <w:spacing w:before="120" w:after="120" w:line="240" w:lineRule="auto"/>
      <w:ind w:left="851"/>
      <w:jc w:val="both"/>
    </w:pPr>
    <w:rPr>
      <w:rFonts w:ascii="Times New Roman" w:eastAsia="Times New Roman" w:hAnsi="Times New Roman" w:cs="Times New Roman"/>
      <w:sz w:val="24"/>
      <w:lang w:eastAsia="fr-BE"/>
    </w:rPr>
  </w:style>
  <w:style w:type="paragraph" w:customStyle="1" w:styleId="Tiret0">
    <w:name w:val="Tiret 0"/>
    <w:basedOn w:val="Normal"/>
    <w:link w:val="Tiret0Char"/>
    <w:uiPriority w:val="99"/>
    <w:pPr>
      <w:numPr>
        <w:numId w:val="18"/>
      </w:numPr>
      <w:spacing w:before="120" w:after="120" w:line="240" w:lineRule="auto"/>
      <w:jc w:val="both"/>
    </w:pPr>
    <w:rPr>
      <w:rFonts w:ascii="Times New Roman" w:eastAsia="Times New Roman" w:hAnsi="Times New Roman" w:cs="Times New Roman"/>
      <w:sz w:val="24"/>
      <w:szCs w:val="24"/>
      <w:lang w:eastAsia="en-GB"/>
    </w:rPr>
  </w:style>
  <w:style w:type="character" w:customStyle="1" w:styleId="Tiret0Char">
    <w:name w:val="Tiret 0 Char"/>
    <w:basedOn w:val="DefaultParagraphFont"/>
    <w:link w:val="Tiret0"/>
    <w:uiPriority w:val="99"/>
    <w:rPr>
      <w:rFonts w:ascii="Times New Roman" w:eastAsia="Times New Roman" w:hAnsi="Times New Roman" w:cs="Times New Roman"/>
      <w:sz w:val="24"/>
      <w:szCs w:val="24"/>
      <w:lang w:val="pl-PL" w:eastAsia="en-GB"/>
    </w:rPr>
  </w:style>
  <w:style w:type="paragraph" w:customStyle="1" w:styleId="Text1">
    <w:name w:val="Text 1"/>
    <w:basedOn w:val="Normal"/>
    <w:link w:val="Text1Char"/>
    <w:pPr>
      <w:spacing w:before="0" w:line="240" w:lineRule="auto"/>
      <w:ind w:left="482"/>
      <w:jc w:val="both"/>
    </w:pPr>
    <w:rPr>
      <w:rFonts w:ascii="Times New Roman" w:eastAsia="Times New Roman" w:hAnsi="Times New Roman" w:cs="Times New Roman"/>
      <w:sz w:val="24"/>
    </w:rPr>
  </w:style>
  <w:style w:type="paragraph" w:customStyle="1" w:styleId="Text2">
    <w:name w:val="Text 2"/>
    <w:basedOn w:val="Normal"/>
    <w:pPr>
      <w:tabs>
        <w:tab w:val="left" w:pos="2160"/>
      </w:tabs>
      <w:spacing w:before="0" w:line="240" w:lineRule="auto"/>
      <w:ind w:left="1077"/>
      <w:jc w:val="both"/>
    </w:pPr>
    <w:rPr>
      <w:rFonts w:ascii="Times New Roman" w:eastAsia="Times New Roman" w:hAnsi="Times New Roman" w:cs="Times New Roman"/>
      <w:sz w:val="24"/>
    </w:rPr>
  </w:style>
  <w:style w:type="paragraph" w:customStyle="1" w:styleId="Subject">
    <w:name w:val="Subject"/>
    <w:basedOn w:val="Normal"/>
    <w:next w:val="Normal"/>
    <w:pPr>
      <w:spacing w:before="0" w:after="480" w:line="240" w:lineRule="auto"/>
      <w:ind w:left="1191" w:hanging="1191"/>
    </w:pPr>
    <w:rPr>
      <w:rFonts w:ascii="Times New Roman" w:eastAsia="Times New Roman" w:hAnsi="Times New Roman" w:cs="Times New Roman"/>
      <w:b/>
      <w:sz w:val="24"/>
    </w:rPr>
  </w:style>
  <w:style w:type="character" w:customStyle="1" w:styleId="Text1Char">
    <w:name w:val="Text 1 Char"/>
    <w:basedOn w:val="DefaultParagraphFont"/>
    <w:link w:val="Text1"/>
    <w:rPr>
      <w:rFonts w:ascii="Times New Roman" w:eastAsia="Times New Roman" w:hAnsi="Times New Roman" w:cs="Times New Roman"/>
      <w:sz w:val="24"/>
      <w:lang w:val="pl-PL"/>
    </w:rPr>
  </w:style>
  <w:style w:type="paragraph" w:customStyle="1" w:styleId="Default">
    <w:name w:val="Default"/>
    <w:pPr>
      <w:autoSpaceDE w:val="0"/>
      <w:autoSpaceDN w:val="0"/>
      <w:adjustRightInd w:val="0"/>
      <w:spacing w:before="0" w:after="0" w:line="240" w:lineRule="auto"/>
    </w:pPr>
    <w:rPr>
      <w:rFonts w:ascii="EUAlbertina" w:eastAsia="Times New Roman" w:hAnsi="EUAlbertina" w:cs="EUAlbertina"/>
      <w:color w:val="000000"/>
      <w:sz w:val="24"/>
      <w:szCs w:val="24"/>
      <w:lang w:eastAsia="en-GB"/>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line="240" w:lineRule="auto"/>
      <w:jc w:val="both"/>
    </w:pPr>
    <w:rPr>
      <w:rFonts w:ascii="Times New Roman" w:hAnsi="Times New Roman" w:cs="Times New Roman"/>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CaptionChar">
    <w:name w:val="Caption Char"/>
    <w:basedOn w:val="DefaultParagraphFont"/>
    <w:link w:val="Caption"/>
    <w:rPr>
      <w:i/>
      <w:iCs/>
      <w:color w:val="245F95" w:themeColor="text2"/>
      <w:sz w:val="18"/>
      <w:szCs w:val="18"/>
      <w:lang w:val="pl-PL"/>
    </w:rPr>
  </w:style>
  <w:style w:type="character" w:customStyle="1" w:styleId="FooterCoverPageChar">
    <w:name w:val="Footer Cover Page Char"/>
    <w:basedOn w:val="CaptionChar"/>
    <w:link w:val="FooterCoverPage"/>
    <w:rPr>
      <w:rFonts w:ascii="Times New Roman" w:hAnsi="Times New Roman" w:cs="Times New Roman"/>
      <w:i w:val="0"/>
      <w:iCs w:val="0"/>
      <w:color w:val="245F95" w:themeColor="text2"/>
      <w:sz w:val="24"/>
      <w:szCs w:val="18"/>
      <w:lang w:val="pl-PL"/>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CaptionChar"/>
    <w:link w:val="FooterSensitivity"/>
    <w:rPr>
      <w:rFonts w:ascii="Times New Roman" w:hAnsi="Times New Roman" w:cs="Times New Roman"/>
      <w:b/>
      <w:i w:val="0"/>
      <w:iCs w:val="0"/>
      <w:color w:val="245F95" w:themeColor="text2"/>
      <w:sz w:val="32"/>
      <w:szCs w:val="18"/>
      <w:lang w:val="pl-PL"/>
    </w:rPr>
  </w:style>
  <w:style w:type="paragraph" w:customStyle="1" w:styleId="HeaderCoverPage">
    <w:name w:val="Header Cover Page"/>
    <w:basedOn w:val="Normal"/>
    <w:link w:val="HeaderCoverPageChar"/>
    <w:pPr>
      <w:tabs>
        <w:tab w:val="center" w:pos="4535"/>
        <w:tab w:val="right" w:pos="9071"/>
      </w:tabs>
      <w:spacing w:before="0" w:after="120" w:line="240" w:lineRule="auto"/>
      <w:jc w:val="both"/>
    </w:pPr>
    <w:rPr>
      <w:rFonts w:ascii="Times New Roman" w:hAnsi="Times New Roman" w:cs="Times New Roman"/>
      <w:sz w:val="24"/>
    </w:rPr>
  </w:style>
  <w:style w:type="character" w:customStyle="1" w:styleId="HeaderCoverPageChar">
    <w:name w:val="Header Cover Page Char"/>
    <w:basedOn w:val="CaptionChar"/>
    <w:link w:val="HeaderCoverPage"/>
    <w:rPr>
      <w:rFonts w:ascii="Times New Roman" w:hAnsi="Times New Roman" w:cs="Times New Roman"/>
      <w:i w:val="0"/>
      <w:iCs w:val="0"/>
      <w:color w:val="245F95" w:themeColor="text2"/>
      <w:sz w:val="24"/>
      <w:szCs w:val="18"/>
      <w:lang w:val="pl-PL"/>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CaptionChar"/>
    <w:link w:val="HeaderSensitivity"/>
    <w:rPr>
      <w:rFonts w:ascii="Times New Roman" w:hAnsi="Times New Roman" w:cs="Times New Roman"/>
      <w:b/>
      <w:i w:val="0"/>
      <w:iCs w:val="0"/>
      <w:color w:val="245F95" w:themeColor="text2"/>
      <w:sz w:val="32"/>
      <w:szCs w:val="18"/>
      <w:lang w:val="pl-PL"/>
    </w:rPr>
  </w:style>
  <w:style w:type="character" w:customStyle="1" w:styleId="WW8Num4z1">
    <w:name w:val="WW8Num4z1"/>
    <w:rPr>
      <w:rFonts w:ascii="Wingdings" w:hAnsi="Wingdings" w:cs="Symbol" w:hint="default"/>
    </w:rPr>
  </w:style>
  <w:style w:type="character" w:customStyle="1" w:styleId="footnotereference0">
    <w:name w:val="footnotereference"/>
    <w:basedOn w:val="DefaultParagraphFont"/>
    <w:rPr>
      <w:rFonts w:ascii="Times New Roman" w:hAnsi="Times New Roman" w:cs="Times New Roman" w:hint="default"/>
    </w:rPr>
  </w:style>
  <w:style w:type="paragraph" w:customStyle="1" w:styleId="SecurityMarking">
    <w:name w:val="SecurityMarking"/>
    <w:basedOn w:val="Normal"/>
    <w:pPr>
      <w:spacing w:before="0" w:after="0" w:line="276" w:lineRule="auto"/>
      <w:ind w:left="5103"/>
    </w:pPr>
    <w:rPr>
      <w:rFonts w:ascii="Times New Roman" w:hAnsi="Times New Roman" w:cs="Times New Roman"/>
      <w:sz w:val="28"/>
      <w:szCs w:val="22"/>
    </w:rPr>
  </w:style>
  <w:style w:type="paragraph" w:customStyle="1" w:styleId="DateMarking">
    <w:name w:val="DateMarking"/>
    <w:basedOn w:val="Normal"/>
    <w:pPr>
      <w:spacing w:before="0" w:after="0" w:line="276" w:lineRule="auto"/>
      <w:ind w:left="5103"/>
    </w:pPr>
    <w:rPr>
      <w:rFonts w:ascii="Times New Roman" w:hAnsi="Times New Roman" w:cs="Times New Roman"/>
      <w:i/>
      <w:sz w:val="28"/>
      <w:szCs w:val="22"/>
    </w:rPr>
  </w:style>
  <w:style w:type="paragraph" w:customStyle="1" w:styleId="ReleasableTo">
    <w:name w:val="ReleasableTo"/>
    <w:basedOn w:val="Normal"/>
    <w:pPr>
      <w:spacing w:before="0" w:after="0" w:line="276" w:lineRule="auto"/>
      <w:ind w:left="5103"/>
    </w:pPr>
    <w:rPr>
      <w:rFonts w:ascii="Times New Roman" w:hAnsi="Times New Roman" w:cs="Times New Roman"/>
      <w:i/>
      <w:sz w:val="28"/>
      <w:szCs w:val="22"/>
    </w:rPr>
  </w:style>
  <w:style w:type="paragraph" w:customStyle="1" w:styleId="HeaderSensitivityRight">
    <w:name w:val="Header Sensitivity Right"/>
    <w:basedOn w:val="Normal"/>
    <w:pPr>
      <w:spacing w:before="0" w:after="120" w:line="240" w:lineRule="auto"/>
      <w:jc w:val="right"/>
    </w:pPr>
    <w:rPr>
      <w:rFonts w:ascii="Times New Roman" w:hAnsi="Times New Roman" w:cs="Times New Roman"/>
      <w:sz w:val="28"/>
    </w:rPr>
  </w:style>
  <w:style w:type="paragraph" w:customStyle="1" w:styleId="Point0">
    <w:name w:val="Point 0"/>
    <w:basedOn w:val="Normal"/>
    <w:uiPriority w:val="99"/>
    <w:pPr>
      <w:spacing w:before="120" w:after="120" w:line="240" w:lineRule="auto"/>
      <w:ind w:left="850" w:hanging="850"/>
      <w:jc w:val="both"/>
    </w:pPr>
    <w:rPr>
      <w:rFonts w:ascii="Times New Roman" w:eastAsiaTheme="minorEastAsia" w:hAnsi="Times New Roman" w:cs="Times New Roman"/>
      <w:sz w:val="24"/>
      <w:szCs w:val="24"/>
      <w:lang w:eastAsia="en-GB"/>
    </w:rPr>
  </w:style>
  <w:style w:type="character" w:customStyle="1" w:styleId="markedcontent">
    <w:name w:val="markedcontent"/>
    <w:basedOn w:val="DefaultParagraphFont"/>
  </w:style>
  <w:style w:type="paragraph" w:customStyle="1" w:styleId="title-bold">
    <w:name w:val="title-bold"/>
    <w:basedOn w:val="Normal"/>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ention1">
    <w:name w:val="Mention1"/>
    <w:basedOn w:val="DefaultParagraphFont"/>
    <w:uiPriority w:val="99"/>
    <w:unhideWhenUsed/>
    <w:rPr>
      <w:color w:val="2B579A"/>
      <w:shd w:val="clear" w:color="auto" w:fill="E6E6E6"/>
    </w:rPr>
  </w:style>
  <w:style w:type="character" w:customStyle="1" w:styleId="normaltextrun">
    <w:name w:val="normaltextrun"/>
    <w:basedOn w:val="DefaultParagraphFont"/>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NormalRight">
    <w:name w:val="Normal Right"/>
    <w:basedOn w:val="Normal"/>
    <w:uiPriority w:val="99"/>
    <w:rsid w:val="0027372E"/>
    <w:pPr>
      <w:spacing w:before="120" w:after="120" w:line="240" w:lineRule="auto"/>
      <w:jc w:val="right"/>
    </w:pPr>
    <w:rPr>
      <w:rFonts w:ascii="Times New Roman" w:eastAsiaTheme="minorEastAsia" w:hAnsi="Times New Roman" w:cs="Times New Roman"/>
      <w:sz w:val="24"/>
      <w:szCs w:val="24"/>
      <w:lang w:eastAsia="en-IE"/>
    </w:rPr>
  </w:style>
  <w:style w:type="character" w:customStyle="1" w:styleId="Mention">
    <w:name w:val="Mention"/>
    <w:basedOn w:val="DefaultParagraphFont"/>
    <w:uiPriority w:val="99"/>
    <w:unhideWhenUsed/>
    <w:rsid w:val="007E65F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1340">
      <w:bodyDiv w:val="1"/>
      <w:marLeft w:val="0"/>
      <w:marRight w:val="0"/>
      <w:marTop w:val="0"/>
      <w:marBottom w:val="0"/>
      <w:divBdr>
        <w:top w:val="none" w:sz="0" w:space="0" w:color="auto"/>
        <w:left w:val="none" w:sz="0" w:space="0" w:color="auto"/>
        <w:bottom w:val="none" w:sz="0" w:space="0" w:color="auto"/>
        <w:right w:val="none" w:sz="0" w:space="0" w:color="auto"/>
      </w:divBdr>
    </w:div>
    <w:div w:id="17318377">
      <w:bodyDiv w:val="1"/>
      <w:marLeft w:val="0"/>
      <w:marRight w:val="0"/>
      <w:marTop w:val="0"/>
      <w:marBottom w:val="0"/>
      <w:divBdr>
        <w:top w:val="none" w:sz="0" w:space="0" w:color="auto"/>
        <w:left w:val="none" w:sz="0" w:space="0" w:color="auto"/>
        <w:bottom w:val="none" w:sz="0" w:space="0" w:color="auto"/>
        <w:right w:val="none" w:sz="0" w:space="0" w:color="auto"/>
      </w:divBdr>
    </w:div>
    <w:div w:id="24672186">
      <w:bodyDiv w:val="1"/>
      <w:marLeft w:val="0"/>
      <w:marRight w:val="0"/>
      <w:marTop w:val="0"/>
      <w:marBottom w:val="0"/>
      <w:divBdr>
        <w:top w:val="none" w:sz="0" w:space="0" w:color="auto"/>
        <w:left w:val="none" w:sz="0" w:space="0" w:color="auto"/>
        <w:bottom w:val="none" w:sz="0" w:space="0" w:color="auto"/>
        <w:right w:val="none" w:sz="0" w:space="0" w:color="auto"/>
      </w:divBdr>
    </w:div>
    <w:div w:id="56518824">
      <w:bodyDiv w:val="1"/>
      <w:marLeft w:val="0"/>
      <w:marRight w:val="0"/>
      <w:marTop w:val="0"/>
      <w:marBottom w:val="0"/>
      <w:divBdr>
        <w:top w:val="none" w:sz="0" w:space="0" w:color="auto"/>
        <w:left w:val="none" w:sz="0" w:space="0" w:color="auto"/>
        <w:bottom w:val="none" w:sz="0" w:space="0" w:color="auto"/>
        <w:right w:val="none" w:sz="0" w:space="0" w:color="auto"/>
      </w:divBdr>
    </w:div>
    <w:div w:id="124474031">
      <w:bodyDiv w:val="1"/>
      <w:marLeft w:val="0"/>
      <w:marRight w:val="0"/>
      <w:marTop w:val="0"/>
      <w:marBottom w:val="0"/>
      <w:divBdr>
        <w:top w:val="none" w:sz="0" w:space="0" w:color="auto"/>
        <w:left w:val="none" w:sz="0" w:space="0" w:color="auto"/>
        <w:bottom w:val="none" w:sz="0" w:space="0" w:color="auto"/>
        <w:right w:val="none" w:sz="0" w:space="0" w:color="auto"/>
      </w:divBdr>
    </w:div>
    <w:div w:id="133062814">
      <w:bodyDiv w:val="1"/>
      <w:marLeft w:val="0"/>
      <w:marRight w:val="0"/>
      <w:marTop w:val="0"/>
      <w:marBottom w:val="0"/>
      <w:divBdr>
        <w:top w:val="none" w:sz="0" w:space="0" w:color="auto"/>
        <w:left w:val="none" w:sz="0" w:space="0" w:color="auto"/>
        <w:bottom w:val="none" w:sz="0" w:space="0" w:color="auto"/>
        <w:right w:val="none" w:sz="0" w:space="0" w:color="auto"/>
      </w:divBdr>
    </w:div>
    <w:div w:id="154498362">
      <w:bodyDiv w:val="1"/>
      <w:marLeft w:val="0"/>
      <w:marRight w:val="0"/>
      <w:marTop w:val="0"/>
      <w:marBottom w:val="0"/>
      <w:divBdr>
        <w:top w:val="none" w:sz="0" w:space="0" w:color="auto"/>
        <w:left w:val="none" w:sz="0" w:space="0" w:color="auto"/>
        <w:bottom w:val="none" w:sz="0" w:space="0" w:color="auto"/>
        <w:right w:val="none" w:sz="0" w:space="0" w:color="auto"/>
      </w:divBdr>
    </w:div>
    <w:div w:id="163471648">
      <w:bodyDiv w:val="1"/>
      <w:marLeft w:val="0"/>
      <w:marRight w:val="0"/>
      <w:marTop w:val="0"/>
      <w:marBottom w:val="0"/>
      <w:divBdr>
        <w:top w:val="none" w:sz="0" w:space="0" w:color="auto"/>
        <w:left w:val="none" w:sz="0" w:space="0" w:color="auto"/>
        <w:bottom w:val="none" w:sz="0" w:space="0" w:color="auto"/>
        <w:right w:val="none" w:sz="0" w:space="0" w:color="auto"/>
      </w:divBdr>
      <w:divsChild>
        <w:div w:id="1545603797">
          <w:marLeft w:val="0"/>
          <w:marRight w:val="0"/>
          <w:marTop w:val="0"/>
          <w:marBottom w:val="0"/>
          <w:divBdr>
            <w:top w:val="none" w:sz="0" w:space="0" w:color="auto"/>
            <w:left w:val="none" w:sz="0" w:space="0" w:color="auto"/>
            <w:bottom w:val="none" w:sz="0" w:space="0" w:color="auto"/>
            <w:right w:val="none" w:sz="0" w:space="0" w:color="auto"/>
          </w:divBdr>
          <w:divsChild>
            <w:div w:id="2087412605">
              <w:marLeft w:val="0"/>
              <w:marRight w:val="0"/>
              <w:marTop w:val="0"/>
              <w:marBottom w:val="0"/>
              <w:divBdr>
                <w:top w:val="none" w:sz="0" w:space="0" w:color="auto"/>
                <w:left w:val="none" w:sz="0" w:space="0" w:color="auto"/>
                <w:bottom w:val="none" w:sz="0" w:space="0" w:color="auto"/>
                <w:right w:val="none" w:sz="0" w:space="0" w:color="auto"/>
              </w:divBdr>
              <w:divsChild>
                <w:div w:id="414977839">
                  <w:marLeft w:val="0"/>
                  <w:marRight w:val="0"/>
                  <w:marTop w:val="0"/>
                  <w:marBottom w:val="0"/>
                  <w:divBdr>
                    <w:top w:val="none" w:sz="0" w:space="0" w:color="auto"/>
                    <w:left w:val="none" w:sz="0" w:space="0" w:color="auto"/>
                    <w:bottom w:val="none" w:sz="0" w:space="0" w:color="auto"/>
                    <w:right w:val="none" w:sz="0" w:space="0" w:color="auto"/>
                  </w:divBdr>
                  <w:divsChild>
                    <w:div w:id="1951547590">
                      <w:marLeft w:val="0"/>
                      <w:marRight w:val="0"/>
                      <w:marTop w:val="0"/>
                      <w:marBottom w:val="0"/>
                      <w:divBdr>
                        <w:top w:val="none" w:sz="0" w:space="0" w:color="auto"/>
                        <w:left w:val="none" w:sz="0" w:space="0" w:color="auto"/>
                        <w:bottom w:val="none" w:sz="0" w:space="0" w:color="auto"/>
                        <w:right w:val="none" w:sz="0" w:space="0" w:color="auto"/>
                      </w:divBdr>
                      <w:divsChild>
                        <w:div w:id="1997223519">
                          <w:marLeft w:val="0"/>
                          <w:marRight w:val="0"/>
                          <w:marTop w:val="0"/>
                          <w:marBottom w:val="0"/>
                          <w:divBdr>
                            <w:top w:val="none" w:sz="0" w:space="0" w:color="auto"/>
                            <w:left w:val="none" w:sz="0" w:space="0" w:color="auto"/>
                            <w:bottom w:val="none" w:sz="0" w:space="0" w:color="auto"/>
                            <w:right w:val="none" w:sz="0" w:space="0" w:color="auto"/>
                          </w:divBdr>
                          <w:divsChild>
                            <w:div w:id="665859235">
                              <w:marLeft w:val="-225"/>
                              <w:marRight w:val="-225"/>
                              <w:marTop w:val="0"/>
                              <w:marBottom w:val="0"/>
                              <w:divBdr>
                                <w:top w:val="none" w:sz="0" w:space="0" w:color="auto"/>
                                <w:left w:val="none" w:sz="0" w:space="0" w:color="auto"/>
                                <w:bottom w:val="none" w:sz="0" w:space="0" w:color="auto"/>
                                <w:right w:val="none" w:sz="0" w:space="0" w:color="auto"/>
                              </w:divBdr>
                              <w:divsChild>
                                <w:div w:id="1634603584">
                                  <w:marLeft w:val="0"/>
                                  <w:marRight w:val="0"/>
                                  <w:marTop w:val="0"/>
                                  <w:marBottom w:val="133"/>
                                  <w:divBdr>
                                    <w:top w:val="none" w:sz="0" w:space="0" w:color="auto"/>
                                    <w:left w:val="none" w:sz="0" w:space="0" w:color="auto"/>
                                    <w:bottom w:val="none" w:sz="0" w:space="0" w:color="auto"/>
                                    <w:right w:val="none" w:sz="0" w:space="0" w:color="auto"/>
                                  </w:divBdr>
                                  <w:divsChild>
                                    <w:div w:id="85834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84693">
      <w:bodyDiv w:val="1"/>
      <w:marLeft w:val="0"/>
      <w:marRight w:val="0"/>
      <w:marTop w:val="0"/>
      <w:marBottom w:val="0"/>
      <w:divBdr>
        <w:top w:val="none" w:sz="0" w:space="0" w:color="auto"/>
        <w:left w:val="none" w:sz="0" w:space="0" w:color="auto"/>
        <w:bottom w:val="none" w:sz="0" w:space="0" w:color="auto"/>
        <w:right w:val="none" w:sz="0" w:space="0" w:color="auto"/>
      </w:divBdr>
    </w:div>
    <w:div w:id="207642439">
      <w:bodyDiv w:val="1"/>
      <w:marLeft w:val="0"/>
      <w:marRight w:val="0"/>
      <w:marTop w:val="0"/>
      <w:marBottom w:val="0"/>
      <w:divBdr>
        <w:top w:val="none" w:sz="0" w:space="0" w:color="auto"/>
        <w:left w:val="none" w:sz="0" w:space="0" w:color="auto"/>
        <w:bottom w:val="none" w:sz="0" w:space="0" w:color="auto"/>
        <w:right w:val="none" w:sz="0" w:space="0" w:color="auto"/>
      </w:divBdr>
    </w:div>
    <w:div w:id="229850510">
      <w:bodyDiv w:val="1"/>
      <w:marLeft w:val="0"/>
      <w:marRight w:val="0"/>
      <w:marTop w:val="0"/>
      <w:marBottom w:val="0"/>
      <w:divBdr>
        <w:top w:val="none" w:sz="0" w:space="0" w:color="auto"/>
        <w:left w:val="none" w:sz="0" w:space="0" w:color="auto"/>
        <w:bottom w:val="none" w:sz="0" w:space="0" w:color="auto"/>
        <w:right w:val="none" w:sz="0" w:space="0" w:color="auto"/>
      </w:divBdr>
    </w:div>
    <w:div w:id="233854571">
      <w:bodyDiv w:val="1"/>
      <w:marLeft w:val="0"/>
      <w:marRight w:val="0"/>
      <w:marTop w:val="0"/>
      <w:marBottom w:val="0"/>
      <w:divBdr>
        <w:top w:val="none" w:sz="0" w:space="0" w:color="auto"/>
        <w:left w:val="none" w:sz="0" w:space="0" w:color="auto"/>
        <w:bottom w:val="none" w:sz="0" w:space="0" w:color="auto"/>
        <w:right w:val="none" w:sz="0" w:space="0" w:color="auto"/>
      </w:divBdr>
    </w:div>
    <w:div w:id="251816919">
      <w:bodyDiv w:val="1"/>
      <w:marLeft w:val="0"/>
      <w:marRight w:val="0"/>
      <w:marTop w:val="0"/>
      <w:marBottom w:val="0"/>
      <w:divBdr>
        <w:top w:val="none" w:sz="0" w:space="0" w:color="auto"/>
        <w:left w:val="none" w:sz="0" w:space="0" w:color="auto"/>
        <w:bottom w:val="none" w:sz="0" w:space="0" w:color="auto"/>
        <w:right w:val="none" w:sz="0" w:space="0" w:color="auto"/>
      </w:divBdr>
    </w:div>
    <w:div w:id="256796035">
      <w:bodyDiv w:val="1"/>
      <w:marLeft w:val="0"/>
      <w:marRight w:val="0"/>
      <w:marTop w:val="0"/>
      <w:marBottom w:val="0"/>
      <w:divBdr>
        <w:top w:val="none" w:sz="0" w:space="0" w:color="auto"/>
        <w:left w:val="none" w:sz="0" w:space="0" w:color="auto"/>
        <w:bottom w:val="none" w:sz="0" w:space="0" w:color="auto"/>
        <w:right w:val="none" w:sz="0" w:space="0" w:color="auto"/>
      </w:divBdr>
    </w:div>
    <w:div w:id="306596134">
      <w:bodyDiv w:val="1"/>
      <w:marLeft w:val="0"/>
      <w:marRight w:val="0"/>
      <w:marTop w:val="0"/>
      <w:marBottom w:val="0"/>
      <w:divBdr>
        <w:top w:val="none" w:sz="0" w:space="0" w:color="auto"/>
        <w:left w:val="none" w:sz="0" w:space="0" w:color="auto"/>
        <w:bottom w:val="none" w:sz="0" w:space="0" w:color="auto"/>
        <w:right w:val="none" w:sz="0" w:space="0" w:color="auto"/>
      </w:divBdr>
    </w:div>
    <w:div w:id="308438651">
      <w:bodyDiv w:val="1"/>
      <w:marLeft w:val="0"/>
      <w:marRight w:val="0"/>
      <w:marTop w:val="0"/>
      <w:marBottom w:val="0"/>
      <w:divBdr>
        <w:top w:val="none" w:sz="0" w:space="0" w:color="auto"/>
        <w:left w:val="none" w:sz="0" w:space="0" w:color="auto"/>
        <w:bottom w:val="none" w:sz="0" w:space="0" w:color="auto"/>
        <w:right w:val="none" w:sz="0" w:space="0" w:color="auto"/>
      </w:divBdr>
    </w:div>
    <w:div w:id="354618136">
      <w:bodyDiv w:val="1"/>
      <w:marLeft w:val="0"/>
      <w:marRight w:val="0"/>
      <w:marTop w:val="0"/>
      <w:marBottom w:val="0"/>
      <w:divBdr>
        <w:top w:val="none" w:sz="0" w:space="0" w:color="auto"/>
        <w:left w:val="none" w:sz="0" w:space="0" w:color="auto"/>
        <w:bottom w:val="none" w:sz="0" w:space="0" w:color="auto"/>
        <w:right w:val="none" w:sz="0" w:space="0" w:color="auto"/>
      </w:divBdr>
    </w:div>
    <w:div w:id="362098488">
      <w:bodyDiv w:val="1"/>
      <w:marLeft w:val="0"/>
      <w:marRight w:val="0"/>
      <w:marTop w:val="0"/>
      <w:marBottom w:val="0"/>
      <w:divBdr>
        <w:top w:val="none" w:sz="0" w:space="0" w:color="auto"/>
        <w:left w:val="none" w:sz="0" w:space="0" w:color="auto"/>
        <w:bottom w:val="none" w:sz="0" w:space="0" w:color="auto"/>
        <w:right w:val="none" w:sz="0" w:space="0" w:color="auto"/>
      </w:divBdr>
    </w:div>
    <w:div w:id="378669119">
      <w:bodyDiv w:val="1"/>
      <w:marLeft w:val="0"/>
      <w:marRight w:val="0"/>
      <w:marTop w:val="0"/>
      <w:marBottom w:val="0"/>
      <w:divBdr>
        <w:top w:val="none" w:sz="0" w:space="0" w:color="auto"/>
        <w:left w:val="none" w:sz="0" w:space="0" w:color="auto"/>
        <w:bottom w:val="none" w:sz="0" w:space="0" w:color="auto"/>
        <w:right w:val="none" w:sz="0" w:space="0" w:color="auto"/>
      </w:divBdr>
    </w:div>
    <w:div w:id="382218318">
      <w:bodyDiv w:val="1"/>
      <w:marLeft w:val="0"/>
      <w:marRight w:val="0"/>
      <w:marTop w:val="0"/>
      <w:marBottom w:val="0"/>
      <w:divBdr>
        <w:top w:val="none" w:sz="0" w:space="0" w:color="auto"/>
        <w:left w:val="none" w:sz="0" w:space="0" w:color="auto"/>
        <w:bottom w:val="none" w:sz="0" w:space="0" w:color="auto"/>
        <w:right w:val="none" w:sz="0" w:space="0" w:color="auto"/>
      </w:divBdr>
      <w:divsChild>
        <w:div w:id="13771394">
          <w:marLeft w:val="0"/>
          <w:marRight w:val="0"/>
          <w:marTop w:val="0"/>
          <w:marBottom w:val="0"/>
          <w:divBdr>
            <w:top w:val="none" w:sz="0" w:space="0" w:color="auto"/>
            <w:left w:val="none" w:sz="0" w:space="0" w:color="auto"/>
            <w:bottom w:val="none" w:sz="0" w:space="0" w:color="auto"/>
            <w:right w:val="none" w:sz="0" w:space="0" w:color="auto"/>
          </w:divBdr>
        </w:div>
        <w:div w:id="351037791">
          <w:marLeft w:val="0"/>
          <w:marRight w:val="0"/>
          <w:marTop w:val="0"/>
          <w:marBottom w:val="0"/>
          <w:divBdr>
            <w:top w:val="none" w:sz="0" w:space="0" w:color="auto"/>
            <w:left w:val="none" w:sz="0" w:space="0" w:color="auto"/>
            <w:bottom w:val="none" w:sz="0" w:space="0" w:color="auto"/>
            <w:right w:val="none" w:sz="0" w:space="0" w:color="auto"/>
          </w:divBdr>
        </w:div>
        <w:div w:id="1160927742">
          <w:marLeft w:val="0"/>
          <w:marRight w:val="0"/>
          <w:marTop w:val="0"/>
          <w:marBottom w:val="0"/>
          <w:divBdr>
            <w:top w:val="none" w:sz="0" w:space="0" w:color="auto"/>
            <w:left w:val="none" w:sz="0" w:space="0" w:color="auto"/>
            <w:bottom w:val="none" w:sz="0" w:space="0" w:color="auto"/>
            <w:right w:val="none" w:sz="0" w:space="0" w:color="auto"/>
          </w:divBdr>
        </w:div>
        <w:div w:id="1696610093">
          <w:marLeft w:val="0"/>
          <w:marRight w:val="0"/>
          <w:marTop w:val="0"/>
          <w:marBottom w:val="0"/>
          <w:divBdr>
            <w:top w:val="none" w:sz="0" w:space="0" w:color="auto"/>
            <w:left w:val="none" w:sz="0" w:space="0" w:color="auto"/>
            <w:bottom w:val="none" w:sz="0" w:space="0" w:color="auto"/>
            <w:right w:val="none" w:sz="0" w:space="0" w:color="auto"/>
          </w:divBdr>
        </w:div>
        <w:div w:id="1951353634">
          <w:marLeft w:val="0"/>
          <w:marRight w:val="0"/>
          <w:marTop w:val="0"/>
          <w:marBottom w:val="0"/>
          <w:divBdr>
            <w:top w:val="none" w:sz="0" w:space="0" w:color="auto"/>
            <w:left w:val="none" w:sz="0" w:space="0" w:color="auto"/>
            <w:bottom w:val="none" w:sz="0" w:space="0" w:color="auto"/>
            <w:right w:val="none" w:sz="0" w:space="0" w:color="auto"/>
          </w:divBdr>
        </w:div>
      </w:divsChild>
    </w:div>
    <w:div w:id="441609357">
      <w:bodyDiv w:val="1"/>
      <w:marLeft w:val="0"/>
      <w:marRight w:val="0"/>
      <w:marTop w:val="0"/>
      <w:marBottom w:val="0"/>
      <w:divBdr>
        <w:top w:val="none" w:sz="0" w:space="0" w:color="auto"/>
        <w:left w:val="none" w:sz="0" w:space="0" w:color="auto"/>
        <w:bottom w:val="none" w:sz="0" w:space="0" w:color="auto"/>
        <w:right w:val="none" w:sz="0" w:space="0" w:color="auto"/>
      </w:divBdr>
      <w:divsChild>
        <w:div w:id="583799303">
          <w:marLeft w:val="0"/>
          <w:marRight w:val="0"/>
          <w:marTop w:val="0"/>
          <w:marBottom w:val="0"/>
          <w:divBdr>
            <w:top w:val="none" w:sz="0" w:space="0" w:color="auto"/>
            <w:left w:val="none" w:sz="0" w:space="0" w:color="auto"/>
            <w:bottom w:val="none" w:sz="0" w:space="0" w:color="auto"/>
            <w:right w:val="none" w:sz="0" w:space="0" w:color="auto"/>
          </w:divBdr>
          <w:divsChild>
            <w:div w:id="208156326">
              <w:marLeft w:val="0"/>
              <w:marRight w:val="0"/>
              <w:marTop w:val="0"/>
              <w:marBottom w:val="0"/>
              <w:divBdr>
                <w:top w:val="none" w:sz="0" w:space="0" w:color="auto"/>
                <w:left w:val="none" w:sz="0" w:space="0" w:color="auto"/>
                <w:bottom w:val="none" w:sz="0" w:space="0" w:color="auto"/>
                <w:right w:val="none" w:sz="0" w:space="0" w:color="auto"/>
              </w:divBdr>
              <w:divsChild>
                <w:div w:id="702243767">
                  <w:marLeft w:val="0"/>
                  <w:marRight w:val="0"/>
                  <w:marTop w:val="0"/>
                  <w:marBottom w:val="0"/>
                  <w:divBdr>
                    <w:top w:val="none" w:sz="0" w:space="0" w:color="auto"/>
                    <w:left w:val="none" w:sz="0" w:space="0" w:color="auto"/>
                    <w:bottom w:val="none" w:sz="0" w:space="0" w:color="auto"/>
                    <w:right w:val="none" w:sz="0" w:space="0" w:color="auto"/>
                  </w:divBdr>
                  <w:divsChild>
                    <w:div w:id="64422346">
                      <w:marLeft w:val="0"/>
                      <w:marRight w:val="0"/>
                      <w:marTop w:val="0"/>
                      <w:marBottom w:val="0"/>
                      <w:divBdr>
                        <w:top w:val="none" w:sz="0" w:space="0" w:color="auto"/>
                        <w:left w:val="none" w:sz="0" w:space="0" w:color="auto"/>
                        <w:bottom w:val="none" w:sz="0" w:space="0" w:color="auto"/>
                        <w:right w:val="none" w:sz="0" w:space="0" w:color="auto"/>
                      </w:divBdr>
                      <w:divsChild>
                        <w:div w:id="1014117586">
                          <w:marLeft w:val="0"/>
                          <w:marRight w:val="0"/>
                          <w:marTop w:val="0"/>
                          <w:marBottom w:val="0"/>
                          <w:divBdr>
                            <w:top w:val="none" w:sz="0" w:space="0" w:color="auto"/>
                            <w:left w:val="none" w:sz="0" w:space="0" w:color="auto"/>
                            <w:bottom w:val="none" w:sz="0" w:space="0" w:color="auto"/>
                            <w:right w:val="none" w:sz="0" w:space="0" w:color="auto"/>
                          </w:divBdr>
                          <w:divsChild>
                            <w:div w:id="1535147112">
                              <w:marLeft w:val="-225"/>
                              <w:marRight w:val="-225"/>
                              <w:marTop w:val="0"/>
                              <w:marBottom w:val="0"/>
                              <w:divBdr>
                                <w:top w:val="none" w:sz="0" w:space="0" w:color="auto"/>
                                <w:left w:val="none" w:sz="0" w:space="0" w:color="auto"/>
                                <w:bottom w:val="none" w:sz="0" w:space="0" w:color="auto"/>
                                <w:right w:val="none" w:sz="0" w:space="0" w:color="auto"/>
                              </w:divBdr>
                              <w:divsChild>
                                <w:div w:id="759565836">
                                  <w:marLeft w:val="0"/>
                                  <w:marRight w:val="0"/>
                                  <w:marTop w:val="0"/>
                                  <w:marBottom w:val="133"/>
                                  <w:divBdr>
                                    <w:top w:val="none" w:sz="0" w:space="0" w:color="auto"/>
                                    <w:left w:val="none" w:sz="0" w:space="0" w:color="auto"/>
                                    <w:bottom w:val="none" w:sz="0" w:space="0" w:color="auto"/>
                                    <w:right w:val="none" w:sz="0" w:space="0" w:color="auto"/>
                                  </w:divBdr>
                                  <w:divsChild>
                                    <w:div w:id="209770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6045589">
      <w:bodyDiv w:val="1"/>
      <w:marLeft w:val="0"/>
      <w:marRight w:val="0"/>
      <w:marTop w:val="0"/>
      <w:marBottom w:val="0"/>
      <w:divBdr>
        <w:top w:val="none" w:sz="0" w:space="0" w:color="auto"/>
        <w:left w:val="none" w:sz="0" w:space="0" w:color="auto"/>
        <w:bottom w:val="none" w:sz="0" w:space="0" w:color="auto"/>
        <w:right w:val="none" w:sz="0" w:space="0" w:color="auto"/>
      </w:divBdr>
    </w:div>
    <w:div w:id="485367911">
      <w:bodyDiv w:val="1"/>
      <w:marLeft w:val="0"/>
      <w:marRight w:val="0"/>
      <w:marTop w:val="0"/>
      <w:marBottom w:val="0"/>
      <w:divBdr>
        <w:top w:val="none" w:sz="0" w:space="0" w:color="auto"/>
        <w:left w:val="none" w:sz="0" w:space="0" w:color="auto"/>
        <w:bottom w:val="none" w:sz="0" w:space="0" w:color="auto"/>
        <w:right w:val="none" w:sz="0" w:space="0" w:color="auto"/>
      </w:divBdr>
    </w:div>
    <w:div w:id="500703562">
      <w:bodyDiv w:val="1"/>
      <w:marLeft w:val="0"/>
      <w:marRight w:val="0"/>
      <w:marTop w:val="0"/>
      <w:marBottom w:val="0"/>
      <w:divBdr>
        <w:top w:val="none" w:sz="0" w:space="0" w:color="auto"/>
        <w:left w:val="none" w:sz="0" w:space="0" w:color="auto"/>
        <w:bottom w:val="none" w:sz="0" w:space="0" w:color="auto"/>
        <w:right w:val="none" w:sz="0" w:space="0" w:color="auto"/>
      </w:divBdr>
    </w:div>
    <w:div w:id="502821650">
      <w:bodyDiv w:val="1"/>
      <w:marLeft w:val="0"/>
      <w:marRight w:val="0"/>
      <w:marTop w:val="0"/>
      <w:marBottom w:val="0"/>
      <w:divBdr>
        <w:top w:val="none" w:sz="0" w:space="0" w:color="auto"/>
        <w:left w:val="none" w:sz="0" w:space="0" w:color="auto"/>
        <w:bottom w:val="none" w:sz="0" w:space="0" w:color="auto"/>
        <w:right w:val="none" w:sz="0" w:space="0" w:color="auto"/>
      </w:divBdr>
    </w:div>
    <w:div w:id="511606774">
      <w:bodyDiv w:val="1"/>
      <w:marLeft w:val="0"/>
      <w:marRight w:val="0"/>
      <w:marTop w:val="0"/>
      <w:marBottom w:val="0"/>
      <w:divBdr>
        <w:top w:val="none" w:sz="0" w:space="0" w:color="auto"/>
        <w:left w:val="none" w:sz="0" w:space="0" w:color="auto"/>
        <w:bottom w:val="none" w:sz="0" w:space="0" w:color="auto"/>
        <w:right w:val="none" w:sz="0" w:space="0" w:color="auto"/>
      </w:divBdr>
    </w:div>
    <w:div w:id="520163498">
      <w:bodyDiv w:val="1"/>
      <w:marLeft w:val="0"/>
      <w:marRight w:val="0"/>
      <w:marTop w:val="0"/>
      <w:marBottom w:val="0"/>
      <w:divBdr>
        <w:top w:val="none" w:sz="0" w:space="0" w:color="auto"/>
        <w:left w:val="none" w:sz="0" w:space="0" w:color="auto"/>
        <w:bottom w:val="none" w:sz="0" w:space="0" w:color="auto"/>
        <w:right w:val="none" w:sz="0" w:space="0" w:color="auto"/>
      </w:divBdr>
    </w:div>
    <w:div w:id="525022587">
      <w:bodyDiv w:val="1"/>
      <w:marLeft w:val="0"/>
      <w:marRight w:val="0"/>
      <w:marTop w:val="0"/>
      <w:marBottom w:val="0"/>
      <w:divBdr>
        <w:top w:val="none" w:sz="0" w:space="0" w:color="auto"/>
        <w:left w:val="none" w:sz="0" w:space="0" w:color="auto"/>
        <w:bottom w:val="none" w:sz="0" w:space="0" w:color="auto"/>
        <w:right w:val="none" w:sz="0" w:space="0" w:color="auto"/>
      </w:divBdr>
    </w:div>
    <w:div w:id="536430408">
      <w:bodyDiv w:val="1"/>
      <w:marLeft w:val="0"/>
      <w:marRight w:val="0"/>
      <w:marTop w:val="0"/>
      <w:marBottom w:val="0"/>
      <w:divBdr>
        <w:top w:val="none" w:sz="0" w:space="0" w:color="auto"/>
        <w:left w:val="none" w:sz="0" w:space="0" w:color="auto"/>
        <w:bottom w:val="none" w:sz="0" w:space="0" w:color="auto"/>
        <w:right w:val="none" w:sz="0" w:space="0" w:color="auto"/>
      </w:divBdr>
    </w:div>
    <w:div w:id="542403621">
      <w:bodyDiv w:val="1"/>
      <w:marLeft w:val="0"/>
      <w:marRight w:val="0"/>
      <w:marTop w:val="0"/>
      <w:marBottom w:val="0"/>
      <w:divBdr>
        <w:top w:val="none" w:sz="0" w:space="0" w:color="auto"/>
        <w:left w:val="none" w:sz="0" w:space="0" w:color="auto"/>
        <w:bottom w:val="none" w:sz="0" w:space="0" w:color="auto"/>
        <w:right w:val="none" w:sz="0" w:space="0" w:color="auto"/>
      </w:divBdr>
    </w:div>
    <w:div w:id="607810853">
      <w:bodyDiv w:val="1"/>
      <w:marLeft w:val="0"/>
      <w:marRight w:val="0"/>
      <w:marTop w:val="0"/>
      <w:marBottom w:val="0"/>
      <w:divBdr>
        <w:top w:val="none" w:sz="0" w:space="0" w:color="auto"/>
        <w:left w:val="none" w:sz="0" w:space="0" w:color="auto"/>
        <w:bottom w:val="none" w:sz="0" w:space="0" w:color="auto"/>
        <w:right w:val="none" w:sz="0" w:space="0" w:color="auto"/>
      </w:divBdr>
    </w:div>
    <w:div w:id="673456627">
      <w:bodyDiv w:val="1"/>
      <w:marLeft w:val="0"/>
      <w:marRight w:val="0"/>
      <w:marTop w:val="0"/>
      <w:marBottom w:val="0"/>
      <w:divBdr>
        <w:top w:val="none" w:sz="0" w:space="0" w:color="auto"/>
        <w:left w:val="none" w:sz="0" w:space="0" w:color="auto"/>
        <w:bottom w:val="none" w:sz="0" w:space="0" w:color="auto"/>
        <w:right w:val="none" w:sz="0" w:space="0" w:color="auto"/>
      </w:divBdr>
    </w:div>
    <w:div w:id="707343200">
      <w:bodyDiv w:val="1"/>
      <w:marLeft w:val="0"/>
      <w:marRight w:val="0"/>
      <w:marTop w:val="0"/>
      <w:marBottom w:val="0"/>
      <w:divBdr>
        <w:top w:val="none" w:sz="0" w:space="0" w:color="auto"/>
        <w:left w:val="none" w:sz="0" w:space="0" w:color="auto"/>
        <w:bottom w:val="none" w:sz="0" w:space="0" w:color="auto"/>
        <w:right w:val="none" w:sz="0" w:space="0" w:color="auto"/>
      </w:divBdr>
    </w:div>
    <w:div w:id="732387652">
      <w:bodyDiv w:val="1"/>
      <w:marLeft w:val="0"/>
      <w:marRight w:val="0"/>
      <w:marTop w:val="0"/>
      <w:marBottom w:val="0"/>
      <w:divBdr>
        <w:top w:val="none" w:sz="0" w:space="0" w:color="auto"/>
        <w:left w:val="none" w:sz="0" w:space="0" w:color="auto"/>
        <w:bottom w:val="none" w:sz="0" w:space="0" w:color="auto"/>
        <w:right w:val="none" w:sz="0" w:space="0" w:color="auto"/>
      </w:divBdr>
    </w:div>
    <w:div w:id="773287929">
      <w:bodyDiv w:val="1"/>
      <w:marLeft w:val="0"/>
      <w:marRight w:val="0"/>
      <w:marTop w:val="0"/>
      <w:marBottom w:val="0"/>
      <w:divBdr>
        <w:top w:val="none" w:sz="0" w:space="0" w:color="auto"/>
        <w:left w:val="none" w:sz="0" w:space="0" w:color="auto"/>
        <w:bottom w:val="none" w:sz="0" w:space="0" w:color="auto"/>
        <w:right w:val="none" w:sz="0" w:space="0" w:color="auto"/>
      </w:divBdr>
    </w:div>
    <w:div w:id="805004994">
      <w:bodyDiv w:val="1"/>
      <w:marLeft w:val="0"/>
      <w:marRight w:val="0"/>
      <w:marTop w:val="0"/>
      <w:marBottom w:val="0"/>
      <w:divBdr>
        <w:top w:val="none" w:sz="0" w:space="0" w:color="auto"/>
        <w:left w:val="none" w:sz="0" w:space="0" w:color="auto"/>
        <w:bottom w:val="none" w:sz="0" w:space="0" w:color="auto"/>
        <w:right w:val="none" w:sz="0" w:space="0" w:color="auto"/>
      </w:divBdr>
    </w:div>
    <w:div w:id="836118116">
      <w:bodyDiv w:val="1"/>
      <w:marLeft w:val="0"/>
      <w:marRight w:val="0"/>
      <w:marTop w:val="0"/>
      <w:marBottom w:val="0"/>
      <w:divBdr>
        <w:top w:val="none" w:sz="0" w:space="0" w:color="auto"/>
        <w:left w:val="none" w:sz="0" w:space="0" w:color="auto"/>
        <w:bottom w:val="none" w:sz="0" w:space="0" w:color="auto"/>
        <w:right w:val="none" w:sz="0" w:space="0" w:color="auto"/>
      </w:divBdr>
      <w:divsChild>
        <w:div w:id="1816333134">
          <w:marLeft w:val="0"/>
          <w:marRight w:val="0"/>
          <w:marTop w:val="0"/>
          <w:marBottom w:val="0"/>
          <w:divBdr>
            <w:top w:val="single" w:sz="2" w:space="0" w:color="CCCCCC"/>
            <w:left w:val="single" w:sz="6" w:space="0" w:color="CCCCCC"/>
            <w:bottom w:val="single" w:sz="6" w:space="0" w:color="CCCCCC"/>
            <w:right w:val="single" w:sz="6" w:space="0" w:color="CCCCCC"/>
          </w:divBdr>
          <w:divsChild>
            <w:div w:id="243033381">
              <w:marLeft w:val="0"/>
              <w:marRight w:val="0"/>
              <w:marTop w:val="0"/>
              <w:marBottom w:val="0"/>
              <w:divBdr>
                <w:top w:val="none" w:sz="0" w:space="0" w:color="auto"/>
                <w:left w:val="none" w:sz="0" w:space="0" w:color="auto"/>
                <w:bottom w:val="none" w:sz="0" w:space="0" w:color="auto"/>
                <w:right w:val="none" w:sz="0" w:space="0" w:color="auto"/>
              </w:divBdr>
              <w:divsChild>
                <w:div w:id="693309435">
                  <w:marLeft w:val="-180"/>
                  <w:marRight w:val="-180"/>
                  <w:marTop w:val="0"/>
                  <w:marBottom w:val="0"/>
                  <w:divBdr>
                    <w:top w:val="none" w:sz="0" w:space="0" w:color="auto"/>
                    <w:left w:val="none" w:sz="0" w:space="0" w:color="auto"/>
                    <w:bottom w:val="none" w:sz="0" w:space="0" w:color="auto"/>
                    <w:right w:val="none" w:sz="0" w:space="0" w:color="auto"/>
                  </w:divBdr>
                  <w:divsChild>
                    <w:div w:id="826286987">
                      <w:marLeft w:val="0"/>
                      <w:marRight w:val="0"/>
                      <w:marTop w:val="0"/>
                      <w:marBottom w:val="0"/>
                      <w:divBdr>
                        <w:top w:val="none" w:sz="0" w:space="0" w:color="auto"/>
                        <w:left w:val="none" w:sz="0" w:space="0" w:color="auto"/>
                        <w:bottom w:val="none" w:sz="0" w:space="0" w:color="auto"/>
                        <w:right w:val="none" w:sz="0" w:space="0" w:color="auto"/>
                      </w:divBdr>
                      <w:divsChild>
                        <w:div w:id="699743034">
                          <w:marLeft w:val="-180"/>
                          <w:marRight w:val="-180"/>
                          <w:marTop w:val="0"/>
                          <w:marBottom w:val="0"/>
                          <w:divBdr>
                            <w:top w:val="none" w:sz="0" w:space="0" w:color="auto"/>
                            <w:left w:val="none" w:sz="0" w:space="0" w:color="auto"/>
                            <w:bottom w:val="none" w:sz="0" w:space="0" w:color="auto"/>
                            <w:right w:val="none" w:sz="0" w:space="0" w:color="auto"/>
                          </w:divBdr>
                          <w:divsChild>
                            <w:div w:id="230701301">
                              <w:marLeft w:val="0"/>
                              <w:marRight w:val="0"/>
                              <w:marTop w:val="0"/>
                              <w:marBottom w:val="0"/>
                              <w:divBdr>
                                <w:top w:val="none" w:sz="0" w:space="0" w:color="auto"/>
                                <w:left w:val="none" w:sz="0" w:space="0" w:color="auto"/>
                                <w:bottom w:val="none" w:sz="0" w:space="0" w:color="auto"/>
                                <w:right w:val="none" w:sz="0" w:space="0" w:color="auto"/>
                              </w:divBdr>
                              <w:divsChild>
                                <w:div w:id="921640175">
                                  <w:marLeft w:val="0"/>
                                  <w:marRight w:val="0"/>
                                  <w:marTop w:val="0"/>
                                  <w:marBottom w:val="0"/>
                                  <w:divBdr>
                                    <w:top w:val="none" w:sz="0" w:space="0" w:color="auto"/>
                                    <w:left w:val="none" w:sz="0" w:space="0" w:color="auto"/>
                                    <w:bottom w:val="none" w:sz="0" w:space="0" w:color="auto"/>
                                    <w:right w:val="none" w:sz="0" w:space="0" w:color="auto"/>
                                  </w:divBdr>
                                  <w:divsChild>
                                    <w:div w:id="382753246">
                                      <w:marLeft w:val="0"/>
                                      <w:marRight w:val="0"/>
                                      <w:marTop w:val="0"/>
                                      <w:marBottom w:val="0"/>
                                      <w:divBdr>
                                        <w:top w:val="none" w:sz="0" w:space="0" w:color="auto"/>
                                        <w:left w:val="none" w:sz="0" w:space="0" w:color="auto"/>
                                        <w:bottom w:val="none" w:sz="0" w:space="0" w:color="auto"/>
                                        <w:right w:val="none" w:sz="0" w:space="0" w:color="auto"/>
                                      </w:divBdr>
                                      <w:divsChild>
                                        <w:div w:id="383716176">
                                          <w:marLeft w:val="0"/>
                                          <w:marRight w:val="0"/>
                                          <w:marTop w:val="0"/>
                                          <w:marBottom w:val="0"/>
                                          <w:divBdr>
                                            <w:top w:val="none" w:sz="0" w:space="0" w:color="auto"/>
                                            <w:left w:val="none" w:sz="0" w:space="0" w:color="auto"/>
                                            <w:bottom w:val="none" w:sz="0" w:space="0" w:color="auto"/>
                                            <w:right w:val="none" w:sz="0" w:space="0" w:color="auto"/>
                                          </w:divBdr>
                                          <w:divsChild>
                                            <w:div w:id="1240797192">
                                              <w:marLeft w:val="0"/>
                                              <w:marRight w:val="0"/>
                                              <w:marTop w:val="0"/>
                                              <w:marBottom w:val="0"/>
                                              <w:divBdr>
                                                <w:top w:val="none" w:sz="0" w:space="0" w:color="auto"/>
                                                <w:left w:val="none" w:sz="0" w:space="0" w:color="auto"/>
                                                <w:bottom w:val="none" w:sz="0" w:space="0" w:color="auto"/>
                                                <w:right w:val="none" w:sz="0" w:space="0" w:color="auto"/>
                                              </w:divBdr>
                                              <w:divsChild>
                                                <w:div w:id="1932661072">
                                                  <w:marLeft w:val="0"/>
                                                  <w:marRight w:val="0"/>
                                                  <w:marTop w:val="0"/>
                                                  <w:marBottom w:val="0"/>
                                                  <w:divBdr>
                                                    <w:top w:val="none" w:sz="0" w:space="0" w:color="auto"/>
                                                    <w:left w:val="none" w:sz="0" w:space="0" w:color="auto"/>
                                                    <w:bottom w:val="none" w:sz="0" w:space="0" w:color="auto"/>
                                                    <w:right w:val="none" w:sz="0" w:space="0" w:color="auto"/>
                                                  </w:divBdr>
                                                  <w:divsChild>
                                                    <w:div w:id="1928880898">
                                                      <w:marLeft w:val="0"/>
                                                      <w:marRight w:val="0"/>
                                                      <w:marTop w:val="0"/>
                                                      <w:marBottom w:val="0"/>
                                                      <w:divBdr>
                                                        <w:top w:val="none" w:sz="0" w:space="0" w:color="auto"/>
                                                        <w:left w:val="none" w:sz="0" w:space="0" w:color="auto"/>
                                                        <w:bottom w:val="none" w:sz="0" w:space="0" w:color="auto"/>
                                                        <w:right w:val="none" w:sz="0" w:space="0" w:color="auto"/>
                                                      </w:divBdr>
                                                      <w:divsChild>
                                                        <w:div w:id="623077403">
                                                          <w:marLeft w:val="-180"/>
                                                          <w:marRight w:val="-180"/>
                                                          <w:marTop w:val="0"/>
                                                          <w:marBottom w:val="0"/>
                                                          <w:divBdr>
                                                            <w:top w:val="none" w:sz="0" w:space="0" w:color="auto"/>
                                                            <w:left w:val="none" w:sz="0" w:space="0" w:color="auto"/>
                                                            <w:bottom w:val="none" w:sz="0" w:space="0" w:color="auto"/>
                                                            <w:right w:val="none" w:sz="0" w:space="0" w:color="auto"/>
                                                          </w:divBdr>
                                                          <w:divsChild>
                                                            <w:div w:id="442504384">
                                                              <w:marLeft w:val="0"/>
                                                              <w:marRight w:val="0"/>
                                                              <w:marTop w:val="0"/>
                                                              <w:marBottom w:val="0"/>
                                                              <w:divBdr>
                                                                <w:top w:val="none" w:sz="0" w:space="0" w:color="auto"/>
                                                                <w:left w:val="none" w:sz="0" w:space="0" w:color="auto"/>
                                                                <w:bottom w:val="none" w:sz="0" w:space="0" w:color="auto"/>
                                                                <w:right w:val="none" w:sz="0" w:space="0" w:color="auto"/>
                                                              </w:divBdr>
                                                              <w:divsChild>
                                                                <w:div w:id="14696957">
                                                                  <w:marLeft w:val="0"/>
                                                                  <w:marRight w:val="0"/>
                                                                  <w:marTop w:val="0"/>
                                                                  <w:marBottom w:val="0"/>
                                                                  <w:divBdr>
                                                                    <w:top w:val="none" w:sz="0" w:space="0" w:color="auto"/>
                                                                    <w:left w:val="none" w:sz="0" w:space="0" w:color="auto"/>
                                                                    <w:bottom w:val="none" w:sz="0" w:space="0" w:color="auto"/>
                                                                    <w:right w:val="none" w:sz="0" w:space="0" w:color="auto"/>
                                                                  </w:divBdr>
                                                                  <w:divsChild>
                                                                    <w:div w:id="1590653096">
                                                                      <w:marLeft w:val="0"/>
                                                                      <w:marRight w:val="0"/>
                                                                      <w:marTop w:val="0"/>
                                                                      <w:marBottom w:val="0"/>
                                                                      <w:divBdr>
                                                                        <w:top w:val="none" w:sz="0" w:space="0" w:color="auto"/>
                                                                        <w:left w:val="none" w:sz="0" w:space="0" w:color="auto"/>
                                                                        <w:bottom w:val="none" w:sz="0" w:space="0" w:color="auto"/>
                                                                        <w:right w:val="none" w:sz="0" w:space="0" w:color="auto"/>
                                                                      </w:divBdr>
                                                                      <w:divsChild>
                                                                        <w:div w:id="10632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576547">
      <w:bodyDiv w:val="1"/>
      <w:marLeft w:val="0"/>
      <w:marRight w:val="0"/>
      <w:marTop w:val="0"/>
      <w:marBottom w:val="0"/>
      <w:divBdr>
        <w:top w:val="none" w:sz="0" w:space="0" w:color="auto"/>
        <w:left w:val="none" w:sz="0" w:space="0" w:color="auto"/>
        <w:bottom w:val="none" w:sz="0" w:space="0" w:color="auto"/>
        <w:right w:val="none" w:sz="0" w:space="0" w:color="auto"/>
      </w:divBdr>
    </w:div>
    <w:div w:id="857163708">
      <w:bodyDiv w:val="1"/>
      <w:marLeft w:val="0"/>
      <w:marRight w:val="0"/>
      <w:marTop w:val="0"/>
      <w:marBottom w:val="0"/>
      <w:divBdr>
        <w:top w:val="none" w:sz="0" w:space="0" w:color="auto"/>
        <w:left w:val="none" w:sz="0" w:space="0" w:color="auto"/>
        <w:bottom w:val="none" w:sz="0" w:space="0" w:color="auto"/>
        <w:right w:val="none" w:sz="0" w:space="0" w:color="auto"/>
      </w:divBdr>
      <w:divsChild>
        <w:div w:id="384569576">
          <w:marLeft w:val="0"/>
          <w:marRight w:val="0"/>
          <w:marTop w:val="0"/>
          <w:marBottom w:val="0"/>
          <w:divBdr>
            <w:top w:val="none" w:sz="0" w:space="0" w:color="auto"/>
            <w:left w:val="none" w:sz="0" w:space="0" w:color="auto"/>
            <w:bottom w:val="none" w:sz="0" w:space="0" w:color="auto"/>
            <w:right w:val="none" w:sz="0" w:space="0" w:color="auto"/>
          </w:divBdr>
          <w:divsChild>
            <w:div w:id="1145314700">
              <w:marLeft w:val="0"/>
              <w:marRight w:val="0"/>
              <w:marTop w:val="0"/>
              <w:marBottom w:val="0"/>
              <w:divBdr>
                <w:top w:val="none" w:sz="0" w:space="0" w:color="auto"/>
                <w:left w:val="none" w:sz="0" w:space="0" w:color="auto"/>
                <w:bottom w:val="none" w:sz="0" w:space="0" w:color="auto"/>
                <w:right w:val="none" w:sz="0" w:space="0" w:color="auto"/>
              </w:divBdr>
              <w:divsChild>
                <w:div w:id="603004632">
                  <w:marLeft w:val="0"/>
                  <w:marRight w:val="0"/>
                  <w:marTop w:val="0"/>
                  <w:marBottom w:val="0"/>
                  <w:divBdr>
                    <w:top w:val="none" w:sz="0" w:space="0" w:color="auto"/>
                    <w:left w:val="none" w:sz="0" w:space="0" w:color="auto"/>
                    <w:bottom w:val="none" w:sz="0" w:space="0" w:color="auto"/>
                    <w:right w:val="none" w:sz="0" w:space="0" w:color="auto"/>
                  </w:divBdr>
                  <w:divsChild>
                    <w:div w:id="1084837614">
                      <w:marLeft w:val="0"/>
                      <w:marRight w:val="0"/>
                      <w:marTop w:val="0"/>
                      <w:marBottom w:val="0"/>
                      <w:divBdr>
                        <w:top w:val="none" w:sz="0" w:space="0" w:color="auto"/>
                        <w:left w:val="none" w:sz="0" w:space="0" w:color="auto"/>
                        <w:bottom w:val="none" w:sz="0" w:space="0" w:color="auto"/>
                        <w:right w:val="none" w:sz="0" w:space="0" w:color="auto"/>
                      </w:divBdr>
                      <w:divsChild>
                        <w:div w:id="1277252659">
                          <w:marLeft w:val="0"/>
                          <w:marRight w:val="0"/>
                          <w:marTop w:val="0"/>
                          <w:marBottom w:val="0"/>
                          <w:divBdr>
                            <w:top w:val="none" w:sz="0" w:space="0" w:color="auto"/>
                            <w:left w:val="none" w:sz="0" w:space="0" w:color="auto"/>
                            <w:bottom w:val="none" w:sz="0" w:space="0" w:color="auto"/>
                            <w:right w:val="none" w:sz="0" w:space="0" w:color="auto"/>
                          </w:divBdr>
                          <w:divsChild>
                            <w:div w:id="1596985510">
                              <w:marLeft w:val="-225"/>
                              <w:marRight w:val="-225"/>
                              <w:marTop w:val="0"/>
                              <w:marBottom w:val="0"/>
                              <w:divBdr>
                                <w:top w:val="none" w:sz="0" w:space="0" w:color="auto"/>
                                <w:left w:val="none" w:sz="0" w:space="0" w:color="auto"/>
                                <w:bottom w:val="none" w:sz="0" w:space="0" w:color="auto"/>
                                <w:right w:val="none" w:sz="0" w:space="0" w:color="auto"/>
                              </w:divBdr>
                              <w:divsChild>
                                <w:div w:id="267006942">
                                  <w:marLeft w:val="0"/>
                                  <w:marRight w:val="0"/>
                                  <w:marTop w:val="0"/>
                                  <w:marBottom w:val="133"/>
                                  <w:divBdr>
                                    <w:top w:val="none" w:sz="0" w:space="0" w:color="auto"/>
                                    <w:left w:val="none" w:sz="0" w:space="0" w:color="auto"/>
                                    <w:bottom w:val="none" w:sz="0" w:space="0" w:color="auto"/>
                                    <w:right w:val="none" w:sz="0" w:space="0" w:color="auto"/>
                                  </w:divBdr>
                                  <w:divsChild>
                                    <w:div w:id="3023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175261">
      <w:bodyDiv w:val="1"/>
      <w:marLeft w:val="0"/>
      <w:marRight w:val="0"/>
      <w:marTop w:val="0"/>
      <w:marBottom w:val="0"/>
      <w:divBdr>
        <w:top w:val="none" w:sz="0" w:space="0" w:color="auto"/>
        <w:left w:val="none" w:sz="0" w:space="0" w:color="auto"/>
        <w:bottom w:val="none" w:sz="0" w:space="0" w:color="auto"/>
        <w:right w:val="none" w:sz="0" w:space="0" w:color="auto"/>
      </w:divBdr>
      <w:divsChild>
        <w:div w:id="303899439">
          <w:marLeft w:val="0"/>
          <w:marRight w:val="0"/>
          <w:marTop w:val="0"/>
          <w:marBottom w:val="0"/>
          <w:divBdr>
            <w:top w:val="none" w:sz="0" w:space="0" w:color="auto"/>
            <w:left w:val="none" w:sz="0" w:space="0" w:color="auto"/>
            <w:bottom w:val="none" w:sz="0" w:space="0" w:color="auto"/>
            <w:right w:val="none" w:sz="0" w:space="0" w:color="auto"/>
          </w:divBdr>
        </w:div>
        <w:div w:id="701439095">
          <w:marLeft w:val="0"/>
          <w:marRight w:val="0"/>
          <w:marTop w:val="0"/>
          <w:marBottom w:val="0"/>
          <w:divBdr>
            <w:top w:val="none" w:sz="0" w:space="0" w:color="auto"/>
            <w:left w:val="none" w:sz="0" w:space="0" w:color="auto"/>
            <w:bottom w:val="none" w:sz="0" w:space="0" w:color="auto"/>
            <w:right w:val="none" w:sz="0" w:space="0" w:color="auto"/>
          </w:divBdr>
        </w:div>
        <w:div w:id="1441416683">
          <w:marLeft w:val="0"/>
          <w:marRight w:val="0"/>
          <w:marTop w:val="0"/>
          <w:marBottom w:val="0"/>
          <w:divBdr>
            <w:top w:val="none" w:sz="0" w:space="0" w:color="auto"/>
            <w:left w:val="none" w:sz="0" w:space="0" w:color="auto"/>
            <w:bottom w:val="none" w:sz="0" w:space="0" w:color="auto"/>
            <w:right w:val="none" w:sz="0" w:space="0" w:color="auto"/>
          </w:divBdr>
        </w:div>
        <w:div w:id="1603300060">
          <w:marLeft w:val="0"/>
          <w:marRight w:val="0"/>
          <w:marTop w:val="0"/>
          <w:marBottom w:val="0"/>
          <w:divBdr>
            <w:top w:val="none" w:sz="0" w:space="0" w:color="auto"/>
            <w:left w:val="none" w:sz="0" w:space="0" w:color="auto"/>
            <w:bottom w:val="none" w:sz="0" w:space="0" w:color="auto"/>
            <w:right w:val="none" w:sz="0" w:space="0" w:color="auto"/>
          </w:divBdr>
        </w:div>
        <w:div w:id="1743327301">
          <w:marLeft w:val="0"/>
          <w:marRight w:val="0"/>
          <w:marTop w:val="0"/>
          <w:marBottom w:val="0"/>
          <w:divBdr>
            <w:top w:val="none" w:sz="0" w:space="0" w:color="auto"/>
            <w:left w:val="none" w:sz="0" w:space="0" w:color="auto"/>
            <w:bottom w:val="none" w:sz="0" w:space="0" w:color="auto"/>
            <w:right w:val="none" w:sz="0" w:space="0" w:color="auto"/>
          </w:divBdr>
        </w:div>
      </w:divsChild>
    </w:div>
    <w:div w:id="922907523">
      <w:bodyDiv w:val="1"/>
      <w:marLeft w:val="0"/>
      <w:marRight w:val="0"/>
      <w:marTop w:val="0"/>
      <w:marBottom w:val="0"/>
      <w:divBdr>
        <w:top w:val="none" w:sz="0" w:space="0" w:color="auto"/>
        <w:left w:val="none" w:sz="0" w:space="0" w:color="auto"/>
        <w:bottom w:val="none" w:sz="0" w:space="0" w:color="auto"/>
        <w:right w:val="none" w:sz="0" w:space="0" w:color="auto"/>
      </w:divBdr>
    </w:div>
    <w:div w:id="928268341">
      <w:bodyDiv w:val="1"/>
      <w:marLeft w:val="0"/>
      <w:marRight w:val="0"/>
      <w:marTop w:val="0"/>
      <w:marBottom w:val="0"/>
      <w:divBdr>
        <w:top w:val="none" w:sz="0" w:space="0" w:color="auto"/>
        <w:left w:val="none" w:sz="0" w:space="0" w:color="auto"/>
        <w:bottom w:val="none" w:sz="0" w:space="0" w:color="auto"/>
        <w:right w:val="none" w:sz="0" w:space="0" w:color="auto"/>
      </w:divBdr>
    </w:div>
    <w:div w:id="944770525">
      <w:bodyDiv w:val="1"/>
      <w:marLeft w:val="0"/>
      <w:marRight w:val="0"/>
      <w:marTop w:val="0"/>
      <w:marBottom w:val="0"/>
      <w:divBdr>
        <w:top w:val="none" w:sz="0" w:space="0" w:color="auto"/>
        <w:left w:val="none" w:sz="0" w:space="0" w:color="auto"/>
        <w:bottom w:val="none" w:sz="0" w:space="0" w:color="auto"/>
        <w:right w:val="none" w:sz="0" w:space="0" w:color="auto"/>
      </w:divBdr>
    </w:div>
    <w:div w:id="946235517">
      <w:bodyDiv w:val="1"/>
      <w:marLeft w:val="0"/>
      <w:marRight w:val="0"/>
      <w:marTop w:val="0"/>
      <w:marBottom w:val="0"/>
      <w:divBdr>
        <w:top w:val="none" w:sz="0" w:space="0" w:color="auto"/>
        <w:left w:val="none" w:sz="0" w:space="0" w:color="auto"/>
        <w:bottom w:val="none" w:sz="0" w:space="0" w:color="auto"/>
        <w:right w:val="none" w:sz="0" w:space="0" w:color="auto"/>
      </w:divBdr>
    </w:div>
    <w:div w:id="956374190">
      <w:bodyDiv w:val="1"/>
      <w:marLeft w:val="0"/>
      <w:marRight w:val="0"/>
      <w:marTop w:val="0"/>
      <w:marBottom w:val="0"/>
      <w:divBdr>
        <w:top w:val="none" w:sz="0" w:space="0" w:color="auto"/>
        <w:left w:val="none" w:sz="0" w:space="0" w:color="auto"/>
        <w:bottom w:val="none" w:sz="0" w:space="0" w:color="auto"/>
        <w:right w:val="none" w:sz="0" w:space="0" w:color="auto"/>
      </w:divBdr>
    </w:div>
    <w:div w:id="956910310">
      <w:bodyDiv w:val="1"/>
      <w:marLeft w:val="0"/>
      <w:marRight w:val="0"/>
      <w:marTop w:val="0"/>
      <w:marBottom w:val="0"/>
      <w:divBdr>
        <w:top w:val="none" w:sz="0" w:space="0" w:color="auto"/>
        <w:left w:val="none" w:sz="0" w:space="0" w:color="auto"/>
        <w:bottom w:val="none" w:sz="0" w:space="0" w:color="auto"/>
        <w:right w:val="none" w:sz="0" w:space="0" w:color="auto"/>
      </w:divBdr>
    </w:div>
    <w:div w:id="963928851">
      <w:bodyDiv w:val="1"/>
      <w:marLeft w:val="0"/>
      <w:marRight w:val="0"/>
      <w:marTop w:val="0"/>
      <w:marBottom w:val="0"/>
      <w:divBdr>
        <w:top w:val="none" w:sz="0" w:space="0" w:color="auto"/>
        <w:left w:val="none" w:sz="0" w:space="0" w:color="auto"/>
        <w:bottom w:val="none" w:sz="0" w:space="0" w:color="auto"/>
        <w:right w:val="none" w:sz="0" w:space="0" w:color="auto"/>
      </w:divBdr>
    </w:div>
    <w:div w:id="968630805">
      <w:bodyDiv w:val="1"/>
      <w:marLeft w:val="0"/>
      <w:marRight w:val="0"/>
      <w:marTop w:val="0"/>
      <w:marBottom w:val="0"/>
      <w:divBdr>
        <w:top w:val="none" w:sz="0" w:space="0" w:color="auto"/>
        <w:left w:val="none" w:sz="0" w:space="0" w:color="auto"/>
        <w:bottom w:val="none" w:sz="0" w:space="0" w:color="auto"/>
        <w:right w:val="none" w:sz="0" w:space="0" w:color="auto"/>
      </w:divBdr>
    </w:div>
    <w:div w:id="986012970">
      <w:bodyDiv w:val="1"/>
      <w:marLeft w:val="0"/>
      <w:marRight w:val="0"/>
      <w:marTop w:val="0"/>
      <w:marBottom w:val="0"/>
      <w:divBdr>
        <w:top w:val="none" w:sz="0" w:space="0" w:color="auto"/>
        <w:left w:val="none" w:sz="0" w:space="0" w:color="auto"/>
        <w:bottom w:val="none" w:sz="0" w:space="0" w:color="auto"/>
        <w:right w:val="none" w:sz="0" w:space="0" w:color="auto"/>
      </w:divBdr>
    </w:div>
    <w:div w:id="1034117773">
      <w:bodyDiv w:val="1"/>
      <w:marLeft w:val="0"/>
      <w:marRight w:val="0"/>
      <w:marTop w:val="0"/>
      <w:marBottom w:val="0"/>
      <w:divBdr>
        <w:top w:val="none" w:sz="0" w:space="0" w:color="auto"/>
        <w:left w:val="none" w:sz="0" w:space="0" w:color="auto"/>
        <w:bottom w:val="none" w:sz="0" w:space="0" w:color="auto"/>
        <w:right w:val="none" w:sz="0" w:space="0" w:color="auto"/>
      </w:divBdr>
    </w:div>
    <w:div w:id="1035354747">
      <w:bodyDiv w:val="1"/>
      <w:marLeft w:val="0"/>
      <w:marRight w:val="0"/>
      <w:marTop w:val="0"/>
      <w:marBottom w:val="0"/>
      <w:divBdr>
        <w:top w:val="none" w:sz="0" w:space="0" w:color="auto"/>
        <w:left w:val="none" w:sz="0" w:space="0" w:color="auto"/>
        <w:bottom w:val="none" w:sz="0" w:space="0" w:color="auto"/>
        <w:right w:val="none" w:sz="0" w:space="0" w:color="auto"/>
      </w:divBdr>
    </w:div>
    <w:div w:id="1037707069">
      <w:bodyDiv w:val="1"/>
      <w:marLeft w:val="0"/>
      <w:marRight w:val="0"/>
      <w:marTop w:val="0"/>
      <w:marBottom w:val="0"/>
      <w:divBdr>
        <w:top w:val="none" w:sz="0" w:space="0" w:color="auto"/>
        <w:left w:val="none" w:sz="0" w:space="0" w:color="auto"/>
        <w:bottom w:val="none" w:sz="0" w:space="0" w:color="auto"/>
        <w:right w:val="none" w:sz="0" w:space="0" w:color="auto"/>
      </w:divBdr>
    </w:div>
    <w:div w:id="1053848113">
      <w:bodyDiv w:val="1"/>
      <w:marLeft w:val="0"/>
      <w:marRight w:val="0"/>
      <w:marTop w:val="0"/>
      <w:marBottom w:val="0"/>
      <w:divBdr>
        <w:top w:val="none" w:sz="0" w:space="0" w:color="auto"/>
        <w:left w:val="none" w:sz="0" w:space="0" w:color="auto"/>
        <w:bottom w:val="none" w:sz="0" w:space="0" w:color="auto"/>
        <w:right w:val="none" w:sz="0" w:space="0" w:color="auto"/>
      </w:divBdr>
    </w:div>
    <w:div w:id="1062874348">
      <w:bodyDiv w:val="1"/>
      <w:marLeft w:val="0"/>
      <w:marRight w:val="0"/>
      <w:marTop w:val="0"/>
      <w:marBottom w:val="0"/>
      <w:divBdr>
        <w:top w:val="none" w:sz="0" w:space="0" w:color="auto"/>
        <w:left w:val="none" w:sz="0" w:space="0" w:color="auto"/>
        <w:bottom w:val="none" w:sz="0" w:space="0" w:color="auto"/>
        <w:right w:val="none" w:sz="0" w:space="0" w:color="auto"/>
      </w:divBdr>
    </w:div>
    <w:div w:id="1089471907">
      <w:bodyDiv w:val="1"/>
      <w:marLeft w:val="0"/>
      <w:marRight w:val="0"/>
      <w:marTop w:val="0"/>
      <w:marBottom w:val="0"/>
      <w:divBdr>
        <w:top w:val="none" w:sz="0" w:space="0" w:color="auto"/>
        <w:left w:val="none" w:sz="0" w:space="0" w:color="auto"/>
        <w:bottom w:val="none" w:sz="0" w:space="0" w:color="auto"/>
        <w:right w:val="none" w:sz="0" w:space="0" w:color="auto"/>
      </w:divBdr>
    </w:div>
    <w:div w:id="1115906899">
      <w:bodyDiv w:val="1"/>
      <w:marLeft w:val="0"/>
      <w:marRight w:val="0"/>
      <w:marTop w:val="0"/>
      <w:marBottom w:val="0"/>
      <w:divBdr>
        <w:top w:val="none" w:sz="0" w:space="0" w:color="auto"/>
        <w:left w:val="none" w:sz="0" w:space="0" w:color="auto"/>
        <w:bottom w:val="none" w:sz="0" w:space="0" w:color="auto"/>
        <w:right w:val="none" w:sz="0" w:space="0" w:color="auto"/>
      </w:divBdr>
    </w:div>
    <w:div w:id="1143228947">
      <w:bodyDiv w:val="1"/>
      <w:marLeft w:val="0"/>
      <w:marRight w:val="0"/>
      <w:marTop w:val="0"/>
      <w:marBottom w:val="0"/>
      <w:divBdr>
        <w:top w:val="none" w:sz="0" w:space="0" w:color="auto"/>
        <w:left w:val="none" w:sz="0" w:space="0" w:color="auto"/>
        <w:bottom w:val="none" w:sz="0" w:space="0" w:color="auto"/>
        <w:right w:val="none" w:sz="0" w:space="0" w:color="auto"/>
      </w:divBdr>
    </w:div>
    <w:div w:id="1152714501">
      <w:bodyDiv w:val="1"/>
      <w:marLeft w:val="0"/>
      <w:marRight w:val="0"/>
      <w:marTop w:val="0"/>
      <w:marBottom w:val="0"/>
      <w:divBdr>
        <w:top w:val="none" w:sz="0" w:space="0" w:color="auto"/>
        <w:left w:val="none" w:sz="0" w:space="0" w:color="auto"/>
        <w:bottom w:val="none" w:sz="0" w:space="0" w:color="auto"/>
        <w:right w:val="none" w:sz="0" w:space="0" w:color="auto"/>
      </w:divBdr>
    </w:div>
    <w:div w:id="1170027898">
      <w:bodyDiv w:val="1"/>
      <w:marLeft w:val="0"/>
      <w:marRight w:val="0"/>
      <w:marTop w:val="0"/>
      <w:marBottom w:val="0"/>
      <w:divBdr>
        <w:top w:val="none" w:sz="0" w:space="0" w:color="auto"/>
        <w:left w:val="none" w:sz="0" w:space="0" w:color="auto"/>
        <w:bottom w:val="none" w:sz="0" w:space="0" w:color="auto"/>
        <w:right w:val="none" w:sz="0" w:space="0" w:color="auto"/>
      </w:divBdr>
    </w:div>
    <w:div w:id="1174496443">
      <w:bodyDiv w:val="1"/>
      <w:marLeft w:val="0"/>
      <w:marRight w:val="0"/>
      <w:marTop w:val="0"/>
      <w:marBottom w:val="0"/>
      <w:divBdr>
        <w:top w:val="none" w:sz="0" w:space="0" w:color="auto"/>
        <w:left w:val="none" w:sz="0" w:space="0" w:color="auto"/>
        <w:bottom w:val="none" w:sz="0" w:space="0" w:color="auto"/>
        <w:right w:val="none" w:sz="0" w:space="0" w:color="auto"/>
      </w:divBdr>
    </w:div>
    <w:div w:id="1175148365">
      <w:bodyDiv w:val="1"/>
      <w:marLeft w:val="0"/>
      <w:marRight w:val="0"/>
      <w:marTop w:val="0"/>
      <w:marBottom w:val="0"/>
      <w:divBdr>
        <w:top w:val="none" w:sz="0" w:space="0" w:color="auto"/>
        <w:left w:val="none" w:sz="0" w:space="0" w:color="auto"/>
        <w:bottom w:val="none" w:sz="0" w:space="0" w:color="auto"/>
        <w:right w:val="none" w:sz="0" w:space="0" w:color="auto"/>
      </w:divBdr>
    </w:div>
    <w:div w:id="1202474947">
      <w:bodyDiv w:val="1"/>
      <w:marLeft w:val="0"/>
      <w:marRight w:val="0"/>
      <w:marTop w:val="0"/>
      <w:marBottom w:val="0"/>
      <w:divBdr>
        <w:top w:val="none" w:sz="0" w:space="0" w:color="auto"/>
        <w:left w:val="none" w:sz="0" w:space="0" w:color="auto"/>
        <w:bottom w:val="none" w:sz="0" w:space="0" w:color="auto"/>
        <w:right w:val="none" w:sz="0" w:space="0" w:color="auto"/>
      </w:divBdr>
    </w:div>
    <w:div w:id="1236555188">
      <w:bodyDiv w:val="1"/>
      <w:marLeft w:val="0"/>
      <w:marRight w:val="0"/>
      <w:marTop w:val="0"/>
      <w:marBottom w:val="0"/>
      <w:divBdr>
        <w:top w:val="none" w:sz="0" w:space="0" w:color="auto"/>
        <w:left w:val="none" w:sz="0" w:space="0" w:color="auto"/>
        <w:bottom w:val="none" w:sz="0" w:space="0" w:color="auto"/>
        <w:right w:val="none" w:sz="0" w:space="0" w:color="auto"/>
      </w:divBdr>
    </w:div>
    <w:div w:id="1288123358">
      <w:bodyDiv w:val="1"/>
      <w:marLeft w:val="0"/>
      <w:marRight w:val="0"/>
      <w:marTop w:val="0"/>
      <w:marBottom w:val="0"/>
      <w:divBdr>
        <w:top w:val="none" w:sz="0" w:space="0" w:color="auto"/>
        <w:left w:val="none" w:sz="0" w:space="0" w:color="auto"/>
        <w:bottom w:val="none" w:sz="0" w:space="0" w:color="auto"/>
        <w:right w:val="none" w:sz="0" w:space="0" w:color="auto"/>
      </w:divBdr>
    </w:div>
    <w:div w:id="1297103018">
      <w:bodyDiv w:val="1"/>
      <w:marLeft w:val="0"/>
      <w:marRight w:val="0"/>
      <w:marTop w:val="0"/>
      <w:marBottom w:val="0"/>
      <w:divBdr>
        <w:top w:val="none" w:sz="0" w:space="0" w:color="auto"/>
        <w:left w:val="none" w:sz="0" w:space="0" w:color="auto"/>
        <w:bottom w:val="none" w:sz="0" w:space="0" w:color="auto"/>
        <w:right w:val="none" w:sz="0" w:space="0" w:color="auto"/>
      </w:divBdr>
    </w:div>
    <w:div w:id="1304235338">
      <w:bodyDiv w:val="1"/>
      <w:marLeft w:val="0"/>
      <w:marRight w:val="0"/>
      <w:marTop w:val="0"/>
      <w:marBottom w:val="0"/>
      <w:divBdr>
        <w:top w:val="none" w:sz="0" w:space="0" w:color="auto"/>
        <w:left w:val="none" w:sz="0" w:space="0" w:color="auto"/>
        <w:bottom w:val="none" w:sz="0" w:space="0" w:color="auto"/>
        <w:right w:val="none" w:sz="0" w:space="0" w:color="auto"/>
      </w:divBdr>
    </w:div>
    <w:div w:id="1339819049">
      <w:bodyDiv w:val="1"/>
      <w:marLeft w:val="0"/>
      <w:marRight w:val="0"/>
      <w:marTop w:val="0"/>
      <w:marBottom w:val="0"/>
      <w:divBdr>
        <w:top w:val="none" w:sz="0" w:space="0" w:color="auto"/>
        <w:left w:val="none" w:sz="0" w:space="0" w:color="auto"/>
        <w:bottom w:val="none" w:sz="0" w:space="0" w:color="auto"/>
        <w:right w:val="none" w:sz="0" w:space="0" w:color="auto"/>
      </w:divBdr>
    </w:div>
    <w:div w:id="1357733554">
      <w:bodyDiv w:val="1"/>
      <w:marLeft w:val="0"/>
      <w:marRight w:val="0"/>
      <w:marTop w:val="0"/>
      <w:marBottom w:val="0"/>
      <w:divBdr>
        <w:top w:val="none" w:sz="0" w:space="0" w:color="auto"/>
        <w:left w:val="none" w:sz="0" w:space="0" w:color="auto"/>
        <w:bottom w:val="none" w:sz="0" w:space="0" w:color="auto"/>
        <w:right w:val="none" w:sz="0" w:space="0" w:color="auto"/>
      </w:divBdr>
    </w:div>
    <w:div w:id="1362894796">
      <w:bodyDiv w:val="1"/>
      <w:marLeft w:val="0"/>
      <w:marRight w:val="0"/>
      <w:marTop w:val="0"/>
      <w:marBottom w:val="0"/>
      <w:divBdr>
        <w:top w:val="none" w:sz="0" w:space="0" w:color="auto"/>
        <w:left w:val="none" w:sz="0" w:space="0" w:color="auto"/>
        <w:bottom w:val="none" w:sz="0" w:space="0" w:color="auto"/>
        <w:right w:val="none" w:sz="0" w:space="0" w:color="auto"/>
      </w:divBdr>
    </w:div>
    <w:div w:id="1368946028">
      <w:bodyDiv w:val="1"/>
      <w:marLeft w:val="0"/>
      <w:marRight w:val="0"/>
      <w:marTop w:val="0"/>
      <w:marBottom w:val="0"/>
      <w:divBdr>
        <w:top w:val="none" w:sz="0" w:space="0" w:color="auto"/>
        <w:left w:val="none" w:sz="0" w:space="0" w:color="auto"/>
        <w:bottom w:val="none" w:sz="0" w:space="0" w:color="auto"/>
        <w:right w:val="none" w:sz="0" w:space="0" w:color="auto"/>
      </w:divBdr>
    </w:div>
    <w:div w:id="1422096702">
      <w:bodyDiv w:val="1"/>
      <w:marLeft w:val="0"/>
      <w:marRight w:val="0"/>
      <w:marTop w:val="0"/>
      <w:marBottom w:val="0"/>
      <w:divBdr>
        <w:top w:val="none" w:sz="0" w:space="0" w:color="auto"/>
        <w:left w:val="none" w:sz="0" w:space="0" w:color="auto"/>
        <w:bottom w:val="none" w:sz="0" w:space="0" w:color="auto"/>
        <w:right w:val="none" w:sz="0" w:space="0" w:color="auto"/>
      </w:divBdr>
    </w:div>
    <w:div w:id="1490950157">
      <w:bodyDiv w:val="1"/>
      <w:marLeft w:val="0"/>
      <w:marRight w:val="0"/>
      <w:marTop w:val="0"/>
      <w:marBottom w:val="0"/>
      <w:divBdr>
        <w:top w:val="none" w:sz="0" w:space="0" w:color="auto"/>
        <w:left w:val="none" w:sz="0" w:space="0" w:color="auto"/>
        <w:bottom w:val="none" w:sz="0" w:space="0" w:color="auto"/>
        <w:right w:val="none" w:sz="0" w:space="0" w:color="auto"/>
      </w:divBdr>
    </w:div>
    <w:div w:id="1539122319">
      <w:bodyDiv w:val="1"/>
      <w:marLeft w:val="0"/>
      <w:marRight w:val="0"/>
      <w:marTop w:val="0"/>
      <w:marBottom w:val="0"/>
      <w:divBdr>
        <w:top w:val="none" w:sz="0" w:space="0" w:color="auto"/>
        <w:left w:val="none" w:sz="0" w:space="0" w:color="auto"/>
        <w:bottom w:val="none" w:sz="0" w:space="0" w:color="auto"/>
        <w:right w:val="none" w:sz="0" w:space="0" w:color="auto"/>
      </w:divBdr>
    </w:div>
    <w:div w:id="1554191890">
      <w:bodyDiv w:val="1"/>
      <w:marLeft w:val="0"/>
      <w:marRight w:val="0"/>
      <w:marTop w:val="0"/>
      <w:marBottom w:val="0"/>
      <w:divBdr>
        <w:top w:val="none" w:sz="0" w:space="0" w:color="auto"/>
        <w:left w:val="none" w:sz="0" w:space="0" w:color="auto"/>
        <w:bottom w:val="none" w:sz="0" w:space="0" w:color="auto"/>
        <w:right w:val="none" w:sz="0" w:space="0" w:color="auto"/>
      </w:divBdr>
    </w:div>
    <w:div w:id="1558858962">
      <w:bodyDiv w:val="1"/>
      <w:marLeft w:val="0"/>
      <w:marRight w:val="0"/>
      <w:marTop w:val="0"/>
      <w:marBottom w:val="0"/>
      <w:divBdr>
        <w:top w:val="none" w:sz="0" w:space="0" w:color="auto"/>
        <w:left w:val="none" w:sz="0" w:space="0" w:color="auto"/>
        <w:bottom w:val="none" w:sz="0" w:space="0" w:color="auto"/>
        <w:right w:val="none" w:sz="0" w:space="0" w:color="auto"/>
      </w:divBdr>
    </w:div>
    <w:div w:id="1559977806">
      <w:bodyDiv w:val="1"/>
      <w:marLeft w:val="0"/>
      <w:marRight w:val="0"/>
      <w:marTop w:val="0"/>
      <w:marBottom w:val="0"/>
      <w:divBdr>
        <w:top w:val="none" w:sz="0" w:space="0" w:color="auto"/>
        <w:left w:val="none" w:sz="0" w:space="0" w:color="auto"/>
        <w:bottom w:val="none" w:sz="0" w:space="0" w:color="auto"/>
        <w:right w:val="none" w:sz="0" w:space="0" w:color="auto"/>
      </w:divBdr>
    </w:div>
    <w:div w:id="1562906534">
      <w:bodyDiv w:val="1"/>
      <w:marLeft w:val="0"/>
      <w:marRight w:val="0"/>
      <w:marTop w:val="0"/>
      <w:marBottom w:val="0"/>
      <w:divBdr>
        <w:top w:val="none" w:sz="0" w:space="0" w:color="auto"/>
        <w:left w:val="none" w:sz="0" w:space="0" w:color="auto"/>
        <w:bottom w:val="none" w:sz="0" w:space="0" w:color="auto"/>
        <w:right w:val="none" w:sz="0" w:space="0" w:color="auto"/>
      </w:divBdr>
    </w:div>
    <w:div w:id="1579050749">
      <w:bodyDiv w:val="1"/>
      <w:marLeft w:val="0"/>
      <w:marRight w:val="0"/>
      <w:marTop w:val="0"/>
      <w:marBottom w:val="0"/>
      <w:divBdr>
        <w:top w:val="none" w:sz="0" w:space="0" w:color="auto"/>
        <w:left w:val="none" w:sz="0" w:space="0" w:color="auto"/>
        <w:bottom w:val="none" w:sz="0" w:space="0" w:color="auto"/>
        <w:right w:val="none" w:sz="0" w:space="0" w:color="auto"/>
      </w:divBdr>
    </w:div>
    <w:div w:id="1620839400">
      <w:bodyDiv w:val="1"/>
      <w:marLeft w:val="0"/>
      <w:marRight w:val="0"/>
      <w:marTop w:val="0"/>
      <w:marBottom w:val="0"/>
      <w:divBdr>
        <w:top w:val="none" w:sz="0" w:space="0" w:color="auto"/>
        <w:left w:val="none" w:sz="0" w:space="0" w:color="auto"/>
        <w:bottom w:val="none" w:sz="0" w:space="0" w:color="auto"/>
        <w:right w:val="none" w:sz="0" w:space="0" w:color="auto"/>
      </w:divBdr>
    </w:div>
    <w:div w:id="1666124783">
      <w:bodyDiv w:val="1"/>
      <w:marLeft w:val="0"/>
      <w:marRight w:val="0"/>
      <w:marTop w:val="0"/>
      <w:marBottom w:val="0"/>
      <w:divBdr>
        <w:top w:val="none" w:sz="0" w:space="0" w:color="auto"/>
        <w:left w:val="none" w:sz="0" w:space="0" w:color="auto"/>
        <w:bottom w:val="none" w:sz="0" w:space="0" w:color="auto"/>
        <w:right w:val="none" w:sz="0" w:space="0" w:color="auto"/>
      </w:divBdr>
    </w:div>
    <w:div w:id="1674410561">
      <w:bodyDiv w:val="1"/>
      <w:marLeft w:val="0"/>
      <w:marRight w:val="0"/>
      <w:marTop w:val="0"/>
      <w:marBottom w:val="0"/>
      <w:divBdr>
        <w:top w:val="none" w:sz="0" w:space="0" w:color="auto"/>
        <w:left w:val="none" w:sz="0" w:space="0" w:color="auto"/>
        <w:bottom w:val="none" w:sz="0" w:space="0" w:color="auto"/>
        <w:right w:val="none" w:sz="0" w:space="0" w:color="auto"/>
      </w:divBdr>
    </w:div>
    <w:div w:id="1710452589">
      <w:bodyDiv w:val="1"/>
      <w:marLeft w:val="0"/>
      <w:marRight w:val="0"/>
      <w:marTop w:val="0"/>
      <w:marBottom w:val="0"/>
      <w:divBdr>
        <w:top w:val="none" w:sz="0" w:space="0" w:color="auto"/>
        <w:left w:val="none" w:sz="0" w:space="0" w:color="auto"/>
        <w:bottom w:val="none" w:sz="0" w:space="0" w:color="auto"/>
        <w:right w:val="none" w:sz="0" w:space="0" w:color="auto"/>
      </w:divBdr>
    </w:div>
    <w:div w:id="1724908724">
      <w:bodyDiv w:val="1"/>
      <w:marLeft w:val="0"/>
      <w:marRight w:val="0"/>
      <w:marTop w:val="0"/>
      <w:marBottom w:val="0"/>
      <w:divBdr>
        <w:top w:val="none" w:sz="0" w:space="0" w:color="auto"/>
        <w:left w:val="none" w:sz="0" w:space="0" w:color="auto"/>
        <w:bottom w:val="none" w:sz="0" w:space="0" w:color="auto"/>
        <w:right w:val="none" w:sz="0" w:space="0" w:color="auto"/>
      </w:divBdr>
    </w:div>
    <w:div w:id="1752777900">
      <w:bodyDiv w:val="1"/>
      <w:marLeft w:val="0"/>
      <w:marRight w:val="0"/>
      <w:marTop w:val="0"/>
      <w:marBottom w:val="0"/>
      <w:divBdr>
        <w:top w:val="none" w:sz="0" w:space="0" w:color="auto"/>
        <w:left w:val="none" w:sz="0" w:space="0" w:color="auto"/>
        <w:bottom w:val="none" w:sz="0" w:space="0" w:color="auto"/>
        <w:right w:val="none" w:sz="0" w:space="0" w:color="auto"/>
      </w:divBdr>
    </w:div>
    <w:div w:id="1762994582">
      <w:bodyDiv w:val="1"/>
      <w:marLeft w:val="0"/>
      <w:marRight w:val="0"/>
      <w:marTop w:val="0"/>
      <w:marBottom w:val="0"/>
      <w:divBdr>
        <w:top w:val="none" w:sz="0" w:space="0" w:color="auto"/>
        <w:left w:val="none" w:sz="0" w:space="0" w:color="auto"/>
        <w:bottom w:val="none" w:sz="0" w:space="0" w:color="auto"/>
        <w:right w:val="none" w:sz="0" w:space="0" w:color="auto"/>
      </w:divBdr>
    </w:div>
    <w:div w:id="1817066552">
      <w:bodyDiv w:val="1"/>
      <w:marLeft w:val="0"/>
      <w:marRight w:val="0"/>
      <w:marTop w:val="0"/>
      <w:marBottom w:val="0"/>
      <w:divBdr>
        <w:top w:val="none" w:sz="0" w:space="0" w:color="auto"/>
        <w:left w:val="none" w:sz="0" w:space="0" w:color="auto"/>
        <w:bottom w:val="none" w:sz="0" w:space="0" w:color="auto"/>
        <w:right w:val="none" w:sz="0" w:space="0" w:color="auto"/>
      </w:divBdr>
    </w:div>
    <w:div w:id="1820879658">
      <w:bodyDiv w:val="1"/>
      <w:marLeft w:val="0"/>
      <w:marRight w:val="0"/>
      <w:marTop w:val="0"/>
      <w:marBottom w:val="0"/>
      <w:divBdr>
        <w:top w:val="none" w:sz="0" w:space="0" w:color="auto"/>
        <w:left w:val="none" w:sz="0" w:space="0" w:color="auto"/>
        <w:bottom w:val="none" w:sz="0" w:space="0" w:color="auto"/>
        <w:right w:val="none" w:sz="0" w:space="0" w:color="auto"/>
      </w:divBdr>
    </w:div>
    <w:div w:id="1829976105">
      <w:bodyDiv w:val="1"/>
      <w:marLeft w:val="0"/>
      <w:marRight w:val="0"/>
      <w:marTop w:val="0"/>
      <w:marBottom w:val="0"/>
      <w:divBdr>
        <w:top w:val="none" w:sz="0" w:space="0" w:color="auto"/>
        <w:left w:val="none" w:sz="0" w:space="0" w:color="auto"/>
        <w:bottom w:val="none" w:sz="0" w:space="0" w:color="auto"/>
        <w:right w:val="none" w:sz="0" w:space="0" w:color="auto"/>
      </w:divBdr>
    </w:div>
    <w:div w:id="1846168020">
      <w:bodyDiv w:val="1"/>
      <w:marLeft w:val="0"/>
      <w:marRight w:val="0"/>
      <w:marTop w:val="0"/>
      <w:marBottom w:val="0"/>
      <w:divBdr>
        <w:top w:val="none" w:sz="0" w:space="0" w:color="auto"/>
        <w:left w:val="none" w:sz="0" w:space="0" w:color="auto"/>
        <w:bottom w:val="none" w:sz="0" w:space="0" w:color="auto"/>
        <w:right w:val="none" w:sz="0" w:space="0" w:color="auto"/>
      </w:divBdr>
    </w:div>
    <w:div w:id="1848014453">
      <w:bodyDiv w:val="1"/>
      <w:marLeft w:val="0"/>
      <w:marRight w:val="0"/>
      <w:marTop w:val="0"/>
      <w:marBottom w:val="0"/>
      <w:divBdr>
        <w:top w:val="none" w:sz="0" w:space="0" w:color="auto"/>
        <w:left w:val="none" w:sz="0" w:space="0" w:color="auto"/>
        <w:bottom w:val="none" w:sz="0" w:space="0" w:color="auto"/>
        <w:right w:val="none" w:sz="0" w:space="0" w:color="auto"/>
      </w:divBdr>
    </w:div>
    <w:div w:id="1857621644">
      <w:bodyDiv w:val="1"/>
      <w:marLeft w:val="0"/>
      <w:marRight w:val="0"/>
      <w:marTop w:val="0"/>
      <w:marBottom w:val="0"/>
      <w:divBdr>
        <w:top w:val="none" w:sz="0" w:space="0" w:color="auto"/>
        <w:left w:val="none" w:sz="0" w:space="0" w:color="auto"/>
        <w:bottom w:val="none" w:sz="0" w:space="0" w:color="auto"/>
        <w:right w:val="none" w:sz="0" w:space="0" w:color="auto"/>
      </w:divBdr>
    </w:div>
    <w:div w:id="1870487796">
      <w:bodyDiv w:val="1"/>
      <w:marLeft w:val="0"/>
      <w:marRight w:val="0"/>
      <w:marTop w:val="0"/>
      <w:marBottom w:val="0"/>
      <w:divBdr>
        <w:top w:val="none" w:sz="0" w:space="0" w:color="auto"/>
        <w:left w:val="none" w:sz="0" w:space="0" w:color="auto"/>
        <w:bottom w:val="none" w:sz="0" w:space="0" w:color="auto"/>
        <w:right w:val="none" w:sz="0" w:space="0" w:color="auto"/>
      </w:divBdr>
    </w:div>
    <w:div w:id="1874463715">
      <w:bodyDiv w:val="1"/>
      <w:marLeft w:val="0"/>
      <w:marRight w:val="0"/>
      <w:marTop w:val="0"/>
      <w:marBottom w:val="0"/>
      <w:divBdr>
        <w:top w:val="none" w:sz="0" w:space="0" w:color="auto"/>
        <w:left w:val="none" w:sz="0" w:space="0" w:color="auto"/>
        <w:bottom w:val="none" w:sz="0" w:space="0" w:color="auto"/>
        <w:right w:val="none" w:sz="0" w:space="0" w:color="auto"/>
      </w:divBdr>
    </w:div>
    <w:div w:id="1938515457">
      <w:bodyDiv w:val="1"/>
      <w:marLeft w:val="0"/>
      <w:marRight w:val="0"/>
      <w:marTop w:val="0"/>
      <w:marBottom w:val="0"/>
      <w:divBdr>
        <w:top w:val="none" w:sz="0" w:space="0" w:color="auto"/>
        <w:left w:val="none" w:sz="0" w:space="0" w:color="auto"/>
        <w:bottom w:val="none" w:sz="0" w:space="0" w:color="auto"/>
        <w:right w:val="none" w:sz="0" w:space="0" w:color="auto"/>
      </w:divBdr>
    </w:div>
    <w:div w:id="1975064939">
      <w:bodyDiv w:val="1"/>
      <w:marLeft w:val="0"/>
      <w:marRight w:val="0"/>
      <w:marTop w:val="0"/>
      <w:marBottom w:val="0"/>
      <w:divBdr>
        <w:top w:val="none" w:sz="0" w:space="0" w:color="auto"/>
        <w:left w:val="none" w:sz="0" w:space="0" w:color="auto"/>
        <w:bottom w:val="none" w:sz="0" w:space="0" w:color="auto"/>
        <w:right w:val="none" w:sz="0" w:space="0" w:color="auto"/>
      </w:divBdr>
    </w:div>
    <w:div w:id="2036493993">
      <w:bodyDiv w:val="1"/>
      <w:marLeft w:val="0"/>
      <w:marRight w:val="0"/>
      <w:marTop w:val="0"/>
      <w:marBottom w:val="0"/>
      <w:divBdr>
        <w:top w:val="none" w:sz="0" w:space="0" w:color="auto"/>
        <w:left w:val="none" w:sz="0" w:space="0" w:color="auto"/>
        <w:bottom w:val="none" w:sz="0" w:space="0" w:color="auto"/>
        <w:right w:val="none" w:sz="0" w:space="0" w:color="auto"/>
      </w:divBdr>
    </w:div>
    <w:div w:id="2047292501">
      <w:bodyDiv w:val="1"/>
      <w:marLeft w:val="0"/>
      <w:marRight w:val="0"/>
      <w:marTop w:val="0"/>
      <w:marBottom w:val="0"/>
      <w:divBdr>
        <w:top w:val="none" w:sz="0" w:space="0" w:color="auto"/>
        <w:left w:val="none" w:sz="0" w:space="0" w:color="auto"/>
        <w:bottom w:val="none" w:sz="0" w:space="0" w:color="auto"/>
        <w:right w:val="none" w:sz="0" w:space="0" w:color="auto"/>
      </w:divBdr>
    </w:div>
    <w:div w:id="2087726406">
      <w:bodyDiv w:val="1"/>
      <w:marLeft w:val="0"/>
      <w:marRight w:val="0"/>
      <w:marTop w:val="0"/>
      <w:marBottom w:val="0"/>
      <w:divBdr>
        <w:top w:val="none" w:sz="0" w:space="0" w:color="auto"/>
        <w:left w:val="none" w:sz="0" w:space="0" w:color="auto"/>
        <w:bottom w:val="none" w:sz="0" w:space="0" w:color="auto"/>
        <w:right w:val="none" w:sz="0" w:space="0" w:color="auto"/>
      </w:divBdr>
    </w:div>
    <w:div w:id="214723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3.png"/><Relationship Id="rId39"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9.xml"/><Relationship Id="rId42" Type="http://schemas.openxmlformats.org/officeDocument/2006/relationships/header" Target="header14.xm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2.png"/><Relationship Id="rId33" Type="http://schemas.openxmlformats.org/officeDocument/2006/relationships/header" Target="header9.xml"/><Relationship Id="rId38" Type="http://schemas.openxmlformats.org/officeDocument/2006/relationships/footer" Target="footer11.xml"/><Relationship Id="rId46"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7.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header" Target="header1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image" Target="media/image5.png"/><Relationship Id="rId36" Type="http://schemas.openxmlformats.org/officeDocument/2006/relationships/header" Target="header11.xml"/><Relationship Id="rId49"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7.xml"/><Relationship Id="rId44"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4.png"/><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footer" Target="footer13.xml"/><Relationship Id="rId48"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AMPR 2024">
      <a:dk1>
        <a:srgbClr val="000000"/>
      </a:dk1>
      <a:lt1>
        <a:sysClr val="window" lastClr="FFFFFF"/>
      </a:lt1>
      <a:dk2>
        <a:srgbClr val="245F95"/>
      </a:dk2>
      <a:lt2>
        <a:srgbClr val="D4D5D6"/>
      </a:lt2>
      <a:accent1>
        <a:srgbClr val="02847D"/>
      </a:accent1>
      <a:accent2>
        <a:srgbClr val="F36E44"/>
      </a:accent2>
      <a:accent3>
        <a:srgbClr val="59BDB8"/>
      </a:accent3>
      <a:accent4>
        <a:srgbClr val="FDB933"/>
      </a:accent4>
      <a:accent5>
        <a:srgbClr val="6CAD6C"/>
      </a:accent5>
      <a:accent6>
        <a:srgbClr val="BD2644"/>
      </a:accent6>
      <a:hlink>
        <a:srgbClr val="245F95"/>
      </a:hlink>
      <a:folHlink>
        <a:srgbClr val="245F95"/>
      </a:folHlink>
    </a:clrScheme>
    <a:fontScheme name="FONT EC Square">
      <a:majorFont>
        <a:latin typeface="EC Square Sans Pro"/>
        <a:ea typeface=""/>
        <a:cs typeface=""/>
      </a:majorFont>
      <a:minorFont>
        <a:latin typeface="EC Squar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641df17-ff07-4a01-b99c-e2ec37129fd4">
      <UserInfo>
        <DisplayName>MORARU Andrei (BUDG)</DisplayName>
        <AccountId>20</AccountId>
        <AccountType/>
      </UserInfo>
    </SharedWithUsers>
    <lcf76f155ced4ddcb4097134ff3c332f xmlns="f34d8b02-ef1e-468a-baea-6b8502d30466">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Unit xmlns="f34d8b02-ef1e-468a-baea-6b8502d30466" xsi:nil="true"/>
    <ARESnumber xmlns="f34d8b02-ef1e-468a-baea-6b8502d3046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6E6791410E4C45B6BB8EC9F646F735" ma:contentTypeVersion="6" ma:contentTypeDescription="Create a new document." ma:contentTypeScope="" ma:versionID="ccfafc27a6744e94b729b01ec365436f">
  <xsd:schema xmlns:xsd="http://www.w3.org/2001/XMLSchema" xmlns:xs="http://www.w3.org/2001/XMLSchema" xmlns:p="http://schemas.microsoft.com/office/2006/metadata/properties" xmlns:ns2="8f649706-d9fb-47e0-bf62-f0d19dfddb49" xmlns:ns3="96b41d09-a8a5-4e58-9db2-e126ef9188b9" targetNamespace="http://schemas.microsoft.com/office/2006/metadata/properties" ma:root="true" ma:fieldsID="470b9fb23ff6f540a96dfe4b1baf0802" ns2:_="" ns3:_="">
    <xsd:import namespace="8f649706-d9fb-47e0-bf62-f0d19dfddb49"/>
    <xsd:import namespace="96b41d09-a8a5-4e58-9db2-e126ef9188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eadunit" minOccurs="0"/>
                <xsd:element ref="ns2:Associatedun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49706-d9fb-47e0-bf62-f0d19dfddb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eadunit" ma:index="12" nillable="true" ma:displayName="Lead unit" ma:format="Dropdown" ma:internalName="Leadunit">
      <xsd:simpleType>
        <xsd:restriction base="dms:Text">
          <xsd:maxLength value="255"/>
        </xsd:restriction>
      </xsd:simpleType>
    </xsd:element>
    <xsd:element name="Associatedunit" ma:index="13" nillable="true" ma:displayName="Associated unit" ma:format="Dropdown" ma:internalName="Associateduni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b41d09-a8a5-4e58-9db2-e126ef9188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15" ma:contentTypeDescription="Create a new document." ma:contentTypeScope="" ma:versionID="e4a351a6323ae8663d91e66c725c69a2">
  <xsd:schema xmlns:xsd="http://www.w3.org/2001/XMLSchema" xmlns:xs="http://www.w3.org/2001/XMLSchema" xmlns:p="http://schemas.microsoft.com/office/2006/metadata/properties" xmlns:ns2="f34d8b02-ef1e-468a-baea-6b8502d30466" xmlns:ns3="5641df17-ff07-4a01-b99c-e2ec37129fd4" targetNamespace="http://schemas.microsoft.com/office/2006/metadata/properties" ma:root="true" ma:fieldsID="e5987aeaa3e9dc81d2ecf26bc1b369e2" ns2:_="" ns3:_="">
    <xsd:import namespace="f34d8b02-ef1e-468a-baea-6b8502d30466"/>
    <xsd:import namespace="5641df17-ff07-4a01-b99c-e2ec37129f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RESnumber" minOccurs="0"/>
                <xsd:element ref="ns2:lcf76f155ced4ddcb4097134ff3c332f"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Uni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RESnumber" ma:index="12" nillable="true" ma:displayName="ARES number" ma:format="Dropdown" ma:internalName="ARESnumber">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Unit" ma:index="20" nillable="true" ma:displayName="Unit" ma:format="Dropdown" ma:internalName="Unit">
      <xsd:simpleType>
        <xsd:restriction base="dms:Text">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41df17-ff07-4a01-b99c-e2ec37129f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0E44A12-B6EA-431B-98C8-8D35772715DB}">
  <ds:schemaRefs>
    <ds:schemaRef ds:uri="http://schemas.microsoft.com/sharepoint/v3/contenttype/forms"/>
  </ds:schemaRefs>
</ds:datastoreItem>
</file>

<file path=customXml/itemProps2.xml><?xml version="1.0" encoding="utf-8"?>
<ds:datastoreItem xmlns:ds="http://schemas.openxmlformats.org/officeDocument/2006/customXml" ds:itemID="{4D32D953-E476-477A-9BB5-CC6C9245F445}">
  <ds:schemaRefs>
    <ds:schemaRef ds:uri="http://schemas.microsoft.com/office/2006/metadata/properties"/>
    <ds:schemaRef ds:uri="http://schemas.microsoft.com/office/infopath/2007/PartnerControls"/>
    <ds:schemaRef ds:uri="5641df17-ff07-4a01-b99c-e2ec37129fd4"/>
    <ds:schemaRef ds:uri="f34d8b02-ef1e-468a-baea-6b8502d30466"/>
  </ds:schemaRefs>
</ds:datastoreItem>
</file>

<file path=customXml/itemProps3.xml><?xml version="1.0" encoding="utf-8"?>
<ds:datastoreItem xmlns:ds="http://schemas.openxmlformats.org/officeDocument/2006/customXml" ds:itemID="{5E6D8132-B434-420B-A157-D9B9C8509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49706-d9fb-47e0-bf62-f0d19dfddb49"/>
    <ds:schemaRef ds:uri="96b41d09-a8a5-4e58-9db2-e126ef918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84562B-08B4-4A96-9E3C-6D39CC67C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5641df17-ff07-4a01-b99c-e2ec37129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DF863A-3D7E-4196-9E3C-BAF2C04C0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8</Pages>
  <Words>6981</Words>
  <Characters>39792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46680</CharactersWithSpaces>
  <SharedDoc>false</SharedDoc>
  <HLinks>
    <vt:vector size="114" baseType="variant">
      <vt:variant>
        <vt:i4>1441850</vt:i4>
      </vt:variant>
      <vt:variant>
        <vt:i4>98</vt:i4>
      </vt:variant>
      <vt:variant>
        <vt:i4>0</vt:i4>
      </vt:variant>
      <vt:variant>
        <vt:i4>5</vt:i4>
      </vt:variant>
      <vt:variant>
        <vt:lpwstr/>
      </vt:variant>
      <vt:variant>
        <vt:lpwstr>_Toc167194524</vt:lpwstr>
      </vt:variant>
      <vt:variant>
        <vt:i4>1441850</vt:i4>
      </vt:variant>
      <vt:variant>
        <vt:i4>92</vt:i4>
      </vt:variant>
      <vt:variant>
        <vt:i4>0</vt:i4>
      </vt:variant>
      <vt:variant>
        <vt:i4>5</vt:i4>
      </vt:variant>
      <vt:variant>
        <vt:lpwstr/>
      </vt:variant>
      <vt:variant>
        <vt:lpwstr>_Toc167194523</vt:lpwstr>
      </vt:variant>
      <vt:variant>
        <vt:i4>1441850</vt:i4>
      </vt:variant>
      <vt:variant>
        <vt:i4>86</vt:i4>
      </vt:variant>
      <vt:variant>
        <vt:i4>0</vt:i4>
      </vt:variant>
      <vt:variant>
        <vt:i4>5</vt:i4>
      </vt:variant>
      <vt:variant>
        <vt:lpwstr/>
      </vt:variant>
      <vt:variant>
        <vt:lpwstr>_Toc167194522</vt:lpwstr>
      </vt:variant>
      <vt:variant>
        <vt:i4>1441850</vt:i4>
      </vt:variant>
      <vt:variant>
        <vt:i4>80</vt:i4>
      </vt:variant>
      <vt:variant>
        <vt:i4>0</vt:i4>
      </vt:variant>
      <vt:variant>
        <vt:i4>5</vt:i4>
      </vt:variant>
      <vt:variant>
        <vt:lpwstr/>
      </vt:variant>
      <vt:variant>
        <vt:lpwstr>_Toc167194521</vt:lpwstr>
      </vt:variant>
      <vt:variant>
        <vt:i4>1441850</vt:i4>
      </vt:variant>
      <vt:variant>
        <vt:i4>74</vt:i4>
      </vt:variant>
      <vt:variant>
        <vt:i4>0</vt:i4>
      </vt:variant>
      <vt:variant>
        <vt:i4>5</vt:i4>
      </vt:variant>
      <vt:variant>
        <vt:lpwstr/>
      </vt:variant>
      <vt:variant>
        <vt:lpwstr>_Toc167194520</vt:lpwstr>
      </vt:variant>
      <vt:variant>
        <vt:i4>1376314</vt:i4>
      </vt:variant>
      <vt:variant>
        <vt:i4>68</vt:i4>
      </vt:variant>
      <vt:variant>
        <vt:i4>0</vt:i4>
      </vt:variant>
      <vt:variant>
        <vt:i4>5</vt:i4>
      </vt:variant>
      <vt:variant>
        <vt:lpwstr/>
      </vt:variant>
      <vt:variant>
        <vt:lpwstr>_Toc167194519</vt:lpwstr>
      </vt:variant>
      <vt:variant>
        <vt:i4>1376314</vt:i4>
      </vt:variant>
      <vt:variant>
        <vt:i4>62</vt:i4>
      </vt:variant>
      <vt:variant>
        <vt:i4>0</vt:i4>
      </vt:variant>
      <vt:variant>
        <vt:i4>5</vt:i4>
      </vt:variant>
      <vt:variant>
        <vt:lpwstr/>
      </vt:variant>
      <vt:variant>
        <vt:lpwstr>_Toc167194518</vt:lpwstr>
      </vt:variant>
      <vt:variant>
        <vt:i4>1376314</vt:i4>
      </vt:variant>
      <vt:variant>
        <vt:i4>56</vt:i4>
      </vt:variant>
      <vt:variant>
        <vt:i4>0</vt:i4>
      </vt:variant>
      <vt:variant>
        <vt:i4>5</vt:i4>
      </vt:variant>
      <vt:variant>
        <vt:lpwstr/>
      </vt:variant>
      <vt:variant>
        <vt:lpwstr>_Toc167194517</vt:lpwstr>
      </vt:variant>
      <vt:variant>
        <vt:i4>1376314</vt:i4>
      </vt:variant>
      <vt:variant>
        <vt:i4>50</vt:i4>
      </vt:variant>
      <vt:variant>
        <vt:i4>0</vt:i4>
      </vt:variant>
      <vt:variant>
        <vt:i4>5</vt:i4>
      </vt:variant>
      <vt:variant>
        <vt:lpwstr/>
      </vt:variant>
      <vt:variant>
        <vt:lpwstr>_Toc167194516</vt:lpwstr>
      </vt:variant>
      <vt:variant>
        <vt:i4>1376314</vt:i4>
      </vt:variant>
      <vt:variant>
        <vt:i4>44</vt:i4>
      </vt:variant>
      <vt:variant>
        <vt:i4>0</vt:i4>
      </vt:variant>
      <vt:variant>
        <vt:i4>5</vt:i4>
      </vt:variant>
      <vt:variant>
        <vt:lpwstr/>
      </vt:variant>
      <vt:variant>
        <vt:lpwstr>_Toc167194515</vt:lpwstr>
      </vt:variant>
      <vt:variant>
        <vt:i4>1376314</vt:i4>
      </vt:variant>
      <vt:variant>
        <vt:i4>38</vt:i4>
      </vt:variant>
      <vt:variant>
        <vt:i4>0</vt:i4>
      </vt:variant>
      <vt:variant>
        <vt:i4>5</vt:i4>
      </vt:variant>
      <vt:variant>
        <vt:lpwstr/>
      </vt:variant>
      <vt:variant>
        <vt:lpwstr>_Toc167194514</vt:lpwstr>
      </vt:variant>
      <vt:variant>
        <vt:i4>1376314</vt:i4>
      </vt:variant>
      <vt:variant>
        <vt:i4>32</vt:i4>
      </vt:variant>
      <vt:variant>
        <vt:i4>0</vt:i4>
      </vt:variant>
      <vt:variant>
        <vt:i4>5</vt:i4>
      </vt:variant>
      <vt:variant>
        <vt:lpwstr/>
      </vt:variant>
      <vt:variant>
        <vt:lpwstr>_Toc167194513</vt:lpwstr>
      </vt:variant>
      <vt:variant>
        <vt:i4>1376314</vt:i4>
      </vt:variant>
      <vt:variant>
        <vt:i4>26</vt:i4>
      </vt:variant>
      <vt:variant>
        <vt:i4>0</vt:i4>
      </vt:variant>
      <vt:variant>
        <vt:i4>5</vt:i4>
      </vt:variant>
      <vt:variant>
        <vt:lpwstr/>
      </vt:variant>
      <vt:variant>
        <vt:lpwstr>_Toc167194512</vt:lpwstr>
      </vt:variant>
      <vt:variant>
        <vt:i4>1376314</vt:i4>
      </vt:variant>
      <vt:variant>
        <vt:i4>20</vt:i4>
      </vt:variant>
      <vt:variant>
        <vt:i4>0</vt:i4>
      </vt:variant>
      <vt:variant>
        <vt:i4>5</vt:i4>
      </vt:variant>
      <vt:variant>
        <vt:lpwstr/>
      </vt:variant>
      <vt:variant>
        <vt:lpwstr>_Toc167194511</vt:lpwstr>
      </vt:variant>
      <vt:variant>
        <vt:i4>1376314</vt:i4>
      </vt:variant>
      <vt:variant>
        <vt:i4>14</vt:i4>
      </vt:variant>
      <vt:variant>
        <vt:i4>0</vt:i4>
      </vt:variant>
      <vt:variant>
        <vt:i4>5</vt:i4>
      </vt:variant>
      <vt:variant>
        <vt:lpwstr/>
      </vt:variant>
      <vt:variant>
        <vt:lpwstr>_Toc167194510</vt:lpwstr>
      </vt:variant>
      <vt:variant>
        <vt:i4>1310778</vt:i4>
      </vt:variant>
      <vt:variant>
        <vt:i4>8</vt:i4>
      </vt:variant>
      <vt:variant>
        <vt:i4>0</vt:i4>
      </vt:variant>
      <vt:variant>
        <vt:i4>5</vt:i4>
      </vt:variant>
      <vt:variant>
        <vt:lpwstr/>
      </vt:variant>
      <vt:variant>
        <vt:lpwstr>_Toc167194509</vt:lpwstr>
      </vt:variant>
      <vt:variant>
        <vt:i4>1310778</vt:i4>
      </vt:variant>
      <vt:variant>
        <vt:i4>2</vt:i4>
      </vt:variant>
      <vt:variant>
        <vt:i4>0</vt:i4>
      </vt:variant>
      <vt:variant>
        <vt:i4>5</vt:i4>
      </vt:variant>
      <vt:variant>
        <vt:lpwstr/>
      </vt:variant>
      <vt:variant>
        <vt:lpwstr>_Toc167194508</vt:lpwstr>
      </vt:variant>
      <vt:variant>
        <vt:i4>131128</vt:i4>
      </vt:variant>
      <vt:variant>
        <vt:i4>3</vt:i4>
      </vt:variant>
      <vt:variant>
        <vt:i4>0</vt:i4>
      </vt:variant>
      <vt:variant>
        <vt:i4>5</vt:i4>
      </vt:variant>
      <vt:variant>
        <vt:lpwstr>mailto:Andrei.MORARU@ec.europa.eu</vt:lpwstr>
      </vt:variant>
      <vt:variant>
        <vt:lpwstr/>
      </vt:variant>
      <vt:variant>
        <vt:i4>131128</vt:i4>
      </vt:variant>
      <vt:variant>
        <vt:i4>0</vt:i4>
      </vt:variant>
      <vt:variant>
        <vt:i4>0</vt:i4>
      </vt:variant>
      <vt:variant>
        <vt:i4>5</vt:i4>
      </vt:variant>
      <vt:variant>
        <vt:lpwstr>mailto:Andrei.MORARU@ec.europa.eu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109</cp:revision>
  <cp:lastPrinted>2023-05-19T03:21:00Z</cp:lastPrinted>
  <dcterms:created xsi:type="dcterms:W3CDTF">2024-06-05T11:40:00Z</dcterms:created>
  <dcterms:modified xsi:type="dcterms:W3CDTF">2024-06-28T12:19:00Z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Last edited using">
    <vt:lpwstr>LW 9.0, Build 20230317</vt:lpwstr>
  </property>
  <property fmtid="{D5CDD505-2E9C-101B-9397-08002B2CF9AE}" pid="6" name="Created using">
    <vt:lpwstr>LW 6.0.1, Build 20180503</vt:lpwstr>
  </property>
  <property fmtid="{D5CDD505-2E9C-101B-9397-08002B2CF9AE}" pid="7" name="synchronize">
    <vt:lpwstr>on</vt:lpwstr>
  </property>
  <property fmtid="{D5CDD505-2E9C-101B-9397-08002B2CF9AE}" pid="8" name="CPTemplateID">
    <vt:lpwstr>CP-006</vt:lpwstr>
  </property>
  <property fmtid="{D5CDD505-2E9C-101B-9397-08002B2CF9AE}" pid="9" name="_LW_INVALIDATED__LW_INVALIDATED_ContentTypeId">
    <vt:lpwstr>0x010100258AA79CEB83498886A3A0868112325000189CB87B1E53E74D8E56C76F27A51955</vt:lpwstr>
  </property>
  <property fmtid="{D5CDD505-2E9C-101B-9397-08002B2CF9AE}" pid="10" name="ContentTypeId">
    <vt:lpwstr>0x010100A36E6791410E4C45B6BB8EC9F646F735</vt:lpwstr>
  </property>
  <property fmtid="{D5CDD505-2E9C-101B-9397-08002B2CF9AE}" pid="11" name="_dlc_DocIdItemGuid">
    <vt:lpwstr>612815d5-7b94-4e92-b123-ce86cafd4f18</vt:lpwstr>
  </property>
  <property fmtid="{D5CDD505-2E9C-101B-9397-08002B2CF9AE}" pid="12" name="MSIP_Label_6bd9ddd1-4d20-43f6-abfa-fc3c07406f94_Enabled">
    <vt:lpwstr>true</vt:lpwstr>
  </property>
  <property fmtid="{D5CDD505-2E9C-101B-9397-08002B2CF9AE}" pid="13" name="MSIP_Label_6bd9ddd1-4d20-43f6-abfa-fc3c07406f94_SetDate">
    <vt:lpwstr>2022-05-17T07:30:17Z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5bd134ee-e9e5-4153-9fea-730183349a8b</vt:lpwstr>
  </property>
  <property fmtid="{D5CDD505-2E9C-101B-9397-08002B2CF9AE}" pid="18" name="MSIP_Label_6bd9ddd1-4d20-43f6-abfa-fc3c07406f94_ContentBits">
    <vt:lpwstr>0</vt:lpwstr>
  </property>
  <property fmtid="{D5CDD505-2E9C-101B-9397-08002B2CF9AE}" pid="19" name="DocStatus">
    <vt:lpwstr>Green</vt:lpwstr>
  </property>
  <property fmtid="{D5CDD505-2E9C-101B-9397-08002B2CF9AE}" pid="20" name="MediaServiceImageTags">
    <vt:lpwstr/>
  </property>
</Properties>
</file>