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C364" w14:textId="06408AE0" w:rsidR="00DB6AE0" w:rsidRPr="00215FE6" w:rsidRDefault="002A0004" w:rsidP="002A0004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4E8F9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F5E7933C-78B6-4036-A9EF-9E32AA8785CE" style="width:455.25pt;height:351.75pt">
            <v:imagedata r:id="rId8" o:title=""/>
          </v:shape>
        </w:pict>
      </w:r>
    </w:p>
    <w:bookmarkEnd w:id="0"/>
    <w:p w14:paraId="7A53AFDD" w14:textId="77777777" w:rsidR="00DB6AE0" w:rsidRPr="00215FE6" w:rsidRDefault="00DB6AE0" w:rsidP="00DB6AE0">
      <w:pPr>
        <w:rPr>
          <w:noProof/>
        </w:rPr>
        <w:sectPr w:rsidR="00DB6AE0" w:rsidRPr="00215FE6" w:rsidSect="002A00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5FC515F" w14:textId="6BCAAEBB" w:rsidR="00B42574" w:rsidRPr="00B42574" w:rsidRDefault="00B42574" w:rsidP="00B42574">
      <w:pPr>
        <w:pStyle w:val="typedudocument"/>
        <w:rPr>
          <w:noProof/>
        </w:rPr>
      </w:pPr>
      <w:bookmarkStart w:id="1" w:name="_GoBack"/>
      <w:bookmarkEnd w:id="1"/>
      <w:r w:rsidRPr="00B42574">
        <w:rPr>
          <w:noProof/>
        </w:rPr>
        <w:lastRenderedPageBreak/>
        <w:t>ДОКЛАД НА КОМИСИЯТА ДО ЕВРОПЕЙСКИЯ ПАРЛАМЕНТ И СЪВЕТА</w:t>
      </w:r>
    </w:p>
    <w:p w14:paraId="1668E61F" w14:textId="2A73D285" w:rsidR="00B42574" w:rsidRPr="00B42574" w:rsidRDefault="00B42574" w:rsidP="00B42574">
      <w:pPr>
        <w:pStyle w:val="Titreobjet"/>
        <w:rPr>
          <w:noProof/>
        </w:rPr>
      </w:pPr>
      <w:r w:rsidRPr="00B42574">
        <w:rPr>
          <w:noProof/>
        </w:rPr>
        <w:t>относно упражняването на правомощието за приемане на делегирани актове, предоставено на Комисията съгласно Регламент (ЕО) № 1069/2009 за установяване на здравни правила относно странични животински продукти и производни продукти, непредназначени за консумация от човека и за отмяна на Регламент (ЕО) № 1774/2002 („Регламент за страничните животински продукти“)</w:t>
      </w:r>
    </w:p>
    <w:p w14:paraId="4E4B3C8E" w14:textId="75173569" w:rsidR="00E07B6F" w:rsidRPr="002D1841" w:rsidRDefault="00E07B6F" w:rsidP="00411DEB">
      <w:pPr>
        <w:pStyle w:val="ListParagraph"/>
        <w:numPr>
          <w:ilvl w:val="0"/>
          <w:numId w:val="1"/>
        </w:numPr>
        <w:spacing w:before="360" w:after="24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ВЪВЕДЕНИЕ</w:t>
      </w:r>
    </w:p>
    <w:p w14:paraId="5715EAFE" w14:textId="361EB27C" w:rsidR="00D33463" w:rsidRDefault="007C09C0" w:rsidP="00D33463">
      <w:pPr>
        <w:pStyle w:val="Normal1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Регламент (ЕО) № 1069/2009 за установяване на здравни правила относно странични животински продукти и производни продукти, непредназначени за консумация от човека и за отмяна на Регламент (ЕО) № 1774/2002 („Регламент за страничните животински продукти“)</w:t>
      </w:r>
      <w:r w:rsidR="00E07B6F" w:rsidRPr="002D1841">
        <w:rPr>
          <w:rStyle w:val="FootnoteReference"/>
          <w:noProof/>
        </w:rPr>
        <w:footnoteReference w:id="1"/>
      </w:r>
      <w:r>
        <w:rPr>
          <w:noProof/>
        </w:rPr>
        <w:t xml:space="preserve"> беше приет през 2009 г. Той влезе в сила на 4 декември 2009 г. и започна да се прилага от 4 март 2011 г.</w:t>
      </w:r>
    </w:p>
    <w:p w14:paraId="26F8B4CE" w14:textId="6CEFED35" w:rsidR="00542C24" w:rsidRDefault="00BA6EDF" w:rsidP="00542C24">
      <w:pPr>
        <w:pStyle w:val="Normal1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През 2019 г. Регламентът за страничните животински продукти беше изменен с Регламент (ЕС) 2019/1009</w:t>
      </w:r>
      <w:r>
        <w:rPr>
          <w:rStyle w:val="FootnoteReference"/>
          <w:noProof/>
        </w:rPr>
        <w:footnoteReference w:id="2"/>
      </w:r>
      <w:r>
        <w:rPr>
          <w:noProof/>
        </w:rPr>
        <w:t>, с който беше въведен член 5, параграф 2 – правното основание за определяне на крайна точка в производствената верига на производни продукти за органични торове и подобрители на почвата, които вече не представляват значителен риск за общественото здраве или за здравето на животните. След като бъде определена такава крайна точка, тези органични торове и подобрители на почвата могат впоследствие да бъдат пускани на пазара без ограничения по силата на Регламента за страничните животински продукти и престават да бъдат предмет на официален контрол в съответствие със същия регламент.</w:t>
      </w:r>
    </w:p>
    <w:p w14:paraId="12CA3CAD" w14:textId="5D583588" w:rsidR="006C2A59" w:rsidRDefault="00E6310D" w:rsidP="00EF6D18">
      <w:pPr>
        <w:pStyle w:val="Normal1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В изменения член 5, параграф 2 от Регламента за страничните животински продукти се съдържа правното основание за определяне на крайни точки за храни за домашни любимци, технически продукти за употреба извън хранителната верига на животните, органични торове и подобрители на почвата. С него Комисията се оправомощава да приема делегирани актове.</w:t>
      </w:r>
    </w:p>
    <w:p w14:paraId="451441A4" w14:textId="06C01AA1" w:rsidR="00EF6D18" w:rsidRDefault="006C2A59" w:rsidP="00EF6D18">
      <w:pPr>
        <w:pStyle w:val="Normal1"/>
        <w:spacing w:before="0" w:beforeAutospacing="0" w:after="240" w:afterAutospacing="0"/>
        <w:jc w:val="both"/>
        <w:rPr>
          <w:b/>
          <w:noProof/>
        </w:rPr>
      </w:pPr>
      <w:r>
        <w:rPr>
          <w:noProof/>
        </w:rPr>
        <w:t>Изменението се прилага от 15 юли 2019 г.</w:t>
      </w:r>
    </w:p>
    <w:p w14:paraId="0B5A0868" w14:textId="179FE720" w:rsidR="00E07B6F" w:rsidRPr="007870E2" w:rsidRDefault="00E07B6F" w:rsidP="00EF6D18">
      <w:pPr>
        <w:pStyle w:val="Normal1"/>
        <w:spacing w:before="0" w:beforeAutospacing="0" w:after="240" w:afterAutospacing="0"/>
        <w:jc w:val="both"/>
        <w:rPr>
          <w:bCs/>
          <w:noProof/>
        </w:rPr>
      </w:pPr>
      <w:r>
        <w:rPr>
          <w:noProof/>
        </w:rPr>
        <w:t xml:space="preserve">ПРАВНО ОСНОВАНИЕ </w:t>
      </w:r>
    </w:p>
    <w:p w14:paraId="180145CA" w14:textId="61115E56" w:rsidR="00AF4244" w:rsidRDefault="00AF4244" w:rsidP="00633AC9">
      <w:pPr>
        <w:pStyle w:val="Normal1"/>
        <w:spacing w:before="0" w:beforeAutospacing="0" w:after="240" w:afterAutospacing="0"/>
        <w:jc w:val="both"/>
        <w:rPr>
          <w:iCs/>
          <w:noProof/>
        </w:rPr>
      </w:pPr>
      <w:r>
        <w:rPr>
          <w:noProof/>
        </w:rPr>
        <w:t xml:space="preserve">Настоящият доклад е изготвен във връзка с изискването по член 51а, параграф 2 от Регламент (ЕО) № 1069/2009. Съгласно тази разпоредба правомощието да приема делегирани актове във връзка с въпросите, изброени в член 5, параграф 2 от посочения регламент, се предоставя на Комисията за срок от пет години, считано от 15 юли 2019 г., като Комисията трябва да изготви доклад относно делегирането на правомощия не по-късно от девет месеца преди изтичането на петгодишния срок. </w:t>
      </w:r>
    </w:p>
    <w:p w14:paraId="21BD49BD" w14:textId="3294E755" w:rsidR="00E07B6F" w:rsidRPr="002D1841" w:rsidRDefault="00E07B6F" w:rsidP="00E07B6F">
      <w:pPr>
        <w:pStyle w:val="Normal1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В член 51а, параграф 2 от Регламент (ЕС) 1069/2009 се посочва, че делегирането на правомощия се продължава мълчаливо за срокове с еднаква продължителност, освен ако Европейският парламент или Съветът не възразят срещу подобно продължаване не по-късно от три месеца преди изтичането на всеки срок, а съгласно член 51а, параграф 3 делегирането на правомощия може да бъде оттеглено по всяко време от Европейския парламент или от Съвета.</w:t>
      </w:r>
    </w:p>
    <w:p w14:paraId="75C29972" w14:textId="77777777" w:rsidR="00E07B6F" w:rsidRPr="002D1841" w:rsidRDefault="00E07B6F" w:rsidP="00E07B6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УПРАЖНЯВАНЕ НА ДЕЛЕГИРАНЕТО</w:t>
      </w:r>
    </w:p>
    <w:p w14:paraId="458596AF" w14:textId="6DCAF53C" w:rsidR="00E07B6F" w:rsidRPr="002D1841" w:rsidRDefault="00E07B6F" w:rsidP="00411DEB">
      <w:pPr>
        <w:pStyle w:val="Normal1"/>
        <w:spacing w:before="0" w:beforeAutospacing="0" w:after="240" w:afterAutospacing="0"/>
        <w:jc w:val="both"/>
        <w:rPr>
          <w:noProof/>
        </w:rPr>
      </w:pPr>
      <w:r>
        <w:rPr>
          <w:noProof/>
        </w:rPr>
        <w:t>През отчетния период Комисията упражни делегираните ѝ правомощия, като прие следния делегиран акт:</w:t>
      </w:r>
    </w:p>
    <w:p w14:paraId="6B735CB2" w14:textId="3D88F316" w:rsidR="00E07B6F" w:rsidRPr="002D1841" w:rsidRDefault="00B65FEE" w:rsidP="00E07B6F">
      <w:pPr>
        <w:numPr>
          <w:ilvl w:val="0"/>
          <w:numId w:val="2"/>
        </w:numPr>
        <w:spacing w:before="100" w:beforeAutospacing="1" w:after="240" w:line="240" w:lineRule="auto"/>
        <w:jc w:val="both"/>
        <w:rPr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Делегиран регламент (ЕС) 2023/1605 на Комисията от 22 май 2023 г. за допълване на Регламент (ЕО) № 1069/2009 на Европейския парламент и на Съвета по отношение на определянето на крайни точки в производствената верига за някои органични торове и подобрители на почвата</w:t>
      </w:r>
      <w:r>
        <w:rPr>
          <w:rStyle w:val="FootnoteReference"/>
          <w:rFonts w:ascii="Times New Roman" w:hAnsi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</w:rPr>
        <w:t>.</w:t>
      </w:r>
    </w:p>
    <w:p w14:paraId="4C3F21E7" w14:textId="65F72A05" w:rsidR="00C36D16" w:rsidRDefault="00C36D16" w:rsidP="004716A6">
      <w:pPr>
        <w:pStyle w:val="Text1"/>
        <w:ind w:left="0"/>
        <w:rPr>
          <w:noProof/>
        </w:rPr>
      </w:pPr>
      <w:bookmarkStart w:id="2" w:name="_Hlk151560046"/>
      <w:r>
        <w:rPr>
          <w:noProof/>
        </w:rPr>
        <w:t>С посочения делегиран регламент</w:t>
      </w:r>
      <w:bookmarkEnd w:id="2"/>
      <w:r>
        <w:rPr>
          <w:noProof/>
        </w:rPr>
        <w:t xml:space="preserve"> се определят крайните точки в производствената верига за органични торове и подобрители на почвата, произведени в Съюза, след които по отношение на последните не се прилагат изискванията, определени в Регламент (ЕО) № 1069/2009, при условие че те се използват като съставен материал в ЕС продукти за наторяване в съответствие с Регламент (ЕС) 2019/1009. Делегираният акт беше приет на 22 май 2023 г. и предаден на Европейския парламент и на Съвета. Поради липсата на възражения от страна на Европейския парламент или на Съвета делегираният регламент беше публикуван на 8 август 2023 г.</w:t>
      </w:r>
    </w:p>
    <w:p w14:paraId="4203215B" w14:textId="2A7C7AAD" w:rsidR="00D520D7" w:rsidRDefault="007B1E54" w:rsidP="00633AC9">
      <w:pPr>
        <w:pStyle w:val="Normal10"/>
        <w:rPr>
          <w:noProof/>
        </w:rPr>
      </w:pPr>
      <w:r>
        <w:rPr>
          <w:noProof/>
        </w:rPr>
        <w:t>В член 5, параграф 4 от Регламент (ЕО) № 1069/2009 се определя задължение за Комисията при определени обстоятелства да определи крайна точка за някои производни продукти в съответствие с член 5, параграф 2. Комисията изпълни задължението по член 5, параграф 4 от посочения регламент като възложи мандат на Европейския орган за безопасност на храните (ЕОБХ). Впоследствие ЕОБХ публикува научно становище, озаглавено „Inactivation of indicator microorganisms and biological hazards by standard and/or alternative processing methods in Category 2 and 3 animal by-products and derived products to be used as organic fertilisers and/or soil improvers (Инактивиране на индикаторни микроорганизми и биологични опасности по стандартни и/или алтернативни методи на преработка в странични животински продукти и производни продукти от категории 2 и 3, за използване като органични торове и/или подобрители на почвата)“</w:t>
      </w:r>
      <w:r w:rsidR="008A1C11">
        <w:rPr>
          <w:rStyle w:val="FootnoteReference"/>
          <w:noProof/>
        </w:rPr>
        <w:footnoteReference w:id="4"/>
      </w:r>
      <w:r>
        <w:rPr>
          <w:noProof/>
        </w:rPr>
        <w:t>. Съгласно това научно становище само някои от производните продукти, изброени в член 5, параграф 4 от Регламент (ЕО) № 1069/2009, могат да достигнат крайната точка ако се използват като съставен материал в съответствие с Регламент (ЕС) 2019/1009.</w:t>
      </w:r>
    </w:p>
    <w:p w14:paraId="6D3E0C6F" w14:textId="55F6E84E" w:rsidR="00DD454E" w:rsidRDefault="00522A13" w:rsidP="00DD454E">
      <w:pPr>
        <w:pStyle w:val="Normal10"/>
        <w:rPr>
          <w:b/>
          <w:noProof/>
        </w:rPr>
      </w:pPr>
      <w:r>
        <w:rPr>
          <w:noProof/>
        </w:rPr>
        <w:t>Освен това въз основа на оправомощаването съгласно член 5, параграф 2 от Регламента за страничните животински продукти, Комисията може също така да определи крайни точки в производствената верига за допълнителни производни продукти, а именно посочените в членове 32, 35 и 36 от Регламент (ЕО) № 1069/2009, които вече не представляват значителен риск за общественото здраве или за здравето на животните.</w:t>
      </w:r>
    </w:p>
    <w:p w14:paraId="2D4BAEB5" w14:textId="384FECD9" w:rsidR="00E07B6F" w:rsidRPr="002D1841" w:rsidRDefault="00E07B6F" w:rsidP="00DD454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ЗАКЛЮЧЕНИЕ</w:t>
      </w:r>
    </w:p>
    <w:p w14:paraId="0075012E" w14:textId="424D3B7C" w:rsidR="005630FC" w:rsidRDefault="007F12FF" w:rsidP="009E4D7E">
      <w:pPr>
        <w:pStyle w:val="Normal10"/>
        <w:rPr>
          <w:noProof/>
        </w:rPr>
      </w:pPr>
      <w:r>
        <w:rPr>
          <w:noProof/>
        </w:rPr>
        <w:t>Въз основа на оправомощаването съгласно член 5, параграф 2 от Регламента за страничните животински продукти Комисията надлежно изготви делегиран акт със задължителна сила, а именно Делегиран регламент (ЕС) 2023/1605 на Комисията. Комисията счита за необходимо да продължи мълчаливо делегирането на правомощия, предвидено в член 51а, параграф 2, за срок от пет години, както е предвидено в същия член, за определяне на крайни точки за допълнителни производни продукти в зависимост от бъдещата(-ите) благоприятна(-и) оценка(-и) на ЕОБХ и за евентуалната необходимост от бъдещи изменения на настоящия делегиран регламент. Комисията приканва Европейския парламент и Съвета да вземат под внимание настоящия доклад.</w:t>
      </w:r>
    </w:p>
    <w:sectPr w:rsidR="005630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308FF" w14:textId="77777777" w:rsidR="00304A86" w:rsidRDefault="00304A86" w:rsidP="00DB6AE0">
      <w:pPr>
        <w:spacing w:after="0" w:line="240" w:lineRule="auto"/>
      </w:pPr>
      <w:r>
        <w:separator/>
      </w:r>
    </w:p>
  </w:endnote>
  <w:endnote w:type="continuationSeparator" w:id="0">
    <w:p w14:paraId="2345531A" w14:textId="77777777" w:rsidR="00304A86" w:rsidRDefault="00304A86" w:rsidP="00DB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22FE" w14:textId="5A416E2B" w:rsidR="002A0004" w:rsidRPr="002A0004" w:rsidRDefault="002A0004" w:rsidP="002A0004">
    <w:pPr>
      <w:pStyle w:val="FooterCoverPage"/>
      <w:rPr>
        <w:rFonts w:ascii="Arial" w:hAnsi="Arial" w:cs="Arial"/>
        <w:b/>
        <w:sz w:val="48"/>
      </w:rPr>
    </w:pPr>
    <w:r w:rsidRPr="002A0004">
      <w:rPr>
        <w:rFonts w:ascii="Arial" w:hAnsi="Arial" w:cs="Arial"/>
        <w:b/>
        <w:sz w:val="48"/>
      </w:rPr>
      <w:t>BG</w:t>
    </w:r>
    <w:r w:rsidRPr="002A0004">
      <w:rPr>
        <w:rFonts w:ascii="Arial" w:hAnsi="Arial" w:cs="Arial"/>
        <w:b/>
        <w:sz w:val="48"/>
      </w:rPr>
      <w:tab/>
    </w:r>
    <w:r w:rsidRPr="002A0004">
      <w:rPr>
        <w:rFonts w:ascii="Arial" w:hAnsi="Arial" w:cs="Arial"/>
        <w:b/>
        <w:sz w:val="48"/>
      </w:rPr>
      <w:tab/>
    </w:r>
    <w:r w:rsidRPr="002A0004">
      <w:tab/>
    </w:r>
    <w:r w:rsidRPr="002A0004"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6818" w14:textId="030FE052" w:rsidR="002A0004" w:rsidRPr="002A0004" w:rsidRDefault="002A0004" w:rsidP="002A0004">
    <w:pPr>
      <w:pStyle w:val="FooterCoverPage"/>
      <w:rPr>
        <w:rFonts w:ascii="Arial" w:hAnsi="Arial" w:cs="Arial"/>
        <w:b/>
        <w:sz w:val="48"/>
      </w:rPr>
    </w:pPr>
    <w:r w:rsidRPr="002A0004">
      <w:rPr>
        <w:rFonts w:ascii="Arial" w:hAnsi="Arial" w:cs="Arial"/>
        <w:b/>
        <w:sz w:val="48"/>
      </w:rPr>
      <w:t>BG</w:t>
    </w:r>
    <w:r w:rsidRPr="002A0004">
      <w:rPr>
        <w:rFonts w:ascii="Arial" w:hAnsi="Arial" w:cs="Arial"/>
        <w:b/>
        <w:sz w:val="48"/>
      </w:rPr>
      <w:tab/>
    </w:r>
    <w:r w:rsidRPr="002A0004">
      <w:rPr>
        <w:rFonts w:ascii="Arial" w:hAnsi="Arial" w:cs="Arial"/>
        <w:b/>
        <w:sz w:val="48"/>
      </w:rPr>
      <w:tab/>
    </w:r>
    <w:r w:rsidRPr="002A0004">
      <w:tab/>
    </w:r>
    <w:r w:rsidRPr="002A0004"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00DA" w14:textId="77777777" w:rsidR="002A0004" w:rsidRPr="002A0004" w:rsidRDefault="002A0004" w:rsidP="002A0004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6522F" w14:textId="77777777" w:rsidR="00A55E0A" w:rsidRDefault="00A55E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980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343056" w14:textId="38AF1882" w:rsidR="00A55E0A" w:rsidRPr="00D55FD2" w:rsidRDefault="00BD7784" w:rsidP="00D55FD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5FD2">
          <w:rPr>
            <w:rFonts w:ascii="Times New Roman" w:hAnsi="Times New Roman" w:cs="Times New Roman"/>
            <w:sz w:val="24"/>
          </w:rPr>
          <w:fldChar w:fldCharType="begin"/>
        </w:r>
        <w:r w:rsidRPr="00D55FD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55FD2">
          <w:rPr>
            <w:rFonts w:ascii="Times New Roman" w:hAnsi="Times New Roman" w:cs="Times New Roman"/>
            <w:sz w:val="24"/>
          </w:rPr>
          <w:fldChar w:fldCharType="separate"/>
        </w:r>
        <w:r w:rsidR="002A0004">
          <w:rPr>
            <w:rFonts w:ascii="Times New Roman" w:hAnsi="Times New Roman" w:cs="Times New Roman"/>
            <w:noProof/>
            <w:sz w:val="24"/>
          </w:rPr>
          <w:t>1</w:t>
        </w:r>
        <w:r w:rsidRPr="00D55FD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4F85" w14:textId="77777777" w:rsidR="00A55E0A" w:rsidRDefault="00A55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3154" w14:textId="77777777" w:rsidR="00304A86" w:rsidRDefault="00304A86" w:rsidP="00DB6AE0">
      <w:pPr>
        <w:spacing w:after="0" w:line="240" w:lineRule="auto"/>
      </w:pPr>
      <w:r>
        <w:separator/>
      </w:r>
    </w:p>
  </w:footnote>
  <w:footnote w:type="continuationSeparator" w:id="0">
    <w:p w14:paraId="24146F01" w14:textId="77777777" w:rsidR="00304A86" w:rsidRDefault="00304A86" w:rsidP="00DB6AE0">
      <w:pPr>
        <w:spacing w:after="0" w:line="240" w:lineRule="auto"/>
      </w:pPr>
      <w:r>
        <w:continuationSeparator/>
      </w:r>
    </w:p>
  </w:footnote>
  <w:footnote w:id="1">
    <w:p w14:paraId="11BAC15C" w14:textId="660156B7" w:rsidR="00E07B6F" w:rsidRPr="00484F20" w:rsidRDefault="00E07B6F" w:rsidP="00484F20">
      <w:pPr>
        <w:pStyle w:val="FootnoteText"/>
        <w:ind w:left="709" w:hanging="709"/>
        <w:jc w:val="both"/>
        <w:rPr>
          <w:i/>
          <w:iCs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Регламент (ЕО) № 1069/2009 на Европейския парламент и на Съвета от 21 октомври 2009 г. за установяване на здравни правила относно странични животински продукти и производни продукти, непредназначени за консумация от човека, и за отмяна на Регламент (ЕО) № 1774/2002 (Регламент за страничните животински продукти)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</w:t>
      </w:r>
      <w:r>
        <w:rPr>
          <w:rStyle w:val="Emphasis"/>
          <w:rFonts w:ascii="Times New Roman" w:hAnsi="Times New Roman"/>
          <w:i w:val="0"/>
        </w:rPr>
        <w:t>ОВ L 300, 14.11.2009 г., стр. 1).</w:t>
      </w:r>
    </w:p>
  </w:footnote>
  <w:footnote w:id="2">
    <w:p w14:paraId="2721FD3F" w14:textId="5C68A7AF" w:rsidR="00BA6EDF" w:rsidRPr="00D33463" w:rsidRDefault="00BA6EDF" w:rsidP="00BD7121">
      <w:pPr>
        <w:pStyle w:val="FootnoteText"/>
        <w:ind w:left="709" w:hanging="709"/>
        <w:jc w:val="both"/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Регламент (ЕС) 2019/1009 на Европейския парламент и на Съвета от 5 юни 2019 г. за определяне на правила за предоставяне на пазара на ЕС продукти за наторяване и за изменение на регламенти (ЕО) № 1069/2009 и (ЕО) № 1107/2009 и за отмяна на Регламент (ЕО) № 2003/2003 (ОВ</w:t>
      </w:r>
      <w:r>
        <w:rPr>
          <w:rStyle w:val="Emphasis"/>
          <w:i w:val="0"/>
        </w:rPr>
        <w:t xml:space="preserve"> L 170, 25.6.2019 г., стр. 1).</w:t>
      </w:r>
    </w:p>
  </w:footnote>
  <w:footnote w:id="3">
    <w:p w14:paraId="49E2633D" w14:textId="35F5D26C" w:rsidR="00B65FEE" w:rsidRPr="00BD7121" w:rsidRDefault="00B65FEE" w:rsidP="004716A6">
      <w:pPr>
        <w:pStyle w:val="FootnoteText"/>
        <w:ind w:left="720" w:hanging="720"/>
        <w:jc w:val="both"/>
        <w:rPr>
          <w:i/>
        </w:rPr>
      </w:pPr>
      <w:r>
        <w:rPr>
          <w:rStyle w:val="FootnoteReference"/>
        </w:rPr>
        <w:footnoteRef/>
      </w:r>
      <w:r>
        <w:tab/>
      </w:r>
      <w:r>
        <w:rPr>
          <w:rStyle w:val="Emphasis"/>
          <w:rFonts w:ascii="Times New Roman" w:hAnsi="Times New Roman"/>
          <w:i w:val="0"/>
        </w:rPr>
        <w:t>Делегиран регламент (ЕС) 2023/1605 на Комисията от 22 май 2023 г. за допълване на Регламент (ЕО) № 1069/2009 на Европейския парламент и на Съвета по отношение на определянето на крайни точки в производствената верига за някои органични торове и подобрители на почвата (ОВ L 198, 8.8.2023 г., стр. 1).</w:t>
      </w:r>
    </w:p>
  </w:footnote>
  <w:footnote w:id="4">
    <w:p w14:paraId="4C246906" w14:textId="329637A7" w:rsidR="008A1C11" w:rsidRPr="003F3F89" w:rsidRDefault="008A1C11">
      <w:pPr>
        <w:pStyle w:val="FootnoteText"/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Style w:val="FootnoteReference"/>
        </w:rPr>
        <w:footnoteRef/>
      </w:r>
      <w:r>
        <w:tab/>
      </w:r>
      <w:r>
        <w:rPr>
          <w:rStyle w:val="Emphasis"/>
          <w:rFonts w:ascii="Times New Roman" w:hAnsi="Times New Roman"/>
        </w:rPr>
        <w:t>EFSA Journal (Бюлетин на ЕОБХ) 2021 г.; 19(12):6932.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8AEC" w14:textId="77777777" w:rsidR="002A0004" w:rsidRPr="002A0004" w:rsidRDefault="002A0004" w:rsidP="002A0004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7CFCF" w14:textId="77777777" w:rsidR="002A0004" w:rsidRPr="002A0004" w:rsidRDefault="002A0004" w:rsidP="002A0004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CAD7" w14:textId="77777777" w:rsidR="002A0004" w:rsidRPr="002A0004" w:rsidRDefault="002A0004" w:rsidP="002A0004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0350" w14:textId="77777777" w:rsidR="00A55E0A" w:rsidRDefault="00A55E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AB42E" w14:textId="77777777" w:rsidR="00A55E0A" w:rsidRDefault="00A55E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09E02" w14:textId="77777777" w:rsidR="00A55E0A" w:rsidRDefault="00A55E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4852"/>
    <w:multiLevelType w:val="hybridMultilevel"/>
    <w:tmpl w:val="90104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151C93"/>
    <w:multiLevelType w:val="hybridMultilevel"/>
    <w:tmpl w:val="B4F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16557"/>
    <w:multiLevelType w:val="hybridMultilevel"/>
    <w:tmpl w:val="12E08B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F5E7933C-78B6-4036-A9EF-9E32AA8785CE"/>
    <w:docVar w:name="LW_COVERPAGE_TYPE" w:val="1"/>
    <w:docVar w:name="LW_CROSSREFERENCE" w:val="&lt;UNUSED&gt;"/>
    <w:docVar w:name="LW_DocType" w:val="NORMAL"/>
    <w:docVar w:name="LW_EMISSION" w:val="1.7.2024"/>
    <w:docVar w:name="LW_EMISSION_ISODATE" w:val="2024-07-01"/>
    <w:docVar w:name="LW_EMISSION_LOCATION" w:val="BRX"/>
    <w:docVar w:name="LW_EMISSION_PREFIX" w:val="\u1041?\u1088?\u1102?\u1082?\u1089?\u1077?\u1083?, "/>
    <w:docVar w:name="LW_EMISSION_SUFFIX" w:val=" \u1075?."/>
    <w:docVar w:name="LW_ID_DOCTYPE_NONLW" w:val="CP-006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4) 26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\u1086?\u1090?\u1085?\u1086?\u1089?\u1085?\u1086? \u1091?\u1087?\u1088?\u1072?\u1078?\u1085?\u1103?\u1074?\u1072?\u1085?\u1077?\u1090?\u1086? \u1085?\u1072? \u1087?\u1088?\u1072?\u1074?\u1086?\u1084?\u1086?\u1097?\u1080?\u1077?\u1090?\u1086? \u1079?\u1072? \u1087?\u1088?\u1080?\u1077?\u1084?\u1072?\u1085?\u1077? \u1085?\u1072? \u1076?\u1077?\u1083?\u1077?\u1075?\u1080?\u1088?\u1072?\u1085?\u1080? \u1072?\u1082?\u1090?\u1086?\u1074?\u1077?, \u1087?\u1088?\u1077?\u1076?\u1086?\u1089?\u1090?\u1072?\u1074?\u1077?\u1085?\u1086? \u1085?\u1072? \u1050?\u1086?\u1084?\u1080?\u1089?\u1080?\u1103?\u1090?\u1072? \u1089?\u1098?\u1075?\u1083?\u1072?\u1089?\u1085?\u1086? \u1056?\u1077?\u1075?\u1083?\u1072?\u1084?\u1077?\u1085?\u1090? (\u1045?\u1054?) \u8470? 1069/2009 \u1079?\u1072? \u1091?\u1089?\u1090?\u1072?\u1085?\u1086?\u1074?\u1103?\u1074?\u1072?\u1085?\u1077? \u1085?\u1072? \u1079?\u1076?\u1088?\u1072?\u1074?\u1085?\u1080? \u1087?\u1088?\u1072?\u1074?\u1080?\u1083?\u1072? \u1086?\u1090?\u1085?\u1086?\u1089?\u1085?\u1086? \u1089?\u1090?\u1088?\u1072?\u1085?\u1080?\u1095?\u1085?\u1080? \u1078?\u1080?\u1074?\u1086?\u1090?\u1080?\u1085?\u1089?\u1082?\u1080? \u1087?\u1088?\u1086?\u1076?\u1091?\u1082?\u1090?\u1080? \u1080? \u1087?\u1088?\u1086?\u1080?\u1079?\u1074?\u1086?\u1076?\u1085?\u1080? \u1087?\u1088?\u1086?\u1076?\u1091?\u1082?\u1090?\u1080?, \u1085?\u1077?\u1087?\u1088?\u1077?\u1076?\u1085?\u1072?\u1079?\u1085?\u1072?\u1095?\u1077?\u1085?\u1080? \u1079?\u1072? \u1082?\u1086?\u1085?\u1089?\u1091?\u1084?\u1072?\u1094?\u1080?\u1103? \u1086?\u1090? \u1095?\u1086?\u1074?\u1077?\u1082?\u1072? \u1080? \u1079?\u1072? \u1086?\u1090?\u1084?\u1103?\u1085?\u1072? \u1085?\u1072? \u1056?\u1077?\u1075?\u1083?\u1072?\u1084?\u1077?\u1085?\u1090? (\u1045?\u1054?) \u8470? 1774/2002 (\u8222?\u1056?\u1077?\u1075?\u1083?\u1072?\u1084?\u1077?\u1085?\u1090? \u1079?\u1072? \u1089?\u1090?\u1088?\u1072?\u1085?\u1080?\u1095?\u1085?\u1080?\u1090?\u1077? \u1078?\u1080?\u1074?\u1086?\u1090?\u1080?\u1085?\u1089?\u1082?\u1080? \u1087?\u1088?\u1086?\u1076?\u1091?\u1082?\u1090?\u1080?\u8220?)"/>
    <w:docVar w:name="LW_TYPE.DOC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 \u1048? \u1057?\u1066?\u1042?\u1045?\u1058?\u1040?"/>
    <w:docVar w:name="LwApiVersions" w:val="LW4CoDe 1.24.5.0; LW 9.0, Build 20240221"/>
  </w:docVars>
  <w:rsids>
    <w:rsidRoot w:val="00DB6AE0"/>
    <w:rsid w:val="00005061"/>
    <w:rsid w:val="00015BAB"/>
    <w:rsid w:val="000310C8"/>
    <w:rsid w:val="00051304"/>
    <w:rsid w:val="0005498A"/>
    <w:rsid w:val="00065E60"/>
    <w:rsid w:val="00066079"/>
    <w:rsid w:val="0006626A"/>
    <w:rsid w:val="00077748"/>
    <w:rsid w:val="0008567B"/>
    <w:rsid w:val="000877DC"/>
    <w:rsid w:val="00094CFE"/>
    <w:rsid w:val="000A484F"/>
    <w:rsid w:val="000C6530"/>
    <w:rsid w:val="000F22D3"/>
    <w:rsid w:val="000F623C"/>
    <w:rsid w:val="00132E63"/>
    <w:rsid w:val="00163AF2"/>
    <w:rsid w:val="00183140"/>
    <w:rsid w:val="00192599"/>
    <w:rsid w:val="001A17EB"/>
    <w:rsid w:val="001C28AE"/>
    <w:rsid w:val="001D275C"/>
    <w:rsid w:val="001D6E54"/>
    <w:rsid w:val="001F524A"/>
    <w:rsid w:val="002043CF"/>
    <w:rsid w:val="00215FE6"/>
    <w:rsid w:val="00221B27"/>
    <w:rsid w:val="0025053D"/>
    <w:rsid w:val="00261B37"/>
    <w:rsid w:val="00291AE9"/>
    <w:rsid w:val="002A0004"/>
    <w:rsid w:val="002A3B2E"/>
    <w:rsid w:val="002A5CD7"/>
    <w:rsid w:val="002C2488"/>
    <w:rsid w:val="002D1841"/>
    <w:rsid w:val="00304A86"/>
    <w:rsid w:val="00307EDB"/>
    <w:rsid w:val="003213CF"/>
    <w:rsid w:val="00322FB2"/>
    <w:rsid w:val="0033087A"/>
    <w:rsid w:val="003377DF"/>
    <w:rsid w:val="00337A00"/>
    <w:rsid w:val="00351B73"/>
    <w:rsid w:val="00377863"/>
    <w:rsid w:val="00381CF9"/>
    <w:rsid w:val="00383C0C"/>
    <w:rsid w:val="00393957"/>
    <w:rsid w:val="003A6ACA"/>
    <w:rsid w:val="003B61E1"/>
    <w:rsid w:val="003D29F9"/>
    <w:rsid w:val="003D40C9"/>
    <w:rsid w:val="003D5180"/>
    <w:rsid w:val="003E6271"/>
    <w:rsid w:val="003F0944"/>
    <w:rsid w:val="003F2834"/>
    <w:rsid w:val="003F3F89"/>
    <w:rsid w:val="0040598C"/>
    <w:rsid w:val="00407B4B"/>
    <w:rsid w:val="00411DEB"/>
    <w:rsid w:val="004120B8"/>
    <w:rsid w:val="00420E2E"/>
    <w:rsid w:val="004266B3"/>
    <w:rsid w:val="004375A1"/>
    <w:rsid w:val="00454378"/>
    <w:rsid w:val="00456970"/>
    <w:rsid w:val="00465C47"/>
    <w:rsid w:val="00466345"/>
    <w:rsid w:val="0046696F"/>
    <w:rsid w:val="004716A6"/>
    <w:rsid w:val="00473DEA"/>
    <w:rsid w:val="00484F20"/>
    <w:rsid w:val="0049124F"/>
    <w:rsid w:val="00496984"/>
    <w:rsid w:val="004973E1"/>
    <w:rsid w:val="004D0E31"/>
    <w:rsid w:val="004D7F24"/>
    <w:rsid w:val="004F441F"/>
    <w:rsid w:val="005050AB"/>
    <w:rsid w:val="0051626C"/>
    <w:rsid w:val="00522A13"/>
    <w:rsid w:val="005376B4"/>
    <w:rsid w:val="00542C24"/>
    <w:rsid w:val="00544BD7"/>
    <w:rsid w:val="00546EFA"/>
    <w:rsid w:val="005630FC"/>
    <w:rsid w:val="005641D0"/>
    <w:rsid w:val="00574DC5"/>
    <w:rsid w:val="00584AD2"/>
    <w:rsid w:val="0059125F"/>
    <w:rsid w:val="00597175"/>
    <w:rsid w:val="005A2869"/>
    <w:rsid w:val="005B0D36"/>
    <w:rsid w:val="005B39FD"/>
    <w:rsid w:val="005B6FE5"/>
    <w:rsid w:val="005C5A00"/>
    <w:rsid w:val="005D134D"/>
    <w:rsid w:val="005D2B33"/>
    <w:rsid w:val="005E61F3"/>
    <w:rsid w:val="005F3DE8"/>
    <w:rsid w:val="00610112"/>
    <w:rsid w:val="00622037"/>
    <w:rsid w:val="00633AC9"/>
    <w:rsid w:val="00641EAD"/>
    <w:rsid w:val="00645AE4"/>
    <w:rsid w:val="0066057A"/>
    <w:rsid w:val="006646BC"/>
    <w:rsid w:val="00675F86"/>
    <w:rsid w:val="006803DF"/>
    <w:rsid w:val="00682117"/>
    <w:rsid w:val="00687474"/>
    <w:rsid w:val="006968AB"/>
    <w:rsid w:val="006A49BA"/>
    <w:rsid w:val="006C2A59"/>
    <w:rsid w:val="006C7CBB"/>
    <w:rsid w:val="006D0153"/>
    <w:rsid w:val="006D4B33"/>
    <w:rsid w:val="006F255C"/>
    <w:rsid w:val="00705D0F"/>
    <w:rsid w:val="00736D96"/>
    <w:rsid w:val="00752051"/>
    <w:rsid w:val="00775A55"/>
    <w:rsid w:val="00777F15"/>
    <w:rsid w:val="007870E2"/>
    <w:rsid w:val="00794C63"/>
    <w:rsid w:val="007A7A21"/>
    <w:rsid w:val="007B1E54"/>
    <w:rsid w:val="007C09C0"/>
    <w:rsid w:val="007C68B0"/>
    <w:rsid w:val="007D5349"/>
    <w:rsid w:val="007E00D7"/>
    <w:rsid w:val="007E0A30"/>
    <w:rsid w:val="007F12FF"/>
    <w:rsid w:val="0080572A"/>
    <w:rsid w:val="0080758F"/>
    <w:rsid w:val="00812935"/>
    <w:rsid w:val="00825DC2"/>
    <w:rsid w:val="00842A6C"/>
    <w:rsid w:val="00843688"/>
    <w:rsid w:val="0085389B"/>
    <w:rsid w:val="00856FB1"/>
    <w:rsid w:val="00861ABE"/>
    <w:rsid w:val="008629E6"/>
    <w:rsid w:val="008766A9"/>
    <w:rsid w:val="008806B6"/>
    <w:rsid w:val="008A1456"/>
    <w:rsid w:val="008A1C11"/>
    <w:rsid w:val="008B4E4F"/>
    <w:rsid w:val="008D6FD8"/>
    <w:rsid w:val="008E1386"/>
    <w:rsid w:val="008F3618"/>
    <w:rsid w:val="009205CF"/>
    <w:rsid w:val="0092123B"/>
    <w:rsid w:val="00923DE0"/>
    <w:rsid w:val="009254F9"/>
    <w:rsid w:val="009441AF"/>
    <w:rsid w:val="00982CCA"/>
    <w:rsid w:val="00986069"/>
    <w:rsid w:val="00997199"/>
    <w:rsid w:val="009A229C"/>
    <w:rsid w:val="009A40D1"/>
    <w:rsid w:val="009B46CD"/>
    <w:rsid w:val="009D00B0"/>
    <w:rsid w:val="009D3DFA"/>
    <w:rsid w:val="009E4D7E"/>
    <w:rsid w:val="00A16578"/>
    <w:rsid w:val="00A230D7"/>
    <w:rsid w:val="00A254C1"/>
    <w:rsid w:val="00A362E4"/>
    <w:rsid w:val="00A45BFD"/>
    <w:rsid w:val="00A45FF5"/>
    <w:rsid w:val="00A50D29"/>
    <w:rsid w:val="00A55E0A"/>
    <w:rsid w:val="00A57E4A"/>
    <w:rsid w:val="00A60962"/>
    <w:rsid w:val="00A63DF6"/>
    <w:rsid w:val="00A71B45"/>
    <w:rsid w:val="00A72B06"/>
    <w:rsid w:val="00A8199D"/>
    <w:rsid w:val="00A8562E"/>
    <w:rsid w:val="00AC7AF1"/>
    <w:rsid w:val="00AC7FAF"/>
    <w:rsid w:val="00AE2685"/>
    <w:rsid w:val="00AF4244"/>
    <w:rsid w:val="00B10D5C"/>
    <w:rsid w:val="00B23D13"/>
    <w:rsid w:val="00B31944"/>
    <w:rsid w:val="00B408ED"/>
    <w:rsid w:val="00B42574"/>
    <w:rsid w:val="00B45A4A"/>
    <w:rsid w:val="00B51744"/>
    <w:rsid w:val="00B51CBF"/>
    <w:rsid w:val="00B565A1"/>
    <w:rsid w:val="00B65FEE"/>
    <w:rsid w:val="00B77D99"/>
    <w:rsid w:val="00B92F4E"/>
    <w:rsid w:val="00BA1017"/>
    <w:rsid w:val="00BA64C1"/>
    <w:rsid w:val="00BA6EDF"/>
    <w:rsid w:val="00BD3B2D"/>
    <w:rsid w:val="00BD7121"/>
    <w:rsid w:val="00BD7784"/>
    <w:rsid w:val="00C01B46"/>
    <w:rsid w:val="00C0261E"/>
    <w:rsid w:val="00C113DA"/>
    <w:rsid w:val="00C26DE1"/>
    <w:rsid w:val="00C36D16"/>
    <w:rsid w:val="00C40A97"/>
    <w:rsid w:val="00C519FC"/>
    <w:rsid w:val="00C53074"/>
    <w:rsid w:val="00C534B3"/>
    <w:rsid w:val="00C57DFF"/>
    <w:rsid w:val="00C63047"/>
    <w:rsid w:val="00C71DB9"/>
    <w:rsid w:val="00CA2277"/>
    <w:rsid w:val="00CA24FF"/>
    <w:rsid w:val="00CA5B0E"/>
    <w:rsid w:val="00CB3239"/>
    <w:rsid w:val="00CC3CE8"/>
    <w:rsid w:val="00CC55AB"/>
    <w:rsid w:val="00CE1A6D"/>
    <w:rsid w:val="00D14318"/>
    <w:rsid w:val="00D14CC5"/>
    <w:rsid w:val="00D33463"/>
    <w:rsid w:val="00D520D7"/>
    <w:rsid w:val="00D55FD2"/>
    <w:rsid w:val="00D65921"/>
    <w:rsid w:val="00D759B1"/>
    <w:rsid w:val="00D90C59"/>
    <w:rsid w:val="00D951BD"/>
    <w:rsid w:val="00D970D2"/>
    <w:rsid w:val="00DA25A2"/>
    <w:rsid w:val="00DA335F"/>
    <w:rsid w:val="00DA541A"/>
    <w:rsid w:val="00DB6AE0"/>
    <w:rsid w:val="00DD1E27"/>
    <w:rsid w:val="00DD454E"/>
    <w:rsid w:val="00DF3B75"/>
    <w:rsid w:val="00DF6C5B"/>
    <w:rsid w:val="00E069BB"/>
    <w:rsid w:val="00E07B6F"/>
    <w:rsid w:val="00E12830"/>
    <w:rsid w:val="00E241E3"/>
    <w:rsid w:val="00E37DE8"/>
    <w:rsid w:val="00E447A8"/>
    <w:rsid w:val="00E6310D"/>
    <w:rsid w:val="00E65C76"/>
    <w:rsid w:val="00E67AD7"/>
    <w:rsid w:val="00E81379"/>
    <w:rsid w:val="00E8191B"/>
    <w:rsid w:val="00EA057C"/>
    <w:rsid w:val="00EA1341"/>
    <w:rsid w:val="00ED33E5"/>
    <w:rsid w:val="00ED7375"/>
    <w:rsid w:val="00EE42AE"/>
    <w:rsid w:val="00EF6D18"/>
    <w:rsid w:val="00F002C2"/>
    <w:rsid w:val="00F15225"/>
    <w:rsid w:val="00F154D4"/>
    <w:rsid w:val="00F55519"/>
    <w:rsid w:val="00F73B82"/>
    <w:rsid w:val="00F77511"/>
    <w:rsid w:val="00F84125"/>
    <w:rsid w:val="00F86546"/>
    <w:rsid w:val="00FA1B6E"/>
    <w:rsid w:val="00FA2763"/>
    <w:rsid w:val="00FA31C2"/>
    <w:rsid w:val="00FD774B"/>
    <w:rsid w:val="00FD7FEB"/>
    <w:rsid w:val="00FE22FC"/>
    <w:rsid w:val="00FE3D86"/>
    <w:rsid w:val="00FE54DE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1AC0A4"/>
  <w15:chartTrackingRefBased/>
  <w15:docId w15:val="{6415578D-EF52-4A0E-B408-40759EB4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DB6AE0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DB6AE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B6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E0"/>
  </w:style>
  <w:style w:type="paragraph" w:styleId="Footer">
    <w:name w:val="footer"/>
    <w:basedOn w:val="Normal"/>
    <w:link w:val="FooterChar"/>
    <w:uiPriority w:val="99"/>
    <w:unhideWhenUsed/>
    <w:rsid w:val="00DB6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E0"/>
  </w:style>
  <w:style w:type="paragraph" w:customStyle="1" w:styleId="FooterCoverPage">
    <w:name w:val="Footer Cover Page"/>
    <w:basedOn w:val="Normal"/>
    <w:link w:val="FooterCoverPageChar"/>
    <w:rsid w:val="00DB6AE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DB6AE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DB6A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DB6AE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DB6AE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DB6AE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DB6A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DB6AE0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DB6AE0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DB6AE0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E07B6F"/>
    <w:pPr>
      <w:ind w:left="720"/>
      <w:contextualSpacing/>
    </w:pPr>
  </w:style>
  <w:style w:type="character" w:styleId="FootnoteReference">
    <w:name w:val="footnote reference"/>
    <w:aliases w:val="number,Footnote symbol,Voetnootverwijzing,Times 10 Point,Exposant 3 Point,Footnote reference number,note TESI,SUPERS,EN Footnote Reference,Ref,de nota al pie,Footnote Reference Superscript,Footnote sign,BVI fnr,stylish"/>
    <w:basedOn w:val="DefaultParagraphFont"/>
    <w:uiPriority w:val="99"/>
    <w:semiHidden/>
    <w:rsid w:val="00E07B6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B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B6F"/>
    <w:rPr>
      <w:sz w:val="20"/>
      <w:szCs w:val="20"/>
    </w:rPr>
  </w:style>
  <w:style w:type="paragraph" w:customStyle="1" w:styleId="Default">
    <w:name w:val="Default"/>
    <w:rsid w:val="00E0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B6F"/>
    <w:rPr>
      <w:color w:val="0000FF" w:themeColor="hyperlink"/>
      <w:u w:val="single"/>
    </w:rPr>
  </w:style>
  <w:style w:type="paragraph" w:customStyle="1" w:styleId="ti-art">
    <w:name w:val="ti-art"/>
    <w:basedOn w:val="Normal"/>
    <w:rsid w:val="00E07B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E07B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07B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7B6F"/>
  </w:style>
  <w:style w:type="character" w:styleId="Emphasis">
    <w:name w:val="Emphasis"/>
    <w:uiPriority w:val="20"/>
    <w:qFormat/>
    <w:rsid w:val="00E07B6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71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 1"/>
    <w:basedOn w:val="Default"/>
    <w:rsid w:val="00633AC9"/>
    <w:pPr>
      <w:spacing w:after="240"/>
      <w:jc w:val="both"/>
    </w:pPr>
  </w:style>
  <w:style w:type="paragraph" w:customStyle="1" w:styleId="typedudocument">
    <w:name w:val="type du document"/>
    <w:basedOn w:val="ListParagraph"/>
    <w:rsid w:val="00411DEB"/>
    <w:pPr>
      <w:ind w:left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Titreobject">
    <w:name w:val="Titre object"/>
    <w:basedOn w:val="ListParagraph"/>
    <w:rsid w:val="00411DEB"/>
    <w:pPr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reobjet">
    <w:name w:val="Titre objet"/>
    <w:basedOn w:val="Normal"/>
    <w:next w:val="Normal"/>
    <w:rsid w:val="0092123B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copre">
    <w:name w:val="acopre"/>
    <w:basedOn w:val="DefaultParagraphFont"/>
    <w:rsid w:val="00AF4244"/>
  </w:style>
  <w:style w:type="paragraph" w:styleId="Revision">
    <w:name w:val="Revision"/>
    <w:hidden/>
    <w:uiPriority w:val="99"/>
    <w:semiHidden/>
    <w:rsid w:val="00192599"/>
    <w:pPr>
      <w:spacing w:after="0" w:line="240" w:lineRule="auto"/>
    </w:pPr>
  </w:style>
  <w:style w:type="paragraph" w:customStyle="1" w:styleId="Text1">
    <w:name w:val="Text 1"/>
    <w:basedOn w:val="Normal"/>
    <w:rsid w:val="00C36D16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061"/>
    <w:rPr>
      <w:color w:val="605E5C"/>
      <w:shd w:val="clear" w:color="auto" w:fill="E1DFDD"/>
    </w:rPr>
  </w:style>
  <w:style w:type="paragraph" w:customStyle="1" w:styleId="pf0">
    <w:name w:val="pf0"/>
    <w:basedOn w:val="Normal"/>
    <w:uiPriority w:val="99"/>
    <w:semiHidden/>
    <w:rsid w:val="00675F8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IE"/>
    </w:rPr>
  </w:style>
  <w:style w:type="character" w:customStyle="1" w:styleId="cf01">
    <w:name w:val="cf01"/>
    <w:basedOn w:val="DefaultParagraphFont"/>
    <w:rsid w:val="00675F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75F86"/>
    <w:rPr>
      <w:rFonts w:ascii="Segoe UI" w:hAnsi="Segoe UI" w:cs="Segoe UI" w:hint="default"/>
      <w:i/>
      <w:iCs/>
      <w:sz w:val="18"/>
      <w:szCs w:val="18"/>
    </w:rPr>
  </w:style>
  <w:style w:type="character" w:customStyle="1" w:styleId="oj-super">
    <w:name w:val="oj-super"/>
    <w:basedOn w:val="DefaultParagraphFont"/>
    <w:rsid w:val="008A1C11"/>
  </w:style>
  <w:style w:type="character" w:customStyle="1" w:styleId="oj-italic">
    <w:name w:val="oj-italic"/>
    <w:basedOn w:val="DefaultParagraphFont"/>
    <w:rsid w:val="008A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F9388C-C64B-4328-A033-283D42CF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7</cp:revision>
  <dcterms:created xsi:type="dcterms:W3CDTF">2024-05-03T14:01:00Z</dcterms:created>
  <dcterms:modified xsi:type="dcterms:W3CDTF">2024-07-01T06:41:00Z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7.0, Build 20190717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2023-09-19T12:50:17Z</vt:lpwstr>
  </property>
  <property fmtid="{D5CDD505-2E9C-101B-9397-08002B2CF9AE}" pid="11" name="MSIP_Label_6bd9ddd1-4d20-43f6-abfa-fc3c07406f94_Method">
    <vt:lpwstr>Privileged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7248beed-2282-439a-a6b8-a9a973c0220c</vt:lpwstr>
  </property>
  <property fmtid="{D5CDD505-2E9C-101B-9397-08002B2CF9AE}" pid="15" name="MSIP_Label_6bd9ddd1-4d20-43f6-abfa-fc3c07406f94_ContentBits">
    <vt:lpwstr>0</vt:lpwstr>
  </property>
</Properties>
</file>