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FB8BE" w14:textId="12E655CD" w:rsidR="00F17AAE" w:rsidRPr="00CB12C0" w:rsidRDefault="00A51D5F" w:rsidP="00A51D5F">
      <w:pPr>
        <w:pStyle w:val="Pagedecouverture"/>
        <w:rPr>
          <w:noProof/>
        </w:rPr>
      </w:pPr>
      <w:bookmarkStart w:id="0" w:name="LW_BM_COVERPAGE"/>
      <w:r>
        <w:rPr>
          <w:noProof/>
        </w:rPr>
        <w:pict w14:anchorId="79A6A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BAA96D61-DF50-4966-BBD1-B27793FFB6EB" style="width:455.25pt;height:296.25pt">
            <v:imagedata r:id="rId11" o:title=""/>
          </v:shape>
        </w:pict>
      </w:r>
    </w:p>
    <w:bookmarkEnd w:id="0"/>
    <w:p w14:paraId="7C0F52A5" w14:textId="77777777" w:rsidR="00F17AAE" w:rsidRPr="00CB12C0" w:rsidRDefault="00F17AAE" w:rsidP="00CB12C0">
      <w:pPr>
        <w:rPr>
          <w:noProof/>
          <w:lang w:val="en-IE"/>
        </w:rPr>
        <w:sectPr w:rsidR="00F17AAE" w:rsidRPr="00CB12C0" w:rsidSect="00A51D5F">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51F2665A" w14:textId="19FEDF62" w:rsidR="005D3D4B" w:rsidRDefault="005D3D4B" w:rsidP="00CB12C0">
      <w:pPr>
        <w:jc w:val="center"/>
        <w:rPr>
          <w:rFonts w:ascii="Times New Roman" w:hAnsi="Times New Roman"/>
          <w:b/>
          <w:smallCaps/>
          <w:noProof/>
          <w:sz w:val="24"/>
        </w:rPr>
      </w:pPr>
      <w:bookmarkStart w:id="1" w:name="_GoBack"/>
      <w:bookmarkEnd w:id="1"/>
      <w:r>
        <w:rPr>
          <w:rFonts w:ascii="Times New Roman" w:hAnsi="Times New Roman"/>
          <w:b/>
          <w:smallCaps/>
          <w:noProof/>
          <w:sz w:val="24"/>
        </w:rPr>
        <w:lastRenderedPageBreak/>
        <w:t>Rapport sur le suivi des demandes adressées par le Parlement européen dans ses résolutions sur la décharge et par le Conseil dans sa recommandation sur la décharge pour l’exercice 2022</w:t>
      </w:r>
    </w:p>
    <w:p w14:paraId="7F1FD670" w14:textId="77777777" w:rsidR="005D3D4B" w:rsidRPr="00FC4137" w:rsidRDefault="005D3D4B" w:rsidP="00CB12C0">
      <w:pPr>
        <w:jc w:val="center"/>
        <w:rPr>
          <w:rFonts w:ascii="Times New Roman" w:hAnsi="Times New Roman"/>
          <w:b/>
          <w:smallCaps/>
          <w:noProof/>
          <w:sz w:val="24"/>
          <w:lang w:val="fr-BE"/>
        </w:rPr>
      </w:pPr>
    </w:p>
    <w:p w14:paraId="21FCED4B" w14:textId="77777777" w:rsidR="00F204F0" w:rsidRPr="003C16B9" w:rsidRDefault="00F204F0" w:rsidP="00F204F0">
      <w:pPr>
        <w:pStyle w:val="ListParagraph"/>
        <w:numPr>
          <w:ilvl w:val="0"/>
          <w:numId w:val="20"/>
        </w:numPr>
        <w:spacing w:before="120" w:after="120"/>
        <w:ind w:left="357" w:hanging="357"/>
        <w:contextualSpacing w:val="0"/>
        <w:jc w:val="both"/>
        <w:rPr>
          <w:rFonts w:ascii="Times New Roman" w:hAnsi="Times New Roman" w:cs="Times New Roman"/>
          <w:b/>
          <w:bCs/>
          <w:noProof/>
          <w:sz w:val="24"/>
          <w:szCs w:val="24"/>
        </w:rPr>
      </w:pPr>
      <w:r>
        <w:rPr>
          <w:rFonts w:ascii="Times New Roman" w:hAnsi="Times New Roman"/>
          <w:b/>
          <w:noProof/>
          <w:sz w:val="24"/>
        </w:rPr>
        <w:t>Introduction</w:t>
      </w:r>
    </w:p>
    <w:p w14:paraId="7F282764" w14:textId="28FC497D"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 xml:space="preserve">Le 11 avril 2024, le Parlement européen a décidé, en tenant compte d’une recommandation du Conseil, de </w:t>
      </w:r>
      <w:r>
        <w:rPr>
          <w:rFonts w:ascii="Times New Roman" w:hAnsi="Times New Roman"/>
          <w:b/>
          <w:noProof/>
          <w:sz w:val="24"/>
        </w:rPr>
        <w:t>donner décharge à la Commission pour son exécution du budget de l’Union en 2022</w:t>
      </w:r>
      <w:r>
        <w:rPr>
          <w:rFonts w:ascii="Times New Roman" w:hAnsi="Times New Roman"/>
          <w:noProof/>
          <w:sz w:val="24"/>
        </w:rPr>
        <w:t xml:space="preserve">. Cette décision concernant la décharge était la dernière de la législature 2019-2024. </w:t>
      </w:r>
    </w:p>
    <w:p w14:paraId="427C1CAB" w14:textId="77777777"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Au cours des cinq dernières années, l’Union européenne a accompli des progrès significatifs dans l’exécution de son budget:</w:t>
      </w:r>
    </w:p>
    <w:p w14:paraId="2E6490FB" w14:textId="20763B97" w:rsidR="00F204F0" w:rsidRPr="003C16B9" w:rsidRDefault="00F204F0" w:rsidP="00F204F0">
      <w:pPr>
        <w:pStyle w:val="ListParagraph"/>
        <w:numPr>
          <w:ilvl w:val="0"/>
          <w:numId w:val="18"/>
        </w:numPr>
        <w:spacing w:before="120" w:after="120"/>
        <w:contextualSpacing w:val="0"/>
        <w:jc w:val="both"/>
        <w:rPr>
          <w:rFonts w:ascii="Times New Roman" w:hAnsi="Times New Roman" w:cs="Times New Roman"/>
          <w:noProof/>
          <w:sz w:val="24"/>
          <w:szCs w:val="24"/>
        </w:rPr>
      </w:pPr>
      <w:r>
        <w:rPr>
          <w:rFonts w:ascii="Times New Roman" w:hAnsi="Times New Roman"/>
          <w:noProof/>
          <w:sz w:val="24"/>
        </w:rPr>
        <w:t xml:space="preserve">le budget de l’UE a été utilisé comme </w:t>
      </w:r>
      <w:r>
        <w:rPr>
          <w:rFonts w:ascii="Times New Roman" w:hAnsi="Times New Roman"/>
          <w:b/>
          <w:noProof/>
          <w:sz w:val="24"/>
        </w:rPr>
        <w:t>instrument pour faire face aux crises</w:t>
      </w:r>
      <w:r>
        <w:rPr>
          <w:rFonts w:ascii="Times New Roman" w:hAnsi="Times New Roman"/>
          <w:noProof/>
          <w:sz w:val="24"/>
        </w:rPr>
        <w:t xml:space="preserve">, notamment grâce à la flexibilité et aux réaffectations introduites dans le cadre du financement de la politique de cohésion, tant pendant la pandémie de COVID-19 que pendant la guerre d’agression menée par la Russie contre l’Ukraine; </w:t>
      </w:r>
    </w:p>
    <w:p w14:paraId="631AC440" w14:textId="77777777" w:rsidR="00F204F0" w:rsidRPr="003C16B9" w:rsidRDefault="00F204F0" w:rsidP="00F204F0">
      <w:pPr>
        <w:pStyle w:val="ListParagraph"/>
        <w:numPr>
          <w:ilvl w:val="0"/>
          <w:numId w:val="18"/>
        </w:numPr>
        <w:spacing w:before="120" w:after="120"/>
        <w:contextualSpacing w:val="0"/>
        <w:jc w:val="both"/>
        <w:rPr>
          <w:rFonts w:ascii="Times New Roman" w:hAnsi="Times New Roman" w:cs="Times New Roman"/>
          <w:noProof/>
          <w:sz w:val="24"/>
          <w:szCs w:val="24"/>
        </w:rPr>
      </w:pPr>
      <w:r>
        <w:rPr>
          <w:rFonts w:ascii="Times New Roman" w:hAnsi="Times New Roman"/>
          <w:noProof/>
          <w:sz w:val="24"/>
        </w:rPr>
        <w:t xml:space="preserve">le budget de l’UE a également été renforcé par un nouvel instrument, la </w:t>
      </w:r>
      <w:r>
        <w:rPr>
          <w:rFonts w:ascii="Times New Roman" w:hAnsi="Times New Roman"/>
          <w:b/>
          <w:noProof/>
          <w:sz w:val="24"/>
        </w:rPr>
        <w:t>facilité pour la reprise et la résilience (FRR)</w:t>
      </w:r>
      <w:r>
        <w:rPr>
          <w:rFonts w:ascii="Times New Roman" w:hAnsi="Times New Roman"/>
          <w:noProof/>
          <w:sz w:val="24"/>
        </w:rPr>
        <w:t xml:space="preserve">, doté d’un nouveau modèle de mise en œuvre qui place la performance au centre des dépenses budgétaires. La FRR est financée par des emprunts de l’UE d’une ampleur sans précédent; </w:t>
      </w:r>
    </w:p>
    <w:p w14:paraId="14E7A7A4" w14:textId="53A75D9E" w:rsidR="00F204F0" w:rsidRPr="003C16B9" w:rsidRDefault="00F204F0" w:rsidP="00F204F0">
      <w:pPr>
        <w:pStyle w:val="ListParagraph"/>
        <w:numPr>
          <w:ilvl w:val="0"/>
          <w:numId w:val="18"/>
        </w:numPr>
        <w:spacing w:before="120" w:after="12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en décembre 2023, les colégislateurs sont parvenus à un accord stratégique sur la </w:t>
      </w:r>
      <w:r>
        <w:rPr>
          <w:rFonts w:ascii="Times New Roman" w:hAnsi="Times New Roman"/>
          <w:b/>
          <w:noProof/>
          <w:sz w:val="24"/>
        </w:rPr>
        <w:t>refonte du règlement financier</w:t>
      </w:r>
      <w:r>
        <w:rPr>
          <w:rFonts w:ascii="Times New Roman" w:hAnsi="Times New Roman"/>
          <w:noProof/>
          <w:sz w:val="24"/>
        </w:rPr>
        <w:t xml:space="preserve"> sur la base d’une proposition de la Commission. Le texte révisé donnera lieu à: i) davantage de transparence en ce qui concerne les bénéficiaires des fonds de l’UE (au moyen d’un site web centralisé de la Commission); ii) une extension du </w:t>
      </w:r>
      <w:hyperlink r:id="rId18" w:anchor=":~:text=The%20purpose%20of%20the%20EDES,%2C%20bodies%2C%20offices%20or%20agencies." w:tgtFrame="_blank" w:history="1">
        <w:r>
          <w:rPr>
            <w:rStyle w:val="Hyperlink"/>
            <w:rFonts w:ascii="Times New Roman" w:hAnsi="Times New Roman"/>
            <w:noProof/>
            <w:sz w:val="24"/>
          </w:rPr>
          <w:t>système de détection rapide et d’exclusion</w:t>
        </w:r>
      </w:hyperlink>
      <w:r>
        <w:rPr>
          <w:rFonts w:ascii="Times New Roman" w:hAnsi="Times New Roman"/>
          <w:noProof/>
          <w:sz w:val="24"/>
        </w:rPr>
        <w:t xml:space="preserve"> aux fonds en gestion partagée afin de mieux protéger le budget de l’Union contre la fraude et les irrégularités; iii) des règles plus précises en matière de conflits d’intérêts; et iv) des moyens supplémentaires visant à empêcher le versement de fonds de l’UE à des personnes ou à des entités qui ne respectent pas les valeurs de l’UE;</w:t>
      </w:r>
    </w:p>
    <w:p w14:paraId="1616F0A2" w14:textId="27268DC4" w:rsidR="00F204F0" w:rsidRPr="003C16B9" w:rsidRDefault="00F204F0" w:rsidP="00F204F0">
      <w:pPr>
        <w:pStyle w:val="ListParagraph"/>
        <w:numPr>
          <w:ilvl w:val="0"/>
          <w:numId w:val="18"/>
        </w:numPr>
        <w:spacing w:before="120" w:after="120"/>
        <w:ind w:left="714" w:hanging="357"/>
        <w:contextualSpacing w:val="0"/>
        <w:jc w:val="both"/>
        <w:rPr>
          <w:rFonts w:ascii="Times New Roman" w:hAnsi="Times New Roman" w:cs="Times New Roman"/>
          <w:noProof/>
          <w:sz w:val="24"/>
          <w:szCs w:val="24"/>
        </w:rPr>
      </w:pPr>
      <w:bookmarkStart w:id="2" w:name="_Hlk168670927"/>
      <w:r>
        <w:rPr>
          <w:rFonts w:ascii="Times New Roman" w:hAnsi="Times New Roman"/>
          <w:noProof/>
          <w:sz w:val="24"/>
        </w:rPr>
        <w:t xml:space="preserve">l’UE a considérablement renforcé sa panoplie d’instruments visant à </w:t>
      </w:r>
      <w:r>
        <w:rPr>
          <w:rFonts w:ascii="Times New Roman" w:hAnsi="Times New Roman"/>
          <w:b/>
          <w:noProof/>
          <w:sz w:val="24"/>
        </w:rPr>
        <w:t>protéger le budget de l’Union contre les fraudeurs</w:t>
      </w:r>
      <w:r>
        <w:rPr>
          <w:rFonts w:ascii="Times New Roman" w:hAnsi="Times New Roman"/>
          <w:noProof/>
          <w:sz w:val="24"/>
        </w:rPr>
        <w:t xml:space="preserve">, notamment par les moyens suivants: i) la création du Parquet européen qui est opérationnel depuis juin 2021; ii) l’adoption d’une stratégie antifraude de la Commission en 2019 et sa mise en œuvre tout au long de la législature; iii) un </w:t>
      </w:r>
      <w:bookmarkStart w:id="3" w:name="_Hlk168671073"/>
      <w:r>
        <w:rPr>
          <w:rFonts w:ascii="Times New Roman" w:hAnsi="Times New Roman"/>
          <w:noProof/>
          <w:sz w:val="24"/>
        </w:rPr>
        <w:t xml:space="preserve">train de mesures anticorruption </w:t>
      </w:r>
      <w:bookmarkEnd w:id="3"/>
      <w:r>
        <w:rPr>
          <w:rFonts w:ascii="Times New Roman" w:hAnsi="Times New Roman"/>
          <w:noProof/>
          <w:sz w:val="24"/>
        </w:rPr>
        <w:t>comprenant une proposition de directive de la Commission visant à lutter contre la corruption</w:t>
      </w:r>
      <w:r w:rsidR="000F406B">
        <w:rPr>
          <w:rStyle w:val="FootnoteReference"/>
          <w:rFonts w:ascii="Times New Roman" w:hAnsi="Times New Roman" w:cs="Times New Roman"/>
          <w:noProof/>
          <w:sz w:val="24"/>
          <w:szCs w:val="24"/>
        </w:rPr>
        <w:footnoteReference w:id="2"/>
      </w:r>
      <w:r>
        <w:rPr>
          <w:rFonts w:ascii="Times New Roman" w:hAnsi="Times New Roman"/>
          <w:noProof/>
          <w:sz w:val="24"/>
        </w:rPr>
        <w:t xml:space="preserve"> au moyen du droit pénal ainsi qu’une communication conjointe</w:t>
      </w:r>
      <w:r w:rsidR="005B3A81">
        <w:rPr>
          <w:rStyle w:val="FootnoteReference"/>
          <w:rFonts w:ascii="Times New Roman" w:hAnsi="Times New Roman" w:cs="Times New Roman"/>
          <w:noProof/>
          <w:sz w:val="24"/>
          <w:szCs w:val="24"/>
        </w:rPr>
        <w:footnoteReference w:id="3"/>
      </w:r>
      <w:r>
        <w:rPr>
          <w:rFonts w:ascii="Times New Roman" w:hAnsi="Times New Roman"/>
          <w:noProof/>
          <w:sz w:val="24"/>
        </w:rPr>
        <w:t xml:space="preserve"> proposant un régime de sanctions contre les actes graves de corruption commis en dehors de l’UE; ou iv) l’accord récent sur la directive et le règlement relatifs à la lutte contre le blanchiment de capitaux; </w:t>
      </w:r>
    </w:p>
    <w:bookmarkEnd w:id="2"/>
    <w:p w14:paraId="091A3738" w14:textId="72D07224" w:rsidR="00F204F0" w:rsidRPr="003C16B9" w:rsidRDefault="00F204F0" w:rsidP="00F204F0">
      <w:pPr>
        <w:pStyle w:val="ListParagraph"/>
        <w:numPr>
          <w:ilvl w:val="0"/>
          <w:numId w:val="18"/>
        </w:numPr>
        <w:spacing w:before="120" w:after="12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l’UE s’est équipée pour </w:t>
      </w:r>
      <w:r>
        <w:rPr>
          <w:rFonts w:ascii="Times New Roman" w:hAnsi="Times New Roman"/>
          <w:b/>
          <w:noProof/>
          <w:sz w:val="24"/>
        </w:rPr>
        <w:t>protéger le budget de l’Union contre les violations des principes de l’état de droit</w:t>
      </w:r>
      <w:r>
        <w:rPr>
          <w:rFonts w:ascii="Times New Roman" w:hAnsi="Times New Roman"/>
          <w:noProof/>
          <w:sz w:val="24"/>
        </w:rPr>
        <w:t>. L’évolution la plus notable de cette législature dans ce domaine est l’entrée en vigueur du règlement sur la conditionnalité</w:t>
      </w:r>
      <w:r w:rsidR="00D44A45">
        <w:rPr>
          <w:rStyle w:val="FootnoteReference"/>
          <w:rFonts w:ascii="Times New Roman" w:hAnsi="Times New Roman" w:cs="Times New Roman"/>
          <w:noProof/>
          <w:sz w:val="24"/>
          <w:szCs w:val="24"/>
        </w:rPr>
        <w:footnoteReference w:id="4"/>
      </w:r>
      <w:r>
        <w:rPr>
          <w:rFonts w:ascii="Times New Roman" w:hAnsi="Times New Roman"/>
          <w:noProof/>
          <w:sz w:val="24"/>
        </w:rPr>
        <w:t xml:space="preserve"> en janvier 2021 et son application depuis lors;</w:t>
      </w:r>
    </w:p>
    <w:p w14:paraId="4DC513F1" w14:textId="2CED84DB" w:rsidR="00F204F0" w:rsidRPr="003C16B9" w:rsidRDefault="00F204F0" w:rsidP="00F204F0">
      <w:pPr>
        <w:pStyle w:val="ListParagraph"/>
        <w:numPr>
          <w:ilvl w:val="0"/>
          <w:numId w:val="18"/>
        </w:numPr>
        <w:spacing w:before="120" w:after="12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la </w:t>
      </w:r>
      <w:r>
        <w:rPr>
          <w:rFonts w:ascii="Times New Roman" w:hAnsi="Times New Roman"/>
          <w:b/>
          <w:noProof/>
          <w:sz w:val="24"/>
        </w:rPr>
        <w:t xml:space="preserve">Commission a également amélioré de manière significative le suivi et les rapports relatifs aux réalisations de son budget. </w:t>
      </w:r>
      <w:r>
        <w:rPr>
          <w:rFonts w:ascii="Times New Roman" w:hAnsi="Times New Roman"/>
          <w:noProof/>
          <w:sz w:val="24"/>
        </w:rPr>
        <w:t xml:space="preserve">Le Parlement, le Conseil et la Commission se sont engagés à consacrer au moins 30 % de l’ensemble des fonds disponibles au titre du cadre financier pluriannuel (CFP) 2021-2027 et de NextGenerationEU à la lutte contre le changement climatique, et la Commission a mis en place une méthode de suivi solide afin de veiller à ce que l’Union respecte son engagement. </w:t>
      </w:r>
    </w:p>
    <w:p w14:paraId="1C9AF206" w14:textId="66AA6061"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Ces évolutions positives sont le reflet de la coopération constante et constructive entre le Parlement européen, le Conseil et la Commission ainsi qu'avec la Cour des comptes européenne (CCE).</w:t>
      </w:r>
    </w:p>
    <w:p w14:paraId="7F43921D" w14:textId="5F1FBC90" w:rsidR="00F204F0" w:rsidRPr="003C16B9" w:rsidDel="00B27FA5"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Le présent rapport sur le suivi de la procédure de décharge 2022 fait partie des rapports financiers et sur la responsabilité intégrés et résume les mesures prises par la Commission en réponse aux: i) demandes formulées par le Parlement européen dans la section «Priorités politiques» de sa résolution sur la décharge</w:t>
      </w:r>
      <w:r w:rsidRPr="003C16B9" w:rsidDel="00B27FA5">
        <w:rPr>
          <w:rStyle w:val="FootnoteReference"/>
          <w:rFonts w:ascii="Times New Roman" w:hAnsi="Times New Roman" w:cs="Times New Roman"/>
          <w:noProof/>
          <w:sz w:val="24"/>
          <w:szCs w:val="24"/>
        </w:rPr>
        <w:footnoteReference w:id="5"/>
      </w:r>
      <w:r>
        <w:rPr>
          <w:rFonts w:ascii="Times New Roman" w:hAnsi="Times New Roman"/>
          <w:noProof/>
          <w:sz w:val="24"/>
        </w:rPr>
        <w:t>; et ii) aux principales demandes formulées par le Conseil dans sa recommandation sur la décharge</w:t>
      </w:r>
      <w:r w:rsidRPr="003C16B9" w:rsidDel="00B27FA5">
        <w:rPr>
          <w:rStyle w:val="FootnoteReference"/>
          <w:rFonts w:ascii="Times New Roman" w:hAnsi="Times New Roman" w:cs="Times New Roman"/>
          <w:noProof/>
          <w:sz w:val="24"/>
          <w:szCs w:val="24"/>
        </w:rPr>
        <w:footnoteReference w:id="6"/>
      </w:r>
      <w:r>
        <w:rPr>
          <w:rFonts w:ascii="Times New Roman" w:hAnsi="Times New Roman"/>
          <w:noProof/>
          <w:sz w:val="24"/>
        </w:rPr>
        <w:t>. La Commission présentera des informations plus détaillées et actualisées en réponse à l’ensemble des recommandations spécifiques lorsque la procédure de décharge 2023 débutera dans le courant de l’année.</w:t>
      </w:r>
    </w:p>
    <w:p w14:paraId="5E495CBE" w14:textId="77777777" w:rsidR="00F204F0" w:rsidRPr="003C16B9" w:rsidRDefault="00F204F0" w:rsidP="00F204F0">
      <w:pPr>
        <w:pStyle w:val="ListParagraph"/>
        <w:numPr>
          <w:ilvl w:val="0"/>
          <w:numId w:val="20"/>
        </w:numPr>
        <w:spacing w:before="120" w:after="120"/>
        <w:ind w:left="357" w:hanging="357"/>
        <w:contextualSpacing w:val="0"/>
        <w:jc w:val="both"/>
        <w:rPr>
          <w:rFonts w:ascii="Times New Roman" w:hAnsi="Times New Roman" w:cs="Times New Roman"/>
          <w:b/>
          <w:bCs/>
          <w:noProof/>
          <w:sz w:val="24"/>
          <w:szCs w:val="24"/>
        </w:rPr>
      </w:pPr>
      <w:bookmarkStart w:id="4" w:name="_Hlk167270035"/>
      <w:r>
        <w:rPr>
          <w:rFonts w:ascii="Times New Roman" w:hAnsi="Times New Roman"/>
          <w:b/>
          <w:noProof/>
          <w:sz w:val="24"/>
        </w:rPr>
        <w:t>Suivi de l’utilisation des fonds de l’UE</w:t>
      </w:r>
    </w:p>
    <w:bookmarkEnd w:id="4"/>
    <w:p w14:paraId="3F77C8C1" w14:textId="77777777"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La Commission attache la plus haute importance — et consacre des ressources importantes — au suivi de l’utilisation des fonds de l’UE, en coopération avec les autorités nationales et les partenaires chargés de la mise en œuvre.</w:t>
      </w:r>
    </w:p>
    <w:p w14:paraId="715D64E2" w14:textId="6C3F74C7" w:rsidR="00F204F0" w:rsidRPr="003C16B9" w:rsidRDefault="00F204F0" w:rsidP="00F204F0">
      <w:pPr>
        <w:pStyle w:val="ListParagraph"/>
        <w:numPr>
          <w:ilvl w:val="1"/>
          <w:numId w:val="20"/>
        </w:numPr>
        <w:spacing w:before="120" w:after="120"/>
        <w:ind w:left="714" w:hanging="357"/>
        <w:contextualSpacing w:val="0"/>
        <w:jc w:val="both"/>
        <w:rPr>
          <w:rFonts w:ascii="Times New Roman" w:hAnsi="Times New Roman" w:cs="Times New Roman"/>
          <w:b/>
          <w:bCs/>
          <w:noProof/>
          <w:sz w:val="24"/>
          <w:szCs w:val="24"/>
        </w:rPr>
      </w:pPr>
      <w:r>
        <w:rPr>
          <w:rFonts w:ascii="Times New Roman" w:hAnsi="Times New Roman"/>
          <w:b/>
          <w:noProof/>
          <w:sz w:val="24"/>
        </w:rPr>
        <w:t>Dépenses conformes aux valeurs de l’UE, notamment l’état de droit</w:t>
      </w:r>
    </w:p>
    <w:p w14:paraId="26F42AF6" w14:textId="1BA1BD19"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La Commission souscrit à l’appel du Parlement lui demandant «de tirer pleinement parti des outils à sa disposition pour parer au risque clair de violation grave des valeurs de l’Union et d’invoquer rapidement le règlement relatif à la conditionnalité lorsque des violations de l’état de droit risquent d’avoir une incidence sur les intérêts financiers de l’Union»</w:t>
      </w:r>
      <w:r w:rsidRPr="003C16B9">
        <w:rPr>
          <w:rStyle w:val="FootnoteReference"/>
          <w:rFonts w:ascii="Times New Roman" w:hAnsi="Times New Roman" w:cs="Times New Roman"/>
          <w:noProof/>
          <w:sz w:val="24"/>
          <w:szCs w:val="24"/>
        </w:rPr>
        <w:footnoteReference w:id="7"/>
      </w:r>
      <w:r>
        <w:rPr>
          <w:rFonts w:ascii="Times New Roman" w:hAnsi="Times New Roman"/>
          <w:noProof/>
          <w:sz w:val="24"/>
        </w:rPr>
        <w:t>, notamment en surveillant la situation dans tous les États membres, de détecter le plus tôt possible les violations des principes de l’état de droit relevant du champ d’application du règlement, et elle continuera de le faire. Le 12 janvier 2024, la Commission a publié un rapport sur l’application du règlement sur la conditionnalité</w:t>
      </w:r>
      <w:r w:rsidRPr="00047872">
        <w:rPr>
          <w:rStyle w:val="FootnoteReference"/>
          <w:rFonts w:ascii="Times New Roman" w:eastAsia="Times New Roman" w:hAnsi="Times New Roman" w:cs="Times New Roman"/>
          <w:noProof/>
          <w:sz w:val="24"/>
          <w:szCs w:val="24"/>
          <w:lang w:val="en-IE"/>
        </w:rPr>
        <w:footnoteReference w:id="8"/>
      </w:r>
      <w:r>
        <w:rPr>
          <w:rFonts w:ascii="Times New Roman" w:hAnsi="Times New Roman"/>
          <w:noProof/>
          <w:sz w:val="24"/>
        </w:rPr>
        <w:t xml:space="preserve">. </w:t>
      </w:r>
    </w:p>
    <w:p w14:paraId="0020F8C3" w14:textId="77777777"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Jusqu’à présent, la seule procédure engagée au titre du règlement sur la conditionnalité concerne la Hongrie. Le 13 décembre 2023, la Commission a réévalué la situation de la Hongrie et a constaté qu’elle n’avait pas adopté de nouvelles mesures correctives qui permettraient de remédier de manière adéquate aux problèmes en suspens. Le risque pour le budget de l’Union est donc demeuré inchangé depuis que le Conseil a arrêté des mesures de protection du budget de l’Union en décembre 2022. En conséquence, la Commission a conclu qu’il convenait de maintenir les mesures du Conseil. La réévaluation de la Commission énumère toutes les questions pour lesquelles des mesures correctives restent nécessaires, y compris les améliorations liées au mandat de l’Autorité hongroise pour l’intégrité et à la situation des fiducies d’intérêt public.</w:t>
      </w:r>
    </w:p>
    <w:p w14:paraId="0BF3F8B5" w14:textId="74BEDA6A" w:rsidR="00F204F0" w:rsidRPr="003C16B9" w:rsidRDefault="00F204F0" w:rsidP="00F204F0">
      <w:pPr>
        <w:spacing w:before="120" w:after="120"/>
        <w:jc w:val="both"/>
        <w:rPr>
          <w:rFonts w:ascii="Times New Roman" w:eastAsia="Times New Roman" w:hAnsi="Times New Roman" w:cs="Times New Roman"/>
          <w:b/>
          <w:bCs/>
          <w:noProof/>
          <w:sz w:val="24"/>
          <w:szCs w:val="24"/>
        </w:rPr>
      </w:pPr>
      <w:r>
        <w:rPr>
          <w:rFonts w:ascii="Times New Roman" w:hAnsi="Times New Roman"/>
          <w:noProof/>
          <w:sz w:val="24"/>
        </w:rPr>
        <w:t>La Commission prend note de l’observation formulée dans la résolution du Parlement sur la décharge qui demande instamment à la Commission «d’assurer une approche unitaire, globale et intégrée des différents fonds et instruments législatifs et de s’abstenir d’adopter une approche technocratique et contradictoire dans le cadre de divers instruments de financement»</w:t>
      </w:r>
      <w:r w:rsidR="00AD5F7E">
        <w:rPr>
          <w:rStyle w:val="FootnoteReference"/>
          <w:rFonts w:ascii="Times New Roman" w:eastAsia="Times New Roman" w:hAnsi="Times New Roman" w:cs="Times New Roman"/>
          <w:noProof/>
          <w:sz w:val="24"/>
          <w:szCs w:val="24"/>
        </w:rPr>
        <w:footnoteReference w:id="9"/>
      </w:r>
      <w:r>
        <w:rPr>
          <w:rFonts w:ascii="Times New Roman" w:hAnsi="Times New Roman"/>
          <w:noProof/>
          <w:sz w:val="24"/>
        </w:rPr>
        <w:t xml:space="preserve">. </w:t>
      </w:r>
    </w:p>
    <w:p w14:paraId="2998DD25" w14:textId="519294E3"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Trois des principaux instruments utilisés pour protéger le budget de l’Union contre les violations des principes de l’état de droit sont les suivants: i) le règlement relatif à la conditionnalité; ii) la condition favorisante horizontale relative à la charte des droits fondamentaux de l’Union européenne au titre du règlement portant dispositions communes</w:t>
      </w:r>
      <w:r w:rsidRPr="003C16B9">
        <w:rPr>
          <w:rStyle w:val="FootnoteReference"/>
          <w:rFonts w:ascii="Times New Roman" w:eastAsia="Times New Roman" w:hAnsi="Times New Roman" w:cs="Times New Roman"/>
          <w:noProof/>
          <w:sz w:val="24"/>
          <w:szCs w:val="24"/>
        </w:rPr>
        <w:footnoteReference w:id="10"/>
      </w:r>
      <w:r>
        <w:rPr>
          <w:rFonts w:ascii="Times New Roman" w:hAnsi="Times New Roman"/>
          <w:noProof/>
          <w:sz w:val="24"/>
        </w:rPr>
        <w:t xml:space="preserve">; et iii) les jalons et objectifs qui répondent aux enjeux liés à l’état de droit dans le cadre des plans nationaux pour la reprise et la résilience (PRR). </w:t>
      </w:r>
    </w:p>
    <w:p w14:paraId="6868AECB" w14:textId="0402771F" w:rsidR="00F204F0" w:rsidRPr="00E02B01" w:rsidRDefault="00F204F0" w:rsidP="00F204F0">
      <w:pPr>
        <w:spacing w:before="120" w:after="120"/>
        <w:jc w:val="both"/>
        <w:rPr>
          <w:rFonts w:ascii="Times New Roman" w:eastAsia="Times New Roman" w:hAnsi="Times New Roman" w:cs="Times New Roman"/>
          <w:b/>
          <w:bCs/>
          <w:noProof/>
          <w:sz w:val="24"/>
          <w:szCs w:val="24"/>
        </w:rPr>
      </w:pPr>
      <w:r>
        <w:rPr>
          <w:rFonts w:ascii="Times New Roman" w:hAnsi="Times New Roman"/>
          <w:noProof/>
          <w:sz w:val="24"/>
        </w:rPr>
        <w:t xml:space="preserve">Ces instruments se caractérisent par </w:t>
      </w:r>
      <w:r>
        <w:rPr>
          <w:rFonts w:ascii="Times New Roman" w:hAnsi="Times New Roman"/>
          <w:b/>
          <w:noProof/>
          <w:sz w:val="24"/>
        </w:rPr>
        <w:t>des objectifs, des champs d’application et des cadres juridiques différents</w:t>
      </w:r>
      <w:r>
        <w:rPr>
          <w:rFonts w:ascii="Times New Roman" w:hAnsi="Times New Roman"/>
          <w:noProof/>
          <w:sz w:val="24"/>
        </w:rPr>
        <w:t>, comme l’ont décidé les colégislateurs. Par exemple, la condition favorisante horizontale relative à la charte des droits fondamentaux de l’Union européenne</w:t>
      </w:r>
      <w:r w:rsidRPr="003C16B9">
        <w:rPr>
          <w:rStyle w:val="FootnoteReference"/>
          <w:rFonts w:ascii="Times New Roman" w:eastAsia="Times New Roman" w:hAnsi="Times New Roman" w:cs="Times New Roman"/>
          <w:b/>
          <w:bCs/>
          <w:noProof/>
          <w:sz w:val="24"/>
          <w:szCs w:val="24"/>
        </w:rPr>
        <w:footnoteReference w:id="11"/>
      </w:r>
      <w:r>
        <w:rPr>
          <w:rFonts w:ascii="Times New Roman" w:hAnsi="Times New Roman"/>
          <w:noProof/>
          <w:sz w:val="24"/>
        </w:rPr>
        <w:t xml:space="preserve"> ne s’applique qu’aux huit fonds de l’UE régis par le règlement portant dispositions communes. En outre, la condition relative à la charte ne protège pas le budget de l’Union contre les mêmes abus que le règlement sur la conditionnalité, même s’il existe des recoupements. Dans le même temps, le règlement sur la conditionnalité ne peut être utilisé que si la Commission estime que d’autres instruments ne protégeraient pas plus efficacement le budget de l’Union.</w:t>
      </w:r>
    </w:p>
    <w:p w14:paraId="130694F4" w14:textId="77777777" w:rsidR="00F204F0" w:rsidRPr="00E02B01" w:rsidRDefault="00F204F0" w:rsidP="00F204F0">
      <w:pPr>
        <w:spacing w:before="120" w:after="120"/>
        <w:jc w:val="both"/>
        <w:rPr>
          <w:rFonts w:ascii="Times New Roman" w:eastAsia="MS Mincho" w:hAnsi="Times New Roman" w:cs="Times New Roman"/>
          <w:noProof/>
          <w:sz w:val="24"/>
          <w:szCs w:val="24"/>
        </w:rPr>
      </w:pPr>
      <w:r>
        <w:rPr>
          <w:rFonts w:ascii="Times New Roman" w:hAnsi="Times New Roman"/>
          <w:noProof/>
          <w:sz w:val="24"/>
        </w:rPr>
        <w:t xml:space="preserve">Dans le cas de la Hongrie, en décembre 2023, la Commission a considéré que ce pays avait adopté les réformes judiciaires nécessaires lui permettant de conclure que la condition favorisante horizontale relative à la Charte dans le domaine de l’indépendance de la justice était remplie. Toutefois, la Hongrie ne respectait toujours pas d’autres domaines de la condition favorisante horizontale relative à la charte, en ce qui concerne la liberté académique, le droit d’asile et les droits de la communauté LGBTIQ. La Commission a également constaté que la Hongrie ne respectait toujours pas plusieurs conditions favorisantes thématiques. </w:t>
      </w:r>
    </w:p>
    <w:p w14:paraId="7E8CFF59" w14:textId="77777777"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En vertu du règlement relatif à la conditionnalité, comme indiqué ci-dessus, la Commission a conclu que les mesures du Conseil devaient être maintenues étant donné que la Hongrie n’avait pas remédié à tous les problèmes en suspens.</w:t>
      </w:r>
    </w:p>
    <w:p w14:paraId="022CE7B5" w14:textId="74BD43CC"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Enfin, dans son PRR, la Hongrie s’est engagée à respecter 27 «super jalons» afin d’assurer la protection des intérêts financiers de l’Union, ainsi qu’à renforcer l’indépendance de la justice. Ces 27 super jalons en comprennent 4 sur l’indépendance de la justice, qui correspondent aux mesures que la Commission a demandées à la Hongrie au titre des conditions favorisantes horizontales relatives à la charte, et 21 autres qui correspondent aux mesures correctives auxquelles la Hongrie s’est engagée dans le cadre de la procédure prévue par le règlement relatif à la conditionnalité. Les deux autres super jalons concernent des mesures visant à améliorer l’audit et le contrôle de la mise en œuvre du PRR. Aucune demande de paiement ne peut être satisfaite tant que les super jalons ne sont pas atteints.</w:t>
      </w:r>
    </w:p>
    <w:p w14:paraId="0FC1AD4D" w14:textId="1336612E"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 xml:space="preserve">La Commission continuera à appliquer scrupuleusement la panoplie d’outils dont elle dispose pour protéger le budget de l’Union contre les violations des principes de l’état de droit. Lors de la préparation du prochain budget à long terme de l’Union, la Commission tirera des enseignements de l’application de la panoplie d’outils actuelle. </w:t>
      </w:r>
    </w:p>
    <w:p w14:paraId="14220C57" w14:textId="77777777" w:rsidR="00F204F0" w:rsidRPr="003C16B9" w:rsidRDefault="00F204F0" w:rsidP="00F204F0">
      <w:pPr>
        <w:pStyle w:val="ListParagraph"/>
        <w:numPr>
          <w:ilvl w:val="1"/>
          <w:numId w:val="20"/>
        </w:numPr>
        <w:spacing w:before="120" w:after="120"/>
        <w:ind w:left="714" w:hanging="357"/>
        <w:contextualSpacing w:val="0"/>
        <w:jc w:val="both"/>
        <w:rPr>
          <w:rFonts w:ascii="Times New Roman" w:hAnsi="Times New Roman" w:cs="Times New Roman"/>
          <w:b/>
          <w:bCs/>
          <w:noProof/>
          <w:sz w:val="24"/>
          <w:szCs w:val="24"/>
        </w:rPr>
      </w:pPr>
      <w:r>
        <w:rPr>
          <w:rFonts w:ascii="Times New Roman" w:hAnsi="Times New Roman"/>
          <w:b/>
          <w:noProof/>
          <w:sz w:val="24"/>
        </w:rPr>
        <w:t>Protéger le budget contre les fraudeurs</w:t>
      </w:r>
    </w:p>
    <w:p w14:paraId="794013E8" w14:textId="668877E9" w:rsidR="00F204F0" w:rsidRPr="003C16B9" w:rsidRDefault="00F204F0" w:rsidP="00F204F0">
      <w:pPr>
        <w:spacing w:before="120" w:after="120"/>
        <w:jc w:val="both"/>
        <w:rPr>
          <w:rFonts w:ascii="Times New Roman" w:eastAsia="Times New Roman" w:hAnsi="Times New Roman" w:cs="Times New Roman"/>
          <w:noProof/>
          <w:color w:val="1E1E1F"/>
          <w:sz w:val="24"/>
          <w:szCs w:val="24"/>
        </w:rPr>
      </w:pPr>
      <w:r>
        <w:rPr>
          <w:rFonts w:ascii="Times New Roman" w:hAnsi="Times New Roman"/>
          <w:noProof/>
          <w:sz w:val="24"/>
        </w:rPr>
        <w:t>La Commission prend note que le Parlement préconise «</w:t>
      </w:r>
      <w:r>
        <w:rPr>
          <w:rFonts w:ascii="Times New Roman" w:hAnsi="Times New Roman"/>
          <w:noProof/>
          <w:color w:val="1E1E1F"/>
          <w:sz w:val="24"/>
        </w:rPr>
        <w:t>de renforcer encore davantage les moyens et la coopération de l’OLAF et du Parquet européen et demande que leurs compétences soient mieux définies»</w:t>
      </w:r>
      <w:r w:rsidRPr="003C16B9">
        <w:rPr>
          <w:rStyle w:val="FootnoteReference"/>
          <w:rFonts w:ascii="Times New Roman" w:eastAsia="Times New Roman" w:hAnsi="Times New Roman" w:cs="Times New Roman"/>
          <w:noProof/>
          <w:color w:val="1E1E1F"/>
          <w:sz w:val="24"/>
          <w:szCs w:val="24"/>
        </w:rPr>
        <w:footnoteReference w:id="12"/>
      </w:r>
      <w:r>
        <w:rPr>
          <w:rFonts w:ascii="Times New Roman" w:hAnsi="Times New Roman"/>
          <w:noProof/>
          <w:color w:val="1E1E1F"/>
          <w:sz w:val="24"/>
        </w:rPr>
        <w:t>.</w:t>
      </w:r>
    </w:p>
    <w:p w14:paraId="2A48B53A" w14:textId="23EE3E3E" w:rsidR="00F204F0" w:rsidRPr="003C16B9" w:rsidRDefault="00F204F0" w:rsidP="00F204F0">
      <w:pPr>
        <w:pStyle w:val="ListParagraph"/>
        <w:numPr>
          <w:ilvl w:val="0"/>
          <w:numId w:val="18"/>
        </w:numPr>
        <w:spacing w:before="120" w:after="120"/>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 xml:space="preserve">Capacités du Parquet européen et de l’Office européen de lutte antifraude (OLAF) </w:t>
      </w:r>
    </w:p>
    <w:p w14:paraId="425D34FB" w14:textId="42CA3335"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 xml:space="preserve">Malgré les contraintes budgétaires très strictes qui pèsent sur les rubriques «Résilience et valeurs» (pour le Parquet européen) et «Administration publique européenne» (pour l’OLAF), </w:t>
      </w:r>
      <w:r>
        <w:rPr>
          <w:rFonts w:ascii="Times New Roman" w:hAnsi="Times New Roman"/>
          <w:b/>
          <w:noProof/>
          <w:sz w:val="24"/>
        </w:rPr>
        <w:t>33 postes supplémentaires sont venus renforcer le Parquet européen en 2024</w:t>
      </w:r>
      <w:r>
        <w:rPr>
          <w:rFonts w:ascii="Times New Roman" w:hAnsi="Times New Roman"/>
          <w:noProof/>
          <w:sz w:val="24"/>
        </w:rPr>
        <w:t>, pour atteindre un total de 232 postes au Bureau central. Cela inclut les ressources que la Commission a proposées le 9 avril 2024 dans le projet de budget rectificatif nº 3/2024 afin de couvrir: i) la participation de la Pologne au Parquet européen; et ii) la participation attendue de la Suède dans les mois à venir. Le renforcement du Parquet européen par des postes supplémentaires tient compte de la forte augmentation des activités opérationnelles du Parquet européen depuis le lancement de ses activités en juin 2021, 1 927 enquêtes étant en cours fin 2023.</w:t>
      </w:r>
    </w:p>
    <w:p w14:paraId="0CC662E5" w14:textId="77777777"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 xml:space="preserve">En ce qui concerne l’OLAF, le budget 2024 prévoit le redéploiement de </w:t>
      </w:r>
      <w:r>
        <w:rPr>
          <w:rFonts w:ascii="Times New Roman" w:hAnsi="Times New Roman"/>
          <w:b/>
          <w:noProof/>
          <w:sz w:val="24"/>
        </w:rPr>
        <w:t>deux membres supplémentaires du personnel externe</w:t>
      </w:r>
      <w:r>
        <w:rPr>
          <w:rFonts w:ascii="Times New Roman" w:hAnsi="Times New Roman"/>
          <w:noProof/>
          <w:sz w:val="24"/>
        </w:rPr>
        <w:t xml:space="preserve"> à partir d’autres services de la Commission afin de suivre les flux financiers à destination de l’Ukraine.</w:t>
      </w:r>
    </w:p>
    <w:p w14:paraId="31CC9946" w14:textId="77777777" w:rsidR="00F204F0" w:rsidRPr="003C16B9" w:rsidRDefault="00F204F0" w:rsidP="00F204F0">
      <w:pPr>
        <w:pStyle w:val="ListParagraph"/>
        <w:numPr>
          <w:ilvl w:val="0"/>
          <w:numId w:val="18"/>
        </w:numPr>
        <w:spacing w:before="120" w:after="120" w:line="276" w:lineRule="auto"/>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Coopération entre le Parquet européen, l’OLAF et d’autres acteurs de la lutte contre la fraude</w:t>
      </w:r>
    </w:p>
    <w:p w14:paraId="1120E11C" w14:textId="719C0484" w:rsidR="00F204F0" w:rsidRPr="003C16B9" w:rsidRDefault="00F204F0" w:rsidP="00F204F0">
      <w:pPr>
        <w:spacing w:before="120" w:after="120" w:line="276" w:lineRule="auto"/>
        <w:jc w:val="both"/>
        <w:rPr>
          <w:rFonts w:ascii="Times New Roman" w:eastAsia="Times New Roman" w:hAnsi="Times New Roman" w:cs="Times New Roman"/>
          <w:noProof/>
          <w:sz w:val="24"/>
          <w:szCs w:val="24"/>
        </w:rPr>
      </w:pPr>
      <w:r>
        <w:rPr>
          <w:rFonts w:ascii="Times New Roman" w:hAnsi="Times New Roman"/>
          <w:noProof/>
          <w:sz w:val="24"/>
        </w:rPr>
        <w:t>La coopération entre le Parquet européen et l’OLAF garantit la complémentarité de leurs mandats respectifs et évite la répétition inutile des tâches. Le Parquet européen et l’OLAF, ainsi que les autres acteurs de la lutte contre la fraude</w:t>
      </w:r>
      <w:r w:rsidRPr="003C16B9">
        <w:rPr>
          <w:rStyle w:val="FootnoteReference"/>
          <w:rFonts w:ascii="Times New Roman" w:eastAsia="Times New Roman" w:hAnsi="Times New Roman" w:cs="Times New Roman"/>
          <w:noProof/>
          <w:sz w:val="24"/>
          <w:szCs w:val="24"/>
          <w:lang w:eastAsia="en-GB"/>
        </w:rPr>
        <w:footnoteReference w:id="13"/>
      </w:r>
      <w:r>
        <w:rPr>
          <w:rFonts w:ascii="Times New Roman" w:hAnsi="Times New Roman"/>
          <w:noProof/>
          <w:sz w:val="24"/>
        </w:rPr>
        <w:t xml:space="preserve">, coopèrent activement chaque année dans des dizaines d’affaires. L’OLAF, en collaboration avec les autorités nationales et les autres institutions, organes et organismes de l’UE, informe le Parquet européen en cas de suspicion d’infraction relevant de la compétence du Parquet européen. En outre, dans un certain nombre d’affaires, l’OLAF complète l’efficacité opérationnelle des enquêtes du Parquet européen et y contribue, en menant des enquêtes administratives complémentaires et en lui fournissant un soutien le cas échéant. </w:t>
      </w:r>
    </w:p>
    <w:p w14:paraId="35689802" w14:textId="45E325C5" w:rsidR="00F204F0" w:rsidRPr="003C16B9" w:rsidRDefault="00F204F0" w:rsidP="00F204F0">
      <w:pPr>
        <w:spacing w:before="120" w:after="120" w:line="276" w:lineRule="auto"/>
        <w:jc w:val="both"/>
        <w:rPr>
          <w:rFonts w:ascii="Times New Roman" w:eastAsia="Verdana" w:hAnsi="Times New Roman" w:cs="Times New Roman"/>
          <w:noProof/>
          <w:sz w:val="24"/>
          <w:szCs w:val="24"/>
        </w:rPr>
      </w:pPr>
      <w:r>
        <w:rPr>
          <w:rFonts w:ascii="Times New Roman" w:hAnsi="Times New Roman"/>
          <w:noProof/>
          <w:sz w:val="24"/>
        </w:rPr>
        <w:t xml:space="preserve">Après presque de trois ans de coopération, il existe plusieurs réussites notables: </w:t>
      </w:r>
    </w:p>
    <w:p w14:paraId="089C5E58" w14:textId="77777777" w:rsidR="00F204F0" w:rsidRPr="003C16B9" w:rsidRDefault="00F204F0" w:rsidP="00F204F0">
      <w:pPr>
        <w:pStyle w:val="ListParagraph"/>
        <w:numPr>
          <w:ilvl w:val="0"/>
          <w:numId w:val="27"/>
        </w:numPr>
        <w:spacing w:before="120" w:after="120" w:line="276" w:lineRule="auto"/>
        <w:contextualSpacing w:val="0"/>
        <w:jc w:val="both"/>
        <w:rPr>
          <w:rFonts w:ascii="Times New Roman" w:eastAsia="Verdana" w:hAnsi="Times New Roman" w:cs="Times New Roman"/>
          <w:noProof/>
          <w:sz w:val="24"/>
          <w:szCs w:val="24"/>
        </w:rPr>
      </w:pPr>
      <w:r>
        <w:rPr>
          <w:rFonts w:ascii="Times New Roman" w:hAnsi="Times New Roman"/>
          <w:noProof/>
          <w:sz w:val="24"/>
        </w:rPr>
        <w:t xml:space="preserve">dans 72 cas, l’OLAF a ouvert des enquêtes complémentaires à la suite de l’ouverture d’une enquête du Parquet européen. À ce jour, cela a donné lieu à des recommandations pour le recouvrement de </w:t>
      </w:r>
      <w:r>
        <w:rPr>
          <w:rFonts w:ascii="Times New Roman" w:hAnsi="Times New Roman"/>
          <w:b/>
          <w:noProof/>
          <w:sz w:val="24"/>
        </w:rPr>
        <w:t>près de 300 millions d’EUR</w:t>
      </w:r>
      <w:r>
        <w:rPr>
          <w:rFonts w:ascii="Times New Roman" w:hAnsi="Times New Roman"/>
          <w:noProof/>
          <w:sz w:val="24"/>
        </w:rPr>
        <w:t>.</w:t>
      </w:r>
      <w:r>
        <w:rPr>
          <w:rFonts w:ascii="Times New Roman" w:hAnsi="Times New Roman"/>
          <w:b/>
          <w:noProof/>
          <w:sz w:val="24"/>
        </w:rPr>
        <w:t xml:space="preserve"> </w:t>
      </w:r>
    </w:p>
    <w:p w14:paraId="71DC12BC" w14:textId="77777777" w:rsidR="00F204F0" w:rsidRPr="003C16B9" w:rsidRDefault="00F204F0" w:rsidP="00F204F0">
      <w:pPr>
        <w:pStyle w:val="ListParagraph"/>
        <w:numPr>
          <w:ilvl w:val="0"/>
          <w:numId w:val="27"/>
        </w:numPr>
        <w:spacing w:before="120" w:after="120" w:line="276" w:lineRule="auto"/>
        <w:contextualSpacing w:val="0"/>
        <w:jc w:val="both"/>
        <w:rPr>
          <w:rFonts w:ascii="Times New Roman" w:hAnsi="Times New Roman" w:cs="Times New Roman"/>
          <w:noProof/>
          <w:sz w:val="24"/>
          <w:szCs w:val="24"/>
        </w:rPr>
      </w:pPr>
      <w:r>
        <w:rPr>
          <w:rFonts w:ascii="Times New Roman" w:hAnsi="Times New Roman"/>
          <w:noProof/>
          <w:sz w:val="24"/>
        </w:rPr>
        <w:t xml:space="preserve">Dans 26 affaires, l’OLAF a proposé un </w:t>
      </w:r>
      <w:r>
        <w:rPr>
          <w:rFonts w:ascii="Times New Roman" w:hAnsi="Times New Roman"/>
          <w:b/>
          <w:noProof/>
          <w:sz w:val="24"/>
        </w:rPr>
        <w:t>soutien opérationnel</w:t>
      </w:r>
      <w:r>
        <w:rPr>
          <w:rFonts w:ascii="Times New Roman" w:hAnsi="Times New Roman"/>
          <w:noProof/>
          <w:sz w:val="24"/>
        </w:rPr>
        <w:t xml:space="preserve"> au Parquet européen, y compris des analyses technico-légales des éléments de preuve obtenus par le Parquet européen, qui ont, à leur tour, été versées au dossier.</w:t>
      </w:r>
    </w:p>
    <w:p w14:paraId="22C79C0D" w14:textId="362CE157" w:rsidR="00F204F0" w:rsidRPr="003C16B9" w:rsidRDefault="00F204F0" w:rsidP="00F204F0">
      <w:pPr>
        <w:spacing w:before="120" w:after="120" w:line="276" w:lineRule="auto"/>
        <w:jc w:val="both"/>
        <w:rPr>
          <w:rFonts w:ascii="Times New Roman" w:eastAsiaTheme="minorEastAsia" w:hAnsi="Times New Roman" w:cs="Times New Roman"/>
          <w:noProof/>
          <w:sz w:val="24"/>
          <w:szCs w:val="24"/>
        </w:rPr>
      </w:pPr>
      <w:r>
        <w:rPr>
          <w:rFonts w:ascii="Times New Roman" w:hAnsi="Times New Roman"/>
          <w:noProof/>
          <w:sz w:val="24"/>
        </w:rPr>
        <w:t xml:space="preserve">Afin de renforcer encore leur coopération, une </w:t>
      </w:r>
      <w:r>
        <w:rPr>
          <w:rFonts w:ascii="Times New Roman" w:hAnsi="Times New Roman"/>
          <w:b/>
          <w:noProof/>
          <w:sz w:val="24"/>
        </w:rPr>
        <w:t>conférence du partenariat opérationnel</w:t>
      </w:r>
      <w:r>
        <w:rPr>
          <w:rFonts w:ascii="Times New Roman" w:hAnsi="Times New Roman"/>
          <w:noProof/>
          <w:sz w:val="24"/>
        </w:rPr>
        <w:t xml:space="preserve"> de l’OLAF et du Parquet européen s’est tenue les 22 et 23 avril 2024. Les procureurs européens délégués du Parquet européen et les enquêteurs de l’OLAF ont communiqué sur leurs expériences respectives et les éventuelles améliorations futures qu’ils pourraient apporter à leur coopération.</w:t>
      </w:r>
    </w:p>
    <w:p w14:paraId="30CD13B6" w14:textId="54A271D2" w:rsidR="00F204F0" w:rsidRPr="003C16B9" w:rsidRDefault="00F204F0" w:rsidP="00043CFB">
      <w:pPr>
        <w:spacing w:before="120" w:after="120"/>
        <w:jc w:val="both"/>
        <w:rPr>
          <w:rFonts w:ascii="Times New Roman" w:eastAsia="Calibri" w:hAnsi="Times New Roman" w:cs="Times New Roman"/>
          <w:noProof/>
          <w:sz w:val="24"/>
          <w:szCs w:val="24"/>
        </w:rPr>
      </w:pPr>
      <w:r>
        <w:rPr>
          <w:rFonts w:ascii="Times New Roman" w:hAnsi="Times New Roman"/>
          <w:noProof/>
          <w:color w:val="000000" w:themeColor="text1"/>
          <w:sz w:val="24"/>
        </w:rPr>
        <w:t>En outre, conformément au règlement relatif à l’OLAF</w:t>
      </w:r>
      <w:r w:rsidRPr="003C16B9">
        <w:rPr>
          <w:rStyle w:val="FootnoteReference"/>
          <w:rFonts w:ascii="Times New Roman" w:hAnsi="Times New Roman" w:cs="Times New Roman"/>
          <w:noProof/>
          <w:color w:val="000000" w:themeColor="text1"/>
          <w:sz w:val="24"/>
          <w:szCs w:val="24"/>
        </w:rPr>
        <w:footnoteReference w:id="14"/>
      </w:r>
      <w:r>
        <w:rPr>
          <w:rFonts w:ascii="Times New Roman" w:hAnsi="Times New Roman"/>
          <w:noProof/>
          <w:color w:val="000000" w:themeColor="text1"/>
          <w:sz w:val="24"/>
        </w:rPr>
        <w:t xml:space="preserve"> et au règlement concernant le Parquet européen</w:t>
      </w:r>
      <w:r w:rsidRPr="003C16B9">
        <w:rPr>
          <w:rStyle w:val="FootnoteReference"/>
          <w:rFonts w:ascii="Times New Roman" w:hAnsi="Times New Roman" w:cs="Times New Roman"/>
          <w:noProof/>
          <w:color w:val="000000" w:themeColor="text1"/>
          <w:sz w:val="24"/>
          <w:szCs w:val="24"/>
        </w:rPr>
        <w:footnoteReference w:id="15"/>
      </w:r>
      <w:r>
        <w:rPr>
          <w:rFonts w:ascii="Times New Roman" w:hAnsi="Times New Roman"/>
          <w:noProof/>
          <w:color w:val="000000" w:themeColor="text1"/>
          <w:sz w:val="24"/>
        </w:rPr>
        <w:t>, la mise en œuvre des deux ensembles d’actes juridiques devrait être évaluée au plus tard le 1</w:t>
      </w:r>
      <w:r>
        <w:rPr>
          <w:rFonts w:ascii="Times New Roman" w:hAnsi="Times New Roman"/>
          <w:noProof/>
          <w:color w:val="000000" w:themeColor="text1"/>
          <w:sz w:val="24"/>
          <w:vertAlign w:val="superscript"/>
        </w:rPr>
        <w:t>er</w:t>
      </w:r>
      <w:r>
        <w:rPr>
          <w:rFonts w:ascii="Times New Roman" w:hAnsi="Times New Roman"/>
          <w:noProof/>
          <w:color w:val="000000" w:themeColor="text1"/>
          <w:sz w:val="24"/>
        </w:rPr>
        <w:t> juin 2026.</w:t>
      </w:r>
      <w:r>
        <w:rPr>
          <w:rFonts w:ascii="Times New Roman" w:hAnsi="Times New Roman"/>
          <w:noProof/>
          <w:sz w:val="24"/>
        </w:rPr>
        <w:t xml:space="preserve"> L’efficacité et l’efficience de la coopération entre le Parquet européen et l’OLAF constitueront un pan important des évaluations en cours de ces deux règlements. Ces évaluations seront donc synchronisées autant que possible sur les plans du contenu et du calendrier, afin de créer des synergies et d’éviter les recoupements et les contradictions. </w:t>
      </w:r>
    </w:p>
    <w:p w14:paraId="467A084E" w14:textId="77777777" w:rsidR="00F204F0" w:rsidRPr="003C16B9" w:rsidRDefault="00F204F0" w:rsidP="00F204F0">
      <w:pPr>
        <w:pStyle w:val="ListParagraph"/>
        <w:numPr>
          <w:ilvl w:val="0"/>
          <w:numId w:val="18"/>
        </w:numPr>
        <w:spacing w:before="120" w:after="120"/>
        <w:contextualSpacing w:val="0"/>
        <w:jc w:val="both"/>
        <w:rPr>
          <w:rFonts w:ascii="Times New Roman" w:eastAsia="Calibri" w:hAnsi="Times New Roman" w:cs="Times New Roman"/>
          <w:b/>
          <w:bCs/>
          <w:noProof/>
          <w:sz w:val="24"/>
          <w:szCs w:val="24"/>
        </w:rPr>
      </w:pPr>
      <w:r>
        <w:rPr>
          <w:rFonts w:ascii="Times New Roman" w:hAnsi="Times New Roman"/>
          <w:b/>
          <w:noProof/>
          <w:sz w:val="24"/>
        </w:rPr>
        <w:t>Révision du règlement financier et lutte contre la fraude</w:t>
      </w:r>
    </w:p>
    <w:p w14:paraId="529D7459" w14:textId="571C3397" w:rsidR="00F204F0" w:rsidRPr="003C16B9" w:rsidRDefault="00F204F0" w:rsidP="00F204F0">
      <w:pPr>
        <w:spacing w:before="120" w:after="120"/>
        <w:jc w:val="both"/>
        <w:rPr>
          <w:rFonts w:ascii="Times New Roman" w:hAnsi="Times New Roman" w:cs="Times New Roman"/>
          <w:noProof/>
          <w:color w:val="000000"/>
          <w:sz w:val="24"/>
          <w:szCs w:val="24"/>
        </w:rPr>
      </w:pPr>
      <w:r>
        <w:rPr>
          <w:rFonts w:ascii="Times New Roman" w:hAnsi="Times New Roman"/>
          <w:noProof/>
          <w:color w:val="000000"/>
          <w:sz w:val="24"/>
        </w:rPr>
        <w:t xml:space="preserve">Enfin, la révision ciblée du règlement financier, qui a fait l’objet d’un accord stratégique en décembre 2023, renforcera la protection du budget de l’Union: i) en garantissant l’enregistrement et le stockage électroniques normalisés des </w:t>
      </w:r>
      <w:r>
        <w:rPr>
          <w:rFonts w:ascii="Times New Roman" w:hAnsi="Times New Roman"/>
          <w:b/>
          <w:noProof/>
          <w:color w:val="000000"/>
          <w:sz w:val="24"/>
        </w:rPr>
        <w:t>informations sur les bénéficiaires des fonds de l’Union et leurs bénéficiaires effectifs</w:t>
      </w:r>
      <w:r>
        <w:rPr>
          <w:rFonts w:ascii="Times New Roman" w:hAnsi="Times New Roman"/>
          <w:noProof/>
          <w:color w:val="000000"/>
          <w:sz w:val="24"/>
        </w:rPr>
        <w:t xml:space="preserve">; et ii) en rendant obligatoire l’utilisation d’un </w:t>
      </w:r>
      <w:r>
        <w:rPr>
          <w:rFonts w:ascii="Times New Roman" w:hAnsi="Times New Roman"/>
          <w:b/>
          <w:noProof/>
          <w:color w:val="000000"/>
          <w:sz w:val="24"/>
        </w:rPr>
        <w:t>système informatique intégré pour l’exploration de données et le calcul du risque</w:t>
      </w:r>
      <w:r>
        <w:rPr>
          <w:rFonts w:ascii="Times New Roman" w:hAnsi="Times New Roman"/>
          <w:noProof/>
          <w:color w:val="000000"/>
          <w:sz w:val="24"/>
        </w:rPr>
        <w:t xml:space="preserve"> sur les bénéficiaires et les bénéficiaires effectifs dans tous les modes de gestion du budget, à partir du CFP en vigueur après 2027. </w:t>
      </w:r>
    </w:p>
    <w:p w14:paraId="7D855644" w14:textId="77777777" w:rsidR="00F204F0" w:rsidRPr="003C16B9" w:rsidRDefault="00F204F0" w:rsidP="00F204F0">
      <w:pPr>
        <w:pStyle w:val="ListParagraph"/>
        <w:numPr>
          <w:ilvl w:val="1"/>
          <w:numId w:val="20"/>
        </w:numPr>
        <w:spacing w:before="120" w:after="120"/>
        <w:ind w:left="714" w:hanging="357"/>
        <w:contextualSpacing w:val="0"/>
        <w:jc w:val="both"/>
        <w:rPr>
          <w:rFonts w:ascii="Times New Roman" w:hAnsi="Times New Roman" w:cs="Times New Roman"/>
          <w:b/>
          <w:bCs/>
          <w:noProof/>
          <w:sz w:val="24"/>
          <w:szCs w:val="24"/>
        </w:rPr>
      </w:pPr>
      <w:r>
        <w:rPr>
          <w:rFonts w:ascii="Times New Roman" w:hAnsi="Times New Roman"/>
          <w:b/>
          <w:noProof/>
          <w:sz w:val="24"/>
        </w:rPr>
        <w:t>Limiter les erreurs de dépenses</w:t>
      </w:r>
    </w:p>
    <w:p w14:paraId="7F4B6A08" w14:textId="77777777"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La Commission partage l’observation du Parlement selon laquelle «les domaines de dépenses soumis à des règles et à des critères d’éligibilité plus complexes présentent un risque plus élevé d’erreurs»</w:t>
      </w:r>
      <w:r w:rsidRPr="003C16B9">
        <w:rPr>
          <w:rStyle w:val="FootnoteReference"/>
          <w:rFonts w:ascii="Times New Roman" w:eastAsia="Times New Roman" w:hAnsi="Times New Roman" w:cs="Times New Roman"/>
          <w:noProof/>
          <w:sz w:val="24"/>
          <w:szCs w:val="24"/>
          <w:lang w:eastAsia="en-GB"/>
        </w:rPr>
        <w:footnoteReference w:id="16"/>
      </w:r>
      <w:r>
        <w:rPr>
          <w:rFonts w:ascii="Times New Roman" w:hAnsi="Times New Roman"/>
          <w:noProof/>
          <w:sz w:val="24"/>
        </w:rPr>
        <w:t xml:space="preserve">. </w:t>
      </w:r>
    </w:p>
    <w:p w14:paraId="0B2FB483" w14:textId="77777777" w:rsidR="00F204F0" w:rsidRPr="007E28D1" w:rsidRDefault="00F204F0" w:rsidP="00F204F0">
      <w:pPr>
        <w:spacing w:before="120" w:after="120"/>
        <w:jc w:val="both"/>
        <w:rPr>
          <w:rFonts w:ascii="Times New Roman" w:hAnsi="Times New Roman" w:cs="Times New Roman"/>
          <w:noProof/>
          <w:sz w:val="24"/>
          <w:szCs w:val="24"/>
        </w:rPr>
      </w:pPr>
      <w:r>
        <w:rPr>
          <w:rFonts w:ascii="Times New Roman" w:hAnsi="Times New Roman"/>
          <w:b/>
          <w:noProof/>
          <w:sz w:val="24"/>
        </w:rPr>
        <w:t>La plupart des mesures de la Commission visant à limiter les erreurs de dépenses – qui comprennent souvent la simplification des règles – sont prises au niveau du programme de dépenses</w:t>
      </w:r>
      <w:r>
        <w:rPr>
          <w:rFonts w:ascii="Times New Roman" w:hAnsi="Times New Roman"/>
          <w:noProof/>
          <w:sz w:val="24"/>
        </w:rPr>
        <w:t xml:space="preserve">, étant donné que chaque programme de dépenses diffère en ce qui concerne le modèle de mise en œuvre et le système de contrôle. </w:t>
      </w:r>
    </w:p>
    <w:p w14:paraId="048466BD" w14:textId="0966406E" w:rsidR="00867C5D" w:rsidRPr="0039382C" w:rsidRDefault="00F204F0" w:rsidP="00336F0D">
      <w:pPr>
        <w:jc w:val="both"/>
        <w:rPr>
          <w:rFonts w:ascii="Times New Roman" w:hAnsi="Times New Roman"/>
          <w:noProof/>
          <w:sz w:val="24"/>
        </w:rPr>
      </w:pPr>
      <w:r>
        <w:rPr>
          <w:rFonts w:ascii="Times New Roman" w:hAnsi="Times New Roman"/>
          <w:noProof/>
          <w:sz w:val="24"/>
        </w:rPr>
        <w:t xml:space="preserve">Dans le cadre de la </w:t>
      </w:r>
      <w:r>
        <w:rPr>
          <w:rFonts w:ascii="Times New Roman" w:hAnsi="Times New Roman"/>
          <w:b/>
          <w:noProof/>
          <w:sz w:val="24"/>
        </w:rPr>
        <w:t>politique agricole commune (PAC)</w:t>
      </w:r>
      <w:r>
        <w:rPr>
          <w:rFonts w:ascii="Times New Roman" w:hAnsi="Times New Roman"/>
          <w:noProof/>
          <w:sz w:val="24"/>
        </w:rPr>
        <w:t>, la Commission et la Cour des comptes européenne conviennent que le niveau des erreurs de dépenses pour l’aide aux revenus versée aux agriculteurs est actuellement inférieur au seuil de 2 % au-delà duquel les erreurs sont considérées comme significatives. Par conséquent, les efforts visant à réduire le niveau d’erreur sont axés sur le développement rural et les mesures de marché, pour lesquels le niveau d’erreur demeure plus élevé. En outre, le modèle de mise en œuvre de la PAC 2023-2027 soutient la simplification des règles en permettant aux États membres d’adapter les interventions à leurs besoins. La nouvelle PAC encourage également l’utilisation des nouvelles technologies, ce qui devrait contribuer à remédier aux erreurs.</w:t>
      </w:r>
      <w:r>
        <w:rPr>
          <w:noProof/>
          <w:color w:val="5B9BD5" w:themeColor="accent1"/>
        </w:rPr>
        <w:t xml:space="preserve"> </w:t>
      </w:r>
    </w:p>
    <w:p w14:paraId="10B2FC9B" w14:textId="0AAD757F" w:rsidR="00F204F0" w:rsidRPr="006B4EBE" w:rsidRDefault="00173426" w:rsidP="00F204F0">
      <w:pPr>
        <w:spacing w:before="120" w:after="120"/>
        <w:jc w:val="both"/>
        <w:rPr>
          <w:rFonts w:ascii="Times New Roman" w:hAnsi="Times New Roman"/>
          <w:noProof/>
          <w:sz w:val="24"/>
        </w:rPr>
      </w:pPr>
      <w:r>
        <w:rPr>
          <w:rFonts w:ascii="Times New Roman" w:hAnsi="Times New Roman"/>
          <w:noProof/>
          <w:sz w:val="24"/>
        </w:rPr>
        <w:t xml:space="preserve">En ce qui concerne les </w:t>
      </w:r>
      <w:r>
        <w:rPr>
          <w:rFonts w:ascii="Times New Roman" w:hAnsi="Times New Roman"/>
          <w:b/>
          <w:noProof/>
          <w:sz w:val="24"/>
        </w:rPr>
        <w:t>fonds de la politique de cohésion</w:t>
      </w:r>
      <w:r>
        <w:rPr>
          <w:rFonts w:ascii="Times New Roman" w:hAnsi="Times New Roman"/>
          <w:noProof/>
          <w:sz w:val="24"/>
        </w:rPr>
        <w:t xml:space="preserve">, la Commission coopère activement avec toutes les autorités responsables des programmes afin d’améliorer leurs capacités à détecter et à traiter les erreurs par divers moyens (orientations; soutien ciblé et formation continue; ainsi que retour d’informations des auditeurs de la Commission aux autorités nationales sur les erreurs non détectées et leurs causes profondes). Parallèlement, la Commission promeut les </w:t>
      </w:r>
      <w:r>
        <w:rPr>
          <w:rFonts w:ascii="Times New Roman" w:hAnsi="Times New Roman"/>
          <w:b/>
          <w:noProof/>
          <w:sz w:val="24"/>
        </w:rPr>
        <w:t>options simplifiées en matière de coûts</w:t>
      </w:r>
      <w:r>
        <w:rPr>
          <w:rFonts w:ascii="Times New Roman" w:hAnsi="Times New Roman"/>
          <w:noProof/>
          <w:sz w:val="24"/>
        </w:rPr>
        <w:t xml:space="preserve"> moins exposées aux erreurs et le </w:t>
      </w:r>
      <w:r>
        <w:rPr>
          <w:rFonts w:ascii="Times New Roman" w:hAnsi="Times New Roman"/>
          <w:b/>
          <w:noProof/>
          <w:sz w:val="24"/>
        </w:rPr>
        <w:t xml:space="preserve">financement non lié aux coûts. </w:t>
      </w:r>
    </w:p>
    <w:p w14:paraId="3D918D6B" w14:textId="631EB105"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 xml:space="preserve">En ce qui concerne le </w:t>
      </w:r>
      <w:r>
        <w:rPr>
          <w:rFonts w:ascii="Times New Roman" w:hAnsi="Times New Roman"/>
          <w:b/>
          <w:noProof/>
          <w:sz w:val="24"/>
        </w:rPr>
        <w:t>financement de la recherche et de l’innovation</w:t>
      </w:r>
      <w:r>
        <w:rPr>
          <w:rFonts w:ascii="Times New Roman" w:hAnsi="Times New Roman"/>
          <w:noProof/>
          <w:sz w:val="24"/>
        </w:rPr>
        <w:t xml:space="preserve">, le programme «Horizon 2020» a déjà apporté des simplifications majeures. L’initiative «Horizon Europe» poursuit cet effort de simplification. Il s’agit notamment de recourir davantage à des formes simplifiées de financement, telles que le versement de montants forfaitaires pour les projets et les coûts unitaires, qui réduisent considérablement la charge administrative pour les bénéficiaires et qui devraient donc permettre de diminuer le nombre d’erreurs. En outre, la Commission a encore renforcé ses campagnes de communication destinées aux bénéficiaires, en mettant l’accent sur la déclaration des coûts de personnel, dont le calcul est susceptible de donner lieu à des erreurs. </w:t>
      </w:r>
    </w:p>
    <w:p w14:paraId="13EB03D0" w14:textId="77777777"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Enfin, la Commission réexamine actuellement sa stratégie d’audit et de contrôle pour l’</w:t>
      </w:r>
      <w:r>
        <w:rPr>
          <w:rFonts w:ascii="Times New Roman" w:hAnsi="Times New Roman"/>
          <w:b/>
          <w:noProof/>
          <w:sz w:val="24"/>
        </w:rPr>
        <w:t>instrument de voisinage, de coopération au développement et de coopération internationale</w:t>
      </w:r>
      <w:r>
        <w:rPr>
          <w:rFonts w:ascii="Times New Roman" w:hAnsi="Times New Roman"/>
          <w:noProof/>
          <w:sz w:val="24"/>
        </w:rPr>
        <w:t>. L’un des principaux objectifs de ce réexamen est de mettre au point une méthode d’évaluation du profil de risque solide et ciblée afin de mieux évaluer le risque d’erreur et d’y remédier.</w:t>
      </w:r>
    </w:p>
    <w:p w14:paraId="39FDF00B" w14:textId="2267787B" w:rsidR="00F204F0" w:rsidRPr="003C16B9" w:rsidRDefault="00F204F0" w:rsidP="00F204F0">
      <w:pPr>
        <w:pStyle w:val="ListParagraph"/>
        <w:numPr>
          <w:ilvl w:val="1"/>
          <w:numId w:val="20"/>
        </w:numPr>
        <w:spacing w:before="120" w:after="120"/>
        <w:ind w:left="714" w:hanging="357"/>
        <w:contextualSpacing w:val="0"/>
        <w:jc w:val="both"/>
        <w:rPr>
          <w:rFonts w:ascii="Times New Roman" w:hAnsi="Times New Roman" w:cs="Times New Roman"/>
          <w:b/>
          <w:bCs/>
          <w:noProof/>
          <w:sz w:val="24"/>
          <w:szCs w:val="24"/>
        </w:rPr>
      </w:pPr>
      <w:r>
        <w:rPr>
          <w:rFonts w:ascii="Times New Roman" w:hAnsi="Times New Roman"/>
          <w:b/>
          <w:noProof/>
          <w:sz w:val="24"/>
        </w:rPr>
        <w:t>Suivi de la mise en œuvre de la FRR</w:t>
      </w:r>
    </w:p>
    <w:p w14:paraId="5DEEB9A6" w14:textId="77777777" w:rsidR="00F204F0" w:rsidRPr="003C16B9" w:rsidDel="000F79A4" w:rsidRDefault="00F204F0" w:rsidP="00F204F0">
      <w:pPr>
        <w:spacing w:before="120" w:after="120"/>
        <w:jc w:val="both"/>
        <w:rPr>
          <w:rFonts w:ascii="Times New Roman" w:eastAsia="Times New Roman" w:hAnsi="Times New Roman" w:cs="Times New Roman"/>
          <w:i/>
          <w:iCs/>
          <w:noProof/>
          <w:sz w:val="24"/>
          <w:szCs w:val="24"/>
        </w:rPr>
      </w:pPr>
      <w:r>
        <w:rPr>
          <w:rFonts w:ascii="Times New Roman" w:hAnsi="Times New Roman"/>
          <w:noProof/>
          <w:sz w:val="24"/>
        </w:rPr>
        <w:t>La Commission note que, dans sa résolution sur la décharge, le Parlement déplore que les «jalons n’aient pas été mieux définis et invite la Commission à surveiller la mise en œuvre rapide par les États membres des mesures correspondantes conformément aux jalons et objectifs convenus»</w:t>
      </w:r>
      <w:r w:rsidRPr="003C16B9">
        <w:rPr>
          <w:rStyle w:val="FootnoteReference"/>
          <w:rFonts w:ascii="Times New Roman" w:eastAsia="Times New Roman" w:hAnsi="Times New Roman" w:cs="Times New Roman"/>
          <w:noProof/>
          <w:sz w:val="24"/>
          <w:szCs w:val="24"/>
        </w:rPr>
        <w:footnoteReference w:id="17"/>
      </w:r>
      <w:r>
        <w:rPr>
          <w:rFonts w:ascii="Times New Roman" w:hAnsi="Times New Roman"/>
          <w:noProof/>
          <w:sz w:val="24"/>
        </w:rPr>
        <w:t>.</w:t>
      </w:r>
      <w:r>
        <w:rPr>
          <w:rFonts w:ascii="Times New Roman" w:hAnsi="Times New Roman"/>
          <w:i/>
          <w:noProof/>
          <w:sz w:val="24"/>
        </w:rPr>
        <w:t xml:space="preserve"> </w:t>
      </w:r>
    </w:p>
    <w:p w14:paraId="2A550579" w14:textId="20238EB9" w:rsidR="00F204F0" w:rsidRPr="003C16B9" w:rsidRDefault="00F204F0" w:rsidP="00F204F0">
      <w:pPr>
        <w:spacing w:before="120" w:after="120"/>
        <w:jc w:val="both"/>
        <w:rPr>
          <w:rFonts w:ascii="Times New Roman" w:eastAsia="Times New Roman" w:hAnsi="Times New Roman" w:cs="Times New Roman"/>
          <w:noProof/>
          <w:color w:val="000000"/>
          <w:sz w:val="24"/>
          <w:szCs w:val="24"/>
        </w:rPr>
      </w:pPr>
      <w:r>
        <w:rPr>
          <w:rFonts w:ascii="Times New Roman" w:hAnsi="Times New Roman"/>
          <w:noProof/>
          <w:color w:val="000000" w:themeColor="text1"/>
          <w:sz w:val="24"/>
        </w:rPr>
        <w:t xml:space="preserve">La Commission a estimé que tous les jalons et objectifs des paiements de 2022 avaient été atteints de manière satisfaisante. La Cour des comptes européenne a approuvé la quasi-totalité des évaluations individuelles de la Commission. Dans quelques cas seulement, la Cour des comptes européenne a une interprétation différente ou a fait une lecture différente de la base juridique, ce qui l’a amenée à conclure qu’un jalon ou un objectif n’avait pas été atteint de manière satisfaisante. </w:t>
      </w:r>
    </w:p>
    <w:p w14:paraId="1ABFC994" w14:textId="1841CE11" w:rsidR="00F204F0" w:rsidRPr="001B3D5B" w:rsidRDefault="00F204F0" w:rsidP="00F204F0">
      <w:pPr>
        <w:spacing w:before="120" w:after="120"/>
        <w:jc w:val="both"/>
        <w:rPr>
          <w:rFonts w:ascii="Times New Roman" w:hAnsi="Times New Roman"/>
          <w:noProof/>
          <w:color w:val="000000"/>
          <w:sz w:val="24"/>
        </w:rPr>
      </w:pPr>
      <w:r>
        <w:rPr>
          <w:rFonts w:ascii="Times New Roman" w:hAnsi="Times New Roman"/>
          <w:noProof/>
          <w:color w:val="000000" w:themeColor="text1"/>
          <w:sz w:val="24"/>
        </w:rPr>
        <w:t>Lorsqu’</w:t>
      </w:r>
      <w:r>
        <w:rPr>
          <w:rFonts w:ascii="Times New Roman" w:hAnsi="Times New Roman"/>
          <w:b/>
          <w:noProof/>
          <w:color w:val="000000" w:themeColor="text1"/>
          <w:sz w:val="24"/>
        </w:rPr>
        <w:t>un PRR national est révisé</w:t>
      </w:r>
      <w:r>
        <w:rPr>
          <w:rFonts w:ascii="Times New Roman" w:hAnsi="Times New Roman"/>
          <w:noProof/>
          <w:color w:val="000000" w:themeColor="text1"/>
          <w:sz w:val="24"/>
        </w:rPr>
        <w:t xml:space="preserve">, la Commission s’efforce de clarifier les mesures et les jalons et objectifs connexes, tout en maintenant l’ambition globale du PRR national, en particulier en ce qui concerne les réformes répondant aux recommandations par pays. </w:t>
      </w:r>
    </w:p>
    <w:p w14:paraId="7AF49BBB" w14:textId="38CCC64C" w:rsidR="2FB6F5FA" w:rsidRPr="00BE6F14" w:rsidRDefault="2FB6F5FA" w:rsidP="0039382C">
      <w:pPr>
        <w:spacing w:before="120" w:after="120"/>
        <w:jc w:val="both"/>
        <w:rPr>
          <w:noProof/>
        </w:rPr>
      </w:pPr>
      <w:r>
        <w:rPr>
          <w:rFonts w:ascii="Times New Roman" w:hAnsi="Times New Roman"/>
          <w:noProof/>
          <w:color w:val="000000" w:themeColor="text1"/>
          <w:sz w:val="24"/>
        </w:rPr>
        <w:t xml:space="preserve">En outre, la Commission a pris des mesures visant à réduire la </w:t>
      </w:r>
      <w:r>
        <w:rPr>
          <w:rFonts w:ascii="Times New Roman" w:hAnsi="Times New Roman"/>
          <w:b/>
          <w:noProof/>
          <w:color w:val="000000" w:themeColor="text1"/>
          <w:sz w:val="24"/>
        </w:rPr>
        <w:t>charge administrative</w:t>
      </w:r>
      <w:r>
        <w:rPr>
          <w:rFonts w:ascii="Times New Roman" w:hAnsi="Times New Roman"/>
          <w:noProof/>
          <w:color w:val="000000" w:themeColor="text1"/>
          <w:sz w:val="24"/>
        </w:rPr>
        <w:t xml:space="preserve"> et à </w:t>
      </w:r>
      <w:r>
        <w:rPr>
          <w:rFonts w:ascii="Times New Roman" w:hAnsi="Times New Roman"/>
          <w:b/>
          <w:noProof/>
          <w:sz w:val="24"/>
        </w:rPr>
        <w:t>rationaliser la mise en œuvre des PRR</w:t>
      </w:r>
      <w:r>
        <w:rPr>
          <w:rFonts w:ascii="Times New Roman" w:hAnsi="Times New Roman"/>
          <w:noProof/>
          <w:sz w:val="24"/>
        </w:rPr>
        <w:t>, tout en garantissant une protection adéquate des intérêts financiers de l’Union et le plein respect du règlement FRR. Dans ses orientations actualisées sur les PRR, la Commission a introduit des simplifications visant à faciliter leur mise en œuvre rapide et à apporter davantage de clarté aux États membres en ce qui concerne leurs modifications</w:t>
      </w:r>
      <w:r w:rsidR="001761F6" w:rsidRPr="008011AA">
        <w:rPr>
          <w:rStyle w:val="FootnoteReference"/>
          <w:rFonts w:ascii="Times New Roman" w:eastAsia="Times New Roman" w:hAnsi="Times New Roman" w:cs="Times New Roman"/>
          <w:noProof/>
          <w:sz w:val="24"/>
          <w:szCs w:val="24"/>
          <w:lang w:val="en-IE"/>
        </w:rPr>
        <w:footnoteReference w:id="18"/>
      </w:r>
      <w:r>
        <w:rPr>
          <w:rFonts w:ascii="Times New Roman" w:hAnsi="Times New Roman"/>
          <w:noProof/>
          <w:sz w:val="24"/>
        </w:rPr>
        <w:t>.</w:t>
      </w:r>
    </w:p>
    <w:p w14:paraId="4AA4E558" w14:textId="01C5DD2D" w:rsidR="00F204F0" w:rsidRPr="003C16B9" w:rsidRDefault="00F204F0" w:rsidP="00F204F0">
      <w:pPr>
        <w:spacing w:before="120" w:after="120"/>
        <w:jc w:val="both"/>
        <w:rPr>
          <w:rFonts w:ascii="Times New Roman" w:eastAsia="Times New Roman" w:hAnsi="Times New Roman" w:cs="Times New Roman"/>
          <w:noProof/>
          <w:color w:val="000000"/>
          <w:sz w:val="24"/>
          <w:szCs w:val="24"/>
        </w:rPr>
      </w:pPr>
      <w:r>
        <w:rPr>
          <w:rFonts w:ascii="Times New Roman" w:hAnsi="Times New Roman"/>
          <w:noProof/>
          <w:color w:val="000000"/>
          <w:sz w:val="24"/>
        </w:rPr>
        <w:t xml:space="preserve">La Commission prend également acte </w:t>
      </w:r>
      <w:r>
        <w:rPr>
          <w:rFonts w:ascii="Times New Roman" w:hAnsi="Times New Roman"/>
          <w:noProof/>
          <w:color w:val="000000" w:themeColor="text1"/>
          <w:sz w:val="24"/>
        </w:rPr>
        <w:t>que le Parlement est préoccupé par le fait</w:t>
      </w:r>
      <w:r>
        <w:rPr>
          <w:rFonts w:ascii="Times New Roman" w:hAnsi="Times New Roman"/>
          <w:noProof/>
          <w:color w:val="000000"/>
          <w:sz w:val="24"/>
        </w:rPr>
        <w:t xml:space="preserve"> que </w:t>
      </w:r>
      <w:r>
        <w:rPr>
          <w:rFonts w:ascii="Times New Roman" w:hAnsi="Times New Roman"/>
          <w:noProof/>
          <w:color w:val="000000" w:themeColor="text1"/>
          <w:sz w:val="24"/>
        </w:rPr>
        <w:t>«</w:t>
      </w:r>
      <w:r>
        <w:rPr>
          <w:rFonts w:ascii="Times New Roman" w:hAnsi="Times New Roman"/>
          <w:noProof/>
          <w:color w:val="000000"/>
          <w:sz w:val="24"/>
        </w:rPr>
        <w:t>la Cour, dans son évaluation de la FRR, a relevé des lacunes dans l’évaluation préliminaire de la Commission et dans les audits ex post, et considère que des faiblesses subsistent dans les systèmes d’information et de contrôle des États membres</w:t>
      </w:r>
      <w:r>
        <w:rPr>
          <w:rFonts w:ascii="Times New Roman" w:hAnsi="Times New Roman"/>
          <w:noProof/>
          <w:color w:val="000000" w:themeColor="text1"/>
          <w:sz w:val="24"/>
        </w:rPr>
        <w:t>»</w:t>
      </w:r>
      <w:r w:rsidRPr="003C16B9">
        <w:rPr>
          <w:rStyle w:val="FootnoteReference"/>
          <w:rFonts w:ascii="Times New Roman" w:eastAsia="Times New Roman" w:hAnsi="Times New Roman" w:cs="Times New Roman"/>
          <w:noProof/>
          <w:color w:val="000000"/>
          <w:sz w:val="24"/>
          <w:szCs w:val="24"/>
          <w:lang w:val="en-IE"/>
        </w:rPr>
        <w:footnoteReference w:id="19"/>
      </w:r>
      <w:r>
        <w:rPr>
          <w:rFonts w:ascii="Times New Roman" w:hAnsi="Times New Roman"/>
          <w:noProof/>
          <w:color w:val="000000"/>
          <w:sz w:val="24"/>
        </w:rPr>
        <w:t xml:space="preserve">. </w:t>
      </w:r>
    </w:p>
    <w:p w14:paraId="32FF2BC0" w14:textId="555EE467" w:rsidR="00F204F0" w:rsidRPr="003C16B9" w:rsidRDefault="00F204F0" w:rsidP="00F204F0">
      <w:pPr>
        <w:spacing w:before="120" w:after="120"/>
        <w:jc w:val="both"/>
        <w:rPr>
          <w:rFonts w:ascii="Times New Roman" w:eastAsia="Times New Roman" w:hAnsi="Times New Roman" w:cs="Times New Roman"/>
          <w:noProof/>
          <w:color w:val="000000"/>
          <w:sz w:val="24"/>
          <w:szCs w:val="24"/>
        </w:rPr>
      </w:pPr>
      <w:r>
        <w:rPr>
          <w:rFonts w:ascii="Times New Roman" w:hAnsi="Times New Roman"/>
          <w:noProof/>
          <w:color w:val="000000"/>
          <w:sz w:val="24"/>
        </w:rPr>
        <w:t xml:space="preserve">Depuis le lancement de la FRR, la Commission a adopté une approche dynamique en matière d’audit et de contrôle. Elle a mis à jour ses </w:t>
      </w:r>
      <w:r>
        <w:rPr>
          <w:rFonts w:ascii="Times New Roman" w:hAnsi="Times New Roman"/>
          <w:b/>
          <w:noProof/>
          <w:color w:val="000000"/>
          <w:sz w:val="24"/>
        </w:rPr>
        <w:t xml:space="preserve">stratégies d’audit et de contrôle </w:t>
      </w:r>
      <w:r>
        <w:rPr>
          <w:rFonts w:ascii="Times New Roman" w:hAnsi="Times New Roman"/>
          <w:noProof/>
          <w:color w:val="000000"/>
          <w:sz w:val="24"/>
        </w:rPr>
        <w:t xml:space="preserve">en tenant compte des conclusions et recommandations du service d’audit interne de la Commission, de la Cour des comptes européenne et du Parlement. </w:t>
      </w:r>
    </w:p>
    <w:p w14:paraId="023E22DF" w14:textId="0C2F788E" w:rsidR="00F204F0" w:rsidRPr="003C16B9" w:rsidRDefault="00F204F0" w:rsidP="00F204F0">
      <w:pPr>
        <w:spacing w:before="120" w:after="120"/>
        <w:jc w:val="both"/>
        <w:rPr>
          <w:rFonts w:ascii="Times New Roman" w:eastAsia="Times New Roman" w:hAnsi="Times New Roman" w:cs="Times New Roman"/>
          <w:noProof/>
          <w:color w:val="000000"/>
          <w:sz w:val="24"/>
          <w:szCs w:val="24"/>
        </w:rPr>
      </w:pPr>
      <w:r>
        <w:rPr>
          <w:rFonts w:ascii="Times New Roman" w:hAnsi="Times New Roman"/>
          <w:noProof/>
          <w:color w:val="000000"/>
          <w:sz w:val="24"/>
        </w:rPr>
        <w:t xml:space="preserve">En particulier, la Commission </w:t>
      </w:r>
      <w:r>
        <w:rPr>
          <w:rFonts w:ascii="Times New Roman" w:hAnsi="Times New Roman"/>
          <w:b/>
          <w:noProof/>
          <w:color w:val="000000"/>
          <w:sz w:val="24"/>
        </w:rPr>
        <w:t xml:space="preserve">a renforcé ses contrôles sur les systèmes de contrôle interne des États membres </w:t>
      </w:r>
      <w:r>
        <w:rPr>
          <w:rFonts w:ascii="Times New Roman" w:hAnsi="Times New Roman"/>
          <w:noProof/>
          <w:color w:val="000000"/>
          <w:sz w:val="24"/>
        </w:rPr>
        <w:t>afin de vérifier de quelle manière ces systèmes garantissent le respect des règles en matière de marchés publics et d’aides d’État. Tous les audits et toutes les missions d’enquête de la Commission comprennent désormais la vérification que les États membres contrôlent régulièrement et efficacement le respect des règles en matière de marchés publics et d’aides d’État.</w:t>
      </w:r>
    </w:p>
    <w:p w14:paraId="24CC6861" w14:textId="65137F84" w:rsidR="00F204F0" w:rsidRPr="001B3D5B" w:rsidRDefault="00F204F0" w:rsidP="00F204F0">
      <w:pPr>
        <w:spacing w:before="120" w:after="120"/>
        <w:jc w:val="both"/>
        <w:rPr>
          <w:rFonts w:ascii="Times New Roman" w:hAnsi="Times New Roman"/>
          <w:noProof/>
          <w:color w:val="000000"/>
          <w:sz w:val="24"/>
        </w:rPr>
      </w:pPr>
      <w:r>
        <w:rPr>
          <w:rFonts w:ascii="Times New Roman" w:hAnsi="Times New Roman"/>
          <w:noProof/>
          <w:color w:val="000000"/>
          <w:sz w:val="24"/>
        </w:rPr>
        <w:t xml:space="preserve">La Commission a également </w:t>
      </w:r>
      <w:r>
        <w:rPr>
          <w:rFonts w:ascii="Times New Roman" w:hAnsi="Times New Roman"/>
          <w:b/>
          <w:noProof/>
          <w:color w:val="000000"/>
          <w:sz w:val="24"/>
        </w:rPr>
        <w:t>mis à jour sa méthode d’audit des systèmes de contrôle des États membres pour la</w:t>
      </w:r>
      <w:r>
        <w:rPr>
          <w:rFonts w:ascii="Times New Roman" w:hAnsi="Times New Roman"/>
          <w:b/>
          <w:noProof/>
          <w:color w:val="000000" w:themeColor="text1"/>
          <w:sz w:val="24"/>
        </w:rPr>
        <w:t xml:space="preserve"> </w:t>
      </w:r>
      <w:r>
        <w:rPr>
          <w:rFonts w:ascii="Times New Roman" w:hAnsi="Times New Roman"/>
          <w:b/>
          <w:noProof/>
          <w:color w:val="000000"/>
          <w:sz w:val="24"/>
        </w:rPr>
        <w:t>protection des intérêts financiers de l’Union</w:t>
      </w:r>
      <w:r>
        <w:rPr>
          <w:rFonts w:ascii="Times New Roman" w:hAnsi="Times New Roman"/>
          <w:noProof/>
          <w:color w:val="000000"/>
          <w:sz w:val="24"/>
        </w:rPr>
        <w:t xml:space="preserve">. Depuis l’entrée en vigueur de la FRR, elle a procédé au moins à l’audit d’un système sur l’ensemble des 27 systèmes de contrôle nationaux. Sur la base de ces travaux d’audit, et dans le contexte de la révision des PRR, la Commission a proposé, le cas échéant, des jalons supplémentaires en matière d’audit et de contrôle qui doivent être pris en considération avant le prochain versement. Afin de veiller à ce que les risques fassent l’objet d’un suivi adapté et qu’ils soient pris en considération de manière adéquate tout au long du cycle de vie de la FRR, la Commission mène activement de nouveaux travaux d’audit sur la base des risques. </w:t>
      </w:r>
    </w:p>
    <w:p w14:paraId="50CD20E4" w14:textId="77777777" w:rsidR="00F204F0" w:rsidRPr="003C16B9" w:rsidRDefault="00F204F0" w:rsidP="00F204F0">
      <w:pPr>
        <w:pStyle w:val="ListParagraph"/>
        <w:numPr>
          <w:ilvl w:val="0"/>
          <w:numId w:val="20"/>
        </w:numPr>
        <w:spacing w:before="120" w:after="120"/>
        <w:ind w:left="357" w:hanging="357"/>
        <w:contextualSpacing w:val="0"/>
        <w:jc w:val="both"/>
        <w:rPr>
          <w:rFonts w:ascii="Times New Roman" w:hAnsi="Times New Roman" w:cs="Times New Roman"/>
          <w:b/>
          <w:bCs/>
          <w:noProof/>
          <w:sz w:val="24"/>
          <w:szCs w:val="24"/>
        </w:rPr>
      </w:pPr>
      <w:r>
        <w:rPr>
          <w:rFonts w:ascii="Times New Roman" w:hAnsi="Times New Roman"/>
          <w:b/>
          <w:noProof/>
          <w:sz w:val="24"/>
        </w:rPr>
        <w:t>Performance du budget de l’Union</w:t>
      </w:r>
    </w:p>
    <w:p w14:paraId="2A1D0D09" w14:textId="6B1C704C" w:rsidR="0039382C" w:rsidRDefault="0039382C" w:rsidP="00F204F0">
      <w:pPr>
        <w:spacing w:before="120" w:after="120"/>
        <w:jc w:val="both"/>
        <w:rPr>
          <w:rFonts w:ascii="Times New Roman" w:hAnsi="Times New Roman" w:cs="Times New Roman"/>
          <w:noProof/>
          <w:sz w:val="24"/>
          <w:szCs w:val="24"/>
        </w:rPr>
      </w:pPr>
      <w:r>
        <w:rPr>
          <w:rFonts w:ascii="Times New Roman" w:hAnsi="Times New Roman"/>
          <w:noProof/>
          <w:sz w:val="24"/>
        </w:rPr>
        <w:t>La Commission partage l’avis du Parlement selon lequel le fait de «procéder à des évaluations ex post et à mi-parcours des programmes financiers instaurés pour faire face aux crises, évaluations qui doivent porter sur leur pertinence, leur cohérence et leur valeur ajoutée européenne [...]»</w:t>
      </w:r>
      <w:r w:rsidR="008011AA">
        <w:rPr>
          <w:rStyle w:val="FootnoteReference"/>
          <w:rFonts w:ascii="Times New Roman" w:hAnsi="Times New Roman" w:cs="Times New Roman"/>
          <w:noProof/>
          <w:sz w:val="24"/>
          <w:szCs w:val="24"/>
        </w:rPr>
        <w:footnoteReference w:id="20"/>
      </w:r>
      <w:r>
        <w:rPr>
          <w:rFonts w:ascii="Times New Roman" w:hAnsi="Times New Roman"/>
          <w:noProof/>
          <w:sz w:val="24"/>
        </w:rPr>
        <w:t xml:space="preserve"> revêt une importance capitale. </w:t>
      </w:r>
    </w:p>
    <w:p w14:paraId="35AF5ABF" w14:textId="5EA85792"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 xml:space="preserve">Le 21 février 2024, la Commission a publié son </w:t>
      </w:r>
      <w:r>
        <w:rPr>
          <w:rFonts w:ascii="Times New Roman" w:hAnsi="Times New Roman"/>
          <w:b/>
          <w:noProof/>
          <w:sz w:val="24"/>
        </w:rPr>
        <w:t xml:space="preserve">évaluation à mi-parcours de la </w:t>
      </w:r>
      <w:r>
        <w:rPr>
          <w:rFonts w:ascii="Times New Roman" w:hAnsi="Times New Roman"/>
          <w:noProof/>
          <w:sz w:val="24"/>
        </w:rPr>
        <w:t xml:space="preserve">FRR. Cette évaluation porte sur les cinq critères «Mieux légiférer», à savoir l’efficacité, l’efficience, la cohérence, la pertinence et la valeur ajoutée européenne. Une étude d’évaluation externe indépendante a contribué à cet exercice d’évaluation. L’évaluation conclut que, bien qu’il ne soit pas encore possible d’évaluer de façon exhaustive les incidences de la FRR, il apparaît déjà qu’elle s’est révélée être un outil essentiel pour stimuler la mise en œuvre, par les États membres, des réformes structurelles conformément aux recommandations par pays du Semestre européen. Toutefois, il apparaît également que, jusqu’à présent, la FRR n’a pas conduit à la simplification administrative que certains États membres avaient espérée. </w:t>
      </w:r>
    </w:p>
    <w:p w14:paraId="233913DA" w14:textId="7A2809C7" w:rsidR="00F204F0" w:rsidRPr="003C16B9" w:rsidRDefault="00F204F0" w:rsidP="00F204F0">
      <w:pPr>
        <w:spacing w:before="120" w:after="120" w:line="240" w:lineRule="auto"/>
        <w:jc w:val="both"/>
        <w:rPr>
          <w:rFonts w:ascii="Times New Roman" w:hAnsi="Times New Roman" w:cs="Times New Roman"/>
          <w:noProof/>
          <w:sz w:val="24"/>
          <w:szCs w:val="24"/>
        </w:rPr>
      </w:pPr>
      <w:r>
        <w:rPr>
          <w:rFonts w:ascii="Times New Roman" w:hAnsi="Times New Roman"/>
          <w:noProof/>
          <w:sz w:val="24"/>
        </w:rPr>
        <w:t>L’</w:t>
      </w:r>
      <w:r>
        <w:rPr>
          <w:rFonts w:ascii="Times New Roman" w:hAnsi="Times New Roman"/>
          <w:b/>
          <w:noProof/>
          <w:sz w:val="24"/>
        </w:rPr>
        <w:t>évaluation préliminaire</w:t>
      </w:r>
      <w:r>
        <w:rPr>
          <w:rFonts w:ascii="Times New Roman" w:hAnsi="Times New Roman"/>
          <w:noProof/>
          <w:sz w:val="24"/>
        </w:rPr>
        <w:t xml:space="preserve"> du soutien fourni au titre des </w:t>
      </w:r>
      <w:r>
        <w:rPr>
          <w:rFonts w:ascii="Times New Roman" w:hAnsi="Times New Roman"/>
          <w:b/>
          <w:noProof/>
          <w:sz w:val="24"/>
        </w:rPr>
        <w:t>initiatives d’investissement en réaction au coronavirus (CRII et CRII+)</w:t>
      </w:r>
      <w:r w:rsidRPr="003C16B9">
        <w:rPr>
          <w:rStyle w:val="FootnoteReference"/>
          <w:rFonts w:ascii="Times New Roman" w:hAnsi="Times New Roman" w:cs="Times New Roman"/>
          <w:b/>
          <w:bCs/>
          <w:noProof/>
          <w:sz w:val="24"/>
          <w:szCs w:val="24"/>
        </w:rPr>
        <w:footnoteReference w:id="21"/>
      </w:r>
      <w:r>
        <w:rPr>
          <w:rFonts w:ascii="Times New Roman" w:hAnsi="Times New Roman"/>
          <w:noProof/>
          <w:sz w:val="24"/>
        </w:rPr>
        <w:t xml:space="preserve"> en vue de faire face aux conséquences de la pandémie de COVID-19 a montré que ce soutien a conduit à une utilisation efficace des fonds non dépensés provenant à la fois du Fonds social européen et du Fonds européen d’aide aux plus démunis. La flexibilité offerte aux États membres pour adapter leurs programmes s’est traduite par une réorientation de près de 24 milliards d’EUR de financements au titre de la politique de cohésion. </w:t>
      </w:r>
    </w:p>
    <w:p w14:paraId="5FBB4A17" w14:textId="77777777" w:rsidR="00F204F0" w:rsidRPr="003C16B9" w:rsidRDefault="00F204F0" w:rsidP="00F204F0">
      <w:pPr>
        <w:spacing w:before="120" w:after="120" w:line="240" w:lineRule="auto"/>
        <w:jc w:val="both"/>
        <w:rPr>
          <w:rFonts w:ascii="Times New Roman" w:hAnsi="Times New Roman" w:cs="Times New Roman"/>
          <w:noProof/>
          <w:sz w:val="24"/>
          <w:szCs w:val="24"/>
        </w:rPr>
      </w:pPr>
      <w:r>
        <w:rPr>
          <w:rFonts w:ascii="Times New Roman" w:hAnsi="Times New Roman"/>
          <w:noProof/>
          <w:sz w:val="24"/>
        </w:rPr>
        <w:t>D’ici le début de l’année 2025, la Commission publiera également des évaluations des autres instruments mis en place au titre de la politique de cohésion en vue de faire face aux crises récentes</w:t>
      </w:r>
      <w:r w:rsidRPr="003C16B9">
        <w:rPr>
          <w:rStyle w:val="FootnoteReference"/>
          <w:rFonts w:ascii="Times New Roman" w:hAnsi="Times New Roman" w:cs="Times New Roman"/>
          <w:noProof/>
          <w:sz w:val="24"/>
          <w:szCs w:val="24"/>
        </w:rPr>
        <w:footnoteReference w:id="22"/>
      </w:r>
      <w:r>
        <w:rPr>
          <w:rFonts w:ascii="Times New Roman" w:hAnsi="Times New Roman"/>
          <w:noProof/>
          <w:sz w:val="24"/>
        </w:rPr>
        <w:t>.</w:t>
      </w:r>
    </w:p>
    <w:p w14:paraId="2F164187" w14:textId="77777777"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La Commission répond également à la demande du Conseil «de mettre davantage l’accent sur des indicateurs de performance fondés sur les résultats qui peuvent être directement liés aux actions de l’UE»</w:t>
      </w:r>
      <w:r w:rsidRPr="003C16B9">
        <w:rPr>
          <w:rStyle w:val="FootnoteReference"/>
          <w:rFonts w:ascii="Times New Roman" w:hAnsi="Times New Roman" w:cs="Times New Roman"/>
          <w:noProof/>
          <w:sz w:val="24"/>
          <w:szCs w:val="24"/>
        </w:rPr>
        <w:footnoteReference w:id="23"/>
      </w:r>
      <w:r>
        <w:rPr>
          <w:rFonts w:ascii="Times New Roman" w:hAnsi="Times New Roman"/>
          <w:noProof/>
          <w:sz w:val="24"/>
        </w:rPr>
        <w:t xml:space="preserve">. </w:t>
      </w:r>
    </w:p>
    <w:p w14:paraId="03DCA479" w14:textId="6917423F"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La Commission rend compte des indicateurs de performance de base pour la période 2021-2027</w:t>
      </w:r>
      <w:r w:rsidRPr="003C16B9">
        <w:rPr>
          <w:rStyle w:val="FootnoteReference"/>
          <w:rFonts w:ascii="Times New Roman" w:hAnsi="Times New Roman" w:cs="Times New Roman"/>
          <w:noProof/>
          <w:sz w:val="24"/>
          <w:szCs w:val="24"/>
          <w:lang w:val="en-IE"/>
        </w:rPr>
        <w:footnoteReference w:id="24"/>
      </w:r>
      <w:r>
        <w:rPr>
          <w:rFonts w:ascii="Times New Roman" w:hAnsi="Times New Roman"/>
          <w:noProof/>
          <w:sz w:val="24"/>
        </w:rPr>
        <w:t xml:space="preserve"> par programme de dépenses dans les </w:t>
      </w:r>
      <w:hyperlink r:id="rId19" w:history="1">
        <w:r>
          <w:rPr>
            <w:rStyle w:val="Hyperlink"/>
            <w:rFonts w:ascii="Times New Roman" w:hAnsi="Times New Roman"/>
            <w:noProof/>
            <w:sz w:val="24"/>
          </w:rPr>
          <w:t>fiches relatives aux performances des programmes</w:t>
        </w:r>
      </w:hyperlink>
      <w:r>
        <w:rPr>
          <w:rFonts w:ascii="Times New Roman" w:hAnsi="Times New Roman"/>
          <w:noProof/>
          <w:sz w:val="24"/>
        </w:rPr>
        <w:t xml:space="preserve"> qui font partie du rapport annuel sur la gestion et la performance. 45 % de ces indicateurs sont fondés sur les résultats, ce qui témoigne de la forte importance accordée à ces derniers. </w:t>
      </w:r>
    </w:p>
    <w:p w14:paraId="429E73EC" w14:textId="1BD9CB49"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En outre, en décembre 2023, la Commission a dévoilé le premier rapport d’impact sur les obligations vertes NextGenerationEU</w:t>
      </w:r>
      <w:r w:rsidRPr="003C16B9">
        <w:rPr>
          <w:rStyle w:val="FootnoteReference"/>
          <w:rFonts w:ascii="Times New Roman" w:hAnsi="Times New Roman" w:cs="Times New Roman"/>
          <w:noProof/>
          <w:sz w:val="24"/>
          <w:szCs w:val="24"/>
          <w:lang w:val="en-IE"/>
        </w:rPr>
        <w:footnoteReference w:id="25"/>
      </w:r>
      <w:r>
        <w:rPr>
          <w:rFonts w:ascii="Times New Roman" w:hAnsi="Times New Roman"/>
          <w:noProof/>
          <w:sz w:val="24"/>
        </w:rPr>
        <w:t>. Ce rapport a mesuré l’</w:t>
      </w:r>
      <w:r>
        <w:rPr>
          <w:rFonts w:ascii="Times New Roman" w:hAnsi="Times New Roman"/>
          <w:b/>
          <w:noProof/>
          <w:sz w:val="24"/>
        </w:rPr>
        <w:t xml:space="preserve">incidence concrète sur le climat </w:t>
      </w:r>
      <w:r>
        <w:rPr>
          <w:rFonts w:ascii="Times New Roman" w:hAnsi="Times New Roman"/>
          <w:noProof/>
          <w:sz w:val="24"/>
        </w:rPr>
        <w:t xml:space="preserve">des investissements financés par ces obligations vertes pour ce qui est des émissions de gaz à effet de serre qui ont été évitées. </w:t>
      </w:r>
    </w:p>
    <w:p w14:paraId="53D206E4" w14:textId="77777777" w:rsidR="00F204F0" w:rsidRPr="003C16B9" w:rsidRDefault="00F204F0" w:rsidP="00F204F0">
      <w:pPr>
        <w:spacing w:before="120" w:after="120"/>
        <w:jc w:val="both"/>
        <w:rPr>
          <w:rFonts w:ascii="Times New Roman" w:hAnsi="Times New Roman" w:cs="Times New Roman"/>
          <w:b/>
          <w:bCs/>
          <w:noProof/>
          <w:sz w:val="24"/>
          <w:szCs w:val="24"/>
        </w:rPr>
      </w:pPr>
      <w:r>
        <w:rPr>
          <w:rFonts w:ascii="Times New Roman" w:hAnsi="Times New Roman"/>
          <w:noProof/>
          <w:sz w:val="24"/>
        </w:rPr>
        <w:t>Enfin, la Commission partage également le point de vue du Parlement sur le fait</w:t>
      </w:r>
      <w:r>
        <w:rPr>
          <w:rFonts w:ascii="Times New Roman" w:hAnsi="Times New Roman"/>
          <w:b/>
          <w:noProof/>
          <w:sz w:val="24"/>
        </w:rPr>
        <w:t xml:space="preserve"> </w:t>
      </w:r>
      <w:r>
        <w:rPr>
          <w:rFonts w:ascii="Times New Roman" w:hAnsi="Times New Roman"/>
          <w:noProof/>
          <w:sz w:val="24"/>
        </w:rPr>
        <w:t>«qu’il importe de poursuivre les efforts déployés […] en matière d’intégration de la dimension de genre dans le processus budgétaire»</w:t>
      </w:r>
      <w:r w:rsidRPr="003C16B9">
        <w:rPr>
          <w:rStyle w:val="FootnoteReference"/>
          <w:rFonts w:ascii="Times New Roman" w:hAnsi="Times New Roman" w:cs="Times New Roman"/>
          <w:noProof/>
          <w:sz w:val="24"/>
          <w:szCs w:val="24"/>
        </w:rPr>
        <w:footnoteReference w:id="26"/>
      </w:r>
      <w:r>
        <w:rPr>
          <w:rFonts w:ascii="Times New Roman" w:hAnsi="Times New Roman"/>
          <w:noProof/>
          <w:sz w:val="24"/>
        </w:rPr>
        <w:t>.</w:t>
      </w:r>
    </w:p>
    <w:p w14:paraId="3B5F30B8" w14:textId="0F0EFC71"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 xml:space="preserve">La Commission a intégré des priorités transversales dans le budget de l’Union, notamment la priorité visant à </w:t>
      </w:r>
      <w:r>
        <w:rPr>
          <w:rFonts w:ascii="Times New Roman" w:hAnsi="Times New Roman"/>
          <w:b/>
          <w:noProof/>
          <w:sz w:val="24"/>
        </w:rPr>
        <w:t>promouvoir l’égalité de genre</w:t>
      </w:r>
      <w:r>
        <w:rPr>
          <w:rFonts w:ascii="Times New Roman" w:hAnsi="Times New Roman"/>
          <w:noProof/>
          <w:sz w:val="24"/>
        </w:rPr>
        <w:t xml:space="preserve">. En 2022, la Commission a publié une méthode permettant de quantifier les dépenses au titre du budget de l’Union en faveur de l’égalité de genre. Cette méthode est appliquée à l’ensemble du budget de l’Union depuis le projet de budget 2023. </w:t>
      </w:r>
    </w:p>
    <w:p w14:paraId="4DDCDF28" w14:textId="77777777" w:rsidR="00F204F0" w:rsidRPr="003C16B9" w:rsidRDefault="00F204F0" w:rsidP="00F204F0">
      <w:pPr>
        <w:pStyle w:val="ListParagraph"/>
        <w:numPr>
          <w:ilvl w:val="0"/>
          <w:numId w:val="20"/>
        </w:numPr>
        <w:spacing w:before="120" w:after="120"/>
        <w:ind w:left="357" w:hanging="357"/>
        <w:contextualSpacing w:val="0"/>
        <w:jc w:val="both"/>
        <w:rPr>
          <w:rFonts w:ascii="Times New Roman" w:hAnsi="Times New Roman" w:cs="Times New Roman"/>
          <w:b/>
          <w:bCs/>
          <w:noProof/>
          <w:sz w:val="24"/>
          <w:szCs w:val="24"/>
        </w:rPr>
      </w:pPr>
      <w:bookmarkStart w:id="5" w:name="_Hlk167270624"/>
      <w:r>
        <w:rPr>
          <w:rFonts w:ascii="Times New Roman" w:hAnsi="Times New Roman"/>
          <w:b/>
          <w:noProof/>
          <w:sz w:val="24"/>
        </w:rPr>
        <w:t>Engagements budgétaires restant à liquider – reste à liquider (RAL) et mesures visant à accélérer la mise en œuvre des fonds de l’UE</w:t>
      </w:r>
    </w:p>
    <w:bookmarkEnd w:id="5"/>
    <w:p w14:paraId="2D69D2FB" w14:textId="77777777"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La Commission note que, dans sa résolution sur la décharge, le Parlement «est préoccupé par le retard important dans le début de la mise en œuvre pour la période de programmation 2021-2027 dû à l’adoption tardive d’un certain nombre de règlements sectoriels régissant différentes politiques publiques de l’Union, telles que la politique de cohésion» et qu’il «demande que la Commission indique à l’autorité de décharge les mesures qu’elle entend prendre pour remédier à cette situation»</w:t>
      </w:r>
      <w:r w:rsidRPr="003C16B9">
        <w:rPr>
          <w:rStyle w:val="FootnoteReference"/>
          <w:rFonts w:ascii="Times New Roman" w:eastAsia="Times New Roman" w:hAnsi="Times New Roman" w:cs="Times New Roman"/>
          <w:noProof/>
          <w:sz w:val="24"/>
          <w:szCs w:val="24"/>
        </w:rPr>
        <w:footnoteReference w:id="27"/>
      </w:r>
      <w:r>
        <w:rPr>
          <w:rFonts w:ascii="Times New Roman" w:hAnsi="Times New Roman"/>
          <w:noProof/>
          <w:sz w:val="24"/>
        </w:rPr>
        <w:t xml:space="preserve">. </w:t>
      </w:r>
    </w:p>
    <w:p w14:paraId="4FCFABAB" w14:textId="77777777"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 xml:space="preserve">Les </w:t>
      </w:r>
      <w:r>
        <w:rPr>
          <w:rFonts w:ascii="Times New Roman" w:hAnsi="Times New Roman"/>
          <w:b/>
          <w:noProof/>
          <w:sz w:val="24"/>
        </w:rPr>
        <w:t>engagements restant à liquider</w:t>
      </w:r>
      <w:r>
        <w:rPr>
          <w:rFonts w:ascii="Times New Roman" w:hAnsi="Times New Roman"/>
          <w:noProof/>
          <w:sz w:val="24"/>
        </w:rPr>
        <w:t xml:space="preserve"> (communément appelés «RAL», ou «reste à liquider») sont des montants qui ont été engagés mais qui n’ont pas encore été liquidés. Fin 2023, le RAL total s’élevait à 543,0 milliards d’EUR. La part non remboursable de NextGenerationEU a contribué à hauteur de 238,6 milliards d’EUR, ce qui représente près de 44 % du RAL total</w:t>
      </w:r>
      <w:r w:rsidRPr="003C16B9">
        <w:rPr>
          <w:rStyle w:val="FootnoteReference"/>
          <w:rFonts w:ascii="Times New Roman" w:eastAsia="Times New Roman" w:hAnsi="Times New Roman" w:cs="Times New Roman"/>
          <w:noProof/>
          <w:sz w:val="24"/>
          <w:szCs w:val="24"/>
        </w:rPr>
        <w:footnoteReference w:id="28"/>
      </w:r>
      <w:r>
        <w:rPr>
          <w:rFonts w:ascii="Times New Roman" w:hAnsi="Times New Roman"/>
          <w:noProof/>
          <w:sz w:val="24"/>
        </w:rPr>
        <w:t xml:space="preserve">. </w:t>
      </w:r>
    </w:p>
    <w:p w14:paraId="6CF999B5" w14:textId="77777777"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 xml:space="preserve">La Commission continuera à suivre la mise en œuvre du niveau global des engagements restant à liquider et continuera également de proposer, au cours des procédures budgétaires annuelles, </w:t>
      </w:r>
      <w:r>
        <w:rPr>
          <w:rFonts w:ascii="Times New Roman" w:hAnsi="Times New Roman"/>
          <w:b/>
          <w:noProof/>
          <w:sz w:val="24"/>
        </w:rPr>
        <w:t>des niveaux de crédits de paiement qui répondent de manière adéquate aux besoins en paiements</w:t>
      </w:r>
      <w:r>
        <w:rPr>
          <w:rFonts w:ascii="Times New Roman" w:hAnsi="Times New Roman"/>
          <w:noProof/>
          <w:sz w:val="24"/>
        </w:rPr>
        <w:t xml:space="preserve">. </w:t>
      </w:r>
    </w:p>
    <w:p w14:paraId="3E8AA5BF" w14:textId="77777777" w:rsidR="00F204F0" w:rsidRPr="003C16B9" w:rsidRDefault="00F204F0" w:rsidP="00F204F0">
      <w:pPr>
        <w:spacing w:before="120" w:after="120"/>
        <w:jc w:val="both"/>
        <w:rPr>
          <w:rFonts w:ascii="Times New Roman" w:eastAsia="Calibri" w:hAnsi="Times New Roman" w:cs="Times New Roman"/>
          <w:noProof/>
          <w:sz w:val="24"/>
          <w:szCs w:val="24"/>
        </w:rPr>
      </w:pPr>
      <w:r>
        <w:rPr>
          <w:rFonts w:ascii="Times New Roman" w:hAnsi="Times New Roman"/>
          <w:noProof/>
          <w:sz w:val="24"/>
        </w:rPr>
        <w:t xml:space="preserve">Certaines </w:t>
      </w:r>
      <w:r>
        <w:rPr>
          <w:rFonts w:ascii="Times New Roman" w:hAnsi="Times New Roman"/>
          <w:b/>
          <w:noProof/>
          <w:sz w:val="24"/>
        </w:rPr>
        <w:t>simplifications de grande ampleur</w:t>
      </w:r>
      <w:r>
        <w:rPr>
          <w:rFonts w:ascii="Times New Roman" w:hAnsi="Times New Roman"/>
          <w:noProof/>
          <w:sz w:val="24"/>
        </w:rPr>
        <w:t xml:space="preserve"> ont été adoptées dans le règlement portant dispositions communes et dans le nouveau cadre législatif de la PAC (en particulier grâce à son nouveau modèle de mise en œuvre).</w:t>
      </w:r>
    </w:p>
    <w:p w14:paraId="680566ED" w14:textId="75947AB8" w:rsidR="00F204F0" w:rsidRPr="003C16B9" w:rsidRDefault="00F204F0" w:rsidP="00F204F0">
      <w:pPr>
        <w:spacing w:before="120" w:after="120"/>
        <w:jc w:val="both"/>
        <w:rPr>
          <w:rFonts w:ascii="Times New Roman" w:eastAsia="Calibri" w:hAnsi="Times New Roman" w:cs="Times New Roman"/>
          <w:noProof/>
          <w:sz w:val="24"/>
          <w:szCs w:val="24"/>
        </w:rPr>
      </w:pPr>
      <w:r>
        <w:rPr>
          <w:rFonts w:ascii="Times New Roman" w:hAnsi="Times New Roman"/>
          <w:noProof/>
          <w:sz w:val="24"/>
        </w:rPr>
        <w:t xml:space="preserve">La </w:t>
      </w:r>
      <w:r>
        <w:rPr>
          <w:rFonts w:ascii="Times New Roman" w:hAnsi="Times New Roman"/>
          <w:b/>
          <w:noProof/>
          <w:sz w:val="24"/>
        </w:rPr>
        <w:t>plateforme «Technologies stratégiques pour l’Europe» (STEP)</w:t>
      </w:r>
      <w:r w:rsidRPr="003C16B9">
        <w:rPr>
          <w:rStyle w:val="FootnoteReference"/>
          <w:rFonts w:ascii="Times New Roman" w:eastAsia="Calibri" w:hAnsi="Times New Roman" w:cs="Times New Roman"/>
          <w:noProof/>
          <w:sz w:val="24"/>
          <w:szCs w:val="24"/>
        </w:rPr>
        <w:footnoteReference w:id="29"/>
      </w:r>
      <w:r>
        <w:rPr>
          <w:rFonts w:ascii="Times New Roman" w:hAnsi="Times New Roman"/>
          <w:b/>
          <w:noProof/>
          <w:sz w:val="24"/>
        </w:rPr>
        <w:t xml:space="preserve"> </w:t>
      </w:r>
      <w:r>
        <w:rPr>
          <w:rFonts w:ascii="Times New Roman" w:hAnsi="Times New Roman"/>
          <w:noProof/>
          <w:sz w:val="24"/>
        </w:rPr>
        <w:t>offre des flexibilités supplémentaires pour les dépenses consacrées à l’une des trois priorités de la plateforme pour 11 programmes de l’UE. Peu de temps après l’entrée en vigueur du règlement STEP</w:t>
      </w:r>
      <w:r w:rsidRPr="003C16B9">
        <w:rPr>
          <w:rStyle w:val="FootnoteReference"/>
          <w:rFonts w:ascii="Times New Roman" w:eastAsia="Calibri" w:hAnsi="Times New Roman" w:cs="Times New Roman"/>
          <w:noProof/>
          <w:sz w:val="24"/>
          <w:szCs w:val="24"/>
        </w:rPr>
        <w:footnoteReference w:id="30"/>
      </w:r>
      <w:r>
        <w:rPr>
          <w:rFonts w:ascii="Times New Roman" w:hAnsi="Times New Roman"/>
          <w:noProof/>
          <w:sz w:val="24"/>
        </w:rPr>
        <w:t>, la Commission a commencé à fournir un soutien et des orientations aux États membres – au moyen de réunions, de réponses à des questions écrites et de webinaires – sur le fonctionnement de la plateforme STEP afin de tirer le meilleur parti des flexibilités offertes. Comme l’ont prévu les colégislateurs, la Commission a publié, en mai 2024, des orientations</w:t>
      </w:r>
      <w:r w:rsidRPr="003C16B9">
        <w:rPr>
          <w:rStyle w:val="FootnoteReference"/>
          <w:rFonts w:ascii="Times New Roman" w:eastAsiaTheme="minorEastAsia" w:hAnsi="Times New Roman" w:cs="Times New Roman"/>
          <w:noProof/>
          <w:sz w:val="24"/>
          <w:szCs w:val="24"/>
        </w:rPr>
        <w:footnoteReference w:id="31"/>
      </w:r>
      <w:r>
        <w:rPr>
          <w:rFonts w:ascii="Times New Roman" w:hAnsi="Times New Roman"/>
          <w:noProof/>
          <w:sz w:val="24"/>
        </w:rPr>
        <w:t xml:space="preserve"> sur certaines dispositions du règlement STEP, notamment pour préciser ses objectifs et ses secteurs, et illustrer les conditions dans lesquelles les technologies doivent être considérées comme critiques au titre de la plateforme STEP.</w:t>
      </w:r>
    </w:p>
    <w:p w14:paraId="324A8A6F" w14:textId="77777777" w:rsidR="00F204F0" w:rsidRPr="003C16B9" w:rsidRDefault="00F204F0" w:rsidP="00F204F0">
      <w:pPr>
        <w:spacing w:before="120" w:after="120"/>
        <w:jc w:val="both"/>
        <w:rPr>
          <w:rFonts w:ascii="Times New Roman" w:eastAsia="Times New Roman" w:hAnsi="Times New Roman" w:cs="Times New Roman"/>
          <w:noProof/>
          <w:sz w:val="24"/>
          <w:szCs w:val="24"/>
        </w:rPr>
      </w:pPr>
      <w:r>
        <w:rPr>
          <w:rFonts w:ascii="Times New Roman" w:hAnsi="Times New Roman"/>
          <w:noProof/>
          <w:sz w:val="24"/>
        </w:rPr>
        <w:t>En ce qui concerne le fait que le Parlement «invite la Commission à prendre des initiatives telles que l’assistance technique pour augmenter le taux d’absorption dans les États membres de manière permanente» et à «suivre de près l’évolution de la mise en œuvre dans les États membres […] et à fournir une analyse par pays à l’autorité de décharge, en identifiant les problèmes récurrents, ainsi que les mesures prises pour optimiser la situation»</w:t>
      </w:r>
      <w:r w:rsidRPr="003C16B9">
        <w:rPr>
          <w:rStyle w:val="FootnoteReference"/>
          <w:rFonts w:ascii="Times New Roman" w:eastAsia="Times New Roman" w:hAnsi="Times New Roman" w:cs="Times New Roman"/>
          <w:noProof/>
          <w:sz w:val="24"/>
          <w:szCs w:val="24"/>
        </w:rPr>
        <w:footnoteReference w:id="32"/>
      </w:r>
      <w:r>
        <w:rPr>
          <w:rFonts w:ascii="Times New Roman" w:hAnsi="Times New Roman"/>
          <w:noProof/>
          <w:sz w:val="24"/>
        </w:rPr>
        <w:t xml:space="preserve">, la Commission souligne que </w:t>
      </w:r>
      <w:r>
        <w:rPr>
          <w:rFonts w:ascii="Times New Roman" w:hAnsi="Times New Roman"/>
          <w:b/>
          <w:noProof/>
          <w:sz w:val="24"/>
        </w:rPr>
        <w:t>les structures d’absorption varient considérablement en fonction du mode de gestion, du programme et de l’État membre</w:t>
      </w:r>
      <w:r>
        <w:rPr>
          <w:rFonts w:ascii="Times New Roman" w:hAnsi="Times New Roman"/>
          <w:noProof/>
          <w:sz w:val="24"/>
        </w:rPr>
        <w:t xml:space="preserve">. </w:t>
      </w:r>
    </w:p>
    <w:p w14:paraId="70AD9339" w14:textId="3FCD1320" w:rsidR="00F204F0" w:rsidRPr="003C16B9" w:rsidRDefault="00F204F0" w:rsidP="00F204F0">
      <w:pPr>
        <w:spacing w:before="120" w:after="120"/>
        <w:jc w:val="both"/>
        <w:rPr>
          <w:rFonts w:ascii="Times New Roman" w:eastAsia="Calibri" w:hAnsi="Times New Roman" w:cs="Times New Roman"/>
          <w:noProof/>
          <w:sz w:val="24"/>
          <w:szCs w:val="24"/>
        </w:rPr>
      </w:pPr>
      <w:r>
        <w:rPr>
          <w:rFonts w:ascii="Times New Roman" w:hAnsi="Times New Roman"/>
          <w:noProof/>
          <w:sz w:val="24"/>
        </w:rPr>
        <w:t>Pour les programmes mis en œuvre avec les autorités nationales, la Commission contribue, de nombreuses manières, à renforcer leurs capacités administratives et à remédier aux goulets d’étranglement pour ce qui est des investissements, que ce soit au moyen d’une assistance technique au titre de la politique de cohésion, de l’instrument d’appui technique</w:t>
      </w:r>
      <w:r w:rsidR="00173426">
        <w:rPr>
          <w:rStyle w:val="FootnoteReference"/>
          <w:rFonts w:ascii="Times New Roman" w:eastAsia="Times New Roman" w:hAnsi="Times New Roman" w:cs="Times New Roman"/>
          <w:noProof/>
          <w:sz w:val="24"/>
          <w:szCs w:val="24"/>
        </w:rPr>
        <w:footnoteReference w:id="33"/>
      </w:r>
      <w:r>
        <w:rPr>
          <w:rFonts w:ascii="Times New Roman" w:hAnsi="Times New Roman"/>
          <w:noProof/>
          <w:sz w:val="24"/>
        </w:rPr>
        <w:t xml:space="preserve"> ou des mesures soutenues par la FRR. </w:t>
      </w:r>
    </w:p>
    <w:p w14:paraId="4DF5D5D0" w14:textId="77777777" w:rsidR="00F204F0" w:rsidRPr="003C16B9" w:rsidRDefault="00F204F0" w:rsidP="00F204F0">
      <w:pPr>
        <w:spacing w:before="120" w:after="120"/>
        <w:jc w:val="both"/>
        <w:rPr>
          <w:rFonts w:ascii="Times New Roman" w:eastAsia="Calibri" w:hAnsi="Times New Roman" w:cs="Times New Roman"/>
          <w:noProof/>
          <w:sz w:val="24"/>
          <w:szCs w:val="24"/>
        </w:rPr>
      </w:pPr>
      <w:r>
        <w:rPr>
          <w:rFonts w:ascii="Times New Roman" w:hAnsi="Times New Roman"/>
          <w:noProof/>
          <w:sz w:val="24"/>
        </w:rPr>
        <w:t xml:space="preserve">En outre, à la suite de l’adoption des programmes relevant de la politique de cohésion 2021-2027, </w:t>
      </w:r>
      <w:r>
        <w:rPr>
          <w:rFonts w:ascii="Times New Roman" w:hAnsi="Times New Roman"/>
          <w:b/>
          <w:noProof/>
          <w:sz w:val="24"/>
        </w:rPr>
        <w:t>la Commission participe aux travaux des comités de suivi des programmes</w:t>
      </w:r>
      <w:r>
        <w:rPr>
          <w:rFonts w:ascii="Times New Roman" w:hAnsi="Times New Roman"/>
          <w:noProof/>
          <w:sz w:val="24"/>
        </w:rPr>
        <w:t xml:space="preserve">. En cas d’indication de problèmes entravant la bonne mise en œuvre, la Commission conseille l’État membre concerné et coopère avec lui jusqu’à ce que le problème soit résolu. Des plans d’action peuvent être convenus avec les États membres si la mise en œuvre des programmes ou de volets de programmes est lente. </w:t>
      </w:r>
    </w:p>
    <w:p w14:paraId="6B1859D0" w14:textId="62A83D00" w:rsidR="00F204F0" w:rsidRPr="003C16B9" w:rsidRDefault="00F204F0" w:rsidP="00F204F0">
      <w:pPr>
        <w:spacing w:before="120" w:after="120"/>
        <w:jc w:val="both"/>
        <w:rPr>
          <w:rFonts w:ascii="Times New Roman" w:eastAsia="Calibri" w:hAnsi="Times New Roman" w:cs="Times New Roman"/>
          <w:noProof/>
          <w:sz w:val="24"/>
          <w:szCs w:val="24"/>
        </w:rPr>
      </w:pPr>
      <w:r>
        <w:rPr>
          <w:rFonts w:ascii="Times New Roman" w:hAnsi="Times New Roman"/>
          <w:noProof/>
          <w:sz w:val="24"/>
        </w:rPr>
        <w:t xml:space="preserve">La présentation à la Commission de données sur la mise en œuvre des programmes relevant du règlement portant dispositions communes est plus souvent requise que lors de la période de programmation précédente. </w:t>
      </w:r>
      <w:bookmarkStart w:id="6" w:name="_Hlk165884667"/>
      <w:r>
        <w:rPr>
          <w:rFonts w:ascii="Times New Roman" w:hAnsi="Times New Roman"/>
          <w:noProof/>
          <w:sz w:val="24"/>
        </w:rPr>
        <w:t xml:space="preserve">Les données doivent désormais être présentées cinq fois par an, afin de fournir à la Commission des </w:t>
      </w:r>
      <w:r>
        <w:rPr>
          <w:rFonts w:ascii="Times New Roman" w:hAnsi="Times New Roman"/>
          <w:b/>
          <w:noProof/>
          <w:sz w:val="24"/>
        </w:rPr>
        <w:t>données en temps quasi réel sur les progrès accomplis en ce qui concerne la mise en œuvre</w:t>
      </w:r>
      <w:r>
        <w:rPr>
          <w:rFonts w:ascii="Times New Roman" w:hAnsi="Times New Roman"/>
          <w:noProof/>
          <w:sz w:val="24"/>
        </w:rPr>
        <w:t xml:space="preserve"> et de lui permettre d’intensifier rapidement son soutien aux États membres.</w:t>
      </w:r>
      <w:bookmarkEnd w:id="6"/>
      <w:r>
        <w:rPr>
          <w:rFonts w:ascii="Times New Roman" w:hAnsi="Times New Roman"/>
          <w:noProof/>
          <w:sz w:val="24"/>
        </w:rPr>
        <w:t xml:space="preserve"> </w:t>
      </w:r>
    </w:p>
    <w:p w14:paraId="203A64D2" w14:textId="78A2DEB8" w:rsidR="00F204F0" w:rsidRPr="00971277"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 xml:space="preserve">Des données détaillées sur l’absorption par pays sont fournies par programme de dépenses. Pour les programmes les plus importants, des informations sont disponibles: i) dans le </w:t>
      </w:r>
      <w:hyperlink r:id="rId20" w:history="1">
        <w:r>
          <w:rPr>
            <w:rStyle w:val="Hyperlink"/>
            <w:rFonts w:ascii="Times New Roman" w:hAnsi="Times New Roman"/>
            <w:noProof/>
            <w:sz w:val="24"/>
          </w:rPr>
          <w:t>tableau de bord de la facilité pour la reprise et la résilience</w:t>
        </w:r>
      </w:hyperlink>
      <w:r>
        <w:rPr>
          <w:rFonts w:ascii="Times New Roman" w:hAnsi="Times New Roman"/>
          <w:noProof/>
          <w:sz w:val="24"/>
        </w:rPr>
        <w:t xml:space="preserve">; ii) sur la </w:t>
      </w:r>
      <w:hyperlink r:id="rId21" w:history="1">
        <w:r>
          <w:rPr>
            <w:rStyle w:val="Hyperlink"/>
            <w:rFonts w:ascii="Times New Roman" w:hAnsi="Times New Roman"/>
            <w:noProof/>
            <w:sz w:val="24"/>
          </w:rPr>
          <w:t>plateforme de données ouvertes sur la cohésion</w:t>
        </w:r>
        <w:r w:rsidR="006B503D" w:rsidRPr="008011AA">
          <w:rPr>
            <w:rStyle w:val="FootnoteReference"/>
            <w:rFonts w:ascii="Times New Roman" w:hAnsi="Times New Roman" w:cs="Times New Roman"/>
            <w:noProof/>
            <w:sz w:val="24"/>
            <w:szCs w:val="24"/>
          </w:rPr>
          <w:footnoteReference w:id="34"/>
        </w:r>
      </w:hyperlink>
      <w:r>
        <w:rPr>
          <w:rFonts w:ascii="Times New Roman" w:hAnsi="Times New Roman"/>
          <w:noProof/>
          <w:sz w:val="24"/>
        </w:rPr>
        <w:t xml:space="preserve"> et iii) dans le </w:t>
      </w:r>
      <w:hyperlink r:id="rId22" w:history="1">
        <w:r>
          <w:rPr>
            <w:rStyle w:val="Hyperlink"/>
            <w:rFonts w:ascii="Times New Roman" w:hAnsi="Times New Roman"/>
            <w:noProof/>
            <w:sz w:val="24"/>
          </w:rPr>
          <w:t>tableau de bord Horizon</w:t>
        </w:r>
      </w:hyperlink>
      <w:r>
        <w:rPr>
          <w:rFonts w:ascii="Times New Roman" w:hAnsi="Times New Roman"/>
          <w:noProof/>
          <w:color w:val="1F4E79" w:themeColor="accent1" w:themeShade="80"/>
          <w:sz w:val="24"/>
        </w:rPr>
        <w:t xml:space="preserve">. </w:t>
      </w:r>
    </w:p>
    <w:p w14:paraId="0E7DD14B" w14:textId="77777777" w:rsidR="00F204F0" w:rsidRPr="003C16B9" w:rsidRDefault="00F204F0" w:rsidP="00F204F0">
      <w:pPr>
        <w:pStyle w:val="ListParagraph"/>
        <w:numPr>
          <w:ilvl w:val="0"/>
          <w:numId w:val="20"/>
        </w:numPr>
        <w:spacing w:before="120" w:after="120"/>
        <w:ind w:left="357" w:hanging="357"/>
        <w:contextualSpacing w:val="0"/>
        <w:jc w:val="both"/>
        <w:rPr>
          <w:rFonts w:ascii="Times New Roman" w:hAnsi="Times New Roman" w:cs="Times New Roman"/>
          <w:b/>
          <w:bCs/>
          <w:noProof/>
          <w:sz w:val="24"/>
          <w:szCs w:val="24"/>
        </w:rPr>
      </w:pPr>
      <w:r>
        <w:rPr>
          <w:rFonts w:ascii="Times New Roman" w:hAnsi="Times New Roman"/>
          <w:b/>
          <w:noProof/>
          <w:sz w:val="24"/>
        </w:rPr>
        <w:t>Perspectives</w:t>
      </w:r>
    </w:p>
    <w:p w14:paraId="0BD2D7BB" w14:textId="01201371"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 xml:space="preserve">Les enseignements tirés des procédures de décharge précédentes peuvent alimenter les réflexions sur le prochain budget à long terme de l’Union. L’un des principaux enseignements tirés des décharges précédentes est que les conditions de décaissement des fonds ont une incidence directe sur le risque d’erreur. Des règles complexes et des modèles de mise en œuvre trop rigides donnent lieu: i) à une grande partie des erreurs de dépenses; et ii) à une pression exercée sur la capacité administrative des acteurs qui exécutent le budget et de ceux qui en bénéficient. </w:t>
      </w:r>
    </w:p>
    <w:p w14:paraId="32AADE3A" w14:textId="22D36BCA" w:rsidR="00F204F0" w:rsidRPr="003C16B9" w:rsidRDefault="00F204F0" w:rsidP="00F204F0">
      <w:pPr>
        <w:spacing w:before="120" w:after="120"/>
        <w:jc w:val="both"/>
        <w:rPr>
          <w:rFonts w:ascii="Times New Roman" w:hAnsi="Times New Roman" w:cs="Times New Roman"/>
          <w:noProof/>
          <w:sz w:val="24"/>
          <w:szCs w:val="24"/>
        </w:rPr>
      </w:pPr>
      <w:r>
        <w:rPr>
          <w:rFonts w:ascii="Times New Roman" w:hAnsi="Times New Roman"/>
          <w:noProof/>
          <w:sz w:val="24"/>
        </w:rPr>
        <w:t>La préparation du prochain CFP sera l’occasion d’étudier les moyens de simplifier davantage les mécanismes de mise en œuvre et de réduire la charge administrative pesant sur les autorités de l’UE et les autorités nationales chargées de l’exécution du budget, ainsi que la charge administrative pesant sur les bénéficiaires, tout en continuant à mettre fortement l’accent sur la bonne gestion financière et la performance du budget de l’Union.</w:t>
      </w:r>
    </w:p>
    <w:p w14:paraId="05004A1E" w14:textId="77777777" w:rsidR="002434E7" w:rsidRPr="005D3D4B" w:rsidRDefault="002434E7" w:rsidP="00CB12C0">
      <w:pPr>
        <w:jc w:val="both"/>
        <w:rPr>
          <w:rFonts w:ascii="Times New Roman" w:hAnsi="Times New Roman" w:cs="Times New Roman"/>
          <w:noProof/>
          <w:sz w:val="24"/>
          <w:szCs w:val="24"/>
          <w:shd w:val="clear" w:color="auto" w:fill="FEFFFF"/>
        </w:rPr>
      </w:pPr>
    </w:p>
    <w:p w14:paraId="772826A7" w14:textId="77777777" w:rsidR="002434E7" w:rsidRPr="005D3D4B" w:rsidRDefault="002434E7" w:rsidP="00CB12C0">
      <w:pPr>
        <w:pStyle w:val="ListParagraph"/>
        <w:jc w:val="center"/>
        <w:rPr>
          <w:rFonts w:ascii="Times New Roman" w:hAnsi="Times New Roman" w:cs="Times New Roman"/>
          <w:noProof/>
          <w:sz w:val="24"/>
          <w:szCs w:val="24"/>
        </w:rPr>
      </w:pPr>
      <w:r>
        <w:rPr>
          <w:rFonts w:ascii="Times New Roman" w:hAnsi="Times New Roman"/>
          <w:noProof/>
          <w:sz w:val="24"/>
        </w:rPr>
        <w:t>* * *</w:t>
      </w:r>
    </w:p>
    <w:sectPr w:rsidR="002434E7" w:rsidRPr="005D3D4B" w:rsidSect="00F17AAE">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B38EC" w14:textId="77777777" w:rsidR="008D4884" w:rsidRDefault="008D4884" w:rsidP="00F17AAE">
      <w:pPr>
        <w:spacing w:after="0" w:line="240" w:lineRule="auto"/>
      </w:pPr>
      <w:r>
        <w:separator/>
      </w:r>
    </w:p>
  </w:endnote>
  <w:endnote w:type="continuationSeparator" w:id="0">
    <w:p w14:paraId="410210A9" w14:textId="77777777" w:rsidR="008D4884" w:rsidRDefault="008D4884" w:rsidP="00F17AAE">
      <w:pPr>
        <w:spacing w:after="0" w:line="240" w:lineRule="auto"/>
      </w:pPr>
      <w:r>
        <w:continuationSeparator/>
      </w:r>
    </w:p>
  </w:endnote>
  <w:endnote w:type="continuationNotice" w:id="1">
    <w:p w14:paraId="21A968A3" w14:textId="77777777" w:rsidR="008D4884" w:rsidRDefault="008D48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DABBE" w14:textId="7E5A5F04" w:rsidR="00A51D5F" w:rsidRPr="00A51D5F" w:rsidRDefault="00A51D5F" w:rsidP="00A51D5F">
    <w:pPr>
      <w:pStyle w:val="FooterCoverPage"/>
      <w:rPr>
        <w:rFonts w:ascii="Arial" w:hAnsi="Arial" w:cs="Arial"/>
        <w:b/>
        <w:sz w:val="48"/>
      </w:rPr>
    </w:pPr>
    <w:r w:rsidRPr="00A51D5F">
      <w:rPr>
        <w:rFonts w:ascii="Arial" w:hAnsi="Arial" w:cs="Arial"/>
        <w:b/>
        <w:sz w:val="48"/>
      </w:rPr>
      <w:t>FR</w:t>
    </w:r>
    <w:r w:rsidRPr="00A51D5F">
      <w:rPr>
        <w:rFonts w:ascii="Arial" w:hAnsi="Arial" w:cs="Arial"/>
        <w:b/>
        <w:sz w:val="48"/>
      </w:rPr>
      <w:tab/>
    </w:r>
    <w:r w:rsidRPr="00A51D5F">
      <w:rPr>
        <w:rFonts w:ascii="Arial" w:hAnsi="Arial" w:cs="Arial"/>
        <w:b/>
        <w:sz w:val="48"/>
      </w:rPr>
      <w:tab/>
    </w:r>
    <w:r w:rsidRPr="00A51D5F">
      <w:tab/>
    </w:r>
    <w:r w:rsidRPr="00A51D5F">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AF6B2" w14:textId="6A1B377D" w:rsidR="00A51D5F" w:rsidRPr="00A51D5F" w:rsidRDefault="00A51D5F" w:rsidP="00A51D5F">
    <w:pPr>
      <w:pStyle w:val="FooterCoverPage"/>
      <w:rPr>
        <w:rFonts w:ascii="Arial" w:hAnsi="Arial" w:cs="Arial"/>
        <w:b/>
        <w:sz w:val="48"/>
      </w:rPr>
    </w:pPr>
    <w:r w:rsidRPr="00A51D5F">
      <w:rPr>
        <w:rFonts w:ascii="Arial" w:hAnsi="Arial" w:cs="Arial"/>
        <w:b/>
        <w:sz w:val="48"/>
      </w:rPr>
      <w:t>FR</w:t>
    </w:r>
    <w:r w:rsidRPr="00A51D5F">
      <w:rPr>
        <w:rFonts w:ascii="Arial" w:hAnsi="Arial" w:cs="Arial"/>
        <w:b/>
        <w:sz w:val="48"/>
      </w:rPr>
      <w:tab/>
    </w:r>
    <w:r w:rsidRPr="00A51D5F">
      <w:rPr>
        <w:rFonts w:ascii="Arial" w:hAnsi="Arial" w:cs="Arial"/>
        <w:b/>
        <w:sz w:val="48"/>
      </w:rPr>
      <w:tab/>
    </w:r>
    <w:r w:rsidRPr="00A51D5F">
      <w:tab/>
    </w:r>
    <w:r w:rsidRPr="00A51D5F">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5A838" w14:textId="77777777" w:rsidR="00A51D5F" w:rsidRPr="00A51D5F" w:rsidRDefault="00A51D5F" w:rsidP="00A51D5F">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C57F1" w14:textId="77777777" w:rsidR="00F17AAE" w:rsidRDefault="00F17AA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217984"/>
      <w:docPartObj>
        <w:docPartGallery w:val="Page Numbers (Bottom of Page)"/>
        <w:docPartUnique/>
      </w:docPartObj>
    </w:sdtPr>
    <w:sdtEndPr>
      <w:rPr>
        <w:noProof/>
      </w:rPr>
    </w:sdtEndPr>
    <w:sdtContent>
      <w:p w14:paraId="7F079B08" w14:textId="41F74BD6" w:rsidR="00CA6ECF" w:rsidRDefault="00CA6ECF">
        <w:pPr>
          <w:pStyle w:val="Footer"/>
          <w:jc w:val="center"/>
        </w:pPr>
        <w:r>
          <w:fldChar w:fldCharType="begin"/>
        </w:r>
        <w:r>
          <w:instrText xml:space="preserve"> PAGE   \* MERGEFORMAT </w:instrText>
        </w:r>
        <w:r>
          <w:fldChar w:fldCharType="separate"/>
        </w:r>
        <w:r w:rsidR="00A51D5F">
          <w:rPr>
            <w:noProof/>
          </w:rPr>
          <w:t>1</w:t>
        </w:r>
        <w:r>
          <w:fldChar w:fldCharType="end"/>
        </w:r>
      </w:p>
    </w:sdtContent>
  </w:sdt>
  <w:p w14:paraId="61D36DA7" w14:textId="77777777" w:rsidR="00F17AAE" w:rsidRDefault="00F17A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DC039" w14:textId="77777777" w:rsidR="00F17AAE" w:rsidRDefault="00F17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A1425" w14:textId="77777777" w:rsidR="008D4884" w:rsidRDefault="008D4884" w:rsidP="00F17AAE">
      <w:pPr>
        <w:spacing w:after="0" w:line="240" w:lineRule="auto"/>
      </w:pPr>
      <w:r>
        <w:separator/>
      </w:r>
    </w:p>
  </w:footnote>
  <w:footnote w:type="continuationSeparator" w:id="0">
    <w:p w14:paraId="5B708BB1" w14:textId="77777777" w:rsidR="008D4884" w:rsidRDefault="008D4884" w:rsidP="00F17AAE">
      <w:pPr>
        <w:spacing w:after="0" w:line="240" w:lineRule="auto"/>
      </w:pPr>
      <w:r>
        <w:continuationSeparator/>
      </w:r>
    </w:p>
  </w:footnote>
  <w:footnote w:type="continuationNotice" w:id="1">
    <w:p w14:paraId="67B338B7" w14:textId="77777777" w:rsidR="008D4884" w:rsidRDefault="008D4884">
      <w:pPr>
        <w:spacing w:after="0" w:line="240" w:lineRule="auto"/>
      </w:pPr>
    </w:p>
  </w:footnote>
  <w:footnote w:id="2">
    <w:p w14:paraId="1BB65125" w14:textId="2CE916BD" w:rsidR="000F406B" w:rsidRPr="00FC4137" w:rsidRDefault="000F406B" w:rsidP="007A062D">
      <w:pPr>
        <w:pStyle w:val="FootnoteText"/>
        <w:jc w:val="both"/>
        <w:rPr>
          <w:rFonts w:ascii="Times New Roman" w:hAnsi="Times New Roman" w:cs="Times New Roman"/>
          <w:lang w:val="en-IE"/>
        </w:rPr>
      </w:pPr>
      <w:r>
        <w:rPr>
          <w:rStyle w:val="FootnoteReference"/>
          <w:rFonts w:ascii="Times New Roman" w:hAnsi="Times New Roman" w:cs="Times New Roman"/>
        </w:rPr>
        <w:footnoteRef/>
      </w:r>
      <w:r w:rsidRPr="00FC4137">
        <w:rPr>
          <w:rFonts w:ascii="Times New Roman" w:hAnsi="Times New Roman"/>
          <w:lang w:val="en-IE"/>
        </w:rPr>
        <w:t xml:space="preserve"> COM(2023) 234 final.</w:t>
      </w:r>
    </w:p>
  </w:footnote>
  <w:footnote w:id="3">
    <w:p w14:paraId="17C894DD" w14:textId="6DEF7CDE" w:rsidR="005B3A81" w:rsidRPr="00FC4137" w:rsidRDefault="005B3A81" w:rsidP="00F526CE">
      <w:pPr>
        <w:pStyle w:val="FootnoteText"/>
        <w:jc w:val="both"/>
        <w:rPr>
          <w:rFonts w:ascii="Times New Roman" w:hAnsi="Times New Roman" w:cs="Times New Roman"/>
          <w:lang w:val="en-IE"/>
        </w:rPr>
      </w:pPr>
      <w:r>
        <w:rPr>
          <w:rStyle w:val="FootnoteReference"/>
          <w:rFonts w:ascii="Times New Roman" w:hAnsi="Times New Roman" w:cs="Times New Roman"/>
        </w:rPr>
        <w:footnoteRef/>
      </w:r>
      <w:r w:rsidRPr="00FC4137">
        <w:rPr>
          <w:rFonts w:ascii="Times New Roman" w:hAnsi="Times New Roman"/>
          <w:lang w:val="en-IE"/>
        </w:rPr>
        <w:t xml:space="preserve"> JOIN(2023) 12 final.</w:t>
      </w:r>
    </w:p>
  </w:footnote>
  <w:footnote w:id="4">
    <w:p w14:paraId="41B7B581" w14:textId="60787C44" w:rsidR="00D44A45" w:rsidRPr="00FC4137" w:rsidRDefault="00D44A45" w:rsidP="00AD5F7E">
      <w:pPr>
        <w:pStyle w:val="FootnoteText"/>
        <w:jc w:val="both"/>
        <w:rPr>
          <w:lang w:val="en-IE"/>
        </w:rPr>
      </w:pPr>
      <w:r>
        <w:rPr>
          <w:rStyle w:val="FootnoteReference"/>
        </w:rPr>
        <w:footnoteRef/>
      </w:r>
      <w:r w:rsidRPr="00FC4137">
        <w:rPr>
          <w:lang w:val="en-IE"/>
        </w:rPr>
        <w:t xml:space="preserve"> Règlement (UE, Euratom) 2020/2092.</w:t>
      </w:r>
    </w:p>
  </w:footnote>
  <w:footnote w:id="5">
    <w:p w14:paraId="601C20E0" w14:textId="7E2F77F8" w:rsidR="00F204F0" w:rsidRPr="00130F7A" w:rsidRDefault="00F204F0" w:rsidP="00AD5F7E">
      <w:pPr>
        <w:pStyle w:val="FootnoteText"/>
        <w:jc w:val="both"/>
      </w:pPr>
      <w:r>
        <w:rPr>
          <w:rStyle w:val="FootnoteReference"/>
          <w:rFonts w:ascii="Times New Roman" w:hAnsi="Times New Roman"/>
        </w:rPr>
        <w:footnoteRef/>
      </w:r>
      <w:r>
        <w:rPr>
          <w:rFonts w:ascii="Times New Roman" w:hAnsi="Times New Roman"/>
        </w:rPr>
        <w:t xml:space="preserve"> </w:t>
      </w:r>
      <w:hyperlink r:id="rId1" w:history="1">
        <w:r>
          <w:rPr>
            <w:rStyle w:val="Hyperlink"/>
          </w:rPr>
          <w:t>Décision du Parlement européen du 11 avril 2024 concernant la décharge sur l’exécution du budget général de l’Union européenne pour l’exercice 2022, section III — Commission et agences exécutives</w:t>
        </w:r>
      </w:hyperlink>
      <w:r>
        <w:t xml:space="preserve"> </w:t>
      </w:r>
      <w:r>
        <w:rPr>
          <w:rFonts w:ascii="Times New Roman" w:hAnsi="Times New Roman"/>
          <w:sz w:val="24"/>
        </w:rPr>
        <w:t xml:space="preserve">– </w:t>
      </w:r>
      <w:r>
        <w:t>2023/2129(DEC)</w:t>
      </w:r>
      <w:r>
        <w:rPr>
          <w:rFonts w:ascii="Times New Roman" w:hAnsi="Times New Roman"/>
        </w:rPr>
        <w:t>.</w:t>
      </w:r>
    </w:p>
  </w:footnote>
  <w:footnote w:id="6">
    <w:p w14:paraId="322607FE" w14:textId="77777777" w:rsidR="00F204F0" w:rsidRPr="00130F7A" w:rsidRDefault="00F204F0" w:rsidP="00AD5F7E">
      <w:pPr>
        <w:pStyle w:val="FootnoteText"/>
        <w:jc w:val="both"/>
      </w:pPr>
      <w:r>
        <w:rPr>
          <w:rStyle w:val="FootnoteReference"/>
          <w:rFonts w:ascii="Times New Roman" w:hAnsi="Times New Roman"/>
        </w:rPr>
        <w:footnoteRef/>
      </w:r>
      <w:r>
        <w:rPr>
          <w:rFonts w:ascii="Times New Roman" w:hAnsi="Times New Roman"/>
        </w:rPr>
        <w:t xml:space="preserve"> </w:t>
      </w:r>
      <w:hyperlink r:id="rId2" w:history="1">
        <w:r>
          <w:rPr>
            <w:rStyle w:val="Hyperlink"/>
          </w:rPr>
          <w:t>Recommandation du Conseil concernant la décharge à donner à la Commission sur l'exécution du budget général de l’Union européenne pour l’exercice 2022</w:t>
        </w:r>
      </w:hyperlink>
      <w:r>
        <w:rPr>
          <w:rFonts w:ascii="Times New Roman" w:hAnsi="Times New Roman"/>
        </w:rPr>
        <w:t xml:space="preserve"> (</w:t>
      </w:r>
      <w:r>
        <w:t>6179/24</w:t>
      </w:r>
      <w:r>
        <w:rPr>
          <w:rFonts w:ascii="Times New Roman" w:hAnsi="Times New Roman"/>
        </w:rPr>
        <w:t>).</w:t>
      </w:r>
    </w:p>
  </w:footnote>
  <w:footnote w:id="7">
    <w:p w14:paraId="780D7436" w14:textId="2BF469EE" w:rsidR="00F204F0" w:rsidRPr="00130F7A" w:rsidRDefault="00F204F0" w:rsidP="00AD5F7E">
      <w:pPr>
        <w:pStyle w:val="FootnoteText"/>
        <w:jc w:val="both"/>
      </w:pPr>
      <w:r>
        <w:rPr>
          <w:rStyle w:val="FootnoteReference"/>
          <w:rFonts w:ascii="Times New Roman" w:hAnsi="Times New Roman"/>
        </w:rPr>
        <w:footnoteRef/>
      </w:r>
      <w:r>
        <w:rPr>
          <w:rFonts w:ascii="Times New Roman" w:hAnsi="Times New Roman"/>
        </w:rPr>
        <w:t xml:space="preserve"> </w:t>
      </w:r>
      <w:r>
        <w:t>Voir paragraphe 11 </w:t>
      </w:r>
      <w:r>
        <w:rPr>
          <w:rFonts w:ascii="Times New Roman" w:hAnsi="Times New Roman"/>
          <w:sz w:val="24"/>
        </w:rPr>
        <w:t xml:space="preserve">– </w:t>
      </w:r>
      <w:r>
        <w:t xml:space="preserve"> 2023/2129 (DEC). </w:t>
      </w:r>
    </w:p>
  </w:footnote>
  <w:footnote w:id="8">
    <w:p w14:paraId="37302CC3" w14:textId="01E4C654" w:rsidR="00F204F0" w:rsidRPr="00130F7A" w:rsidRDefault="00F204F0" w:rsidP="00AD5F7E">
      <w:pPr>
        <w:pStyle w:val="FootnoteText"/>
        <w:jc w:val="both"/>
      </w:pPr>
      <w:r>
        <w:rPr>
          <w:rStyle w:val="FootnoteReference"/>
        </w:rPr>
        <w:footnoteRef/>
      </w:r>
      <w:r>
        <w:t xml:space="preserve"> Communication de la Commission au Parlement européen et au Conseil sur l’application du règlement (UE, Euratom) 2020/2092 du Parlement européen et du Conseil du 16 décembre 2020 relatif à un régime général de conditionnalité pour la protection du budget de l’Union </w:t>
      </w:r>
      <w:r>
        <w:rPr>
          <w:rFonts w:ascii="Times New Roman" w:hAnsi="Times New Roman"/>
          <w:sz w:val="24"/>
        </w:rPr>
        <w:t xml:space="preserve">– </w:t>
      </w:r>
      <w:r>
        <w:t>COM(2024) 17. Un rectificatif a été publié le 23 février 2024, sous la référence COM(2024) 17 final/2.</w:t>
      </w:r>
    </w:p>
  </w:footnote>
  <w:footnote w:id="9">
    <w:p w14:paraId="58CE0D4B" w14:textId="22515ADE" w:rsidR="00AD5F7E" w:rsidRPr="00AD5F7E" w:rsidRDefault="00AD5F7E">
      <w:pPr>
        <w:pStyle w:val="FootnoteText"/>
      </w:pPr>
      <w:r>
        <w:rPr>
          <w:rStyle w:val="FootnoteReference"/>
        </w:rPr>
        <w:footnoteRef/>
      </w:r>
      <w:r>
        <w:t xml:space="preserve"> Voir paragraphe 11 – 2023/2129(DEC).</w:t>
      </w:r>
    </w:p>
  </w:footnote>
  <w:footnote w:id="10">
    <w:p w14:paraId="4E31F31B" w14:textId="0C7B79B3" w:rsidR="00F204F0" w:rsidRPr="00130F7A" w:rsidRDefault="00F204F0" w:rsidP="00130F7A">
      <w:pPr>
        <w:pStyle w:val="FootnoteText"/>
      </w:pPr>
      <w:r>
        <w:rPr>
          <w:rStyle w:val="FootnoteReference"/>
          <w:rFonts w:ascii="Times New Roman" w:hAnsi="Times New Roman"/>
        </w:rPr>
        <w:footnoteRef/>
      </w:r>
      <w:r>
        <w:rPr>
          <w:rFonts w:ascii="Times New Roman" w:hAnsi="Times New Roman"/>
        </w:rPr>
        <w:t xml:space="preserve"> </w:t>
      </w:r>
      <w:r>
        <w:t>Règlement (UE) 2021/1060</w:t>
      </w:r>
      <w:r>
        <w:rPr>
          <w:rFonts w:ascii="Times New Roman" w:hAnsi="Times New Roman"/>
        </w:rPr>
        <w:t>.</w:t>
      </w:r>
    </w:p>
  </w:footnote>
  <w:footnote w:id="11">
    <w:p w14:paraId="6D482A79" w14:textId="77777777" w:rsidR="00F204F0" w:rsidRPr="00130F7A" w:rsidRDefault="00F204F0" w:rsidP="00130F7A">
      <w:pPr>
        <w:pStyle w:val="FootnoteText"/>
      </w:pPr>
      <w:r>
        <w:rPr>
          <w:rStyle w:val="FootnoteReference"/>
          <w:rFonts w:ascii="Times New Roman" w:hAnsi="Times New Roman"/>
        </w:rPr>
        <w:footnoteRef/>
      </w:r>
      <w:r>
        <w:rPr>
          <w:rFonts w:ascii="Times New Roman" w:hAnsi="Times New Roman"/>
        </w:rPr>
        <w:t xml:space="preserve"> </w:t>
      </w:r>
      <w:r>
        <w:t>La condition favorisante horizontale relative à la charte exige des États membres qu’ils mettent en œuvre leurs programmes de dépenses d’une manière qui respecte la charte des droits fondamentaux de l’Union européenne. Voir annexe III du règlement (UE) 2021/1060.</w:t>
      </w:r>
      <w:r>
        <w:rPr>
          <w:rFonts w:ascii="Times New Roman" w:hAnsi="Times New Roman"/>
        </w:rPr>
        <w:t xml:space="preserve"> </w:t>
      </w:r>
    </w:p>
  </w:footnote>
  <w:footnote w:id="12">
    <w:p w14:paraId="049251BB" w14:textId="064DB8DA" w:rsidR="00F204F0" w:rsidRPr="00130F7A" w:rsidRDefault="00F204F0" w:rsidP="00130F7A">
      <w:pPr>
        <w:pStyle w:val="FootnoteText"/>
      </w:pPr>
      <w:r>
        <w:rPr>
          <w:rStyle w:val="FootnoteReference"/>
          <w:rFonts w:ascii="Times New Roman" w:hAnsi="Times New Roman"/>
        </w:rPr>
        <w:footnoteRef/>
      </w:r>
      <w:r>
        <w:rPr>
          <w:rFonts w:ascii="Times New Roman" w:hAnsi="Times New Roman"/>
        </w:rPr>
        <w:t xml:space="preserve"> Voir paragraphe 12 – 2023/2129(DEC).</w:t>
      </w:r>
    </w:p>
  </w:footnote>
  <w:footnote w:id="13">
    <w:p w14:paraId="7C562A74" w14:textId="5F0FF9ED" w:rsidR="00F204F0" w:rsidRPr="00130F7A" w:rsidRDefault="00F204F0" w:rsidP="00130F7A">
      <w:pPr>
        <w:pStyle w:val="FootnoteText"/>
      </w:pPr>
      <w:r>
        <w:rPr>
          <w:rStyle w:val="FootnoteReference"/>
          <w:rFonts w:ascii="Times New Roman" w:hAnsi="Times New Roman"/>
        </w:rPr>
        <w:footnoteRef/>
      </w:r>
      <w:r>
        <w:rPr>
          <w:rFonts w:ascii="Times New Roman" w:hAnsi="Times New Roman"/>
        </w:rPr>
        <w:t xml:space="preserve"> Europol, Eurojust, les services de coordination antifraude des États membres, la Commission et la Cour des comptes européenne.</w:t>
      </w:r>
    </w:p>
  </w:footnote>
  <w:footnote w:id="14">
    <w:p w14:paraId="10A794D6" w14:textId="6873529E" w:rsidR="00F204F0" w:rsidRPr="00417B51" w:rsidRDefault="00F204F0" w:rsidP="00130F7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Règlement (UE, Euratom) nº 883/2013.</w:t>
      </w:r>
    </w:p>
  </w:footnote>
  <w:footnote w:id="15">
    <w:p w14:paraId="0805906A" w14:textId="394EEDC1" w:rsidR="00F204F0" w:rsidRPr="00417B51" w:rsidRDefault="00F204F0" w:rsidP="00130F7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Règlement (UE) 2017/1939 du Conseil.</w:t>
      </w:r>
    </w:p>
  </w:footnote>
  <w:footnote w:id="16">
    <w:p w14:paraId="5881EE99" w14:textId="59B8543F" w:rsidR="00F204F0" w:rsidRPr="00130F7A" w:rsidRDefault="00F204F0" w:rsidP="00130F7A">
      <w:pPr>
        <w:pStyle w:val="FootnoteText"/>
      </w:pPr>
      <w:r>
        <w:rPr>
          <w:rStyle w:val="FootnoteReference"/>
          <w:rFonts w:ascii="Times New Roman" w:hAnsi="Times New Roman" w:cs="Times New Roman"/>
        </w:rPr>
        <w:footnoteRef/>
      </w:r>
      <w:r>
        <w:rPr>
          <w:rFonts w:ascii="Times New Roman" w:hAnsi="Times New Roman"/>
        </w:rPr>
        <w:t xml:space="preserve"> Voir paragraphe 17 – 2023/2129(DEC).</w:t>
      </w:r>
    </w:p>
  </w:footnote>
  <w:footnote w:id="17">
    <w:p w14:paraId="05BAFD8C" w14:textId="773A6D60" w:rsidR="00F204F0" w:rsidRPr="00417B51" w:rsidRDefault="00F204F0" w:rsidP="00130F7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Voir paragraphe 4 – 2023/2129(DEC).</w:t>
      </w:r>
    </w:p>
  </w:footnote>
  <w:footnote w:id="18">
    <w:p w14:paraId="3B8555D0" w14:textId="6BFD6C0E" w:rsidR="001761F6" w:rsidRPr="00417B51" w:rsidRDefault="001761F6" w:rsidP="001761F6">
      <w:pPr>
        <w:spacing w:after="0" w:line="257" w:lineRule="auto"/>
        <w:jc w:val="both"/>
        <w:rPr>
          <w:rFonts w:ascii="Times New Roman" w:eastAsia="Calibri"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Orientations sur les plans pour la reprise et la résilience du 31 mai 2024</w:t>
      </w:r>
    </w:p>
  </w:footnote>
  <w:footnote w:id="19">
    <w:p w14:paraId="719D8FB1" w14:textId="14333DDD" w:rsidR="00F204F0" w:rsidRPr="00417B51" w:rsidRDefault="00F204F0" w:rsidP="00130F7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Voir paragraphe 8 – 2023/2129(DEC).</w:t>
      </w:r>
    </w:p>
  </w:footnote>
  <w:footnote w:id="20">
    <w:p w14:paraId="3D0D0DAB" w14:textId="4AC8A92D" w:rsidR="008011AA" w:rsidRPr="008011AA" w:rsidRDefault="008011AA">
      <w:pPr>
        <w:pStyle w:val="FootnoteText"/>
      </w:pPr>
      <w:r>
        <w:rPr>
          <w:rStyle w:val="FootnoteReference"/>
        </w:rPr>
        <w:footnoteRef/>
      </w:r>
      <w:r>
        <w:t xml:space="preserve"> </w:t>
      </w:r>
      <w:r>
        <w:rPr>
          <w:rFonts w:ascii="Times New Roman" w:hAnsi="Times New Roman"/>
        </w:rPr>
        <w:t>Voir paragraphe 7 – 2023/2129 (DEC).</w:t>
      </w:r>
    </w:p>
  </w:footnote>
  <w:footnote w:id="21">
    <w:p w14:paraId="449E5D1B" w14:textId="7DB69E60" w:rsidR="00F204F0" w:rsidRPr="00130F7A" w:rsidRDefault="00F204F0" w:rsidP="00F204F0">
      <w:pPr>
        <w:pStyle w:val="FootnoteText"/>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Preliminary evaluation of the support provided by ESF and FEAD under the Coronavirus Response Investment Initiatives (CRII and CRII+) [Évaluation préliminaire du soutien apporté par le FSE et le FEAD au titre des initiatives d’investissement en réaction au coronavirus (CRII et CRII+)]</w:t>
        </w:r>
      </w:hyperlink>
      <w:r>
        <w:rPr>
          <w:rFonts w:ascii="Times New Roman" w:hAnsi="Times New Roman"/>
        </w:rPr>
        <w:t> – SWD(2023) 249.</w:t>
      </w:r>
    </w:p>
  </w:footnote>
  <w:footnote w:id="22">
    <w:p w14:paraId="0A66AC8E" w14:textId="77777777" w:rsidR="00F204F0" w:rsidRPr="00F526CE" w:rsidRDefault="00F204F0" w:rsidP="008011A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L’action de cohésion pour les réfugiés en Europe (CARE), l’initiative CARE+, l’assistance flexible aux territoires (FAST-CARE) et les mesures de l’initiative SAFE (Supporting Affordable Energy – soutien à l’énergie abordable).</w:t>
      </w:r>
    </w:p>
  </w:footnote>
  <w:footnote w:id="23">
    <w:p w14:paraId="1FF66B9A" w14:textId="77777777" w:rsidR="00F204F0" w:rsidRPr="00F526CE" w:rsidRDefault="00F204F0" w:rsidP="008011A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Voir paragraphe 3 de la recommandation du Conseil sur la décharge (6179/24)</w:t>
      </w:r>
      <w:r>
        <w:t>.</w:t>
      </w:r>
    </w:p>
  </w:footnote>
  <w:footnote w:id="24">
    <w:p w14:paraId="4B8AA645" w14:textId="77777777" w:rsidR="00F204F0" w:rsidRPr="00F526CE" w:rsidRDefault="00F204F0" w:rsidP="008011A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Les indicateurs de performance de base sont énumérés dans l’annexe des règlements qui sous-tendent chaque programme de dépenses. </w:t>
      </w:r>
    </w:p>
  </w:footnote>
  <w:footnote w:id="25">
    <w:p w14:paraId="21198F2B" w14:textId="7A24FE3F" w:rsidR="00F204F0" w:rsidRPr="00F526CE" w:rsidRDefault="00F204F0" w:rsidP="008011A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européenne, direction générale du budget, «Green bonds – Impact and allocation report – NGEU report 2023» (Obligation vertes – Rapport d’impact et d’affectation – Rapport NextGenerationEU 2023), Office des publications de l’Union européenne, 2023.</w:t>
      </w:r>
    </w:p>
  </w:footnote>
  <w:footnote w:id="26">
    <w:p w14:paraId="6C961FE3" w14:textId="2E702F5B" w:rsidR="00F204F0" w:rsidRPr="00F526CE" w:rsidRDefault="00F204F0" w:rsidP="008011A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Voir paragraphe 16 - 2023/2129(DEC).</w:t>
      </w:r>
    </w:p>
  </w:footnote>
  <w:footnote w:id="27">
    <w:p w14:paraId="56523B4E" w14:textId="20D57839" w:rsidR="00F204F0" w:rsidRPr="00F526CE" w:rsidRDefault="00F204F0" w:rsidP="008011A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Voir paragraphe 18 - 2023/2129(DEC).</w:t>
      </w:r>
    </w:p>
  </w:footnote>
  <w:footnote w:id="28">
    <w:p w14:paraId="2BB9F248" w14:textId="77777777" w:rsidR="00F204F0" w:rsidRPr="00130F7A" w:rsidRDefault="00F204F0" w:rsidP="008011AA">
      <w:pPr>
        <w:pStyle w:val="FootnoteText"/>
        <w:jc w:val="both"/>
      </w:pPr>
      <w:r>
        <w:rPr>
          <w:rStyle w:val="FootnoteReference"/>
          <w:rFonts w:ascii="Times New Roman" w:hAnsi="Times New Roman" w:cs="Times New Roman"/>
        </w:rPr>
        <w:footnoteRef/>
      </w:r>
      <w:r>
        <w:rPr>
          <w:rFonts w:ascii="Times New Roman" w:hAnsi="Times New Roman"/>
        </w:rPr>
        <w:t xml:space="preserve"> De plus amples informations sur le niveau du RAL sont disponibles: i) dans les comptes annuels de l’Union pour 2023; ii) dans le document de travail V joint au projet de budget 2025; et iii) dans le rapport annuel sur les prévisions à long terme concernant les entrées et les sorties futures du budget de l’Union 2025-2029. La Commission fournit également des informations pertinentes au Parlement et au Conseil lors de réunions spécifiques qui se tiennent trois fois par an.</w:t>
      </w:r>
    </w:p>
  </w:footnote>
  <w:footnote w:id="29">
    <w:p w14:paraId="179090EC" w14:textId="77777777" w:rsidR="00F204F0" w:rsidRPr="00F526CE" w:rsidRDefault="00F204F0" w:rsidP="00F526C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 plateforme «Technologies stratégiques pour l’Europe» (STEP) a été créée en mars 2024 pour soutenir l’industrie européenne et stimuler les investissements dans les technologies critiques en Europe. La plateforme STEP permettra de lever des fonds et d’orienter les financements de 11 programmes de l’UE dans trois domaines d’investissement cibles: i) les technologies numériques et l’innovation de très haute technologie; ii) les technologies propres et économes en ressources; et iii) les biotechnologies. </w:t>
      </w:r>
    </w:p>
  </w:footnote>
  <w:footnote w:id="30">
    <w:p w14:paraId="20145C44" w14:textId="11144DA6" w:rsidR="00F204F0" w:rsidRPr="00F526CE" w:rsidRDefault="00F204F0" w:rsidP="00F526C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Règlement (UE) 2024/795.</w:t>
      </w:r>
    </w:p>
  </w:footnote>
  <w:footnote w:id="31">
    <w:p w14:paraId="48246ED3" w14:textId="701BF7B6" w:rsidR="00F204F0" w:rsidRPr="00F526CE" w:rsidRDefault="00F204F0" w:rsidP="00F526C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Hyperlink"/>
          <w:rFonts w:ascii="Times New Roman" w:hAnsi="Times New Roman"/>
          <w:u w:val="none"/>
        </w:rPr>
        <w:t>C/2024/3148</w:t>
      </w:r>
      <w:r>
        <w:rPr>
          <w:rStyle w:val="Hyperlink"/>
          <w:u w:val="none"/>
        </w:rPr>
        <w:t>.</w:t>
      </w:r>
    </w:p>
  </w:footnote>
  <w:footnote w:id="32">
    <w:p w14:paraId="38BC717D" w14:textId="26E8B479" w:rsidR="00F204F0" w:rsidRPr="00F526CE" w:rsidRDefault="00F204F0" w:rsidP="00F526C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Voir paragraphe 19 </w:t>
      </w:r>
      <w:r>
        <w:rPr>
          <w:rFonts w:ascii="Times New Roman" w:hAnsi="Times New Roman"/>
          <w:sz w:val="24"/>
        </w:rPr>
        <w:t xml:space="preserve">– </w:t>
      </w:r>
      <w:r>
        <w:rPr>
          <w:rFonts w:ascii="Times New Roman" w:hAnsi="Times New Roman"/>
        </w:rPr>
        <w:t>2023/2129(DEC).</w:t>
      </w:r>
    </w:p>
  </w:footnote>
  <w:footnote w:id="33">
    <w:p w14:paraId="0D5C99F9" w14:textId="7E882FDB" w:rsidR="00173426" w:rsidRPr="00BE6F14" w:rsidRDefault="00173426" w:rsidP="00F526CE">
      <w:pPr>
        <w:pStyle w:val="FootnoteText"/>
        <w:jc w:val="both"/>
      </w:pPr>
      <w:r>
        <w:rPr>
          <w:rStyle w:val="FootnoteReference"/>
          <w:rFonts w:ascii="Times New Roman" w:hAnsi="Times New Roman" w:cs="Times New Roman"/>
        </w:rPr>
        <w:footnoteRef/>
      </w:r>
      <w:r>
        <w:rPr>
          <w:rFonts w:ascii="Times New Roman" w:hAnsi="Times New Roman"/>
        </w:rPr>
        <w:t xml:space="preserve"> Tel qu’il est établi par le règlement (UE) 2017/825.</w:t>
      </w:r>
      <w:r>
        <w:t xml:space="preserve"> </w:t>
      </w:r>
    </w:p>
  </w:footnote>
  <w:footnote w:id="34">
    <w:p w14:paraId="49EED3B7" w14:textId="7C9CDDF7" w:rsidR="006B503D" w:rsidRPr="00F526CE" w:rsidRDefault="006B503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Couvrant le financement de la politique de cohésion, le Fonds européen agricole pour le développement rural 2014-2022 et 2023-2027 et le Fonds européen agricole de garantie 2023-2027.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71200" w14:textId="77777777" w:rsidR="00A51D5F" w:rsidRPr="00A51D5F" w:rsidRDefault="00A51D5F" w:rsidP="00A51D5F">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9FDAC" w14:textId="77777777" w:rsidR="00A51D5F" w:rsidRPr="00A51D5F" w:rsidRDefault="00A51D5F" w:rsidP="00A51D5F">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2C491" w14:textId="77777777" w:rsidR="00A51D5F" w:rsidRPr="00A51D5F" w:rsidRDefault="00A51D5F" w:rsidP="00A51D5F">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D248E" w14:textId="77777777" w:rsidR="00F17AAE" w:rsidRDefault="00F17A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01F9F" w14:textId="77777777" w:rsidR="00F17AAE" w:rsidRDefault="00F17A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73473" w14:textId="77777777" w:rsidR="00F17AAE" w:rsidRDefault="00F17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5A19"/>
    <w:multiLevelType w:val="hybridMultilevel"/>
    <w:tmpl w:val="6B669602"/>
    <w:lvl w:ilvl="0" w:tplc="EC088AF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6641E"/>
    <w:multiLevelType w:val="hybridMultilevel"/>
    <w:tmpl w:val="E728944A"/>
    <w:lvl w:ilvl="0" w:tplc="1809000B">
      <w:start w:val="1"/>
      <w:numFmt w:val="bullet"/>
      <w:lvlText w:val=""/>
      <w:lvlJc w:val="left"/>
      <w:pPr>
        <w:ind w:left="2166" w:hanging="360"/>
      </w:pPr>
      <w:rPr>
        <w:rFonts w:ascii="Wingdings" w:hAnsi="Wingdings" w:hint="default"/>
      </w:rPr>
    </w:lvl>
    <w:lvl w:ilvl="1" w:tplc="1FA6889C">
      <w:start w:val="1"/>
      <w:numFmt w:val="bullet"/>
      <w:lvlText w:val="o"/>
      <w:lvlJc w:val="left"/>
      <w:pPr>
        <w:ind w:left="2886" w:hanging="360"/>
      </w:pPr>
      <w:rPr>
        <w:rFonts w:ascii="Courier New" w:hAnsi="Courier New" w:hint="default"/>
      </w:rPr>
    </w:lvl>
    <w:lvl w:ilvl="2" w:tplc="5DF8767E">
      <w:start w:val="1"/>
      <w:numFmt w:val="bullet"/>
      <w:lvlText w:val=""/>
      <w:lvlJc w:val="left"/>
      <w:pPr>
        <w:ind w:left="3606" w:hanging="360"/>
      </w:pPr>
      <w:rPr>
        <w:rFonts w:ascii="Wingdings" w:hAnsi="Wingdings" w:hint="default"/>
      </w:rPr>
    </w:lvl>
    <w:lvl w:ilvl="3" w:tplc="5576232C">
      <w:start w:val="1"/>
      <w:numFmt w:val="bullet"/>
      <w:lvlText w:val=""/>
      <w:lvlJc w:val="left"/>
      <w:pPr>
        <w:ind w:left="4326" w:hanging="360"/>
      </w:pPr>
      <w:rPr>
        <w:rFonts w:ascii="Symbol" w:hAnsi="Symbol" w:hint="default"/>
      </w:rPr>
    </w:lvl>
    <w:lvl w:ilvl="4" w:tplc="9F0C3138">
      <w:start w:val="1"/>
      <w:numFmt w:val="bullet"/>
      <w:lvlText w:val="o"/>
      <w:lvlJc w:val="left"/>
      <w:pPr>
        <w:ind w:left="5046" w:hanging="360"/>
      </w:pPr>
      <w:rPr>
        <w:rFonts w:ascii="Courier New" w:hAnsi="Courier New" w:hint="default"/>
      </w:rPr>
    </w:lvl>
    <w:lvl w:ilvl="5" w:tplc="A73880E2">
      <w:start w:val="1"/>
      <w:numFmt w:val="bullet"/>
      <w:lvlText w:val=""/>
      <w:lvlJc w:val="left"/>
      <w:pPr>
        <w:ind w:left="5766" w:hanging="360"/>
      </w:pPr>
      <w:rPr>
        <w:rFonts w:ascii="Wingdings" w:hAnsi="Wingdings" w:hint="default"/>
      </w:rPr>
    </w:lvl>
    <w:lvl w:ilvl="6" w:tplc="D57A675E">
      <w:start w:val="1"/>
      <w:numFmt w:val="bullet"/>
      <w:lvlText w:val=""/>
      <w:lvlJc w:val="left"/>
      <w:pPr>
        <w:ind w:left="6486" w:hanging="360"/>
      </w:pPr>
      <w:rPr>
        <w:rFonts w:ascii="Symbol" w:hAnsi="Symbol" w:hint="default"/>
      </w:rPr>
    </w:lvl>
    <w:lvl w:ilvl="7" w:tplc="DCBE0C46">
      <w:start w:val="1"/>
      <w:numFmt w:val="bullet"/>
      <w:lvlText w:val="o"/>
      <w:lvlJc w:val="left"/>
      <w:pPr>
        <w:ind w:left="7206" w:hanging="360"/>
      </w:pPr>
      <w:rPr>
        <w:rFonts w:ascii="Courier New" w:hAnsi="Courier New" w:hint="default"/>
      </w:rPr>
    </w:lvl>
    <w:lvl w:ilvl="8" w:tplc="2D86E4DA">
      <w:start w:val="1"/>
      <w:numFmt w:val="bullet"/>
      <w:lvlText w:val=""/>
      <w:lvlJc w:val="left"/>
      <w:pPr>
        <w:ind w:left="7926" w:hanging="360"/>
      </w:pPr>
      <w:rPr>
        <w:rFonts w:ascii="Wingdings" w:hAnsi="Wingdings" w:hint="default"/>
      </w:rPr>
    </w:lvl>
  </w:abstractNum>
  <w:abstractNum w:abstractNumId="2" w15:restartNumberingAfterBreak="0">
    <w:nsid w:val="04053838"/>
    <w:multiLevelType w:val="hybridMultilevel"/>
    <w:tmpl w:val="0C9AF0FE"/>
    <w:lvl w:ilvl="0" w:tplc="FD3A5E92">
      <w:start w:val="1"/>
      <w:numFmt w:val="bullet"/>
      <w:lvlText w:val="-"/>
      <w:lvlJc w:val="left"/>
      <w:pPr>
        <w:ind w:left="720" w:hanging="360"/>
      </w:pPr>
      <w:rPr>
        <w:rFonts w:ascii="Calibri" w:hAnsi="Calibri" w:hint="default"/>
      </w:rPr>
    </w:lvl>
    <w:lvl w:ilvl="1" w:tplc="5A3E6B88">
      <w:start w:val="1"/>
      <w:numFmt w:val="bullet"/>
      <w:lvlText w:val="o"/>
      <w:lvlJc w:val="left"/>
      <w:pPr>
        <w:ind w:left="1440" w:hanging="360"/>
      </w:pPr>
      <w:rPr>
        <w:rFonts w:ascii="Courier New" w:hAnsi="Courier New" w:hint="default"/>
      </w:rPr>
    </w:lvl>
    <w:lvl w:ilvl="2" w:tplc="C33A26AA">
      <w:start w:val="1"/>
      <w:numFmt w:val="bullet"/>
      <w:lvlText w:val=""/>
      <w:lvlJc w:val="left"/>
      <w:pPr>
        <w:ind w:left="2160" w:hanging="360"/>
      </w:pPr>
      <w:rPr>
        <w:rFonts w:ascii="Wingdings" w:hAnsi="Wingdings" w:hint="default"/>
      </w:rPr>
    </w:lvl>
    <w:lvl w:ilvl="3" w:tplc="B67C5E44">
      <w:start w:val="1"/>
      <w:numFmt w:val="bullet"/>
      <w:lvlText w:val=""/>
      <w:lvlJc w:val="left"/>
      <w:pPr>
        <w:ind w:left="2880" w:hanging="360"/>
      </w:pPr>
      <w:rPr>
        <w:rFonts w:ascii="Symbol" w:hAnsi="Symbol" w:hint="default"/>
      </w:rPr>
    </w:lvl>
    <w:lvl w:ilvl="4" w:tplc="B068321C">
      <w:start w:val="1"/>
      <w:numFmt w:val="bullet"/>
      <w:lvlText w:val="o"/>
      <w:lvlJc w:val="left"/>
      <w:pPr>
        <w:ind w:left="3600" w:hanging="360"/>
      </w:pPr>
      <w:rPr>
        <w:rFonts w:ascii="Courier New" w:hAnsi="Courier New" w:hint="default"/>
      </w:rPr>
    </w:lvl>
    <w:lvl w:ilvl="5" w:tplc="D2E8BB0A">
      <w:start w:val="1"/>
      <w:numFmt w:val="bullet"/>
      <w:lvlText w:val=""/>
      <w:lvlJc w:val="left"/>
      <w:pPr>
        <w:ind w:left="4320" w:hanging="360"/>
      </w:pPr>
      <w:rPr>
        <w:rFonts w:ascii="Wingdings" w:hAnsi="Wingdings" w:hint="default"/>
      </w:rPr>
    </w:lvl>
    <w:lvl w:ilvl="6" w:tplc="E0E67E3C">
      <w:start w:val="1"/>
      <w:numFmt w:val="bullet"/>
      <w:lvlText w:val=""/>
      <w:lvlJc w:val="left"/>
      <w:pPr>
        <w:ind w:left="5040" w:hanging="360"/>
      </w:pPr>
      <w:rPr>
        <w:rFonts w:ascii="Symbol" w:hAnsi="Symbol" w:hint="default"/>
      </w:rPr>
    </w:lvl>
    <w:lvl w:ilvl="7" w:tplc="420AEAFE">
      <w:start w:val="1"/>
      <w:numFmt w:val="bullet"/>
      <w:lvlText w:val="o"/>
      <w:lvlJc w:val="left"/>
      <w:pPr>
        <w:ind w:left="5760" w:hanging="360"/>
      </w:pPr>
      <w:rPr>
        <w:rFonts w:ascii="Courier New" w:hAnsi="Courier New" w:hint="default"/>
      </w:rPr>
    </w:lvl>
    <w:lvl w:ilvl="8" w:tplc="90688A94">
      <w:start w:val="1"/>
      <w:numFmt w:val="bullet"/>
      <w:lvlText w:val=""/>
      <w:lvlJc w:val="left"/>
      <w:pPr>
        <w:ind w:left="6480" w:hanging="360"/>
      </w:pPr>
      <w:rPr>
        <w:rFonts w:ascii="Wingdings" w:hAnsi="Wingdings" w:hint="default"/>
      </w:rPr>
    </w:lvl>
  </w:abstractNum>
  <w:abstractNum w:abstractNumId="3" w15:restartNumberingAfterBreak="0">
    <w:nsid w:val="0B2B3116"/>
    <w:multiLevelType w:val="hybridMultilevel"/>
    <w:tmpl w:val="8FAE9D46"/>
    <w:lvl w:ilvl="0" w:tplc="1AB61EB2">
      <w:start w:val="20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966ED"/>
    <w:multiLevelType w:val="hybridMultilevel"/>
    <w:tmpl w:val="C7F2372A"/>
    <w:lvl w:ilvl="0" w:tplc="9FA4E7CA">
      <w:numFmt w:val="bullet"/>
      <w:lvlText w:val="-"/>
      <w:lvlJc w:val="left"/>
      <w:pPr>
        <w:ind w:left="495" w:hanging="360"/>
      </w:pPr>
      <w:rPr>
        <w:rFonts w:ascii="Calibri" w:eastAsiaTheme="minorHAnsi" w:hAnsi="Calibri" w:cs="Calibri"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5" w15:restartNumberingAfterBreak="0">
    <w:nsid w:val="0D197A36"/>
    <w:multiLevelType w:val="hybridMultilevel"/>
    <w:tmpl w:val="BCA48A0E"/>
    <w:lvl w:ilvl="0" w:tplc="CC1AABE0">
      <w:start w:val="1"/>
      <w:numFmt w:val="bullet"/>
      <w:lvlText w:val="-"/>
      <w:lvlJc w:val="left"/>
      <w:pPr>
        <w:ind w:left="720" w:hanging="360"/>
      </w:pPr>
      <w:rPr>
        <w:rFonts w:ascii="Calibri" w:hAnsi="Calibri" w:hint="default"/>
      </w:rPr>
    </w:lvl>
    <w:lvl w:ilvl="1" w:tplc="39FA9E76">
      <w:start w:val="1"/>
      <w:numFmt w:val="bullet"/>
      <w:lvlText w:val="o"/>
      <w:lvlJc w:val="left"/>
      <w:pPr>
        <w:ind w:left="1440" w:hanging="360"/>
      </w:pPr>
      <w:rPr>
        <w:rFonts w:ascii="Courier New" w:hAnsi="Courier New" w:hint="default"/>
      </w:rPr>
    </w:lvl>
    <w:lvl w:ilvl="2" w:tplc="9C84F04C">
      <w:start w:val="1"/>
      <w:numFmt w:val="bullet"/>
      <w:lvlText w:val=""/>
      <w:lvlJc w:val="left"/>
      <w:pPr>
        <w:ind w:left="2160" w:hanging="360"/>
      </w:pPr>
      <w:rPr>
        <w:rFonts w:ascii="Wingdings" w:hAnsi="Wingdings" w:hint="default"/>
      </w:rPr>
    </w:lvl>
    <w:lvl w:ilvl="3" w:tplc="1D9A1A24">
      <w:start w:val="1"/>
      <w:numFmt w:val="bullet"/>
      <w:lvlText w:val=""/>
      <w:lvlJc w:val="left"/>
      <w:pPr>
        <w:ind w:left="2880" w:hanging="360"/>
      </w:pPr>
      <w:rPr>
        <w:rFonts w:ascii="Symbol" w:hAnsi="Symbol" w:hint="default"/>
      </w:rPr>
    </w:lvl>
    <w:lvl w:ilvl="4" w:tplc="5BE6E5AA">
      <w:start w:val="1"/>
      <w:numFmt w:val="bullet"/>
      <w:lvlText w:val="o"/>
      <w:lvlJc w:val="left"/>
      <w:pPr>
        <w:ind w:left="3600" w:hanging="360"/>
      </w:pPr>
      <w:rPr>
        <w:rFonts w:ascii="Courier New" w:hAnsi="Courier New" w:hint="default"/>
      </w:rPr>
    </w:lvl>
    <w:lvl w:ilvl="5" w:tplc="4F106C66">
      <w:start w:val="1"/>
      <w:numFmt w:val="bullet"/>
      <w:lvlText w:val=""/>
      <w:lvlJc w:val="left"/>
      <w:pPr>
        <w:ind w:left="4320" w:hanging="360"/>
      </w:pPr>
      <w:rPr>
        <w:rFonts w:ascii="Wingdings" w:hAnsi="Wingdings" w:hint="default"/>
      </w:rPr>
    </w:lvl>
    <w:lvl w:ilvl="6" w:tplc="EFB8EA80">
      <w:start w:val="1"/>
      <w:numFmt w:val="bullet"/>
      <w:lvlText w:val=""/>
      <w:lvlJc w:val="left"/>
      <w:pPr>
        <w:ind w:left="5040" w:hanging="360"/>
      </w:pPr>
      <w:rPr>
        <w:rFonts w:ascii="Symbol" w:hAnsi="Symbol" w:hint="default"/>
      </w:rPr>
    </w:lvl>
    <w:lvl w:ilvl="7" w:tplc="D7B01F38">
      <w:start w:val="1"/>
      <w:numFmt w:val="bullet"/>
      <w:lvlText w:val="o"/>
      <w:lvlJc w:val="left"/>
      <w:pPr>
        <w:ind w:left="5760" w:hanging="360"/>
      </w:pPr>
      <w:rPr>
        <w:rFonts w:ascii="Courier New" w:hAnsi="Courier New" w:hint="default"/>
      </w:rPr>
    </w:lvl>
    <w:lvl w:ilvl="8" w:tplc="32040CA2">
      <w:start w:val="1"/>
      <w:numFmt w:val="bullet"/>
      <w:lvlText w:val=""/>
      <w:lvlJc w:val="left"/>
      <w:pPr>
        <w:ind w:left="6480" w:hanging="360"/>
      </w:pPr>
      <w:rPr>
        <w:rFonts w:ascii="Wingdings" w:hAnsi="Wingdings" w:hint="default"/>
      </w:rPr>
    </w:lvl>
  </w:abstractNum>
  <w:abstractNum w:abstractNumId="6" w15:restartNumberingAfterBreak="0">
    <w:nsid w:val="0F475AF2"/>
    <w:multiLevelType w:val="hybridMultilevel"/>
    <w:tmpl w:val="A080C890"/>
    <w:lvl w:ilvl="0" w:tplc="1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7" w15:restartNumberingAfterBreak="0">
    <w:nsid w:val="187DFE51"/>
    <w:multiLevelType w:val="hybridMultilevel"/>
    <w:tmpl w:val="969EBADC"/>
    <w:lvl w:ilvl="0" w:tplc="0FBE2C7E">
      <w:start w:val="1"/>
      <w:numFmt w:val="bullet"/>
      <w:lvlText w:val="-"/>
      <w:lvlJc w:val="left"/>
      <w:pPr>
        <w:ind w:left="720" w:hanging="360"/>
      </w:pPr>
      <w:rPr>
        <w:rFonts w:ascii="Calibri" w:hAnsi="Calibri" w:hint="default"/>
      </w:rPr>
    </w:lvl>
    <w:lvl w:ilvl="1" w:tplc="2318C8EA">
      <w:start w:val="1"/>
      <w:numFmt w:val="bullet"/>
      <w:lvlText w:val="o"/>
      <w:lvlJc w:val="left"/>
      <w:pPr>
        <w:ind w:left="1440" w:hanging="360"/>
      </w:pPr>
      <w:rPr>
        <w:rFonts w:ascii="Courier New" w:hAnsi="Courier New" w:hint="default"/>
      </w:rPr>
    </w:lvl>
    <w:lvl w:ilvl="2" w:tplc="61626B26">
      <w:start w:val="1"/>
      <w:numFmt w:val="bullet"/>
      <w:lvlText w:val=""/>
      <w:lvlJc w:val="left"/>
      <w:pPr>
        <w:ind w:left="2160" w:hanging="360"/>
      </w:pPr>
      <w:rPr>
        <w:rFonts w:ascii="Wingdings" w:hAnsi="Wingdings" w:hint="default"/>
      </w:rPr>
    </w:lvl>
    <w:lvl w:ilvl="3" w:tplc="24DA361C">
      <w:start w:val="1"/>
      <w:numFmt w:val="bullet"/>
      <w:lvlText w:val=""/>
      <w:lvlJc w:val="left"/>
      <w:pPr>
        <w:ind w:left="2880" w:hanging="360"/>
      </w:pPr>
      <w:rPr>
        <w:rFonts w:ascii="Symbol" w:hAnsi="Symbol" w:hint="default"/>
      </w:rPr>
    </w:lvl>
    <w:lvl w:ilvl="4" w:tplc="6144ED5A">
      <w:start w:val="1"/>
      <w:numFmt w:val="bullet"/>
      <w:lvlText w:val="o"/>
      <w:lvlJc w:val="left"/>
      <w:pPr>
        <w:ind w:left="3600" w:hanging="360"/>
      </w:pPr>
      <w:rPr>
        <w:rFonts w:ascii="Courier New" w:hAnsi="Courier New" w:hint="default"/>
      </w:rPr>
    </w:lvl>
    <w:lvl w:ilvl="5" w:tplc="253CF7D2">
      <w:start w:val="1"/>
      <w:numFmt w:val="bullet"/>
      <w:lvlText w:val=""/>
      <w:lvlJc w:val="left"/>
      <w:pPr>
        <w:ind w:left="4320" w:hanging="360"/>
      </w:pPr>
      <w:rPr>
        <w:rFonts w:ascii="Wingdings" w:hAnsi="Wingdings" w:hint="default"/>
      </w:rPr>
    </w:lvl>
    <w:lvl w:ilvl="6" w:tplc="C3CE54A0">
      <w:start w:val="1"/>
      <w:numFmt w:val="bullet"/>
      <w:lvlText w:val=""/>
      <w:lvlJc w:val="left"/>
      <w:pPr>
        <w:ind w:left="5040" w:hanging="360"/>
      </w:pPr>
      <w:rPr>
        <w:rFonts w:ascii="Symbol" w:hAnsi="Symbol" w:hint="default"/>
      </w:rPr>
    </w:lvl>
    <w:lvl w:ilvl="7" w:tplc="D5F24F64">
      <w:start w:val="1"/>
      <w:numFmt w:val="bullet"/>
      <w:lvlText w:val="o"/>
      <w:lvlJc w:val="left"/>
      <w:pPr>
        <w:ind w:left="5760" w:hanging="360"/>
      </w:pPr>
      <w:rPr>
        <w:rFonts w:ascii="Courier New" w:hAnsi="Courier New" w:hint="default"/>
      </w:rPr>
    </w:lvl>
    <w:lvl w:ilvl="8" w:tplc="4356AF96">
      <w:start w:val="1"/>
      <w:numFmt w:val="bullet"/>
      <w:lvlText w:val=""/>
      <w:lvlJc w:val="left"/>
      <w:pPr>
        <w:ind w:left="6480" w:hanging="360"/>
      </w:pPr>
      <w:rPr>
        <w:rFonts w:ascii="Wingdings" w:hAnsi="Wingdings" w:hint="default"/>
      </w:rPr>
    </w:lvl>
  </w:abstractNum>
  <w:abstractNum w:abstractNumId="8" w15:restartNumberingAfterBreak="0">
    <w:nsid w:val="1BD01F2F"/>
    <w:multiLevelType w:val="hybridMultilevel"/>
    <w:tmpl w:val="B0067816"/>
    <w:lvl w:ilvl="0" w:tplc="53402902">
      <w:start w:val="2021"/>
      <w:numFmt w:val="bullet"/>
      <w:lvlText w:val="-"/>
      <w:lvlJc w:val="left"/>
      <w:pPr>
        <w:ind w:left="842" w:hanging="360"/>
      </w:pPr>
      <w:rPr>
        <w:rFonts w:ascii="Times New Roman" w:eastAsia="Times New Roman" w:hAnsi="Times New Roman" w:cs="Times New Roman" w:hint="default"/>
      </w:rPr>
    </w:lvl>
    <w:lvl w:ilvl="1" w:tplc="08090003" w:tentative="1">
      <w:start w:val="1"/>
      <w:numFmt w:val="bullet"/>
      <w:lvlText w:val="o"/>
      <w:lvlJc w:val="left"/>
      <w:pPr>
        <w:ind w:left="1562" w:hanging="360"/>
      </w:pPr>
      <w:rPr>
        <w:rFonts w:ascii="Courier New" w:hAnsi="Courier New" w:cs="Courier New" w:hint="default"/>
      </w:rPr>
    </w:lvl>
    <w:lvl w:ilvl="2" w:tplc="08090005" w:tentative="1">
      <w:start w:val="1"/>
      <w:numFmt w:val="bullet"/>
      <w:lvlText w:val=""/>
      <w:lvlJc w:val="left"/>
      <w:pPr>
        <w:ind w:left="2282" w:hanging="360"/>
      </w:pPr>
      <w:rPr>
        <w:rFonts w:ascii="Wingdings" w:hAnsi="Wingdings" w:hint="default"/>
      </w:rPr>
    </w:lvl>
    <w:lvl w:ilvl="3" w:tplc="08090001" w:tentative="1">
      <w:start w:val="1"/>
      <w:numFmt w:val="bullet"/>
      <w:lvlText w:val=""/>
      <w:lvlJc w:val="left"/>
      <w:pPr>
        <w:ind w:left="3002" w:hanging="360"/>
      </w:pPr>
      <w:rPr>
        <w:rFonts w:ascii="Symbol" w:hAnsi="Symbol" w:hint="default"/>
      </w:rPr>
    </w:lvl>
    <w:lvl w:ilvl="4" w:tplc="08090003" w:tentative="1">
      <w:start w:val="1"/>
      <w:numFmt w:val="bullet"/>
      <w:lvlText w:val="o"/>
      <w:lvlJc w:val="left"/>
      <w:pPr>
        <w:ind w:left="3722" w:hanging="360"/>
      </w:pPr>
      <w:rPr>
        <w:rFonts w:ascii="Courier New" w:hAnsi="Courier New" w:cs="Courier New" w:hint="default"/>
      </w:rPr>
    </w:lvl>
    <w:lvl w:ilvl="5" w:tplc="08090005" w:tentative="1">
      <w:start w:val="1"/>
      <w:numFmt w:val="bullet"/>
      <w:lvlText w:val=""/>
      <w:lvlJc w:val="left"/>
      <w:pPr>
        <w:ind w:left="4442" w:hanging="360"/>
      </w:pPr>
      <w:rPr>
        <w:rFonts w:ascii="Wingdings" w:hAnsi="Wingdings" w:hint="default"/>
      </w:rPr>
    </w:lvl>
    <w:lvl w:ilvl="6" w:tplc="08090001" w:tentative="1">
      <w:start w:val="1"/>
      <w:numFmt w:val="bullet"/>
      <w:lvlText w:val=""/>
      <w:lvlJc w:val="left"/>
      <w:pPr>
        <w:ind w:left="5162" w:hanging="360"/>
      </w:pPr>
      <w:rPr>
        <w:rFonts w:ascii="Symbol" w:hAnsi="Symbol" w:hint="default"/>
      </w:rPr>
    </w:lvl>
    <w:lvl w:ilvl="7" w:tplc="08090003" w:tentative="1">
      <w:start w:val="1"/>
      <w:numFmt w:val="bullet"/>
      <w:lvlText w:val="o"/>
      <w:lvlJc w:val="left"/>
      <w:pPr>
        <w:ind w:left="5882" w:hanging="360"/>
      </w:pPr>
      <w:rPr>
        <w:rFonts w:ascii="Courier New" w:hAnsi="Courier New" w:cs="Courier New" w:hint="default"/>
      </w:rPr>
    </w:lvl>
    <w:lvl w:ilvl="8" w:tplc="08090005" w:tentative="1">
      <w:start w:val="1"/>
      <w:numFmt w:val="bullet"/>
      <w:lvlText w:val=""/>
      <w:lvlJc w:val="left"/>
      <w:pPr>
        <w:ind w:left="6602" w:hanging="360"/>
      </w:pPr>
      <w:rPr>
        <w:rFonts w:ascii="Wingdings" w:hAnsi="Wingdings" w:hint="default"/>
      </w:rPr>
    </w:lvl>
  </w:abstractNum>
  <w:abstractNum w:abstractNumId="9" w15:restartNumberingAfterBreak="0">
    <w:nsid w:val="1F0D61CD"/>
    <w:multiLevelType w:val="hybridMultilevel"/>
    <w:tmpl w:val="E0DC12E8"/>
    <w:lvl w:ilvl="0" w:tplc="E02CA12E">
      <w:numFmt w:val="bullet"/>
      <w:lvlText w:val=""/>
      <w:lvlJc w:val="left"/>
      <w:pPr>
        <w:ind w:left="720" w:hanging="360"/>
      </w:pPr>
      <w:rPr>
        <w:rFonts w:ascii="Wingdings" w:eastAsiaTheme="minorHAnsi" w:hAnsi="Wingding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294BB9"/>
    <w:multiLevelType w:val="hybridMultilevel"/>
    <w:tmpl w:val="61706FEE"/>
    <w:lvl w:ilvl="0" w:tplc="04F2EFA6">
      <w:start w:val="24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E5D40"/>
    <w:multiLevelType w:val="hybridMultilevel"/>
    <w:tmpl w:val="3BDA8A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A215B7"/>
    <w:multiLevelType w:val="hybridMultilevel"/>
    <w:tmpl w:val="A7B07FC4"/>
    <w:lvl w:ilvl="0" w:tplc="D94E48D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11533A"/>
    <w:multiLevelType w:val="hybridMultilevel"/>
    <w:tmpl w:val="B16AE6C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CF90F3E"/>
    <w:multiLevelType w:val="hybridMultilevel"/>
    <w:tmpl w:val="D3A60B3C"/>
    <w:lvl w:ilvl="0" w:tplc="08090001">
      <w:start w:val="1"/>
      <w:numFmt w:val="bullet"/>
      <w:lvlText w:val=""/>
      <w:lvlJc w:val="left"/>
      <w:pPr>
        <w:ind w:left="720" w:hanging="360"/>
      </w:pPr>
      <w:rPr>
        <w:rFonts w:ascii="Symbol" w:hAnsi="Symbol" w:hint="default"/>
      </w:rPr>
    </w:lvl>
    <w:lvl w:ilvl="1" w:tplc="63FC2200">
      <w:start w:val="4"/>
      <w:numFmt w:val="bullet"/>
      <w:lvlText w:val="•"/>
      <w:lvlJc w:val="left"/>
      <w:pPr>
        <w:ind w:left="1800" w:hanging="72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62141"/>
    <w:multiLevelType w:val="hybridMultilevel"/>
    <w:tmpl w:val="311A03B8"/>
    <w:lvl w:ilvl="0" w:tplc="EC088AFA">
      <w:start w:val="1"/>
      <w:numFmt w:val="bullet"/>
      <w:lvlText w:val="-"/>
      <w:lvlJc w:val="left"/>
      <w:pPr>
        <w:ind w:left="720" w:hanging="360"/>
      </w:pPr>
      <w:rPr>
        <w:rFonts w:ascii="Calibri" w:hAnsi="Calibri" w:hint="default"/>
      </w:rPr>
    </w:lvl>
    <w:lvl w:ilvl="1" w:tplc="0E8A139C">
      <w:start w:val="1"/>
      <w:numFmt w:val="bullet"/>
      <w:lvlText w:val="o"/>
      <w:lvlJc w:val="left"/>
      <w:pPr>
        <w:ind w:left="1440" w:hanging="360"/>
      </w:pPr>
      <w:rPr>
        <w:rFonts w:ascii="Courier New" w:hAnsi="Courier New" w:hint="default"/>
      </w:rPr>
    </w:lvl>
    <w:lvl w:ilvl="2" w:tplc="91E2FAF0">
      <w:start w:val="1"/>
      <w:numFmt w:val="bullet"/>
      <w:lvlText w:val=""/>
      <w:lvlJc w:val="left"/>
      <w:pPr>
        <w:ind w:left="2160" w:hanging="360"/>
      </w:pPr>
      <w:rPr>
        <w:rFonts w:ascii="Wingdings" w:hAnsi="Wingdings" w:hint="default"/>
      </w:rPr>
    </w:lvl>
    <w:lvl w:ilvl="3" w:tplc="670464AC">
      <w:start w:val="1"/>
      <w:numFmt w:val="bullet"/>
      <w:lvlText w:val=""/>
      <w:lvlJc w:val="left"/>
      <w:pPr>
        <w:ind w:left="2880" w:hanging="360"/>
      </w:pPr>
      <w:rPr>
        <w:rFonts w:ascii="Symbol" w:hAnsi="Symbol" w:hint="default"/>
      </w:rPr>
    </w:lvl>
    <w:lvl w:ilvl="4" w:tplc="A6F4545A">
      <w:start w:val="1"/>
      <w:numFmt w:val="bullet"/>
      <w:lvlText w:val="o"/>
      <w:lvlJc w:val="left"/>
      <w:pPr>
        <w:ind w:left="3600" w:hanging="360"/>
      </w:pPr>
      <w:rPr>
        <w:rFonts w:ascii="Courier New" w:hAnsi="Courier New" w:hint="default"/>
      </w:rPr>
    </w:lvl>
    <w:lvl w:ilvl="5" w:tplc="7E0AB1EA">
      <w:start w:val="1"/>
      <w:numFmt w:val="bullet"/>
      <w:lvlText w:val=""/>
      <w:lvlJc w:val="left"/>
      <w:pPr>
        <w:ind w:left="4320" w:hanging="360"/>
      </w:pPr>
      <w:rPr>
        <w:rFonts w:ascii="Wingdings" w:hAnsi="Wingdings" w:hint="default"/>
      </w:rPr>
    </w:lvl>
    <w:lvl w:ilvl="6" w:tplc="00DEBEEC">
      <w:start w:val="1"/>
      <w:numFmt w:val="bullet"/>
      <w:lvlText w:val=""/>
      <w:lvlJc w:val="left"/>
      <w:pPr>
        <w:ind w:left="5040" w:hanging="360"/>
      </w:pPr>
      <w:rPr>
        <w:rFonts w:ascii="Symbol" w:hAnsi="Symbol" w:hint="default"/>
      </w:rPr>
    </w:lvl>
    <w:lvl w:ilvl="7" w:tplc="1660E5B0">
      <w:start w:val="1"/>
      <w:numFmt w:val="bullet"/>
      <w:lvlText w:val="o"/>
      <w:lvlJc w:val="left"/>
      <w:pPr>
        <w:ind w:left="5760" w:hanging="360"/>
      </w:pPr>
      <w:rPr>
        <w:rFonts w:ascii="Courier New" w:hAnsi="Courier New" w:hint="default"/>
      </w:rPr>
    </w:lvl>
    <w:lvl w:ilvl="8" w:tplc="4732DB7A">
      <w:start w:val="1"/>
      <w:numFmt w:val="bullet"/>
      <w:lvlText w:val=""/>
      <w:lvlJc w:val="left"/>
      <w:pPr>
        <w:ind w:left="6480" w:hanging="360"/>
      </w:pPr>
      <w:rPr>
        <w:rFonts w:ascii="Wingdings" w:hAnsi="Wingdings" w:hint="default"/>
      </w:rPr>
    </w:lvl>
  </w:abstractNum>
  <w:abstractNum w:abstractNumId="16" w15:restartNumberingAfterBreak="0">
    <w:nsid w:val="2EAD5296"/>
    <w:multiLevelType w:val="hybridMultilevel"/>
    <w:tmpl w:val="F9D63630"/>
    <w:lvl w:ilvl="0" w:tplc="1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E3AAE"/>
    <w:multiLevelType w:val="hybridMultilevel"/>
    <w:tmpl w:val="137A8588"/>
    <w:lvl w:ilvl="0" w:tplc="6684580A">
      <w:start w:val="202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3A465BF"/>
    <w:multiLevelType w:val="hybridMultilevel"/>
    <w:tmpl w:val="FBA8E212"/>
    <w:lvl w:ilvl="0" w:tplc="1AB61EB2">
      <w:start w:val="202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FB40CD"/>
    <w:multiLevelType w:val="hybridMultilevel"/>
    <w:tmpl w:val="CBC267A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D27B03"/>
    <w:multiLevelType w:val="hybridMultilevel"/>
    <w:tmpl w:val="F8FEDD0A"/>
    <w:lvl w:ilvl="0" w:tplc="9FA4E7CA">
      <w:numFmt w:val="bullet"/>
      <w:lvlText w:val="-"/>
      <w:lvlJc w:val="left"/>
      <w:pPr>
        <w:ind w:left="495"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8581F"/>
    <w:multiLevelType w:val="hybridMultilevel"/>
    <w:tmpl w:val="84FC59CC"/>
    <w:lvl w:ilvl="0" w:tplc="4878A9B8">
      <w:numFmt w:val="bullet"/>
      <w:lvlText w:val="-"/>
      <w:lvlJc w:val="left"/>
      <w:pPr>
        <w:ind w:left="720" w:hanging="360"/>
      </w:pPr>
      <w:rPr>
        <w:rFonts w:ascii="Times New Roman" w:eastAsia="Times New Roman" w:hAnsi="Times New Roman" w:cs="Times New Roman" w:hint="default"/>
        <w:sz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78F049B"/>
    <w:multiLevelType w:val="hybridMultilevel"/>
    <w:tmpl w:val="D50E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F2158D"/>
    <w:multiLevelType w:val="hybridMultilevel"/>
    <w:tmpl w:val="EEBA1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8ACF9B"/>
    <w:multiLevelType w:val="hybridMultilevel"/>
    <w:tmpl w:val="FFFFFFFF"/>
    <w:lvl w:ilvl="0" w:tplc="AD88B838">
      <w:start w:val="1"/>
      <w:numFmt w:val="bullet"/>
      <w:lvlText w:val="·"/>
      <w:lvlJc w:val="left"/>
      <w:pPr>
        <w:ind w:left="720" w:hanging="360"/>
      </w:pPr>
      <w:rPr>
        <w:rFonts w:ascii="Symbol" w:hAnsi="Symbol" w:hint="default"/>
      </w:rPr>
    </w:lvl>
    <w:lvl w:ilvl="1" w:tplc="F37EF274">
      <w:start w:val="1"/>
      <w:numFmt w:val="bullet"/>
      <w:lvlText w:val="o"/>
      <w:lvlJc w:val="left"/>
      <w:pPr>
        <w:ind w:left="1440" w:hanging="360"/>
      </w:pPr>
      <w:rPr>
        <w:rFonts w:ascii="Courier New" w:hAnsi="Courier New" w:hint="default"/>
      </w:rPr>
    </w:lvl>
    <w:lvl w:ilvl="2" w:tplc="F9527BB8">
      <w:start w:val="1"/>
      <w:numFmt w:val="bullet"/>
      <w:lvlText w:val=""/>
      <w:lvlJc w:val="left"/>
      <w:pPr>
        <w:ind w:left="2160" w:hanging="360"/>
      </w:pPr>
      <w:rPr>
        <w:rFonts w:ascii="Wingdings" w:hAnsi="Wingdings" w:hint="default"/>
      </w:rPr>
    </w:lvl>
    <w:lvl w:ilvl="3" w:tplc="C18CAC56">
      <w:start w:val="1"/>
      <w:numFmt w:val="bullet"/>
      <w:lvlText w:val=""/>
      <w:lvlJc w:val="left"/>
      <w:pPr>
        <w:ind w:left="2880" w:hanging="360"/>
      </w:pPr>
      <w:rPr>
        <w:rFonts w:ascii="Symbol" w:hAnsi="Symbol" w:hint="default"/>
      </w:rPr>
    </w:lvl>
    <w:lvl w:ilvl="4" w:tplc="D974EE4A">
      <w:start w:val="1"/>
      <w:numFmt w:val="bullet"/>
      <w:lvlText w:val="o"/>
      <w:lvlJc w:val="left"/>
      <w:pPr>
        <w:ind w:left="3600" w:hanging="360"/>
      </w:pPr>
      <w:rPr>
        <w:rFonts w:ascii="Courier New" w:hAnsi="Courier New" w:hint="default"/>
      </w:rPr>
    </w:lvl>
    <w:lvl w:ilvl="5" w:tplc="218C70B2">
      <w:start w:val="1"/>
      <w:numFmt w:val="bullet"/>
      <w:lvlText w:val=""/>
      <w:lvlJc w:val="left"/>
      <w:pPr>
        <w:ind w:left="4320" w:hanging="360"/>
      </w:pPr>
      <w:rPr>
        <w:rFonts w:ascii="Wingdings" w:hAnsi="Wingdings" w:hint="default"/>
      </w:rPr>
    </w:lvl>
    <w:lvl w:ilvl="6" w:tplc="EC1A2FDC">
      <w:start w:val="1"/>
      <w:numFmt w:val="bullet"/>
      <w:lvlText w:val=""/>
      <w:lvlJc w:val="left"/>
      <w:pPr>
        <w:ind w:left="5040" w:hanging="360"/>
      </w:pPr>
      <w:rPr>
        <w:rFonts w:ascii="Symbol" w:hAnsi="Symbol" w:hint="default"/>
      </w:rPr>
    </w:lvl>
    <w:lvl w:ilvl="7" w:tplc="66FAFCC2">
      <w:start w:val="1"/>
      <w:numFmt w:val="bullet"/>
      <w:lvlText w:val="o"/>
      <w:lvlJc w:val="left"/>
      <w:pPr>
        <w:ind w:left="5760" w:hanging="360"/>
      </w:pPr>
      <w:rPr>
        <w:rFonts w:ascii="Courier New" w:hAnsi="Courier New" w:hint="default"/>
      </w:rPr>
    </w:lvl>
    <w:lvl w:ilvl="8" w:tplc="4762F904">
      <w:start w:val="1"/>
      <w:numFmt w:val="bullet"/>
      <w:lvlText w:val=""/>
      <w:lvlJc w:val="left"/>
      <w:pPr>
        <w:ind w:left="6480" w:hanging="360"/>
      </w:pPr>
      <w:rPr>
        <w:rFonts w:ascii="Wingdings" w:hAnsi="Wingdings" w:hint="default"/>
      </w:rPr>
    </w:lvl>
  </w:abstractNum>
  <w:abstractNum w:abstractNumId="25" w15:restartNumberingAfterBreak="0">
    <w:nsid w:val="5B215B56"/>
    <w:multiLevelType w:val="hybridMultilevel"/>
    <w:tmpl w:val="790087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743D65"/>
    <w:multiLevelType w:val="hybridMultilevel"/>
    <w:tmpl w:val="5C1279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801841B"/>
    <w:multiLevelType w:val="hybridMultilevel"/>
    <w:tmpl w:val="38BC0266"/>
    <w:lvl w:ilvl="0" w:tplc="1809000B">
      <w:start w:val="1"/>
      <w:numFmt w:val="bullet"/>
      <w:lvlText w:val=""/>
      <w:lvlJc w:val="left"/>
      <w:pPr>
        <w:ind w:left="720" w:hanging="360"/>
      </w:pPr>
      <w:rPr>
        <w:rFonts w:ascii="Wingdings" w:hAnsi="Wingdings" w:hint="default"/>
      </w:rPr>
    </w:lvl>
    <w:lvl w:ilvl="1" w:tplc="4B8E0CE0">
      <w:start w:val="1"/>
      <w:numFmt w:val="bullet"/>
      <w:lvlText w:val="o"/>
      <w:lvlJc w:val="left"/>
      <w:pPr>
        <w:ind w:left="1440" w:hanging="360"/>
      </w:pPr>
      <w:rPr>
        <w:rFonts w:ascii="Courier New" w:hAnsi="Courier New" w:hint="default"/>
      </w:rPr>
    </w:lvl>
    <w:lvl w:ilvl="2" w:tplc="5610F572">
      <w:start w:val="1"/>
      <w:numFmt w:val="bullet"/>
      <w:lvlText w:val=""/>
      <w:lvlJc w:val="left"/>
      <w:pPr>
        <w:ind w:left="2160" w:hanging="360"/>
      </w:pPr>
      <w:rPr>
        <w:rFonts w:ascii="Wingdings" w:hAnsi="Wingdings" w:hint="default"/>
      </w:rPr>
    </w:lvl>
    <w:lvl w:ilvl="3" w:tplc="B026350A">
      <w:start w:val="1"/>
      <w:numFmt w:val="bullet"/>
      <w:lvlText w:val=""/>
      <w:lvlJc w:val="left"/>
      <w:pPr>
        <w:ind w:left="2880" w:hanging="360"/>
      </w:pPr>
      <w:rPr>
        <w:rFonts w:ascii="Symbol" w:hAnsi="Symbol" w:hint="default"/>
      </w:rPr>
    </w:lvl>
    <w:lvl w:ilvl="4" w:tplc="3226468A">
      <w:start w:val="1"/>
      <w:numFmt w:val="bullet"/>
      <w:lvlText w:val="o"/>
      <w:lvlJc w:val="left"/>
      <w:pPr>
        <w:ind w:left="3600" w:hanging="360"/>
      </w:pPr>
      <w:rPr>
        <w:rFonts w:ascii="Courier New" w:hAnsi="Courier New" w:hint="default"/>
      </w:rPr>
    </w:lvl>
    <w:lvl w:ilvl="5" w:tplc="942A8682">
      <w:start w:val="1"/>
      <w:numFmt w:val="bullet"/>
      <w:lvlText w:val=""/>
      <w:lvlJc w:val="left"/>
      <w:pPr>
        <w:ind w:left="4320" w:hanging="360"/>
      </w:pPr>
      <w:rPr>
        <w:rFonts w:ascii="Wingdings" w:hAnsi="Wingdings" w:hint="default"/>
      </w:rPr>
    </w:lvl>
    <w:lvl w:ilvl="6" w:tplc="A05C9858">
      <w:start w:val="1"/>
      <w:numFmt w:val="bullet"/>
      <w:lvlText w:val=""/>
      <w:lvlJc w:val="left"/>
      <w:pPr>
        <w:ind w:left="5040" w:hanging="360"/>
      </w:pPr>
      <w:rPr>
        <w:rFonts w:ascii="Symbol" w:hAnsi="Symbol" w:hint="default"/>
      </w:rPr>
    </w:lvl>
    <w:lvl w:ilvl="7" w:tplc="DE1EA062">
      <w:start w:val="1"/>
      <w:numFmt w:val="bullet"/>
      <w:lvlText w:val="o"/>
      <w:lvlJc w:val="left"/>
      <w:pPr>
        <w:ind w:left="5760" w:hanging="360"/>
      </w:pPr>
      <w:rPr>
        <w:rFonts w:ascii="Courier New" w:hAnsi="Courier New" w:hint="default"/>
      </w:rPr>
    </w:lvl>
    <w:lvl w:ilvl="8" w:tplc="63180E88">
      <w:start w:val="1"/>
      <w:numFmt w:val="bullet"/>
      <w:lvlText w:val=""/>
      <w:lvlJc w:val="left"/>
      <w:pPr>
        <w:ind w:left="6480" w:hanging="360"/>
      </w:pPr>
      <w:rPr>
        <w:rFonts w:ascii="Wingdings" w:hAnsi="Wingdings" w:hint="default"/>
      </w:rPr>
    </w:lvl>
  </w:abstractNum>
  <w:abstractNum w:abstractNumId="28" w15:restartNumberingAfterBreak="0">
    <w:nsid w:val="7C6807A3"/>
    <w:multiLevelType w:val="hybridMultilevel"/>
    <w:tmpl w:val="73889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26"/>
  </w:num>
  <w:num w:numId="4">
    <w:abstractNumId w:val="21"/>
  </w:num>
  <w:num w:numId="5">
    <w:abstractNumId w:val="17"/>
  </w:num>
  <w:num w:numId="6">
    <w:abstractNumId w:val="9"/>
  </w:num>
  <w:num w:numId="7">
    <w:abstractNumId w:val="10"/>
  </w:num>
  <w:num w:numId="8">
    <w:abstractNumId w:val="25"/>
  </w:num>
  <w:num w:numId="9">
    <w:abstractNumId w:val="15"/>
  </w:num>
  <w:num w:numId="10">
    <w:abstractNumId w:val="2"/>
  </w:num>
  <w:num w:numId="11">
    <w:abstractNumId w:val="7"/>
  </w:num>
  <w:num w:numId="12">
    <w:abstractNumId w:val="5"/>
  </w:num>
  <w:num w:numId="13">
    <w:abstractNumId w:val="0"/>
  </w:num>
  <w:num w:numId="14">
    <w:abstractNumId w:val="12"/>
  </w:num>
  <w:num w:numId="15">
    <w:abstractNumId w:val="8"/>
  </w:num>
  <w:num w:numId="16">
    <w:abstractNumId w:val="23"/>
  </w:num>
  <w:num w:numId="17">
    <w:abstractNumId w:val="28"/>
  </w:num>
  <w:num w:numId="18">
    <w:abstractNumId w:val="18"/>
  </w:num>
  <w:num w:numId="19">
    <w:abstractNumId w:val="3"/>
  </w:num>
  <w:num w:numId="20">
    <w:abstractNumId w:val="19"/>
  </w:num>
  <w:num w:numId="21">
    <w:abstractNumId w:val="16"/>
  </w:num>
  <w:num w:numId="22">
    <w:abstractNumId w:val="6"/>
  </w:num>
  <w:num w:numId="23">
    <w:abstractNumId w:val="27"/>
  </w:num>
  <w:num w:numId="24">
    <w:abstractNumId w:val="1"/>
  </w:num>
  <w:num w:numId="25">
    <w:abstractNumId w:val="14"/>
  </w:num>
  <w:num w:numId="26">
    <w:abstractNumId w:val="24"/>
  </w:num>
  <w:num w:numId="27">
    <w:abstractNumId w:val="22"/>
  </w:num>
  <w:num w:numId="28">
    <w:abstractNumId w:val="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BAA96D61-DF50-4966-BBD1-B27793FFB6EB"/>
    <w:docVar w:name="LW_COVERPAGE_TYPE" w:val="1"/>
    <w:docVar w:name="LW_CROSSREFERENCE" w:val="&lt;UNUSED&gt;"/>
    <w:docVar w:name="LW_DocType" w:val="NORMAL"/>
    <w:docVar w:name="LW_EMISSION" w:val="25.6.2024"/>
    <w:docVar w:name="LW_EMISSION_ISODATE" w:val="2024-06-25"/>
    <w:docVar w:name="LW_EMISSION_LOCATION" w:val="BRX"/>
    <w:docVar w:name="LW_EMISSION_PREFIX" w:val="Bruxelles, le "/>
    <w:docVar w:name="LW_EMISSION_SUFFIX" w:val=" "/>
    <w:docVar w:name="LW_ID_DOCTYPE_NONLW" w:val="CP-006"/>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4) 26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sur le suivi de la décharge pour l'exercice 2022"/>
    <w:docVar w:name="LW_TYPE.DOC.CP" w:val="RAPPORT DE LA COMMISSION AU PARLEMENT EUROPÉEN ET AU CONSEIL"/>
    <w:docVar w:name="LwApiVersions" w:val="LW4CoDe 1.24.5.0; LW 9.0, Build 20240221"/>
  </w:docVars>
  <w:rsids>
    <w:rsidRoot w:val="002434E7"/>
    <w:rsid w:val="00003B5B"/>
    <w:rsid w:val="000060BC"/>
    <w:rsid w:val="00011370"/>
    <w:rsid w:val="00011A17"/>
    <w:rsid w:val="000126B0"/>
    <w:rsid w:val="00013B82"/>
    <w:rsid w:val="00017477"/>
    <w:rsid w:val="000245B0"/>
    <w:rsid w:val="00025E4B"/>
    <w:rsid w:val="00033FA8"/>
    <w:rsid w:val="00036A3E"/>
    <w:rsid w:val="00043CFB"/>
    <w:rsid w:val="0004411C"/>
    <w:rsid w:val="0004619D"/>
    <w:rsid w:val="000467AE"/>
    <w:rsid w:val="000471FC"/>
    <w:rsid w:val="00047872"/>
    <w:rsid w:val="00051FF3"/>
    <w:rsid w:val="00052257"/>
    <w:rsid w:val="00060B3F"/>
    <w:rsid w:val="000621A2"/>
    <w:rsid w:val="00064E06"/>
    <w:rsid w:val="0007283B"/>
    <w:rsid w:val="00073636"/>
    <w:rsid w:val="00074196"/>
    <w:rsid w:val="00077A03"/>
    <w:rsid w:val="00077AD2"/>
    <w:rsid w:val="00090A55"/>
    <w:rsid w:val="00095237"/>
    <w:rsid w:val="0009554E"/>
    <w:rsid w:val="00095C6D"/>
    <w:rsid w:val="000A49A2"/>
    <w:rsid w:val="000A6111"/>
    <w:rsid w:val="000A75A3"/>
    <w:rsid w:val="000C1A88"/>
    <w:rsid w:val="000C5E1B"/>
    <w:rsid w:val="000D5E32"/>
    <w:rsid w:val="000E0ABA"/>
    <w:rsid w:val="000E1CA4"/>
    <w:rsid w:val="000E56BA"/>
    <w:rsid w:val="000F1BEA"/>
    <w:rsid w:val="000F406B"/>
    <w:rsid w:val="00104F16"/>
    <w:rsid w:val="001067F5"/>
    <w:rsid w:val="00114CFF"/>
    <w:rsid w:val="00117584"/>
    <w:rsid w:val="00122BC4"/>
    <w:rsid w:val="0012639B"/>
    <w:rsid w:val="00130F7A"/>
    <w:rsid w:val="0013190A"/>
    <w:rsid w:val="00141749"/>
    <w:rsid w:val="0014414D"/>
    <w:rsid w:val="00144EE0"/>
    <w:rsid w:val="00167712"/>
    <w:rsid w:val="00173426"/>
    <w:rsid w:val="001761F6"/>
    <w:rsid w:val="00184ABA"/>
    <w:rsid w:val="001900DF"/>
    <w:rsid w:val="00195BE9"/>
    <w:rsid w:val="001A0847"/>
    <w:rsid w:val="001A59D1"/>
    <w:rsid w:val="001B3D5B"/>
    <w:rsid w:val="001C008E"/>
    <w:rsid w:val="001C37D0"/>
    <w:rsid w:val="001C437C"/>
    <w:rsid w:val="001C5E2A"/>
    <w:rsid w:val="001D3EB0"/>
    <w:rsid w:val="001D40C1"/>
    <w:rsid w:val="001D41E8"/>
    <w:rsid w:val="001E0710"/>
    <w:rsid w:val="001E4C1D"/>
    <w:rsid w:val="001F6EB4"/>
    <w:rsid w:val="00212132"/>
    <w:rsid w:val="00213623"/>
    <w:rsid w:val="002156E0"/>
    <w:rsid w:val="00231669"/>
    <w:rsid w:val="0023696B"/>
    <w:rsid w:val="0023720E"/>
    <w:rsid w:val="002415B7"/>
    <w:rsid w:val="002434E7"/>
    <w:rsid w:val="002539DC"/>
    <w:rsid w:val="002547CE"/>
    <w:rsid w:val="0025624A"/>
    <w:rsid w:val="0025699A"/>
    <w:rsid w:val="00273D03"/>
    <w:rsid w:val="00274F27"/>
    <w:rsid w:val="00275E8F"/>
    <w:rsid w:val="00283146"/>
    <w:rsid w:val="00286EBB"/>
    <w:rsid w:val="002907D2"/>
    <w:rsid w:val="002A22AA"/>
    <w:rsid w:val="002A5943"/>
    <w:rsid w:val="002A5B6B"/>
    <w:rsid w:val="002A5D87"/>
    <w:rsid w:val="002B3822"/>
    <w:rsid w:val="002B6741"/>
    <w:rsid w:val="002B6E8F"/>
    <w:rsid w:val="002C1D43"/>
    <w:rsid w:val="002C1FDB"/>
    <w:rsid w:val="002C5A2D"/>
    <w:rsid w:val="002C704D"/>
    <w:rsid w:val="002D2947"/>
    <w:rsid w:val="002E075C"/>
    <w:rsid w:val="002E6AA0"/>
    <w:rsid w:val="002F3DAC"/>
    <w:rsid w:val="002F76F3"/>
    <w:rsid w:val="002F7F2A"/>
    <w:rsid w:val="00306CCD"/>
    <w:rsid w:val="00320810"/>
    <w:rsid w:val="003209BE"/>
    <w:rsid w:val="00322A6A"/>
    <w:rsid w:val="00335A7A"/>
    <w:rsid w:val="00336722"/>
    <w:rsid w:val="00336F0D"/>
    <w:rsid w:val="00347309"/>
    <w:rsid w:val="003563F9"/>
    <w:rsid w:val="00357F2F"/>
    <w:rsid w:val="00362CF6"/>
    <w:rsid w:val="00365075"/>
    <w:rsid w:val="0036793D"/>
    <w:rsid w:val="00372BBD"/>
    <w:rsid w:val="00382FD0"/>
    <w:rsid w:val="00392AE8"/>
    <w:rsid w:val="0039382C"/>
    <w:rsid w:val="00394A42"/>
    <w:rsid w:val="003A2F92"/>
    <w:rsid w:val="003B3976"/>
    <w:rsid w:val="003B397E"/>
    <w:rsid w:val="003B5297"/>
    <w:rsid w:val="003C1999"/>
    <w:rsid w:val="003C5915"/>
    <w:rsid w:val="003E0F28"/>
    <w:rsid w:val="003F3AE9"/>
    <w:rsid w:val="004014CC"/>
    <w:rsid w:val="00402D8B"/>
    <w:rsid w:val="004121FD"/>
    <w:rsid w:val="00415A10"/>
    <w:rsid w:val="00417B51"/>
    <w:rsid w:val="00420B4D"/>
    <w:rsid w:val="00430192"/>
    <w:rsid w:val="00433FF8"/>
    <w:rsid w:val="004341BF"/>
    <w:rsid w:val="00442AF2"/>
    <w:rsid w:val="00444970"/>
    <w:rsid w:val="004507FC"/>
    <w:rsid w:val="00451645"/>
    <w:rsid w:val="0046347B"/>
    <w:rsid w:val="00486624"/>
    <w:rsid w:val="00490905"/>
    <w:rsid w:val="00491A54"/>
    <w:rsid w:val="004977D3"/>
    <w:rsid w:val="004A31DD"/>
    <w:rsid w:val="004B0336"/>
    <w:rsid w:val="004B0A72"/>
    <w:rsid w:val="004B2F28"/>
    <w:rsid w:val="004B3004"/>
    <w:rsid w:val="004B314E"/>
    <w:rsid w:val="004B7B73"/>
    <w:rsid w:val="004B7B91"/>
    <w:rsid w:val="004C5874"/>
    <w:rsid w:val="004D4A41"/>
    <w:rsid w:val="004F56E7"/>
    <w:rsid w:val="0050312F"/>
    <w:rsid w:val="00504602"/>
    <w:rsid w:val="00507E25"/>
    <w:rsid w:val="00523002"/>
    <w:rsid w:val="005236E0"/>
    <w:rsid w:val="00523B8F"/>
    <w:rsid w:val="00524207"/>
    <w:rsid w:val="005242FF"/>
    <w:rsid w:val="00527E1E"/>
    <w:rsid w:val="0053344B"/>
    <w:rsid w:val="00543C81"/>
    <w:rsid w:val="00546D67"/>
    <w:rsid w:val="00555D72"/>
    <w:rsid w:val="00561417"/>
    <w:rsid w:val="00564A02"/>
    <w:rsid w:val="005652BC"/>
    <w:rsid w:val="0057025A"/>
    <w:rsid w:val="00571CE1"/>
    <w:rsid w:val="005746C1"/>
    <w:rsid w:val="005809B9"/>
    <w:rsid w:val="00584144"/>
    <w:rsid w:val="0058666B"/>
    <w:rsid w:val="00587683"/>
    <w:rsid w:val="00590B5A"/>
    <w:rsid w:val="005923C1"/>
    <w:rsid w:val="005B226E"/>
    <w:rsid w:val="005B3A81"/>
    <w:rsid w:val="005B4E8C"/>
    <w:rsid w:val="005D040B"/>
    <w:rsid w:val="005D1B25"/>
    <w:rsid w:val="005D3D4B"/>
    <w:rsid w:val="005D713E"/>
    <w:rsid w:val="005E1B39"/>
    <w:rsid w:val="005E6BEA"/>
    <w:rsid w:val="005E7C1A"/>
    <w:rsid w:val="005F0A56"/>
    <w:rsid w:val="005F1A03"/>
    <w:rsid w:val="006040B0"/>
    <w:rsid w:val="0061030E"/>
    <w:rsid w:val="00620099"/>
    <w:rsid w:val="00624AAB"/>
    <w:rsid w:val="0062578F"/>
    <w:rsid w:val="00626B9B"/>
    <w:rsid w:val="00632AF0"/>
    <w:rsid w:val="0064093F"/>
    <w:rsid w:val="00641BB8"/>
    <w:rsid w:val="006426D9"/>
    <w:rsid w:val="00642C28"/>
    <w:rsid w:val="00643BDE"/>
    <w:rsid w:val="00647A24"/>
    <w:rsid w:val="00663301"/>
    <w:rsid w:val="0066715D"/>
    <w:rsid w:val="00680BC3"/>
    <w:rsid w:val="00682D33"/>
    <w:rsid w:val="006A05A7"/>
    <w:rsid w:val="006A3368"/>
    <w:rsid w:val="006A4D50"/>
    <w:rsid w:val="006B4EBE"/>
    <w:rsid w:val="006B503D"/>
    <w:rsid w:val="006E20D4"/>
    <w:rsid w:val="006F2980"/>
    <w:rsid w:val="00702A28"/>
    <w:rsid w:val="007062D7"/>
    <w:rsid w:val="007077BA"/>
    <w:rsid w:val="00707840"/>
    <w:rsid w:val="007138B9"/>
    <w:rsid w:val="00716B54"/>
    <w:rsid w:val="00722365"/>
    <w:rsid w:val="00736330"/>
    <w:rsid w:val="00746343"/>
    <w:rsid w:val="007508AB"/>
    <w:rsid w:val="00752008"/>
    <w:rsid w:val="0075246F"/>
    <w:rsid w:val="00755840"/>
    <w:rsid w:val="0075799C"/>
    <w:rsid w:val="007622AC"/>
    <w:rsid w:val="00771730"/>
    <w:rsid w:val="00773363"/>
    <w:rsid w:val="00774A46"/>
    <w:rsid w:val="00783840"/>
    <w:rsid w:val="007909C3"/>
    <w:rsid w:val="007A062D"/>
    <w:rsid w:val="007A3A71"/>
    <w:rsid w:val="007A5FEE"/>
    <w:rsid w:val="007B719A"/>
    <w:rsid w:val="007C08CD"/>
    <w:rsid w:val="007E28D1"/>
    <w:rsid w:val="007E77C7"/>
    <w:rsid w:val="008011AA"/>
    <w:rsid w:val="00802A61"/>
    <w:rsid w:val="008034DC"/>
    <w:rsid w:val="00804946"/>
    <w:rsid w:val="00807603"/>
    <w:rsid w:val="008115FB"/>
    <w:rsid w:val="00811894"/>
    <w:rsid w:val="00812997"/>
    <w:rsid w:val="00825215"/>
    <w:rsid w:val="008301D8"/>
    <w:rsid w:val="00836193"/>
    <w:rsid w:val="00846E9E"/>
    <w:rsid w:val="00847CFB"/>
    <w:rsid w:val="00851D45"/>
    <w:rsid w:val="00855D13"/>
    <w:rsid w:val="00857D81"/>
    <w:rsid w:val="00865304"/>
    <w:rsid w:val="00867C5D"/>
    <w:rsid w:val="00887FEB"/>
    <w:rsid w:val="0089117D"/>
    <w:rsid w:val="008A0265"/>
    <w:rsid w:val="008A2E60"/>
    <w:rsid w:val="008A4808"/>
    <w:rsid w:val="008A57EB"/>
    <w:rsid w:val="008C5EB1"/>
    <w:rsid w:val="008D4884"/>
    <w:rsid w:val="008E2DF5"/>
    <w:rsid w:val="008F78B8"/>
    <w:rsid w:val="00927CF7"/>
    <w:rsid w:val="00940193"/>
    <w:rsid w:val="009459B7"/>
    <w:rsid w:val="00946032"/>
    <w:rsid w:val="0095123D"/>
    <w:rsid w:val="00956C1C"/>
    <w:rsid w:val="00960027"/>
    <w:rsid w:val="00962CC0"/>
    <w:rsid w:val="00964413"/>
    <w:rsid w:val="00971277"/>
    <w:rsid w:val="00971854"/>
    <w:rsid w:val="00976FBE"/>
    <w:rsid w:val="00996B7A"/>
    <w:rsid w:val="009A179F"/>
    <w:rsid w:val="009A30B8"/>
    <w:rsid w:val="009A45B3"/>
    <w:rsid w:val="009A70D7"/>
    <w:rsid w:val="009A76F7"/>
    <w:rsid w:val="009C04C8"/>
    <w:rsid w:val="009C11CD"/>
    <w:rsid w:val="009D1CB8"/>
    <w:rsid w:val="009D55A6"/>
    <w:rsid w:val="009D5C7E"/>
    <w:rsid w:val="009F11F9"/>
    <w:rsid w:val="009F2FB6"/>
    <w:rsid w:val="009F48EB"/>
    <w:rsid w:val="009F5373"/>
    <w:rsid w:val="00A00D57"/>
    <w:rsid w:val="00A00F67"/>
    <w:rsid w:val="00A11833"/>
    <w:rsid w:val="00A16366"/>
    <w:rsid w:val="00A41B95"/>
    <w:rsid w:val="00A47EF4"/>
    <w:rsid w:val="00A51D5F"/>
    <w:rsid w:val="00A605E3"/>
    <w:rsid w:val="00A629E7"/>
    <w:rsid w:val="00A632FD"/>
    <w:rsid w:val="00A828C5"/>
    <w:rsid w:val="00A86B73"/>
    <w:rsid w:val="00A93A10"/>
    <w:rsid w:val="00A9407C"/>
    <w:rsid w:val="00A94D74"/>
    <w:rsid w:val="00AA2ABC"/>
    <w:rsid w:val="00AA49E0"/>
    <w:rsid w:val="00AA4F9C"/>
    <w:rsid w:val="00AA56D4"/>
    <w:rsid w:val="00AB5983"/>
    <w:rsid w:val="00AC0409"/>
    <w:rsid w:val="00AC44DB"/>
    <w:rsid w:val="00AC7F55"/>
    <w:rsid w:val="00AD4D9B"/>
    <w:rsid w:val="00AD5F2F"/>
    <w:rsid w:val="00AD5F7E"/>
    <w:rsid w:val="00AE0B5C"/>
    <w:rsid w:val="00AE71D2"/>
    <w:rsid w:val="00AF4775"/>
    <w:rsid w:val="00AF4F14"/>
    <w:rsid w:val="00B12099"/>
    <w:rsid w:val="00B14A70"/>
    <w:rsid w:val="00B15443"/>
    <w:rsid w:val="00B1717D"/>
    <w:rsid w:val="00B20ED6"/>
    <w:rsid w:val="00B259AA"/>
    <w:rsid w:val="00B34668"/>
    <w:rsid w:val="00B36A9B"/>
    <w:rsid w:val="00B45AC4"/>
    <w:rsid w:val="00B63D01"/>
    <w:rsid w:val="00B64F9C"/>
    <w:rsid w:val="00B72363"/>
    <w:rsid w:val="00B80811"/>
    <w:rsid w:val="00B80C7E"/>
    <w:rsid w:val="00B94DEF"/>
    <w:rsid w:val="00BA385A"/>
    <w:rsid w:val="00BB01FB"/>
    <w:rsid w:val="00BC3A10"/>
    <w:rsid w:val="00BC5BC2"/>
    <w:rsid w:val="00BC6779"/>
    <w:rsid w:val="00BD456C"/>
    <w:rsid w:val="00BD5A6D"/>
    <w:rsid w:val="00BE2B53"/>
    <w:rsid w:val="00BE302C"/>
    <w:rsid w:val="00BE6F14"/>
    <w:rsid w:val="00BF0343"/>
    <w:rsid w:val="00BF45C2"/>
    <w:rsid w:val="00BF6422"/>
    <w:rsid w:val="00BF699B"/>
    <w:rsid w:val="00BF7DA6"/>
    <w:rsid w:val="00C03475"/>
    <w:rsid w:val="00C03FFD"/>
    <w:rsid w:val="00C12571"/>
    <w:rsid w:val="00C22CA5"/>
    <w:rsid w:val="00C354A4"/>
    <w:rsid w:val="00C374D3"/>
    <w:rsid w:val="00C4282E"/>
    <w:rsid w:val="00C46C82"/>
    <w:rsid w:val="00C50682"/>
    <w:rsid w:val="00C53015"/>
    <w:rsid w:val="00C60CE5"/>
    <w:rsid w:val="00C62C33"/>
    <w:rsid w:val="00C700B6"/>
    <w:rsid w:val="00C708A4"/>
    <w:rsid w:val="00C76497"/>
    <w:rsid w:val="00C806CA"/>
    <w:rsid w:val="00C82E5F"/>
    <w:rsid w:val="00C858E1"/>
    <w:rsid w:val="00C9066F"/>
    <w:rsid w:val="00C90D44"/>
    <w:rsid w:val="00C95303"/>
    <w:rsid w:val="00CA358B"/>
    <w:rsid w:val="00CA6A25"/>
    <w:rsid w:val="00CA6ECF"/>
    <w:rsid w:val="00CA7F8C"/>
    <w:rsid w:val="00CB12C0"/>
    <w:rsid w:val="00CD2F66"/>
    <w:rsid w:val="00CD3201"/>
    <w:rsid w:val="00CF7969"/>
    <w:rsid w:val="00D05476"/>
    <w:rsid w:val="00D10E8F"/>
    <w:rsid w:val="00D11975"/>
    <w:rsid w:val="00D12563"/>
    <w:rsid w:val="00D17B63"/>
    <w:rsid w:val="00D24313"/>
    <w:rsid w:val="00D26433"/>
    <w:rsid w:val="00D344B2"/>
    <w:rsid w:val="00D44A45"/>
    <w:rsid w:val="00D4584E"/>
    <w:rsid w:val="00D46705"/>
    <w:rsid w:val="00D47EB4"/>
    <w:rsid w:val="00D50075"/>
    <w:rsid w:val="00D5607D"/>
    <w:rsid w:val="00D602E2"/>
    <w:rsid w:val="00D608C6"/>
    <w:rsid w:val="00D70F09"/>
    <w:rsid w:val="00D73886"/>
    <w:rsid w:val="00D81E94"/>
    <w:rsid w:val="00D85CC2"/>
    <w:rsid w:val="00D87C94"/>
    <w:rsid w:val="00D91440"/>
    <w:rsid w:val="00D93630"/>
    <w:rsid w:val="00D95AD8"/>
    <w:rsid w:val="00D9658D"/>
    <w:rsid w:val="00DB7C93"/>
    <w:rsid w:val="00DC0842"/>
    <w:rsid w:val="00DC51AA"/>
    <w:rsid w:val="00DD4673"/>
    <w:rsid w:val="00DD577A"/>
    <w:rsid w:val="00DD6ED3"/>
    <w:rsid w:val="00DE3C43"/>
    <w:rsid w:val="00E02B01"/>
    <w:rsid w:val="00E03F5A"/>
    <w:rsid w:val="00E139AF"/>
    <w:rsid w:val="00E14AB0"/>
    <w:rsid w:val="00E202A5"/>
    <w:rsid w:val="00E278BF"/>
    <w:rsid w:val="00E3166E"/>
    <w:rsid w:val="00E31A32"/>
    <w:rsid w:val="00E33811"/>
    <w:rsid w:val="00E44973"/>
    <w:rsid w:val="00E577ED"/>
    <w:rsid w:val="00E76F88"/>
    <w:rsid w:val="00E8354E"/>
    <w:rsid w:val="00E83D87"/>
    <w:rsid w:val="00EA515D"/>
    <w:rsid w:val="00EA7338"/>
    <w:rsid w:val="00EB12D5"/>
    <w:rsid w:val="00EB5890"/>
    <w:rsid w:val="00EB7ADA"/>
    <w:rsid w:val="00EC1307"/>
    <w:rsid w:val="00EC3E9C"/>
    <w:rsid w:val="00EC5C98"/>
    <w:rsid w:val="00EC7B78"/>
    <w:rsid w:val="00ED5D5D"/>
    <w:rsid w:val="00EE5E7A"/>
    <w:rsid w:val="00EE6340"/>
    <w:rsid w:val="00EF010B"/>
    <w:rsid w:val="00EF0547"/>
    <w:rsid w:val="00EF4FBD"/>
    <w:rsid w:val="00EF54B6"/>
    <w:rsid w:val="00F00A9B"/>
    <w:rsid w:val="00F012A0"/>
    <w:rsid w:val="00F05EB3"/>
    <w:rsid w:val="00F10BAD"/>
    <w:rsid w:val="00F1588C"/>
    <w:rsid w:val="00F17AAE"/>
    <w:rsid w:val="00F204F0"/>
    <w:rsid w:val="00F26A27"/>
    <w:rsid w:val="00F301B0"/>
    <w:rsid w:val="00F33E6F"/>
    <w:rsid w:val="00F36092"/>
    <w:rsid w:val="00F4015B"/>
    <w:rsid w:val="00F44CCE"/>
    <w:rsid w:val="00F45A98"/>
    <w:rsid w:val="00F47830"/>
    <w:rsid w:val="00F5069B"/>
    <w:rsid w:val="00F526CE"/>
    <w:rsid w:val="00F61826"/>
    <w:rsid w:val="00F72A5C"/>
    <w:rsid w:val="00F741FD"/>
    <w:rsid w:val="00F77870"/>
    <w:rsid w:val="00FA1891"/>
    <w:rsid w:val="00FB1C68"/>
    <w:rsid w:val="00FB30CD"/>
    <w:rsid w:val="00FB3D3B"/>
    <w:rsid w:val="00FB58F3"/>
    <w:rsid w:val="00FB62F1"/>
    <w:rsid w:val="00FC4137"/>
    <w:rsid w:val="00FE2BE4"/>
    <w:rsid w:val="00FF696C"/>
    <w:rsid w:val="107D342A"/>
    <w:rsid w:val="215555C7"/>
    <w:rsid w:val="2498D7E5"/>
    <w:rsid w:val="24F2FE05"/>
    <w:rsid w:val="2BA1F81E"/>
    <w:rsid w:val="2CE0B006"/>
    <w:rsid w:val="2D718E50"/>
    <w:rsid w:val="2E80B7EE"/>
    <w:rsid w:val="2ECE26C3"/>
    <w:rsid w:val="2FB6F5FA"/>
    <w:rsid w:val="310865BB"/>
    <w:rsid w:val="34B08B05"/>
    <w:rsid w:val="38772914"/>
    <w:rsid w:val="3FBCF0EA"/>
    <w:rsid w:val="40FAA07A"/>
    <w:rsid w:val="455A8995"/>
    <w:rsid w:val="4C414C6B"/>
    <w:rsid w:val="4CDBBBD5"/>
    <w:rsid w:val="586918AE"/>
    <w:rsid w:val="5B924120"/>
    <w:rsid w:val="5C8B2103"/>
    <w:rsid w:val="62C423CD"/>
    <w:rsid w:val="62E9D340"/>
    <w:rsid w:val="7173DFF4"/>
    <w:rsid w:val="72323A29"/>
    <w:rsid w:val="73CE0A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2E7ECF7"/>
  <w15:chartTrackingRefBased/>
  <w15:docId w15:val="{64DFBBB2-819E-4586-84A0-FFFB6A62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4E7"/>
  </w:style>
  <w:style w:type="paragraph" w:styleId="Heading1">
    <w:name w:val="heading 1"/>
    <w:basedOn w:val="Normal"/>
    <w:next w:val="Normal"/>
    <w:link w:val="Heading1Char"/>
    <w:uiPriority w:val="9"/>
    <w:qFormat/>
    <w:rsid w:val="00F204F0"/>
    <w:pPr>
      <w:keepNext/>
      <w:keepLines/>
      <w:spacing w:before="240" w:after="0"/>
      <w:outlineLvl w:val="0"/>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2434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434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34E7"/>
    <w:rPr>
      <w:rFonts w:asciiTheme="majorHAnsi" w:eastAsiaTheme="majorEastAsia" w:hAnsiTheme="majorHAnsi" w:cstheme="majorBidi"/>
      <w:color w:val="2E74B5" w:themeColor="accent1" w:themeShade="BF"/>
      <w:sz w:val="26"/>
      <w:szCs w:val="26"/>
      <w:lang w:val="fr-FR"/>
    </w:rPr>
  </w:style>
  <w:style w:type="character" w:customStyle="1" w:styleId="Heading3Char">
    <w:name w:val="Heading 3 Char"/>
    <w:basedOn w:val="DefaultParagraphFont"/>
    <w:link w:val="Heading3"/>
    <w:uiPriority w:val="9"/>
    <w:rsid w:val="002434E7"/>
    <w:rPr>
      <w:rFonts w:asciiTheme="majorHAnsi" w:eastAsiaTheme="majorEastAsia" w:hAnsiTheme="majorHAnsi" w:cstheme="majorBidi"/>
      <w:color w:val="1F4D78" w:themeColor="accent1" w:themeShade="7F"/>
      <w:sz w:val="24"/>
      <w:szCs w:val="24"/>
      <w:lang w:val="fr-FR"/>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rsid w:val="002434E7"/>
    <w:pPr>
      <w:ind w:left="720"/>
      <w:contextualSpacing/>
    </w:pPr>
  </w:style>
  <w:style w:type="paragraph" w:customStyle="1" w:styleId="Text1">
    <w:name w:val="Text 1"/>
    <w:basedOn w:val="Normal"/>
    <w:link w:val="Text1Char"/>
    <w:uiPriority w:val="1"/>
    <w:rsid w:val="002434E7"/>
    <w:pPr>
      <w:spacing w:after="240" w:line="240" w:lineRule="auto"/>
      <w:ind w:left="482"/>
      <w:jc w:val="both"/>
    </w:pPr>
    <w:rPr>
      <w:rFonts w:ascii="Times New Roman" w:eastAsia="Times New Roman" w:hAnsi="Times New Roman" w:cs="Times New Roman"/>
      <w:sz w:val="24"/>
      <w:szCs w:val="20"/>
    </w:rPr>
  </w:style>
  <w:style w:type="character" w:customStyle="1" w:styleId="Text1Char">
    <w:name w:val="Text 1 Char"/>
    <w:link w:val="Text1"/>
    <w:uiPriority w:val="1"/>
    <w:locked/>
    <w:rsid w:val="002434E7"/>
    <w:rPr>
      <w:rFonts w:ascii="Times New Roman" w:eastAsia="Times New Roman" w:hAnsi="Times New Roman" w:cs="Times New Roman"/>
      <w:sz w:val="24"/>
      <w:szCs w:val="20"/>
    </w:rPr>
  </w:style>
  <w:style w:type="character" w:styleId="Hyperlink">
    <w:name w:val="Hyperlink"/>
    <w:uiPriority w:val="99"/>
    <w:rsid w:val="002434E7"/>
    <w:rPr>
      <w:u w:val="single"/>
    </w:rPr>
  </w:style>
  <w:style w:type="paragraph" w:customStyle="1" w:styleId="Body">
    <w:name w:val="Body"/>
    <w:uiPriority w:val="99"/>
    <w:rsid w:val="002434E7"/>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fr-BE"/>
      <w14:textOutline w14:w="0" w14:cap="flat" w14:cmpd="sng" w14:algn="ctr">
        <w14:noFill/>
        <w14:prstDash w14:val="solid"/>
        <w14:bevel/>
      </w14:textOutline>
    </w:rPr>
  </w:style>
  <w:style w:type="paragraph" w:customStyle="1" w:styleId="CorpoAA">
    <w:name w:val="Corpo A A"/>
    <w:rsid w:val="002434E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14:textOutline w14:w="12700" w14:cap="flat" w14:cmpd="sng" w14:algn="ctr">
        <w14:noFill/>
        <w14:prstDash w14:val="solid"/>
        <w14:miter w14:lim="400000"/>
      </w14:textOutline>
    </w:rPr>
  </w:style>
  <w:style w:type="character" w:customStyle="1" w:styleId="Marker">
    <w:name w:val="Marker"/>
    <w:basedOn w:val="DefaultParagraphFont"/>
    <w:rsid w:val="00F17AAE"/>
    <w:rPr>
      <w:color w:val="0000FF"/>
      <w:shd w:val="clear" w:color="auto" w:fill="auto"/>
    </w:rPr>
  </w:style>
  <w:style w:type="paragraph" w:styleId="Header">
    <w:name w:val="header"/>
    <w:basedOn w:val="Normal"/>
    <w:link w:val="HeaderChar"/>
    <w:uiPriority w:val="99"/>
    <w:unhideWhenUsed/>
    <w:rsid w:val="00F17A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AAE"/>
    <w:rPr>
      <w:lang w:val="fr-FR"/>
    </w:rPr>
  </w:style>
  <w:style w:type="paragraph" w:styleId="Footer">
    <w:name w:val="footer"/>
    <w:basedOn w:val="Normal"/>
    <w:link w:val="FooterChar"/>
    <w:uiPriority w:val="99"/>
    <w:unhideWhenUsed/>
    <w:rsid w:val="00F17A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AAE"/>
    <w:rPr>
      <w:lang w:val="fr-FR"/>
    </w:rPr>
  </w:style>
  <w:style w:type="paragraph" w:customStyle="1" w:styleId="Pagedecouverture">
    <w:name w:val="Page de couverture"/>
    <w:basedOn w:val="Normal"/>
    <w:next w:val="Normal"/>
    <w:rsid w:val="00F17AAE"/>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F17AAE"/>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F17AAE"/>
    <w:rPr>
      <w:rFonts w:ascii="Times New Roman" w:hAnsi="Times New Roman" w:cs="Times New Roman"/>
      <w:sz w:val="24"/>
    </w:rPr>
  </w:style>
  <w:style w:type="paragraph" w:customStyle="1" w:styleId="FooterSensitivity">
    <w:name w:val="Footer Sensitivity"/>
    <w:basedOn w:val="Normal"/>
    <w:link w:val="FooterSensitivityChar"/>
    <w:rsid w:val="00F17AAE"/>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F17AAE"/>
    <w:rPr>
      <w:rFonts w:ascii="Times New Roman" w:hAnsi="Times New Roman" w:cs="Times New Roman"/>
      <w:b/>
      <w:sz w:val="32"/>
    </w:rPr>
  </w:style>
  <w:style w:type="paragraph" w:customStyle="1" w:styleId="HeaderCoverPage">
    <w:name w:val="Header Cover Page"/>
    <w:basedOn w:val="Normal"/>
    <w:link w:val="HeaderCoverPageChar"/>
    <w:rsid w:val="00F17AAE"/>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F17AAE"/>
    <w:rPr>
      <w:rFonts w:ascii="Times New Roman" w:hAnsi="Times New Roman" w:cs="Times New Roman"/>
      <w:sz w:val="24"/>
    </w:rPr>
  </w:style>
  <w:style w:type="paragraph" w:customStyle="1" w:styleId="HeaderSensitivity">
    <w:name w:val="Header Sensitivity"/>
    <w:basedOn w:val="Normal"/>
    <w:link w:val="HeaderSensitivityChar"/>
    <w:rsid w:val="00F17AAE"/>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F17AAE"/>
    <w:rPr>
      <w:rFonts w:ascii="Times New Roman" w:hAnsi="Times New Roman" w:cs="Times New Roman"/>
      <w:b/>
      <w:sz w:val="32"/>
    </w:rPr>
  </w:style>
  <w:style w:type="paragraph" w:customStyle="1" w:styleId="HeaderSensitivityRight">
    <w:name w:val="Header Sensitivity Right"/>
    <w:basedOn w:val="Normal"/>
    <w:link w:val="HeaderSensitivityRightChar"/>
    <w:rsid w:val="00F17AA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F17AAE"/>
    <w:rPr>
      <w:rFonts w:ascii="Times New Roman" w:hAnsi="Times New Roman" w:cs="Times New Roman"/>
      <w:sz w:val="28"/>
    </w:rPr>
  </w:style>
  <w:style w:type="character" w:styleId="CommentReference">
    <w:name w:val="annotation reference"/>
    <w:basedOn w:val="DefaultParagraphFont"/>
    <w:uiPriority w:val="99"/>
    <w:semiHidden/>
    <w:unhideWhenUsed/>
    <w:rsid w:val="00587683"/>
    <w:rPr>
      <w:sz w:val="16"/>
      <w:szCs w:val="16"/>
    </w:rPr>
  </w:style>
  <w:style w:type="paragraph" w:styleId="CommentText">
    <w:name w:val="annotation text"/>
    <w:basedOn w:val="Normal"/>
    <w:link w:val="CommentTextChar"/>
    <w:uiPriority w:val="99"/>
    <w:unhideWhenUsed/>
    <w:rsid w:val="00587683"/>
    <w:pPr>
      <w:spacing w:line="240" w:lineRule="auto"/>
    </w:pPr>
    <w:rPr>
      <w:sz w:val="20"/>
      <w:szCs w:val="20"/>
    </w:rPr>
  </w:style>
  <w:style w:type="character" w:customStyle="1" w:styleId="CommentTextChar">
    <w:name w:val="Comment Text Char"/>
    <w:basedOn w:val="DefaultParagraphFont"/>
    <w:link w:val="CommentText"/>
    <w:uiPriority w:val="99"/>
    <w:rsid w:val="00587683"/>
    <w:rPr>
      <w:sz w:val="20"/>
      <w:szCs w:val="20"/>
      <w:lang w:val="fr-FR"/>
    </w:rPr>
  </w:style>
  <w:style w:type="paragraph" w:styleId="CommentSubject">
    <w:name w:val="annotation subject"/>
    <w:basedOn w:val="CommentText"/>
    <w:next w:val="CommentText"/>
    <w:link w:val="CommentSubjectChar"/>
    <w:uiPriority w:val="99"/>
    <w:semiHidden/>
    <w:unhideWhenUsed/>
    <w:rsid w:val="00587683"/>
    <w:rPr>
      <w:b/>
      <w:bCs/>
    </w:rPr>
  </w:style>
  <w:style w:type="character" w:customStyle="1" w:styleId="CommentSubjectChar">
    <w:name w:val="Comment Subject Char"/>
    <w:basedOn w:val="CommentTextChar"/>
    <w:link w:val="CommentSubject"/>
    <w:uiPriority w:val="99"/>
    <w:semiHidden/>
    <w:rsid w:val="00587683"/>
    <w:rPr>
      <w:b/>
      <w:bCs/>
      <w:sz w:val="20"/>
      <w:szCs w:val="20"/>
      <w:lang w:val="fr-FR"/>
    </w:rPr>
  </w:style>
  <w:style w:type="paragraph" w:styleId="Revision">
    <w:name w:val="Revision"/>
    <w:hidden/>
    <w:uiPriority w:val="99"/>
    <w:semiHidden/>
    <w:rsid w:val="00587683"/>
    <w:pPr>
      <w:spacing w:after="0" w:line="240" w:lineRule="auto"/>
    </w:pPr>
  </w:style>
  <w:style w:type="paragraph" w:styleId="BalloonText">
    <w:name w:val="Balloon Text"/>
    <w:basedOn w:val="Normal"/>
    <w:link w:val="BalloonTextChar"/>
    <w:uiPriority w:val="99"/>
    <w:semiHidden/>
    <w:unhideWhenUsed/>
    <w:rsid w:val="00587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683"/>
    <w:rPr>
      <w:rFonts w:ascii="Segoe UI" w:hAnsi="Segoe UI" w:cs="Segoe UI"/>
      <w:sz w:val="18"/>
      <w:szCs w:val="18"/>
      <w:lang w:val="fr-FR"/>
    </w:rPr>
  </w:style>
  <w:style w:type="character" w:customStyle="1" w:styleId="UnresolvedMention1">
    <w:name w:val="Unresolved Mention1"/>
    <w:basedOn w:val="DefaultParagraphFont"/>
    <w:uiPriority w:val="99"/>
    <w:unhideWhenUsed/>
    <w:rsid w:val="00587683"/>
    <w:rPr>
      <w:color w:val="605E5C"/>
      <w:shd w:val="clear" w:color="auto" w:fill="E1DFDD"/>
    </w:rPr>
  </w:style>
  <w:style w:type="paragraph" w:styleId="FootnoteText">
    <w:name w:val="footnote text"/>
    <w:basedOn w:val="Normal"/>
    <w:link w:val="FootnoteTextChar"/>
    <w:uiPriority w:val="99"/>
    <w:unhideWhenUsed/>
    <w:qFormat/>
    <w:rsid w:val="00587683"/>
    <w:pPr>
      <w:spacing w:after="0" w:line="240" w:lineRule="auto"/>
    </w:pPr>
    <w:rPr>
      <w:sz w:val="20"/>
      <w:szCs w:val="20"/>
    </w:rPr>
  </w:style>
  <w:style w:type="character" w:customStyle="1" w:styleId="FootnoteTextChar">
    <w:name w:val="Footnote Text Char"/>
    <w:basedOn w:val="DefaultParagraphFont"/>
    <w:link w:val="FootnoteText"/>
    <w:uiPriority w:val="99"/>
    <w:rsid w:val="00587683"/>
    <w:rPr>
      <w:sz w:val="20"/>
      <w:szCs w:val="20"/>
      <w:lang w:val="fr-FR"/>
    </w:rPr>
  </w:style>
  <w:style w:type="character" w:styleId="FootnoteReference">
    <w:name w:val="footnote reference"/>
    <w:aliases w:val="Footnote Reference Superscript,Footnote symbol,Footnote reference number,Footnote,Times 10 Point,Exposant 3 Point,Ref,de nota al pie,note TESI,SUPERS,EN Footnote text,EN Footnote Reference,Footnote Reference Number,E FNZ,Footnote#,E"/>
    <w:basedOn w:val="DefaultParagraphFont"/>
    <w:link w:val="FootnoteReferenceCharCarCharCharCarCharCarCharCarCharCarCharCharCarCarCharCharCharCharCharCarCharCarCharCharCarCharCar"/>
    <w:uiPriority w:val="99"/>
    <w:unhideWhenUsed/>
    <w:qFormat/>
    <w:rsid w:val="00587683"/>
    <w:rPr>
      <w:vertAlign w:val="superscript"/>
    </w:rPr>
  </w:style>
  <w:style w:type="character" w:styleId="FollowedHyperlink">
    <w:name w:val="FollowedHyperlink"/>
    <w:basedOn w:val="DefaultParagraphFont"/>
    <w:uiPriority w:val="99"/>
    <w:semiHidden/>
    <w:unhideWhenUsed/>
    <w:rsid w:val="00587683"/>
    <w:rPr>
      <w:color w:val="954F72" w:themeColor="followedHyperlink"/>
      <w:u w:val="single"/>
    </w:rPr>
  </w:style>
  <w:style w:type="character" w:customStyle="1" w:styleId="markedcontent">
    <w:name w:val="markedcontent"/>
    <w:basedOn w:val="DefaultParagraphFont"/>
    <w:rsid w:val="00587683"/>
  </w:style>
  <w:style w:type="character" w:customStyle="1" w:styleId="UnresolvedMention2">
    <w:name w:val="Unresolved Mention2"/>
    <w:basedOn w:val="DefaultParagraphFont"/>
    <w:uiPriority w:val="99"/>
    <w:semiHidden/>
    <w:unhideWhenUsed/>
    <w:rsid w:val="004F56E7"/>
    <w:rPr>
      <w:color w:val="605E5C"/>
      <w:shd w:val="clear" w:color="auto" w:fill="E1DFDD"/>
    </w:rPr>
  </w:style>
  <w:style w:type="character" w:customStyle="1" w:styleId="normaltextrun">
    <w:name w:val="normaltextrun"/>
    <w:basedOn w:val="DefaultParagraphFont"/>
    <w:rsid w:val="005D3D4B"/>
  </w:style>
  <w:style w:type="paragraph" w:customStyle="1" w:styleId="doceo-line-height-base">
    <w:name w:val="doceo-line-height-base"/>
    <w:basedOn w:val="Normal"/>
    <w:rsid w:val="005D3D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oceo-font-family-base">
    <w:name w:val="doceo-font-family-base"/>
    <w:basedOn w:val="DefaultParagraphFont"/>
    <w:rsid w:val="005D3D4B"/>
  </w:style>
  <w:style w:type="character" w:customStyle="1" w:styleId="Mention1">
    <w:name w:val="Mention1"/>
    <w:basedOn w:val="DefaultParagraphFont"/>
    <w:uiPriority w:val="99"/>
    <w:unhideWhenUsed/>
    <w:rsid w:val="005D3D4B"/>
    <w:rPr>
      <w:color w:val="2B579A"/>
      <w:shd w:val="clear" w:color="auto" w:fill="E1DFDD"/>
    </w:rPr>
  </w:style>
  <w:style w:type="paragraph" w:styleId="NormalWeb">
    <w:name w:val="Normal (Web)"/>
    <w:basedOn w:val="Normal"/>
    <w:uiPriority w:val="99"/>
    <w:semiHidden/>
    <w:unhideWhenUsed/>
    <w:rsid w:val="005D3D4B"/>
    <w:pPr>
      <w:spacing w:before="100" w:beforeAutospacing="1" w:after="100" w:afterAutospacing="1" w:line="240" w:lineRule="auto"/>
    </w:pPr>
    <w:rPr>
      <w:rFonts w:ascii="Calibri" w:hAnsi="Calibri" w:cs="Calibri"/>
      <w:lang w:eastAsia="en-IE"/>
    </w:rPr>
  </w:style>
  <w:style w:type="paragraph" w:customStyle="1" w:styleId="paragraph">
    <w:name w:val="paragraph"/>
    <w:basedOn w:val="Normal"/>
    <w:rsid w:val="005D3D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D3D4B"/>
  </w:style>
  <w:style w:type="character" w:customStyle="1" w:styleId="Heading1Char">
    <w:name w:val="Heading 1 Char"/>
    <w:basedOn w:val="DefaultParagraphFont"/>
    <w:link w:val="Heading1"/>
    <w:uiPriority w:val="9"/>
    <w:rsid w:val="00F204F0"/>
    <w:rPr>
      <w:rFonts w:asciiTheme="majorHAnsi" w:eastAsiaTheme="majorEastAsia" w:hAnsiTheme="majorHAnsi" w:cstheme="majorBidi"/>
      <w:color w:val="2E74B5" w:themeColor="accent1" w:themeShade="BF"/>
      <w:kern w:val="2"/>
      <w:sz w:val="32"/>
      <w:szCs w:val="32"/>
      <w:lang w:val="fr-FR"/>
      <w14:ligatures w14:val="standardContextual"/>
    </w:rPr>
  </w:style>
  <w:style w:type="character" w:customStyle="1" w:styleId="UnresolvedMention">
    <w:name w:val="Unresolved Mention"/>
    <w:basedOn w:val="DefaultParagraphFont"/>
    <w:uiPriority w:val="99"/>
    <w:semiHidden/>
    <w:unhideWhenUsed/>
    <w:rsid w:val="00F204F0"/>
    <w:rPr>
      <w:color w:val="605E5C"/>
      <w:shd w:val="clear" w:color="auto" w:fill="E1DFDD"/>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link w:val="FootnoteReference"/>
    <w:uiPriority w:val="99"/>
    <w:rsid w:val="00F204F0"/>
    <w:pPr>
      <w:spacing w:line="240" w:lineRule="exact"/>
      <w:jc w:val="both"/>
    </w:pPr>
    <w:rPr>
      <w:vertAlign w:val="superscript"/>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F204F0"/>
    <w:rPr>
      <w:lang w:val="fr-FR"/>
    </w:rPr>
  </w:style>
  <w:style w:type="character" w:customStyle="1" w:styleId="Mention">
    <w:name w:val="Mention"/>
    <w:basedOn w:val="DefaultParagraphFont"/>
    <w:uiPriority w:val="99"/>
    <w:unhideWhenUsed/>
    <w:rsid w:val="00F204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5507">
      <w:bodyDiv w:val="1"/>
      <w:marLeft w:val="0"/>
      <w:marRight w:val="0"/>
      <w:marTop w:val="0"/>
      <w:marBottom w:val="0"/>
      <w:divBdr>
        <w:top w:val="none" w:sz="0" w:space="0" w:color="auto"/>
        <w:left w:val="none" w:sz="0" w:space="0" w:color="auto"/>
        <w:bottom w:val="none" w:sz="0" w:space="0" w:color="auto"/>
        <w:right w:val="none" w:sz="0" w:space="0" w:color="auto"/>
      </w:divBdr>
    </w:div>
    <w:div w:id="860361317">
      <w:bodyDiv w:val="1"/>
      <w:marLeft w:val="0"/>
      <w:marRight w:val="0"/>
      <w:marTop w:val="0"/>
      <w:marBottom w:val="0"/>
      <w:divBdr>
        <w:top w:val="none" w:sz="0" w:space="0" w:color="auto"/>
        <w:left w:val="none" w:sz="0" w:space="0" w:color="auto"/>
        <w:bottom w:val="none" w:sz="0" w:space="0" w:color="auto"/>
        <w:right w:val="none" w:sz="0" w:space="0" w:color="auto"/>
      </w:divBdr>
      <w:divsChild>
        <w:div w:id="2098742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commission.europa.eu/strategy-and-policy/eu-budget/how-it-works/annual-lifecycle/implementation/anti-fraud-measures/edes_fr"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cohesiondata.ec.europa.e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c.europa.eu/economy_finance/recovery-and-resilience-scoreboard/index.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commission.europa.eu/strategy-and-policy/eu-budget/performance-and-reporting/programme-performance-statements_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c.europa.eu/info/funding-tenders/opportunities/portal/screen/opportunities/horizon-dashboard" TargetMode="External"/><Relationship Id="rId27" Type="http://schemas.openxmlformats.org/officeDocument/2006/relationships/header" Target="head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social/main.jsp?catId=738&amp;langId=en&amp;pubId=8558&amp;furtherPubs=yes" TargetMode="External"/><Relationship Id="rId2" Type="http://schemas.openxmlformats.org/officeDocument/2006/relationships/hyperlink" Target="https://data.consilium.europa.eu/doc/document/ST-6179-2024-ADD-1/fr/pdf" TargetMode="External"/><Relationship Id="rId1" Type="http://schemas.openxmlformats.org/officeDocument/2006/relationships/hyperlink" Target="https://www.europarl.europa.eu/doceo/document/TA-9-2024-0228_F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7384198965F04CAC95112A80E087FD" ma:contentTypeVersion="6" ma:contentTypeDescription="Create a new document." ma:contentTypeScope="" ma:versionID="29645aa7544d47f0998cee539cfbef0d">
  <xsd:schema xmlns:xsd="http://www.w3.org/2001/XMLSchema" xmlns:xs="http://www.w3.org/2001/XMLSchema" xmlns:p="http://schemas.microsoft.com/office/2006/metadata/properties" xmlns:ns2="ebf6e92b-7f0b-4aa0-8110-2ac1b0aa9f9b" xmlns:ns3="1e58b153-092f-44e0-b7f3-6f68ee4e5819" targetNamespace="http://schemas.microsoft.com/office/2006/metadata/properties" ma:root="true" ma:fieldsID="2aabc6a5bdbfcc47ad5ffee31be05016" ns2:_="" ns3:_="">
    <xsd:import namespace="ebf6e92b-7f0b-4aa0-8110-2ac1b0aa9f9b"/>
    <xsd:import namespace="1e58b153-092f-44e0-b7f3-6f68ee4e58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6e92b-7f0b-4aa0-8110-2ac1b0aa9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58b153-092f-44e0-b7f3-6f68ee4e58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27F6D66-080B-48D8-A57B-F1353028D881}">
  <ds:schemaRefs>
    <ds:schemaRef ds:uri="http://schemas.microsoft.com/sharepoint/v3/contenttype/forms"/>
  </ds:schemaRefs>
</ds:datastoreItem>
</file>

<file path=customXml/itemProps2.xml><?xml version="1.0" encoding="utf-8"?>
<ds:datastoreItem xmlns:ds="http://schemas.openxmlformats.org/officeDocument/2006/customXml" ds:itemID="{3117421D-05C5-4315-BDB5-35C5AE821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6e92b-7f0b-4aa0-8110-2ac1b0aa9f9b"/>
    <ds:schemaRef ds:uri="1e58b153-092f-44e0-b7f3-6f68ee4e5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EF3D96-A94C-483E-B8CB-07C98941E0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D37A83-7535-4742-BA5F-E110D7E0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4535</Words>
  <Characters>25854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7</cp:revision>
  <dcterms:created xsi:type="dcterms:W3CDTF">2024-06-24T12:31:00Z</dcterms:created>
  <dcterms:modified xsi:type="dcterms:W3CDTF">2024-06-30T17:45:00Z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CP-006</vt:lpwstr>
  </property>
  <property fmtid="{D5CDD505-2E9C-101B-9397-08002B2CF9AE}" pid="7" name="Last edited using">
    <vt:lpwstr>LW 9.0, Build 20230317</vt:lpwstr>
  </property>
  <property fmtid="{D5CDD505-2E9C-101B-9397-08002B2CF9AE}" pid="8" name="Created using">
    <vt:lpwstr>LW 8.0, Build 20220128</vt:lpwstr>
  </property>
  <property fmtid="{D5CDD505-2E9C-101B-9397-08002B2CF9AE}" pid="9" name="MSIP_Label_6bd9ddd1-4d20-43f6-abfa-fc3c07406f94_Enabled">
    <vt:lpwstr>true</vt:lpwstr>
  </property>
  <property fmtid="{D5CDD505-2E9C-101B-9397-08002B2CF9AE}" pid="10" name="MSIP_Label_6bd9ddd1-4d20-43f6-abfa-fc3c07406f94_SetDate">
    <vt:lpwstr>2022-05-20T14:28:11Z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775800c8-9458-47d8-acde-d1949a8e8b6d</vt:lpwstr>
  </property>
  <property fmtid="{D5CDD505-2E9C-101B-9397-08002B2CF9AE}" pid="15" name="MSIP_Label_6bd9ddd1-4d20-43f6-abfa-fc3c07406f94_ContentBits">
    <vt:lpwstr>0</vt:lpwstr>
  </property>
  <property fmtid="{D5CDD505-2E9C-101B-9397-08002B2CF9AE}" pid="16" name="ContentTypeId">
    <vt:lpwstr>0x0101001A7384198965F04CAC95112A80E087FD</vt:lpwstr>
  </property>
</Properties>
</file>