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A2DAC" w14:textId="3EEB09C8" w:rsidR="0075443E" w:rsidRPr="008B1CAA" w:rsidRDefault="00A6087B" w:rsidP="00A6087B">
      <w:pPr>
        <w:pStyle w:val="Pagedecouverture"/>
        <w:rPr>
          <w:noProof/>
        </w:rPr>
      </w:pPr>
      <w:r>
        <w:rPr>
          <w:noProof/>
        </w:rPr>
        <w:pict w14:anchorId="44928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5282897-5D42-4139-AF0B-EFECEB7F6F3D" style="width:455.25pt;height:456.75pt">
            <v:imagedata r:id="rId7" o:title=""/>
          </v:shape>
        </w:pict>
      </w:r>
    </w:p>
    <w:p w14:paraId="49F71E30" w14:textId="77777777" w:rsidR="0075443E" w:rsidRPr="008B1CAA" w:rsidRDefault="0075443E" w:rsidP="0075443E">
      <w:pPr>
        <w:rPr>
          <w:noProof/>
        </w:rPr>
        <w:sectPr w:rsidR="0075443E" w:rsidRPr="008B1CAA" w:rsidSect="00A6087B">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284DF733" w14:textId="77777777" w:rsidR="0075443E" w:rsidRPr="008B1CAA" w:rsidRDefault="0075443E" w:rsidP="0075443E">
      <w:pPr>
        <w:pStyle w:val="Annexetitre"/>
        <w:rPr>
          <w:noProof/>
        </w:rPr>
      </w:pPr>
      <w:bookmarkStart w:id="0" w:name="_GoBack"/>
      <w:bookmarkEnd w:id="0"/>
      <w:r w:rsidRPr="008B1CAA">
        <w:rPr>
          <w:noProof/>
        </w:rPr>
        <w:lastRenderedPageBreak/>
        <w:t xml:space="preserve">LIITE </w:t>
      </w:r>
    </w:p>
    <w:p w14:paraId="5211183F" w14:textId="77777777" w:rsidR="0075443E" w:rsidRPr="008B1CAA" w:rsidRDefault="0075443E" w:rsidP="0075443E">
      <w:pPr>
        <w:jc w:val="center"/>
        <w:rPr>
          <w:noProof/>
        </w:rPr>
      </w:pPr>
      <w:r w:rsidRPr="008B1CAA">
        <w:rPr>
          <w:noProof/>
        </w:rPr>
        <w:t>EUROOPAN UNIONIN, EUROOPAN ATOMIENERGIAYHTEISÖN JA NIIDEN JÄSENVALTIOIDEN VÄLINEN SOPIMUS ENERGIAPERUSKIRJAA KOSKEVAN SOPIMUKSEN TULKINNASTA JA SOVELTAMISESTA</w:t>
      </w:r>
    </w:p>
    <w:p w14:paraId="74DC15FB" w14:textId="77777777" w:rsidR="0075443E" w:rsidRPr="008B1CAA" w:rsidRDefault="0075443E" w:rsidP="0075443E">
      <w:pPr>
        <w:jc w:val="center"/>
        <w:rPr>
          <w:noProof/>
        </w:rPr>
      </w:pPr>
    </w:p>
    <w:p w14:paraId="3A442A02" w14:textId="77777777" w:rsidR="0075443E" w:rsidRPr="008B1CAA" w:rsidRDefault="0075443E" w:rsidP="0075443E">
      <w:pPr>
        <w:jc w:val="center"/>
        <w:rPr>
          <w:noProof/>
        </w:rPr>
      </w:pPr>
    </w:p>
    <w:p w14:paraId="640C50E3" w14:textId="77777777" w:rsidR="003C4CAE" w:rsidRPr="008B1CAA" w:rsidRDefault="0075443E" w:rsidP="003C4CAE">
      <w:pPr>
        <w:rPr>
          <w:noProof/>
        </w:rPr>
      </w:pPr>
      <w:r w:rsidRPr="008B1CAA">
        <w:rPr>
          <w:noProof/>
        </w:rPr>
        <w:br w:type="page"/>
      </w:r>
      <w:r w:rsidRPr="008B1CAA">
        <w:rPr>
          <w:noProof/>
        </w:rPr>
        <w:lastRenderedPageBreak/>
        <w:t xml:space="preserve">SOPIMUSPUOLET, JOTKA OVAT ALLEKIRJOITTANEET TÄMÄN SOPIMUKSEN, </w:t>
      </w:r>
    </w:p>
    <w:p w14:paraId="4787FD37" w14:textId="77777777" w:rsidR="003C4CAE" w:rsidRPr="008B1CAA" w:rsidRDefault="003C4CAE" w:rsidP="003C4CAE">
      <w:pPr>
        <w:rPr>
          <w:noProof/>
        </w:rPr>
      </w:pPr>
      <w:r w:rsidRPr="008B1CAA">
        <w:rPr>
          <w:noProof/>
        </w:rPr>
        <w:t xml:space="preserve">BELGIAN KUNINGASKUNTA, </w:t>
      </w:r>
    </w:p>
    <w:p w14:paraId="4709FE46" w14:textId="77777777" w:rsidR="003C4CAE" w:rsidRPr="008B1CAA" w:rsidRDefault="003C4CAE" w:rsidP="003C4CAE">
      <w:pPr>
        <w:rPr>
          <w:noProof/>
        </w:rPr>
      </w:pPr>
      <w:r w:rsidRPr="008B1CAA">
        <w:rPr>
          <w:noProof/>
        </w:rPr>
        <w:t xml:space="preserve">BULGARIAN TASAVALTA, </w:t>
      </w:r>
    </w:p>
    <w:p w14:paraId="656C8E5B" w14:textId="77777777" w:rsidR="003C4CAE" w:rsidRPr="008B1CAA" w:rsidRDefault="003C4CAE" w:rsidP="003C4CAE">
      <w:pPr>
        <w:rPr>
          <w:noProof/>
        </w:rPr>
      </w:pPr>
      <w:r w:rsidRPr="008B1CAA">
        <w:rPr>
          <w:noProof/>
        </w:rPr>
        <w:t xml:space="preserve">TŠEKIN TASAVALTA, </w:t>
      </w:r>
    </w:p>
    <w:p w14:paraId="109E2B7A" w14:textId="77777777" w:rsidR="003C4CAE" w:rsidRPr="008B1CAA" w:rsidRDefault="003C4CAE" w:rsidP="003C4CAE">
      <w:pPr>
        <w:rPr>
          <w:noProof/>
        </w:rPr>
      </w:pPr>
      <w:r w:rsidRPr="008B1CAA">
        <w:rPr>
          <w:noProof/>
        </w:rPr>
        <w:t xml:space="preserve">TANSKAN KUNINGASKUNTA, </w:t>
      </w:r>
    </w:p>
    <w:p w14:paraId="1EF6A8CF" w14:textId="77777777" w:rsidR="003C4CAE" w:rsidRPr="008B1CAA" w:rsidRDefault="003C4CAE" w:rsidP="003C4CAE">
      <w:pPr>
        <w:rPr>
          <w:noProof/>
        </w:rPr>
      </w:pPr>
      <w:r w:rsidRPr="008B1CAA">
        <w:rPr>
          <w:noProof/>
        </w:rPr>
        <w:t xml:space="preserve">SAKSAN LIITTOTASAVALTA, </w:t>
      </w:r>
    </w:p>
    <w:p w14:paraId="77B6DD98" w14:textId="77777777" w:rsidR="003C4CAE" w:rsidRPr="008B1CAA" w:rsidRDefault="003C4CAE" w:rsidP="003C4CAE">
      <w:pPr>
        <w:rPr>
          <w:noProof/>
        </w:rPr>
      </w:pPr>
      <w:r w:rsidRPr="008B1CAA">
        <w:rPr>
          <w:noProof/>
        </w:rPr>
        <w:t xml:space="preserve">VIRON TASAVALTA, </w:t>
      </w:r>
    </w:p>
    <w:p w14:paraId="3D600C9A" w14:textId="77777777" w:rsidR="003C4CAE" w:rsidRPr="008B1CAA" w:rsidRDefault="003C4CAE" w:rsidP="003C4CAE">
      <w:pPr>
        <w:rPr>
          <w:noProof/>
        </w:rPr>
      </w:pPr>
      <w:r w:rsidRPr="008B1CAA">
        <w:rPr>
          <w:noProof/>
        </w:rPr>
        <w:t xml:space="preserve">IRLANTI, </w:t>
      </w:r>
    </w:p>
    <w:p w14:paraId="28D03781" w14:textId="77777777" w:rsidR="003C4CAE" w:rsidRPr="008B1CAA" w:rsidRDefault="003C4CAE" w:rsidP="003C4CAE">
      <w:pPr>
        <w:rPr>
          <w:noProof/>
        </w:rPr>
      </w:pPr>
      <w:r w:rsidRPr="008B1CAA">
        <w:rPr>
          <w:noProof/>
        </w:rPr>
        <w:t xml:space="preserve">HELLEENIEN TASAVALTA, </w:t>
      </w:r>
    </w:p>
    <w:p w14:paraId="56EE153F" w14:textId="77777777" w:rsidR="003C4CAE" w:rsidRPr="008B1CAA" w:rsidRDefault="003C4CAE" w:rsidP="003C4CAE">
      <w:pPr>
        <w:rPr>
          <w:noProof/>
        </w:rPr>
      </w:pPr>
      <w:r w:rsidRPr="008B1CAA">
        <w:rPr>
          <w:noProof/>
        </w:rPr>
        <w:t xml:space="preserve">ESPANJAN KUNINGASKUNTA, </w:t>
      </w:r>
    </w:p>
    <w:p w14:paraId="06B1F35F" w14:textId="77777777" w:rsidR="003C4CAE" w:rsidRPr="008B1CAA" w:rsidRDefault="003C4CAE" w:rsidP="003C4CAE">
      <w:pPr>
        <w:rPr>
          <w:noProof/>
        </w:rPr>
      </w:pPr>
      <w:r w:rsidRPr="008B1CAA">
        <w:rPr>
          <w:noProof/>
        </w:rPr>
        <w:t xml:space="preserve">RANSKAN TASAVALTA, </w:t>
      </w:r>
    </w:p>
    <w:p w14:paraId="73D2430C" w14:textId="77777777" w:rsidR="003C4CAE" w:rsidRPr="008B1CAA" w:rsidRDefault="003C4CAE" w:rsidP="003C4CAE">
      <w:pPr>
        <w:rPr>
          <w:noProof/>
        </w:rPr>
      </w:pPr>
      <w:r w:rsidRPr="008B1CAA">
        <w:rPr>
          <w:noProof/>
        </w:rPr>
        <w:t xml:space="preserve">KROATIAN TASAVALTA, </w:t>
      </w:r>
    </w:p>
    <w:p w14:paraId="646324C2" w14:textId="77777777" w:rsidR="003C4CAE" w:rsidRPr="008B1CAA" w:rsidRDefault="003C4CAE" w:rsidP="003C4CAE">
      <w:pPr>
        <w:rPr>
          <w:noProof/>
        </w:rPr>
      </w:pPr>
      <w:r w:rsidRPr="008B1CAA">
        <w:rPr>
          <w:noProof/>
        </w:rPr>
        <w:t xml:space="preserve">ITALIAN TASAVALTA, </w:t>
      </w:r>
    </w:p>
    <w:p w14:paraId="4A861AFD" w14:textId="77777777" w:rsidR="003C4CAE" w:rsidRPr="008B1CAA" w:rsidRDefault="003C4CAE" w:rsidP="003C4CAE">
      <w:pPr>
        <w:rPr>
          <w:noProof/>
        </w:rPr>
      </w:pPr>
      <w:r w:rsidRPr="008B1CAA">
        <w:rPr>
          <w:noProof/>
        </w:rPr>
        <w:t xml:space="preserve">KYPROKSEN TASAVALTA, </w:t>
      </w:r>
    </w:p>
    <w:p w14:paraId="15C6470F" w14:textId="77777777" w:rsidR="003C4CAE" w:rsidRPr="008B1CAA" w:rsidRDefault="003C4CAE" w:rsidP="003C4CAE">
      <w:pPr>
        <w:rPr>
          <w:noProof/>
        </w:rPr>
      </w:pPr>
      <w:r w:rsidRPr="008B1CAA">
        <w:rPr>
          <w:noProof/>
        </w:rPr>
        <w:t xml:space="preserve">LATVIAN TASAVALTA, </w:t>
      </w:r>
    </w:p>
    <w:p w14:paraId="72A0DA8B" w14:textId="77777777" w:rsidR="003C4CAE" w:rsidRPr="008B1CAA" w:rsidRDefault="003C4CAE" w:rsidP="003C4CAE">
      <w:pPr>
        <w:rPr>
          <w:noProof/>
        </w:rPr>
      </w:pPr>
      <w:r w:rsidRPr="008B1CAA">
        <w:rPr>
          <w:noProof/>
        </w:rPr>
        <w:t xml:space="preserve">LIETTUAN TASAVALTA, </w:t>
      </w:r>
    </w:p>
    <w:p w14:paraId="1FED0D5F" w14:textId="77777777" w:rsidR="003C4CAE" w:rsidRPr="008B1CAA" w:rsidRDefault="003C4CAE" w:rsidP="003C4CAE">
      <w:pPr>
        <w:rPr>
          <w:noProof/>
        </w:rPr>
      </w:pPr>
      <w:r w:rsidRPr="008B1CAA">
        <w:rPr>
          <w:noProof/>
        </w:rPr>
        <w:t xml:space="preserve">LUXEMBURGIN SUURHERTTUAKUNTA, </w:t>
      </w:r>
    </w:p>
    <w:p w14:paraId="6426A730" w14:textId="77777777" w:rsidR="003C4CAE" w:rsidRPr="008B1CAA" w:rsidRDefault="003C4CAE" w:rsidP="003C4CAE">
      <w:pPr>
        <w:rPr>
          <w:noProof/>
        </w:rPr>
      </w:pPr>
      <w:r w:rsidRPr="008B1CAA">
        <w:rPr>
          <w:noProof/>
        </w:rPr>
        <w:t xml:space="preserve">MALTAN TASAVALTA, </w:t>
      </w:r>
    </w:p>
    <w:p w14:paraId="39E8C6B0" w14:textId="77777777" w:rsidR="003C4CAE" w:rsidRPr="008B1CAA" w:rsidRDefault="003C4CAE" w:rsidP="003C4CAE">
      <w:pPr>
        <w:rPr>
          <w:noProof/>
        </w:rPr>
      </w:pPr>
      <w:r w:rsidRPr="008B1CAA">
        <w:rPr>
          <w:noProof/>
        </w:rPr>
        <w:t xml:space="preserve">ALANKOMAIDEN KUNINGASKUNTA, </w:t>
      </w:r>
    </w:p>
    <w:p w14:paraId="321B1725" w14:textId="77777777" w:rsidR="003C4CAE" w:rsidRPr="008B1CAA" w:rsidRDefault="003C4CAE" w:rsidP="003C4CAE">
      <w:pPr>
        <w:rPr>
          <w:noProof/>
        </w:rPr>
      </w:pPr>
      <w:r w:rsidRPr="008B1CAA">
        <w:rPr>
          <w:noProof/>
        </w:rPr>
        <w:t xml:space="preserve">ITÄVALLAN TASAVALTA, </w:t>
      </w:r>
    </w:p>
    <w:p w14:paraId="5453ABAD" w14:textId="77777777" w:rsidR="003C4CAE" w:rsidRPr="008B1CAA" w:rsidRDefault="003C4CAE" w:rsidP="003C4CAE">
      <w:pPr>
        <w:rPr>
          <w:noProof/>
        </w:rPr>
      </w:pPr>
      <w:r w:rsidRPr="008B1CAA">
        <w:rPr>
          <w:noProof/>
        </w:rPr>
        <w:t xml:space="preserve">PUOLAN TASAVALTA, </w:t>
      </w:r>
    </w:p>
    <w:p w14:paraId="28EDDF65" w14:textId="77777777" w:rsidR="003C4CAE" w:rsidRPr="008B1CAA" w:rsidRDefault="003C4CAE" w:rsidP="003C4CAE">
      <w:pPr>
        <w:rPr>
          <w:noProof/>
        </w:rPr>
      </w:pPr>
      <w:r w:rsidRPr="008B1CAA">
        <w:rPr>
          <w:noProof/>
        </w:rPr>
        <w:t xml:space="preserve">PORTUGALIN TASAVALTA, </w:t>
      </w:r>
    </w:p>
    <w:p w14:paraId="489FED79" w14:textId="77777777" w:rsidR="003C4CAE" w:rsidRPr="008B1CAA" w:rsidRDefault="003C4CAE" w:rsidP="003C4CAE">
      <w:pPr>
        <w:rPr>
          <w:noProof/>
        </w:rPr>
      </w:pPr>
      <w:r w:rsidRPr="008B1CAA">
        <w:rPr>
          <w:noProof/>
        </w:rPr>
        <w:t xml:space="preserve">ROMANIA, </w:t>
      </w:r>
    </w:p>
    <w:p w14:paraId="3A66153F" w14:textId="77777777" w:rsidR="003C4CAE" w:rsidRPr="008B1CAA" w:rsidRDefault="003C4CAE" w:rsidP="003C4CAE">
      <w:pPr>
        <w:rPr>
          <w:noProof/>
        </w:rPr>
      </w:pPr>
      <w:r w:rsidRPr="008B1CAA">
        <w:rPr>
          <w:noProof/>
        </w:rPr>
        <w:t>SLOVENIAN TASAVALTA,</w:t>
      </w:r>
    </w:p>
    <w:p w14:paraId="7949E701" w14:textId="77777777" w:rsidR="003C4CAE" w:rsidRPr="008B1CAA" w:rsidRDefault="003C4CAE" w:rsidP="003C4CAE">
      <w:pPr>
        <w:rPr>
          <w:noProof/>
        </w:rPr>
      </w:pPr>
      <w:r w:rsidRPr="008B1CAA">
        <w:rPr>
          <w:noProof/>
        </w:rPr>
        <w:t xml:space="preserve">SLOVAKIAN TASAVALTA, </w:t>
      </w:r>
    </w:p>
    <w:p w14:paraId="232FF864" w14:textId="77777777" w:rsidR="003C4CAE" w:rsidRPr="008B1CAA" w:rsidRDefault="003C4CAE" w:rsidP="003C4CAE">
      <w:pPr>
        <w:rPr>
          <w:noProof/>
        </w:rPr>
      </w:pPr>
      <w:r w:rsidRPr="008B1CAA">
        <w:rPr>
          <w:noProof/>
        </w:rPr>
        <w:t xml:space="preserve">SUOMEN TASAVALTA, </w:t>
      </w:r>
    </w:p>
    <w:p w14:paraId="0258E4E1" w14:textId="77777777" w:rsidR="003C4CAE" w:rsidRPr="008B1CAA" w:rsidRDefault="003C4CAE" w:rsidP="003C4CAE">
      <w:pPr>
        <w:rPr>
          <w:noProof/>
        </w:rPr>
      </w:pPr>
      <w:r w:rsidRPr="008B1CAA">
        <w:rPr>
          <w:noProof/>
        </w:rPr>
        <w:t xml:space="preserve">RUOTSIN KUNINGASKUNTA, </w:t>
      </w:r>
    </w:p>
    <w:p w14:paraId="27514955" w14:textId="77777777" w:rsidR="003C4CAE" w:rsidRPr="008B1CAA" w:rsidRDefault="003C4CAE" w:rsidP="003C4CAE">
      <w:pPr>
        <w:rPr>
          <w:noProof/>
        </w:rPr>
      </w:pPr>
      <w:r w:rsidRPr="008B1CAA">
        <w:rPr>
          <w:noProof/>
        </w:rPr>
        <w:t xml:space="preserve">EUROOPAN UNIONI ja </w:t>
      </w:r>
    </w:p>
    <w:p w14:paraId="74770131" w14:textId="77777777" w:rsidR="003C4CAE" w:rsidRPr="008B1CAA" w:rsidRDefault="003C4CAE" w:rsidP="003C4CAE">
      <w:pPr>
        <w:rPr>
          <w:noProof/>
        </w:rPr>
      </w:pPr>
      <w:r w:rsidRPr="008B1CAA">
        <w:rPr>
          <w:noProof/>
        </w:rPr>
        <w:t xml:space="preserve">EUROOPAN ATOMIENERGIAYHTEISÖ, jotka </w:t>
      </w:r>
    </w:p>
    <w:p w14:paraId="1475B84E" w14:textId="77777777" w:rsidR="003C4CAE" w:rsidRPr="008B1CAA" w:rsidRDefault="003C4CAE" w:rsidP="007E5E90">
      <w:pPr>
        <w:suppressAutoHyphens/>
        <w:spacing w:after="240" w:line="360" w:lineRule="auto"/>
        <w:rPr>
          <w:noProof/>
        </w:rPr>
      </w:pPr>
      <w:r w:rsidRPr="008B1CAA">
        <w:rPr>
          <w:noProof/>
        </w:rPr>
        <w:br w:type="page"/>
      </w:r>
      <w:r w:rsidRPr="008B1CAA">
        <w:rPr>
          <w:noProof/>
        </w:rPr>
        <w:lastRenderedPageBreak/>
        <w:t>OTTAVAT HUOMIOON energiaperuskirjaa koskevan sopimuksen, joka allekirjoitettiin Lissabonissa 17 päivänä joulukuuta 1994 (EYVL 1994 L 380, s. 24) ja hyväksyttiin Euroopan yhteisöjen puolesta 23 päivänä syyskuuta 1997 tehdyllä neuvoston ja komission päätöksellä 98/181/EY, EHTY, Euratom (EYVL 1998 L 69, s. 1), sellaisena kuin se on mahdollisesti muutettuna, jäljempänä ’energiaperuskirjasta tehty sopimus’,</w:t>
      </w:r>
    </w:p>
    <w:p w14:paraId="032C336C" w14:textId="77777777" w:rsidR="003C4CAE" w:rsidRPr="008B1CAA" w:rsidRDefault="003C4CAE" w:rsidP="007E5E90">
      <w:pPr>
        <w:suppressAutoHyphens/>
        <w:spacing w:after="240" w:line="360" w:lineRule="auto"/>
        <w:rPr>
          <w:noProof/>
        </w:rPr>
      </w:pPr>
      <w:r w:rsidRPr="008B1CAA">
        <w:rPr>
          <w:noProof/>
        </w:rPr>
        <w:t>OTTAVAT HUOMIOON kansainvälisen tapaoikeuden säännöt, jotka on kodifioitu valtiosopimusoikeutta koskevassa Wienin yleissopimuksessa, jäljempänä ’Wienin yleissopimus’,</w:t>
      </w:r>
    </w:p>
    <w:p w14:paraId="51BD7AB8" w14:textId="77777777" w:rsidR="003C4CAE" w:rsidRPr="008B1CAA" w:rsidRDefault="003C4CAE" w:rsidP="007E5E90">
      <w:pPr>
        <w:suppressAutoHyphens/>
        <w:spacing w:after="240" w:line="360" w:lineRule="auto"/>
        <w:rPr>
          <w:noProof/>
        </w:rPr>
      </w:pPr>
      <w:r w:rsidRPr="008B1CAA">
        <w:rPr>
          <w:noProof/>
        </w:rPr>
        <w:t>KATSOVAT, että energiaperuskirjaa koskevan sopimuksen 1 artiklan 3 kohdassa tarkoitetun alueellisen taloudellisen yhdentymisen järjestön jäsenet ilmaisevat täten yhteisymmärryksen sopimuksen tulkinnasta ja soveltamisesta keskinäisissä suhteissaan,</w:t>
      </w:r>
    </w:p>
    <w:p w14:paraId="6D19BF6F" w14:textId="77777777" w:rsidR="003C4CAE" w:rsidRPr="008B1CAA" w:rsidRDefault="003C4CAE" w:rsidP="007E5E90">
      <w:pPr>
        <w:suppressAutoHyphens/>
        <w:spacing w:after="240" w:line="360" w:lineRule="auto"/>
        <w:rPr>
          <w:noProof/>
        </w:rPr>
      </w:pPr>
      <w:r w:rsidRPr="008B1CAA">
        <w:rPr>
          <w:noProof/>
        </w:rPr>
        <w:t>PALAUTTAVAT MIELEEN, että eroaminen energiaperuskirjaa koskevasta sopimuksesta ei vaikuta peruskirjasta eronneen, tämän sopimuksen allekirjoittaneen sopimuspuolen, jäljempänä ’sopimuspuoli’, asemaan alueellisen taloudellisen yhdentymisen järjestön jäsenenä eikä sulje pois halua ilmaista yhteisymmärrystä kyseisen sopimuksen tulkinnasta ja soveltamisesta niin kauan kuin sillä voidaan katsoa olevan oikeusvaikutuksia kyseisen jäsenen osalta ja erityisesti energiaperuskirjaa koskevan sopimuksen 47 artiklan 3 kohdan osalta,</w:t>
      </w:r>
    </w:p>
    <w:p w14:paraId="0FD1E6F6" w14:textId="77777777" w:rsidR="003C4CAE" w:rsidRPr="008B1CAA" w:rsidRDefault="003C4CAE" w:rsidP="007E5E90">
      <w:pPr>
        <w:suppressAutoHyphens/>
        <w:spacing w:after="240" w:line="360" w:lineRule="auto"/>
        <w:rPr>
          <w:noProof/>
        </w:rPr>
      </w:pPr>
      <w:r w:rsidRPr="008B1CAA">
        <w:rPr>
          <w:noProof/>
        </w:rPr>
        <w:t>OTTAVAT HUOMIOON Euroopan unionista tehdyn sopimuksen (SEU), Euroopan unionin toiminnasta tehdyn sopimuksen (SEUT), Euroopan atomienergiayhteisön (Euratom) perustamissopimuksen sekä Euroopan unionin ja Euratomin lainsäädännön yleiset periaatteet,</w:t>
      </w:r>
    </w:p>
    <w:p w14:paraId="0296128F" w14:textId="77777777" w:rsidR="003C4CAE" w:rsidRPr="008B1CAA" w:rsidRDefault="003C4CAE" w:rsidP="003C4CAE">
      <w:pPr>
        <w:rPr>
          <w:noProof/>
        </w:rPr>
      </w:pPr>
      <w:r w:rsidRPr="008B1CAA">
        <w:rPr>
          <w:noProof/>
        </w:rPr>
        <w:t xml:space="preserve">KATSOVAT, että tähän sopimukseen sisältyvät viittaukset Euroopan unioniin on ymmärrettävä viittauksina myös sen edeltäjään, Euroopan talousyhteisöön ja myöhemmin Euroopan yhteisöön, kunnes Euroopan unioni korvasi jälkimmäisen, </w:t>
      </w:r>
    </w:p>
    <w:p w14:paraId="5252AB59" w14:textId="77777777" w:rsidR="003C4CAE" w:rsidRPr="008B1CAA" w:rsidRDefault="003C4CAE" w:rsidP="003C4CAE">
      <w:pPr>
        <w:rPr>
          <w:noProof/>
        </w:rPr>
      </w:pPr>
      <w:r w:rsidRPr="008B1CAA">
        <w:rPr>
          <w:noProof/>
        </w:rPr>
        <w:t>PALAUTTAVAT MIELEEN, että Pysyvän kansainvälisen tuomioistuimen oikeuskäytännön (J</w:t>
      </w:r>
      <w:r w:rsidRPr="008B1CAA">
        <w:rPr>
          <w:i/>
          <w:iCs/>
          <w:noProof/>
        </w:rPr>
        <w:t>aworzinan kysymys (Puolan ja Tšekkoslovakian raja</w:t>
      </w:r>
      <w:r w:rsidRPr="008B1CAA">
        <w:rPr>
          <w:noProof/>
        </w:rPr>
        <w:t>)), neuvoa-antava lausunto, [1923], PCIJ B-sarja, nro 8, 37) ja Kansainvälisen tuomioistuimen oikeuskäytännön (</w:t>
      </w:r>
      <w:r w:rsidRPr="008B1CAA">
        <w:rPr>
          <w:i/>
          <w:iCs/>
          <w:noProof/>
        </w:rPr>
        <w:t>Varaukset yleissopimukseen joukkotuhontana pidettävän rikoksen ehkäisemiseksi ja rankaisemiseksi</w:t>
      </w:r>
      <w:r w:rsidRPr="008B1CAA">
        <w:rPr>
          <w:noProof/>
        </w:rPr>
        <w:t xml:space="preserve">, neuvoa-antava lausunto, [1951], I.C.J. Reports, 15, 20) mukaan oikeus antaa virallinen tulkinta oikeussäännöstä kuuluu kansainvälisen sopimuksen osalta kyseisen sopimuksen osapuolina oleville valtioille, </w:t>
      </w:r>
    </w:p>
    <w:p w14:paraId="48846667" w14:textId="77777777" w:rsidR="003C4CAE" w:rsidRPr="008B1CAA" w:rsidRDefault="003C4CAE" w:rsidP="003C4CAE">
      <w:pPr>
        <w:rPr>
          <w:noProof/>
        </w:rPr>
      </w:pPr>
      <w:r w:rsidRPr="008B1CAA">
        <w:rPr>
          <w:noProof/>
        </w:rPr>
        <w:t xml:space="preserve">PALAUTTAVAT MIELEEN, että Euroopan unionin jäsenvaltiot ovat antaneet Euroopan unionin tuomioistuimelle tällaisen oikeuden antaa sitova tulkinta unionin ja Euratomin oikeudesta, kuten unionin tuomioistuin on selittänyt 30 päivänä toukokuuta 2006 antamassaan tuomiossa asiassa </w:t>
      </w:r>
      <w:r w:rsidRPr="008B1CAA">
        <w:rPr>
          <w:i/>
          <w:noProof/>
        </w:rPr>
        <w:t xml:space="preserve">komissio </w:t>
      </w:r>
      <w:r w:rsidRPr="008B1CAA">
        <w:rPr>
          <w:noProof/>
        </w:rPr>
        <w:t>v</w:t>
      </w:r>
      <w:r w:rsidRPr="008B1CAA">
        <w:rPr>
          <w:i/>
          <w:noProof/>
        </w:rPr>
        <w:t>. Irlanti (Mox Plant),</w:t>
      </w:r>
      <w:r w:rsidRPr="008B1CAA">
        <w:rPr>
          <w:noProof/>
        </w:rPr>
        <w:t xml:space="preserve"> C-459/03 (EU:C:2006:345, 129–137 kohta), jossa se katsoi, että yksinomainen toimivalta tulkita ja soveltaa unionin ja Euratomin oikeutta ulottuu sellaisten kansainvälisten sopimusten tulkintaan ja soveltamiseen, joiden </w:t>
      </w:r>
      <w:r w:rsidRPr="008B1CAA">
        <w:rPr>
          <w:noProof/>
        </w:rPr>
        <w:lastRenderedPageBreak/>
        <w:t xml:space="preserve">osapuolia Euroopan unioni, Euratom ja jäsenvaltiot ovat, kun kyseessä ovat kahden jäsenvaltion taikka Euroopan unionin tai Euratomin ja jäsenvaltion väliset suhteet, </w:t>
      </w:r>
    </w:p>
    <w:p w14:paraId="1A594B92" w14:textId="77777777" w:rsidR="003C4CAE" w:rsidRPr="008B1CAA" w:rsidRDefault="003C4CAE" w:rsidP="003C4CAE">
      <w:pPr>
        <w:rPr>
          <w:noProof/>
        </w:rPr>
      </w:pPr>
      <w:r w:rsidRPr="008B1CAA">
        <w:rPr>
          <w:noProof/>
        </w:rPr>
        <w:t xml:space="preserve">PALAUTTAVAT MIELEEN, että SEUT-sopimuksen 344 artiklan ja Euratomin perustamissopimuksen 193 artiklan mukaan Euroopan unionin jäsenvaltioilla ei ole oikeutta hakea ratkaisua riitaan, joka koskee SEU-sopimuksen, SEUT-sopimuksen ja Euratomin perustamissopimuksen tulkintaa tai soveltamista, millään muulla kuin perussopimuksissa määrätyllä tavalla, </w:t>
      </w:r>
    </w:p>
    <w:p w14:paraId="6EB4E4D2" w14:textId="7263B005" w:rsidR="003C4CAE" w:rsidRPr="008B1CAA" w:rsidRDefault="003C4CAE" w:rsidP="003C4CAE">
      <w:pPr>
        <w:rPr>
          <w:noProof/>
        </w:rPr>
      </w:pPr>
      <w:r w:rsidRPr="008B1CAA">
        <w:rPr>
          <w:noProof/>
        </w:rPr>
        <w:t xml:space="preserve">PALAUTTAVAT MIELEEN, että asiassa </w:t>
      </w:r>
      <w:r w:rsidRPr="008B1CAA">
        <w:rPr>
          <w:i/>
          <w:iCs/>
          <w:noProof/>
        </w:rPr>
        <w:t>Achmea</w:t>
      </w:r>
      <w:r w:rsidRPr="008B1CAA">
        <w:rPr>
          <w:noProof/>
        </w:rPr>
        <w:t xml:space="preserve"> (asia C-284/16 (EU:C:2018:158)) 6 päivänä maaliskuuta 2018 antamassaan tuomiossa Euroopan unionin tuomioistuin totesi, että SEUT-sopimuksen 267 ja 344 artiklaa on tulkittava siten, että ne estävät jäsenvaltioiden välisen kansainvälisen sopimuksen sisältämien sellaisten määräysten soveltamisen, joiden mukaan jommankumman jäsenvaltion investoija voi toiseen jäsenvaltioon tehtyjä investointeja koskevan riidan yhteydessä käynnistää viimeksi mainittua jäsenvaltiota vastaan menettelyn välimiesoikeudessa, jonka toimivalta tämän jäsenvaltion on hyväksyttävä, </w:t>
      </w:r>
    </w:p>
    <w:p w14:paraId="2CBB42C1" w14:textId="77777777" w:rsidR="003C4CAE" w:rsidRPr="008B1CAA" w:rsidRDefault="003C4CAE" w:rsidP="003C4CAE">
      <w:pPr>
        <w:rPr>
          <w:noProof/>
        </w:rPr>
      </w:pPr>
      <w:r w:rsidRPr="008B1CAA">
        <w:rPr>
          <w:noProof/>
        </w:rPr>
        <w:t xml:space="preserve">PALAUTTAVAT MIELEEN Euroopan unionin toistuvasti esittämän kannan, jonka mukaan energiaperuskirjaa koskevaa sopimusta ei ole tarkoitus soveltaa EU:n sisäisissä suhteissa eikä Euroopan unionin, Euratomin ja niiden jäsenvaltioiden tarkoituksena ollut eikä voinut olla, että energiaperuskirjaa koskeva sopimus loisi niiden keskuudessa velvollisuuksia, koska siitä neuvoteltiin Euroopan unionin ulkoisen energiapolitiikan välineenä, jonka tarkoituksena on luoda puitteet energia-alan yhteistyölle kolmansien maiden kanssa, kun taas unionin sisäinen energiapolitiikka koostuu yksityiskohtaisesta sääntelyjärjestelmästä, jonka tarkoituksena on luoda energian sisämarkkinat, joilla säännellään yksinomaan jäsenvaltioiden välisiä suhteita, </w:t>
      </w:r>
    </w:p>
    <w:p w14:paraId="26FCA056" w14:textId="77777777" w:rsidR="003C4CAE" w:rsidRPr="008B1CAA" w:rsidRDefault="003C4CAE" w:rsidP="003C4CAE">
      <w:pPr>
        <w:rPr>
          <w:noProof/>
        </w:rPr>
      </w:pPr>
      <w:r w:rsidRPr="008B1CAA">
        <w:rPr>
          <w:noProof/>
        </w:rPr>
        <w:t xml:space="preserve">PALAUTTAVAT MIELEEN, että Euroopan unionin tuomioistuin muistutti, että sen 2 päivänä syyskuuta 2021 asiassa </w:t>
      </w:r>
      <w:r w:rsidRPr="008B1CAA">
        <w:rPr>
          <w:i/>
          <w:iCs/>
          <w:noProof/>
        </w:rPr>
        <w:t>Komstroy</w:t>
      </w:r>
      <w:r w:rsidRPr="008B1CAA">
        <w:rPr>
          <w:noProof/>
        </w:rPr>
        <w:t xml:space="preserve"> antamassa tuomiossa (C-741/19, EU:C:2021:655, 66 kohta), jäljempänä ’</w:t>
      </w:r>
      <w:r w:rsidRPr="008B1CAA">
        <w:rPr>
          <w:i/>
          <w:iCs/>
          <w:noProof/>
        </w:rPr>
        <w:t>Komstroy</w:t>
      </w:r>
      <w:r w:rsidRPr="008B1CAA">
        <w:rPr>
          <w:noProof/>
        </w:rPr>
        <w:t xml:space="preserve">-tuomio’, mikä vahvistettiin sen lausunnossa 1/20 (EU:C:2022:485, 47 kohta), tuomioistuin katsoi, että energiaperuskirjaa koskevan sopimuksen 26 artiklan 2 kohdan c alakohtaa on tulkittava siten, että sitä ei sovelleta jäsenvaltion ja toisen jäsenvaltion investoijan välisiin riitoihin, jotka koskevat viimeksi mainitun ensin mainittuun jäsenvaltioon tekemää investointia, </w:t>
      </w:r>
    </w:p>
    <w:p w14:paraId="449FBBE3" w14:textId="77777777" w:rsidR="003C4CAE" w:rsidRPr="008B1CAA" w:rsidRDefault="003C4CAE" w:rsidP="003C4CAE">
      <w:pPr>
        <w:rPr>
          <w:noProof/>
        </w:rPr>
      </w:pPr>
      <w:r w:rsidRPr="008B1CAA">
        <w:rPr>
          <w:noProof/>
        </w:rPr>
        <w:t xml:space="preserve">PALAUTTAVAT MIELEEN, että </w:t>
      </w:r>
      <w:r w:rsidRPr="008B1CAA">
        <w:rPr>
          <w:i/>
          <w:iCs/>
          <w:noProof/>
        </w:rPr>
        <w:t>Komstroy</w:t>
      </w:r>
      <w:r w:rsidRPr="008B1CAA">
        <w:rPr>
          <w:noProof/>
        </w:rPr>
        <w:t>-tuomion mukaista tulkintaa energiaperuskirjaa koskevasta sopimuksesta sovelletaan toimivaltaisen tuomioistuimen tulkintana ja kansainvälisen julkisoikeuden yleistä periaatetta noudattaen siitä lähtien, kun Euroopan unioni, Euratom ja niiden jäsenvaltiot ovat hyväksyneet energiaperuskirjasta tehdyn sopimuksen,</w:t>
      </w:r>
    </w:p>
    <w:p w14:paraId="3EF7D998" w14:textId="77777777" w:rsidR="003C4CAE" w:rsidRPr="008B1CAA" w:rsidRDefault="003C4CAE" w:rsidP="007E5E90">
      <w:pPr>
        <w:suppressAutoHyphens/>
        <w:spacing w:after="240" w:line="360" w:lineRule="auto"/>
        <w:rPr>
          <w:noProof/>
        </w:rPr>
      </w:pPr>
      <w:r w:rsidRPr="008B1CAA">
        <w:rPr>
          <w:noProof/>
        </w:rPr>
        <w:t>KATSOVAT, että SEUT-sopimuksen 267 ja 344 artiklaa on tulkittava siten, että ne sulkevat pois energiaperuskirjaa koskevan sopimuksen 26 artiklan tulkinnan, jonka mukaan Euroopan unionin jonkin jäsenvaltion investoijan ja toisaalta Euroopan unionin jonkin toisen jäsenvaltion, Euroopan unionin tai Euratomin väliset riidat voitaisiin ratkaista välitystuomioistuimessa, jäljempänä ’unionin sisäinen välimiesmenettely’, ja</w:t>
      </w:r>
    </w:p>
    <w:p w14:paraId="456365CC" w14:textId="77777777" w:rsidR="003C4CAE" w:rsidRPr="008B1CAA" w:rsidRDefault="003C4CAE" w:rsidP="007E5E90">
      <w:pPr>
        <w:suppressAutoHyphens/>
        <w:spacing w:after="240" w:line="360" w:lineRule="auto"/>
        <w:rPr>
          <w:noProof/>
        </w:rPr>
      </w:pPr>
      <w:r w:rsidRPr="008B1CAA">
        <w:rPr>
          <w:noProof/>
        </w:rPr>
        <w:t xml:space="preserve">KATSOVAT joka tapauksessa, että jos riidoissa ei päästä sovintoratkaisuun, riidan osapuoli voi halutessaan aina kansallisen lainsäädännön mukaisesti saattaa jonkin sopimuspuolen ja toisen sopimuspuolen investoijan väliset riidat toimivaltaisten tuomioistuinten tai hallintotuomioistuinten ratkaistavaksi, mikä taataan muun muassa Euroopan unionin </w:t>
      </w:r>
      <w:r w:rsidRPr="008B1CAA">
        <w:rPr>
          <w:noProof/>
        </w:rPr>
        <w:lastRenderedPageBreak/>
        <w:t>perusoikeuskirjassa vahvistetuilla yleisillä oikeusperiaatteilla ja perusoikeuksien kunnioittamisella,</w:t>
      </w:r>
    </w:p>
    <w:p w14:paraId="11452B30" w14:textId="77777777" w:rsidR="003C4CAE" w:rsidRPr="008B1CAA" w:rsidRDefault="003C4CAE" w:rsidP="003C4CAE">
      <w:pPr>
        <w:rPr>
          <w:noProof/>
        </w:rPr>
      </w:pPr>
      <w:r w:rsidRPr="008B1CAA">
        <w:rPr>
          <w:noProof/>
        </w:rPr>
        <w:t xml:space="preserve">OVAT YHTÄ MIELTÄ tässä sopimuksessa ilmaistusta Euroopan unionin, Euratomin ja niiden jäsenvaltioiden välisestä yhteisymmärryksestä, jonka mukaan energiaperuskirjaa koskevan sopimuksen 26 artiklan kaltainen määräys ei näin ollen ole aiemmin voinut eikä voi nyt eikä tulevaisuudessakaan toimia oikeusperustana jonkin jäsenvaltion investoijan vireille panemalle välimiesmenettelylle, joka koskee investointeja toiseen jäsenvaltioon, </w:t>
      </w:r>
    </w:p>
    <w:p w14:paraId="25968F61" w14:textId="77777777" w:rsidR="003C4CAE" w:rsidRPr="008B1CAA" w:rsidRDefault="003C4CAE" w:rsidP="003C4CAE">
      <w:pPr>
        <w:rPr>
          <w:noProof/>
        </w:rPr>
      </w:pPr>
      <w:r w:rsidRPr="008B1CAA">
        <w:rPr>
          <w:noProof/>
        </w:rPr>
        <w:t>TOISTAVAT Lissabonin sopimuksen hyväksyneen hallitustenvälisen konferenssin päätösasiakirjaan liitetyn julistuksen N:o 17, jossa muistutetaan, että perussopimukset ja unionin perussopimusten nojalla hyväksymä lainsäädäntö ovat ensisijaisia jäsenvaltioiden oikeuteen nähden ja että ensisijaisuuden periaate muodostaa lainvalintasäännön niiden keskinäisissä suhteissa,</w:t>
      </w:r>
    </w:p>
    <w:p w14:paraId="1C0745E5" w14:textId="77777777" w:rsidR="003C4CAE" w:rsidRPr="008B1CAA" w:rsidRDefault="003C4CAE" w:rsidP="003C4CAE">
      <w:pPr>
        <w:rPr>
          <w:noProof/>
        </w:rPr>
      </w:pPr>
      <w:r w:rsidRPr="008B1CAA">
        <w:rPr>
          <w:noProof/>
        </w:rPr>
        <w:t>PALAUTTAVAT MIELEEN, että näin ollen normien välisten ristiriitojen ratkaisemiseksi voidaan EU:n sisäisissä suhteissa soveltaa kansainvälistä sopimusta, jonka Euroopan unionin jäsenvaltiot ovat tehneet kansainvälisen oikeuden nojalla, ainoastaan siltä osin kuin sen määräykset ovat yhteensopivia EU:n perussopimusten kanssa,</w:t>
      </w:r>
    </w:p>
    <w:p w14:paraId="5E112ADF" w14:textId="77777777" w:rsidR="003C4CAE" w:rsidRPr="008B1CAA" w:rsidRDefault="003C4CAE" w:rsidP="003C4CAE">
      <w:pPr>
        <w:rPr>
          <w:noProof/>
        </w:rPr>
      </w:pPr>
      <w:r w:rsidRPr="008B1CAA">
        <w:rPr>
          <w:noProof/>
        </w:rPr>
        <w:t>KATSOVAT, että koska energiaperuskirjaa koskevan sopimuksen 26 artiklaa ei voida käyttää EU:n sisäisten välimiesmenettelyjen oikeusperustana, myöskään energiaperuskirjaa koskevan sopimuksen 47 artiklan 3 kohta ei voi koskea eikä sitä ole tarkoitus laajentaa koskemaan tällaisia menettelyitä,</w:t>
      </w:r>
    </w:p>
    <w:p w14:paraId="53A68E31" w14:textId="77777777" w:rsidR="003C4CAE" w:rsidRPr="008B1CAA" w:rsidRDefault="003C4CAE" w:rsidP="003C4CAE">
      <w:pPr>
        <w:rPr>
          <w:noProof/>
        </w:rPr>
      </w:pPr>
      <w:bookmarkStart w:id="1" w:name="_Hlk155958840"/>
      <w:bookmarkStart w:id="2" w:name="_Hlk155962353"/>
      <w:r w:rsidRPr="008B1CAA">
        <w:rPr>
          <w:noProof/>
        </w:rPr>
        <w:t>KATSOVAT, että koska energiaperuskirjaa koskevan sopimuksen 26 artiklaa ei voida soveltaa EU:n sisäisten välimiesmenettelyiden oikeusperustana, tapauksessa, jossa EU:n sisäinen välimiesmenettely on vireillä, niiden tämän sopimuksen sopimuspuolten, joita menettely koskee joko vastaajana tai investoijan kotivaltiona, olisi tehtävä keskenään yhteistyötä sen varmistamiseksi, että tämän sopimuksen olemassaolo saatetaan kyseisen välitystuomioistuimen tietoon, jotta voidaan tehdä asianmukainen päätelmä kyseisen tuomioistuimen toimivallan puuttumisesta,</w:t>
      </w:r>
      <w:bookmarkEnd w:id="1"/>
    </w:p>
    <w:p w14:paraId="37A9DE32" w14:textId="77777777" w:rsidR="003C4CAE" w:rsidRPr="008B1CAA" w:rsidRDefault="003C4CAE" w:rsidP="003C4CAE">
      <w:pPr>
        <w:rPr>
          <w:noProof/>
        </w:rPr>
      </w:pPr>
      <w:r w:rsidRPr="008B1CAA">
        <w:rPr>
          <w:noProof/>
        </w:rPr>
        <w:t>KATSOVAT lisäksi, että uusia EU:n sisäisiä välimiesmenettelyjä ei pitäisi panna vireille, ja</w:t>
      </w:r>
    </w:p>
    <w:p w14:paraId="0ABDE954" w14:textId="77777777" w:rsidR="003C4CAE" w:rsidRPr="008B1CAA" w:rsidRDefault="003C4CAE" w:rsidP="003C4CAE">
      <w:pPr>
        <w:rPr>
          <w:noProof/>
        </w:rPr>
      </w:pPr>
      <w:r w:rsidRPr="008B1CAA">
        <w:rPr>
          <w:noProof/>
        </w:rPr>
        <w:t>OVAT YHTÄ MIELTÄ siitä, että jos välimiesmenettelyä koskeva ilmoitus kuitenkin annetaan, niiden sopimuspuolten, joita tällainen menettely koskee joko vastaajana tai investoijan kotivaltiona, olisi tehtävä yhteistyötä sen varmistamiseksi, että tämän sopimuksen olemassaolo saatetaan kyseisen välitystuomioistuimen tietoon, jolloin voidaan tehdä asianmukainen päätelmä siitä, että energiaperuskirjaa koskevan sopimuksen 26 artikla ei voi toimia tällaisen menettelyn oikeusperustana,</w:t>
      </w:r>
    </w:p>
    <w:bookmarkEnd w:id="2"/>
    <w:p w14:paraId="32ACE1BB" w14:textId="77777777" w:rsidR="003C4CAE" w:rsidRPr="008B1CAA" w:rsidRDefault="003C4CAE" w:rsidP="003C4CAE">
      <w:pPr>
        <w:rPr>
          <w:noProof/>
        </w:rPr>
      </w:pPr>
      <w:r w:rsidRPr="008B1CAA">
        <w:rPr>
          <w:noProof/>
        </w:rPr>
        <w:t>KATSOVAT kuitenkin, että EU:n sisäisiä investointeja koskevissa välimiesmenettelyissä tehtyjä sovintoja ja välitystuomioita, joita ei voida enää mitätöidä tai kumota ja joita on vapaaehtoisesti noudatettu tai jotka on pantu täytäntöön lopullisesti, ei pitäisi riitauttaa,</w:t>
      </w:r>
    </w:p>
    <w:p w14:paraId="2D5C8ED6" w14:textId="77777777" w:rsidR="003C4CAE" w:rsidRPr="008B1CAA" w:rsidRDefault="003C4CAE" w:rsidP="003C4CAE">
      <w:pPr>
        <w:rPr>
          <w:noProof/>
        </w:rPr>
      </w:pPr>
      <w:r w:rsidRPr="008B1CAA">
        <w:rPr>
          <w:noProof/>
        </w:rPr>
        <w:t>PAHOITTELEVAT sitä, että välitystuomioita on jo annettu, niitä annetaan edelleen ja niitä voitaisiin edelleen antaa välimiesoikeuksissa Euroopan unionin ja Euratomin sääntöjen ja myös Euroopan unionin tuomioistuimen tulkintojen vastaisesti EU:n sisäisissä välimiesmenettelyissä, jotka on pantu vireille energiaperuskirjaa koskevan sopimuksen 26 artiklan nojalla,</w:t>
      </w:r>
    </w:p>
    <w:p w14:paraId="52E081A8" w14:textId="77777777" w:rsidR="003C4CAE" w:rsidRPr="008B1CAA" w:rsidRDefault="003C4CAE" w:rsidP="007E5E90">
      <w:pPr>
        <w:suppressAutoHyphens/>
        <w:spacing w:after="240" w:line="358" w:lineRule="auto"/>
        <w:rPr>
          <w:noProof/>
        </w:rPr>
      </w:pPr>
      <w:r w:rsidRPr="008B1CAA">
        <w:rPr>
          <w:noProof/>
        </w:rPr>
        <w:t xml:space="preserve">PAHOITTELEVAT myös sitä, että tällaiset välitystuomiot ovat täytäntöönpanomenettelyjen kohteena, myös kolmansissa maissa, että vireillä olevissa EU:n sisäisissä välimiesmenettelyissä, joiden väitetään perustuvan energiaperuskirjaa koskevan sopimuksen </w:t>
      </w:r>
      <w:r w:rsidRPr="008B1CAA">
        <w:rPr>
          <w:noProof/>
        </w:rPr>
        <w:lastRenderedPageBreak/>
        <w:t xml:space="preserve">26 artiklaan, välimiesoikeudet eivät katso, että niillä ei ole toimivaltaa ja tuomiovaltaa, ja että välityselimet jatkavat uusien välimiesmenettelyjen vireille panemista eivätkä hylkää niitä sillä perusteella, että niiden tutkittavaksi ottamisen edellytykset selvästi puuttuvat, </w:t>
      </w:r>
    </w:p>
    <w:p w14:paraId="09DAE2AD" w14:textId="77777777" w:rsidR="003C4CAE" w:rsidRPr="008B1CAA" w:rsidRDefault="003C4CAE" w:rsidP="003C4CAE">
      <w:pPr>
        <w:rPr>
          <w:noProof/>
        </w:rPr>
      </w:pPr>
      <w:r w:rsidRPr="008B1CAA">
        <w:rPr>
          <w:noProof/>
        </w:rPr>
        <w:t xml:space="preserve">KATSOVAT näin ollen, että on tarpeen toistaa nimenomaisesti ja yksiselitteisesti Euroopan unionin, Euratomin ja niiden jäsenvaltioiden johdonmukainen kanta sopimuksella, jossa vahvistetaan niiden yhteisymmärrys energiaperuskirjasta tehdyn sopimuksen, sellaisena kuin Euroopan unionin tuomioistuin on sitä tulkinnut, tulkinnasta ja soveltamisesta siltä osin kuin se koskee EU:n sisäisiä välimiesmenettelyjä, </w:t>
      </w:r>
    </w:p>
    <w:p w14:paraId="2D36B5C1" w14:textId="77777777" w:rsidR="003C4CAE" w:rsidRPr="008B1CAA" w:rsidRDefault="003C4CAE" w:rsidP="003C4CAE">
      <w:pPr>
        <w:rPr>
          <w:noProof/>
        </w:rPr>
      </w:pPr>
      <w:r w:rsidRPr="008B1CAA">
        <w:rPr>
          <w:noProof/>
        </w:rPr>
        <w:t xml:space="preserve">KATSOVAT, että Kansainvälisen tuomioistuimen 5 päivänä helmikuuta 1970 asiassa </w:t>
      </w:r>
      <w:r w:rsidRPr="008B1CAA">
        <w:rPr>
          <w:i/>
          <w:iCs/>
          <w:noProof/>
        </w:rPr>
        <w:t>Barcelona Traction, Light and Power Company Limited</w:t>
      </w:r>
      <w:r w:rsidRPr="008B1CAA">
        <w:rPr>
          <w:noProof/>
        </w:rPr>
        <w:t xml:space="preserve"> (</w:t>
      </w:r>
      <w:r w:rsidRPr="008B1CAA">
        <w:rPr>
          <w:i/>
          <w:iCs/>
          <w:noProof/>
        </w:rPr>
        <w:t>Belgia</w:t>
      </w:r>
      <w:r w:rsidRPr="008B1CAA">
        <w:rPr>
          <w:noProof/>
        </w:rPr>
        <w:t xml:space="preserve"> v. </w:t>
      </w:r>
      <w:r w:rsidRPr="008B1CAA">
        <w:rPr>
          <w:i/>
          <w:iCs/>
          <w:noProof/>
        </w:rPr>
        <w:t>Espanja</w:t>
      </w:r>
      <w:r w:rsidRPr="008B1CAA">
        <w:rPr>
          <w:noProof/>
        </w:rPr>
        <w:t xml:space="preserve">) (ICJ Reports 1970, s. 3, 33 ja 35 kohta) antaman tuomion mukaisesti ja kuten Euroopan unionin tuomioistuin on selittänyt </w:t>
      </w:r>
      <w:r w:rsidRPr="008B1CAA">
        <w:rPr>
          <w:i/>
          <w:iCs/>
          <w:noProof/>
        </w:rPr>
        <w:t>Komstroy</w:t>
      </w:r>
      <w:r w:rsidRPr="008B1CAA">
        <w:rPr>
          <w:noProof/>
        </w:rPr>
        <w:t>-tuomiossa, tietyillä energiaperuskirjasta tehdyn sopimuksen määräyksillä on tarkoitus säännellä kahdenvälisiä suhteita,</w:t>
      </w:r>
    </w:p>
    <w:p w14:paraId="26E77BB7" w14:textId="77777777" w:rsidR="003C4CAE" w:rsidRPr="008B1CAA" w:rsidRDefault="003C4CAE" w:rsidP="003C4CAE">
      <w:pPr>
        <w:rPr>
          <w:noProof/>
        </w:rPr>
      </w:pPr>
      <w:r w:rsidRPr="008B1CAA">
        <w:rPr>
          <w:noProof/>
        </w:rPr>
        <w:t>KATSOVAT näin ollen, että tämä sopimus koskee ainoastaan Euroopan unionin, Euratomin ja niiden jäsenvaltioiden välisiä kahdenvälisiä suhteita ja siten myös energiaperuskirjaa koskevan sopimuksen sopimuspuolten investoijien välisiä kahdenvälisiä suhteita ja että sen vuoksi tämä sopimus koskee ainoastaan niitä osapuolia, joihin sovelletaan Euroopan unionin ja Euratomin sääntöjä energiaperuskirjasta tehdyn sopimuksen 1 artiklan 3 kohdassa tarkoitettuina alueellisina taloudellisen yhdentymisen järjestöinä, eikä se vaikuta siihen, että muut energiaperuskirjaa koskevan sopimuksen sopimuspuolet voivat käyttää kyseisen sopimuksen mukaisia oikeuksiaan tai täyttää sen mukaiset velvollisuutensa,</w:t>
      </w:r>
    </w:p>
    <w:p w14:paraId="1981E3B7" w14:textId="77777777" w:rsidR="003C4CAE" w:rsidRPr="008B1CAA" w:rsidRDefault="003C4CAE" w:rsidP="003C4CAE">
      <w:pPr>
        <w:rPr>
          <w:noProof/>
        </w:rPr>
      </w:pPr>
      <w:r w:rsidRPr="008B1CAA">
        <w:rPr>
          <w:noProof/>
        </w:rPr>
        <w:t>PALAUTTAVAT MIELEEN, että Euroopan unioni ja Euratom sekä niiden jäsenvaltiot ovat ilmoittaneet muille energiaperuskirjaa koskevan sopimuksen sopimuspuolille aikomuksestaan tehdä tämä sopimus energiaperuskirjaa koskevan sopimuksen tulkinnasta ja soveltamisesta,</w:t>
      </w:r>
    </w:p>
    <w:p w14:paraId="27099ADB" w14:textId="77777777" w:rsidR="003C4CAE" w:rsidRPr="008B1CAA" w:rsidRDefault="003C4CAE" w:rsidP="003C4CAE">
      <w:pPr>
        <w:rPr>
          <w:noProof/>
        </w:rPr>
      </w:pPr>
      <w:r w:rsidRPr="008B1CAA">
        <w:rPr>
          <w:noProof/>
        </w:rPr>
        <w:t xml:space="preserve">KATSOVAT, että Euroopan unioni, Euratom ja niiden jäsenvaltiot varmistavat tällä tavoin ja EU:n ja Euratomin lainsäädännön mukaisten oikeudellisten velvollisuuksiensa mukaisesti, sanotun kuitenkaan rajoittamatta niiden oikeutta esittää tarkoituksenmukaisiksi katsomiaan vaatimuksia sellaisten kustannusten osalta, joita niille aiheutuu vastaajina EU:n sisäisissä välimiesmenettelyissä, </w:t>
      </w:r>
      <w:r w:rsidRPr="008B1CAA">
        <w:rPr>
          <w:i/>
          <w:iCs/>
          <w:noProof/>
        </w:rPr>
        <w:t>Komstroy</w:t>
      </w:r>
      <w:r w:rsidRPr="008B1CAA">
        <w:rPr>
          <w:noProof/>
        </w:rPr>
        <w:t>-tuomion täysimääräisen ja tehokkaan noudattamisen, olemassa olevien tuomioiden täytäntöönpanokelvottomuuden ja välimiesoikeuksien velvollisuuden lopettaa välittömästi mahdollisesti vireillä olevat EU:n sisäiset välimiesmenettelyt ja välityselinten velvollisuuden olla panematta vireille uusia EU:n sisäisiä välimiesmenettelyjä niille ICSID-yleissopimuksen 36 artiklan 3 kohdan ja SCC:n välimiesmenettelysääntöjen 12 artiklan mukaisesti kuuluvien valtuuksien mukaisesti sekä välimiesoikeuksien velvollisuuden ilmoittaa, että millään EU:n sisäisellä välimiesmenettelyllä ei ole oikeusperustaa,</w:t>
      </w:r>
    </w:p>
    <w:p w14:paraId="36867FF4" w14:textId="77777777" w:rsidR="003C4CAE" w:rsidRPr="008B1CAA" w:rsidRDefault="003C4CAE" w:rsidP="003C4CAE">
      <w:pPr>
        <w:rPr>
          <w:noProof/>
        </w:rPr>
      </w:pPr>
      <w:r w:rsidRPr="008B1CAA">
        <w:rPr>
          <w:noProof/>
        </w:rPr>
        <w:t xml:space="preserve">TULKITSEVAT, että tämä sopimus kattaa sellaiset energiaperuskirjaa koskevan sopimuksen 26 artiklaan perustuviin EU:n sisäisiin riitoihin liittyvät investoijan ja valtion väliset välimiesmenettelyt, joissa Euroopan unioni, Euratom tai niiden jäsenvaltiot ovat osapuolina ja jotka toteutetaan minkä tahansa välimiesmenettely-yleissopimuksen tai säännöstön nojalla, mukaan lukien yleissopimus valtioiden ja toisten valtioiden kansalaisten välisten sijoituksia koskevien riitaisuuksien ratkaisemisesta (ICSID-yleissopimus) ja ICSID:n välimiesmenettelysäännöt, Tukholman kauppakamarin välitysinstituutin välimiesmenettelysäännöt, Yhdistyneiden kansakuntien kansainvälisen kauppaoikeuden toimikunnan (UNCITRAL) välimiesmenettelysäännöt ja tilapäinen välimiesmenettely, </w:t>
      </w:r>
    </w:p>
    <w:p w14:paraId="60E7768D" w14:textId="77777777" w:rsidR="003C4CAE" w:rsidRPr="008B1CAA" w:rsidRDefault="003C4CAE" w:rsidP="003C4CAE">
      <w:pPr>
        <w:rPr>
          <w:noProof/>
        </w:rPr>
      </w:pPr>
      <w:r w:rsidRPr="008B1CAA">
        <w:rPr>
          <w:noProof/>
        </w:rPr>
        <w:lastRenderedPageBreak/>
        <w:t xml:space="preserve">PITÄVÄT MIELESSÄ, että tämän sopimuksen määräykset eivät rajoita Euroopan komission tai jäsenvaltioiden mahdollisuutta saattaa asia Euroopan unionin tuomioistuimen käsiteltäväksi SEUT-sopimuksen 258, 259 ja 260 artiklan perusteella, </w:t>
      </w:r>
    </w:p>
    <w:p w14:paraId="2ABBE0EE" w14:textId="77777777" w:rsidR="003C4CAE" w:rsidRPr="008B1CAA" w:rsidRDefault="003C4CAE" w:rsidP="003C4CAE">
      <w:pPr>
        <w:rPr>
          <w:noProof/>
        </w:rPr>
      </w:pPr>
      <w:r w:rsidRPr="008B1CAA">
        <w:rPr>
          <w:noProof/>
        </w:rPr>
        <w:t xml:space="preserve">OVAT SOPINEET SEURAAVAA: </w:t>
      </w:r>
    </w:p>
    <w:p w14:paraId="04B0DEE9" w14:textId="77777777" w:rsidR="003C4CAE" w:rsidRPr="008B1CAA" w:rsidRDefault="003C4CAE" w:rsidP="007E5E90">
      <w:pPr>
        <w:spacing w:after="108" w:line="265" w:lineRule="auto"/>
        <w:jc w:val="center"/>
        <w:rPr>
          <w:b/>
          <w:bCs/>
          <w:noProof/>
        </w:rPr>
      </w:pPr>
      <w:r w:rsidRPr="008B1CAA">
        <w:rPr>
          <w:b/>
          <w:noProof/>
        </w:rPr>
        <w:t>1 JAKSO</w:t>
      </w:r>
    </w:p>
    <w:p w14:paraId="106438F6" w14:textId="77777777" w:rsidR="003C4CAE" w:rsidRPr="008B1CAA" w:rsidRDefault="003C4CAE" w:rsidP="007E5E90">
      <w:pPr>
        <w:spacing w:after="108" w:line="265" w:lineRule="auto"/>
        <w:jc w:val="center"/>
        <w:rPr>
          <w:b/>
          <w:bCs/>
          <w:noProof/>
        </w:rPr>
      </w:pPr>
      <w:r w:rsidRPr="008B1CAA">
        <w:rPr>
          <w:b/>
          <w:noProof/>
        </w:rPr>
        <w:t>YHTEISYMMÄRRYS ENERGIAPERUSKIRJAA KOSKEVAN SOPIMUKSEN 26 ARTIKLAN SOVELTUMATTOMUUDESTA EU:N SISÄISTEN VÄLIMIESMENETTELYJEN PERUSTAKSI</w:t>
      </w:r>
    </w:p>
    <w:p w14:paraId="6FE9DE33" w14:textId="77777777" w:rsidR="003C4CAE" w:rsidRPr="008B1CAA" w:rsidRDefault="003C4CAE" w:rsidP="007E5E90">
      <w:pPr>
        <w:spacing w:after="108" w:line="265" w:lineRule="auto"/>
        <w:jc w:val="center"/>
        <w:rPr>
          <w:b/>
          <w:bCs/>
          <w:noProof/>
        </w:rPr>
      </w:pPr>
      <w:r w:rsidRPr="008B1CAA">
        <w:rPr>
          <w:b/>
          <w:noProof/>
        </w:rPr>
        <w:t xml:space="preserve">1 ARTIKLA </w:t>
      </w:r>
    </w:p>
    <w:p w14:paraId="79FE4A80" w14:textId="77777777" w:rsidR="003C4CAE" w:rsidRPr="008B1CAA" w:rsidRDefault="003C4CAE" w:rsidP="003C4CAE">
      <w:pPr>
        <w:jc w:val="center"/>
        <w:rPr>
          <w:b/>
          <w:noProof/>
        </w:rPr>
      </w:pPr>
      <w:r w:rsidRPr="008B1CAA">
        <w:rPr>
          <w:b/>
          <w:noProof/>
        </w:rPr>
        <w:t>Määritelmät</w:t>
      </w:r>
    </w:p>
    <w:p w14:paraId="2B7D19FF" w14:textId="77777777" w:rsidR="003C4CAE" w:rsidRPr="008B1CAA" w:rsidRDefault="003C4CAE" w:rsidP="003C4CAE">
      <w:pPr>
        <w:rPr>
          <w:noProof/>
        </w:rPr>
      </w:pPr>
      <w:r w:rsidRPr="008B1CAA">
        <w:rPr>
          <w:noProof/>
        </w:rPr>
        <w:t xml:space="preserve">Tässä sopimuksessa sovelletaan seuraavia määritelmiä: </w:t>
      </w:r>
    </w:p>
    <w:p w14:paraId="67D1C4C8" w14:textId="2C07C191" w:rsidR="00587333" w:rsidRPr="008B1CAA" w:rsidRDefault="00ED0DE2" w:rsidP="00ED0DE2">
      <w:pPr>
        <w:pStyle w:val="Point0"/>
        <w:rPr>
          <w:noProof/>
        </w:rPr>
      </w:pPr>
      <w:r>
        <w:rPr>
          <w:noProof/>
        </w:rPr>
        <w:t>1)</w:t>
      </w:r>
      <w:r>
        <w:rPr>
          <w:noProof/>
        </w:rPr>
        <w:tab/>
      </w:r>
      <w:r w:rsidR="003C4CAE" w:rsidRPr="008B1CAA">
        <w:rPr>
          <w:noProof/>
        </w:rPr>
        <w:t xml:space="preserve">’energiaperuskirjaa koskevalla sopimuksella’ tarkoitetaan Lissabonissa 17 päivänä joulukuuta 1994 allekirjoitettua sopimusta Euroopan energiaperuskirjasta (EYVL 1994 L 380, s. 24), joka hyväksyttiin Euroopan yhteisöjen puolesta 23 päivänä syyskuuta 1997 tehdyllä neuvoston ja komission päätöksellä 98/181/EY, EHTY, Euratom (EYVL 1998 L 69, s. 1), sellaisena kuin se on mahdollisesti muutettuna; </w:t>
      </w:r>
    </w:p>
    <w:p w14:paraId="42F02B6D" w14:textId="25049677" w:rsidR="00587333" w:rsidRPr="008B1CAA" w:rsidRDefault="00ED0DE2" w:rsidP="00ED0DE2">
      <w:pPr>
        <w:pStyle w:val="Point0"/>
        <w:rPr>
          <w:noProof/>
        </w:rPr>
      </w:pPr>
      <w:r>
        <w:rPr>
          <w:noProof/>
        </w:rPr>
        <w:t>2)</w:t>
      </w:r>
      <w:r>
        <w:rPr>
          <w:noProof/>
        </w:rPr>
        <w:tab/>
      </w:r>
      <w:r w:rsidR="003C4CAE" w:rsidRPr="008B1CAA">
        <w:rPr>
          <w:noProof/>
        </w:rPr>
        <w:t xml:space="preserve">’EU:n sisäisillä suhteilla’ tarkoitetaan Euroopan unionin jäsenvaltioiden ja Euratomin välisiä tai jonkin jäsenvaltion ja Euroopan unionin tai Euratomin välisiä suhteita; </w:t>
      </w:r>
    </w:p>
    <w:p w14:paraId="31352C15" w14:textId="37E07953" w:rsidR="00587333" w:rsidRPr="008B1CAA" w:rsidRDefault="00ED0DE2" w:rsidP="00ED0DE2">
      <w:pPr>
        <w:pStyle w:val="Point0"/>
        <w:rPr>
          <w:noProof/>
        </w:rPr>
      </w:pPr>
      <w:r>
        <w:rPr>
          <w:noProof/>
        </w:rPr>
        <w:t>3)</w:t>
      </w:r>
      <w:r>
        <w:rPr>
          <w:noProof/>
        </w:rPr>
        <w:tab/>
      </w:r>
      <w:r w:rsidR="003C4CAE" w:rsidRPr="008B1CAA">
        <w:rPr>
          <w:noProof/>
        </w:rPr>
        <w:t xml:space="preserve">’EU:n sisäisellä välimiesmenettelyllä’ tarkoitetaan mitä tahansa energiaperuskirjasta tehdyn sopimuksen 26 artiklan nojalla välimiesoikeudessa vireille pantua menettelyä sellaisen riidan ratkaisemiseksi, jossa ovat vastakkain Euroopan unionin jäsenvaltion investoija ja toinen Euroopan unionin jäsenvaltio, Euroopan unioni tai Euratom. </w:t>
      </w:r>
    </w:p>
    <w:p w14:paraId="7CE1BF59" w14:textId="77777777" w:rsidR="003C4CAE" w:rsidRPr="008B1CAA" w:rsidRDefault="003C4CAE" w:rsidP="007E5E90">
      <w:pPr>
        <w:keepNext/>
        <w:spacing w:after="108" w:line="265" w:lineRule="auto"/>
        <w:jc w:val="center"/>
        <w:rPr>
          <w:b/>
          <w:bCs/>
          <w:noProof/>
        </w:rPr>
      </w:pPr>
      <w:r w:rsidRPr="008B1CAA">
        <w:rPr>
          <w:b/>
          <w:noProof/>
        </w:rPr>
        <w:t xml:space="preserve">2 ARTIKLA </w:t>
      </w:r>
    </w:p>
    <w:p w14:paraId="7B76AF31" w14:textId="77777777" w:rsidR="003C4CAE" w:rsidRPr="008B1CAA" w:rsidRDefault="003C4CAE" w:rsidP="007E5E90">
      <w:pPr>
        <w:keepNext/>
        <w:spacing w:after="108" w:line="265" w:lineRule="auto"/>
        <w:jc w:val="center"/>
        <w:rPr>
          <w:b/>
          <w:bCs/>
          <w:noProof/>
        </w:rPr>
      </w:pPr>
      <w:r w:rsidRPr="008B1CAA">
        <w:rPr>
          <w:b/>
          <w:noProof/>
        </w:rPr>
        <w:t>Euroopan unionin, Euratomin ja niiden jäsenvaltioiden yhteisymmärrys energiaperuskirjaa koskevan sopimuksen 26 artiklan tulkinnasta ja sen jatkuvasta soveltumattomuudesta sekä oikeusperustan puuttumisesta EU:n sisäisille välimiesmenettelyille</w:t>
      </w:r>
    </w:p>
    <w:p w14:paraId="2D577E9A" w14:textId="561672AB" w:rsidR="003C4606" w:rsidRPr="008B1CAA" w:rsidRDefault="00ED0DE2" w:rsidP="00ED0DE2">
      <w:pPr>
        <w:pStyle w:val="Point0"/>
        <w:rPr>
          <w:noProof/>
        </w:rPr>
      </w:pPr>
      <w:r>
        <w:rPr>
          <w:noProof/>
        </w:rPr>
        <w:t>1)</w:t>
      </w:r>
      <w:r>
        <w:rPr>
          <w:noProof/>
        </w:rPr>
        <w:tab/>
      </w:r>
      <w:r w:rsidR="003C4CAE" w:rsidRPr="008B1CAA">
        <w:rPr>
          <w:noProof/>
        </w:rPr>
        <w:t xml:space="preserve">Sopimuspuolet vahvistavat selkeyden vuoksi, että ne ovat yhtä mieltä energiaperuskirjasta tehdyn sopimuksen tulkinnasta ja soveltamisesta ja että niiden mukaan kyseisen sopimuksen 26 artiklaa ei voi eikä ole koskaan voitu käyttää oikeusperustana EU:n sisäisille välimiesmenettelyille. </w:t>
      </w:r>
    </w:p>
    <w:p w14:paraId="154B297A" w14:textId="77777777" w:rsidR="003C4CAE" w:rsidRPr="008B1CAA" w:rsidRDefault="003C4CAE" w:rsidP="001F1268">
      <w:pPr>
        <w:pStyle w:val="Text1"/>
        <w:rPr>
          <w:noProof/>
        </w:rPr>
      </w:pPr>
      <w:r w:rsidRPr="008B1CAA">
        <w:rPr>
          <w:noProof/>
        </w:rPr>
        <w:t>Ensimmäisessä alakohdassa esitetty yhteisymmärrys perustuu seuraaviin unionin oikeuden tekijöihin:</w:t>
      </w:r>
    </w:p>
    <w:p w14:paraId="516B7B9D" w14:textId="6B8D407C" w:rsidR="003C4606" w:rsidRPr="008B1CAA" w:rsidRDefault="00ED0DE2" w:rsidP="00ED0DE2">
      <w:pPr>
        <w:pStyle w:val="Point1"/>
        <w:rPr>
          <w:noProof/>
        </w:rPr>
      </w:pPr>
      <w:r>
        <w:rPr>
          <w:noProof/>
        </w:rPr>
        <w:t>a)</w:t>
      </w:r>
      <w:r>
        <w:rPr>
          <w:noProof/>
        </w:rPr>
        <w:tab/>
      </w:r>
      <w:r w:rsidR="003C4CAE" w:rsidRPr="008B1CAA">
        <w:rPr>
          <w:noProof/>
        </w:rPr>
        <w:t>Euroopan unionin tuomioistuimen tulkinta, jonka mukaan energiaperuskirjasta tehdyn sopimuksen 26 artiklaa ei sovelleta eikä sitä olisi koskaan pitänyt soveltaa EU:n sisäisten välimiesmenettelyjen perustana; ja</w:t>
      </w:r>
    </w:p>
    <w:p w14:paraId="25A2FD35" w14:textId="69D1C9A6" w:rsidR="003C4606" w:rsidRPr="008B1CAA" w:rsidRDefault="00ED0DE2" w:rsidP="00ED0DE2">
      <w:pPr>
        <w:pStyle w:val="Point1"/>
        <w:rPr>
          <w:noProof/>
        </w:rPr>
      </w:pPr>
      <w:r>
        <w:rPr>
          <w:noProof/>
        </w:rPr>
        <w:t>b)</w:t>
      </w:r>
      <w:r>
        <w:rPr>
          <w:noProof/>
        </w:rPr>
        <w:tab/>
      </w:r>
      <w:r w:rsidR="003C4CAE" w:rsidRPr="008B1CAA">
        <w:rPr>
          <w:noProof/>
        </w:rPr>
        <w:t>Lissabonin sopimuksen hyväksyneen hallitustenvälisen konferenssin päätösasiakirjaan liitetyssä julistuksessa N:o 17 mainittu unionin oikeuden ensisijaisuus kansainvälisen oikeuden sääntönä, jolla säännellään normien välisiä ristiriitoja niiden keskinäisissä suhteissa, minkä vuoksi energiaperuskirjaa koskevan sopimuksen 26 artiklaa ei missään tapauksessa voida eikä ole koskaan voitu soveltaa EU:n sisäisten välimiesmenettelyjen perustana.</w:t>
      </w:r>
    </w:p>
    <w:p w14:paraId="73008C61" w14:textId="0C7D664D" w:rsidR="00D56F07" w:rsidRPr="008B1CAA" w:rsidRDefault="00ED0DE2" w:rsidP="00ED0DE2">
      <w:pPr>
        <w:pStyle w:val="Point0"/>
        <w:rPr>
          <w:noProof/>
        </w:rPr>
      </w:pPr>
      <w:r>
        <w:rPr>
          <w:noProof/>
        </w:rPr>
        <w:lastRenderedPageBreak/>
        <w:t>2)</w:t>
      </w:r>
      <w:r>
        <w:rPr>
          <w:noProof/>
        </w:rPr>
        <w:tab/>
      </w:r>
      <w:r w:rsidR="003C4CAE" w:rsidRPr="008B1CAA">
        <w:rPr>
          <w:noProof/>
        </w:rPr>
        <w:t>Selkeyden vuoksi sopimuspuolet vahvistavat olevansa yhtä mieltä siitä, että koska energiaperuskirjaa koskevan sopimuksen 26 artiklan mukaiselle EU:n sisäiselle välimiesmenettelylle ei ole oikeusperustaa, energiaperuskirjaa koskevan sopimuksen 47 artiklan 3 kohtaa ei voida eikä sitä olisi koskaan voitu laajentaa koskemaan tällaisia menettelyjä. Energiaperuskirjasta tehdyn sopimuksen 47 artiklan 3 kohdalla ei näin ollen ole voinut olla oikeusvaikutuksia EU:n sisäisissä suhteissa, kun jokin jäsenvaltio vetäytyy energiaperuskirjasta tehdystä sopimuksesta ennen tätä sopimusta, eikä sillä ole oikeusvaikutuksia EU:n sisäisissä suhteissa, jos jokin sopimuspuoli myöhemmin vetäytyy energiaperuskirjasta tehdystä sopimuksesta.</w:t>
      </w:r>
    </w:p>
    <w:p w14:paraId="216AFF9C" w14:textId="43ABE9FE" w:rsidR="00D56F07" w:rsidRPr="008B1CAA" w:rsidRDefault="00ED0DE2" w:rsidP="00ED0DE2">
      <w:pPr>
        <w:pStyle w:val="Point0"/>
        <w:rPr>
          <w:noProof/>
        </w:rPr>
      </w:pPr>
      <w:r>
        <w:rPr>
          <w:noProof/>
        </w:rPr>
        <w:t>3)</w:t>
      </w:r>
      <w:r>
        <w:rPr>
          <w:noProof/>
        </w:rPr>
        <w:tab/>
      </w:r>
      <w:r w:rsidR="003C4CAE" w:rsidRPr="008B1CAA">
        <w:rPr>
          <w:noProof/>
        </w:rPr>
        <w:t>Selkeyden vuoksi sopimuspuolet toteavat olevansa yhtä mieltä siitä, että 1 ja 2 kohdassa esitetyn yhteisymmärryksen mukaisesti ja sitä rajoittamatta, energiaperuskirjaa koskevan sopimuksen 26 artiklaa ei sovelleta EU:n sisäisten välimiesmenettelyjen perustana ja että energiaperuskirjasta tehdyn sopimuksen 47 artiklan 3 kohdalla ei tältä osin ole oikeusvaikutuksia EU:n sisäisissä suhteissa.</w:t>
      </w:r>
    </w:p>
    <w:p w14:paraId="5A033645" w14:textId="1423A64C" w:rsidR="00D56F07" w:rsidRPr="008B1CAA" w:rsidRDefault="00ED0DE2" w:rsidP="00ED0DE2">
      <w:pPr>
        <w:pStyle w:val="Point0"/>
        <w:rPr>
          <w:noProof/>
        </w:rPr>
      </w:pPr>
      <w:r>
        <w:rPr>
          <w:noProof/>
        </w:rPr>
        <w:t>4)</w:t>
      </w:r>
      <w:r>
        <w:rPr>
          <w:noProof/>
        </w:rPr>
        <w:tab/>
      </w:r>
      <w:r w:rsidR="003C4CAE" w:rsidRPr="008B1CAA">
        <w:rPr>
          <w:noProof/>
        </w:rPr>
        <w:t>Edellä olevilla 1–3 kohdalla ei rajoiteta energiaperuskirjaa koskevan sopimuksen muiden määräysten tulkintaa ja soveltamista siltä osin kuin ne koskevat EU:n sisäisiä suhteita. </w:t>
      </w:r>
    </w:p>
    <w:p w14:paraId="7F3EE8C3" w14:textId="77777777" w:rsidR="003C4CAE" w:rsidRPr="008B1CAA" w:rsidRDefault="003C4CAE" w:rsidP="007E5E90">
      <w:pPr>
        <w:keepNext/>
        <w:spacing w:after="108" w:line="265" w:lineRule="auto"/>
        <w:jc w:val="center"/>
        <w:rPr>
          <w:b/>
          <w:bCs/>
          <w:noProof/>
        </w:rPr>
      </w:pPr>
      <w:r w:rsidRPr="008B1CAA">
        <w:rPr>
          <w:b/>
          <w:noProof/>
        </w:rPr>
        <w:t>2 JAKSO</w:t>
      </w:r>
    </w:p>
    <w:p w14:paraId="2B74750E" w14:textId="77777777" w:rsidR="003C4CAE" w:rsidRPr="008B1CAA" w:rsidRDefault="003C4CAE" w:rsidP="007E5E90">
      <w:pPr>
        <w:keepNext/>
        <w:spacing w:after="115"/>
        <w:jc w:val="center"/>
        <w:rPr>
          <w:b/>
          <w:bCs/>
          <w:noProof/>
        </w:rPr>
      </w:pPr>
      <w:r w:rsidRPr="008B1CAA">
        <w:rPr>
          <w:b/>
          <w:noProof/>
        </w:rPr>
        <w:t xml:space="preserve">LOPPUMÄÄRÄYKSET </w:t>
      </w:r>
    </w:p>
    <w:p w14:paraId="2DBB6970" w14:textId="77777777" w:rsidR="003C4CAE" w:rsidRPr="008B1CAA" w:rsidRDefault="003C4CAE" w:rsidP="007E5E90">
      <w:pPr>
        <w:keepNext/>
        <w:spacing w:after="108" w:line="265" w:lineRule="auto"/>
        <w:jc w:val="center"/>
        <w:rPr>
          <w:b/>
          <w:bCs/>
          <w:noProof/>
        </w:rPr>
      </w:pPr>
      <w:r w:rsidRPr="008B1CAA">
        <w:rPr>
          <w:b/>
          <w:noProof/>
        </w:rPr>
        <w:t xml:space="preserve">3 ARTIKLA </w:t>
      </w:r>
    </w:p>
    <w:p w14:paraId="09C8AEE1" w14:textId="77777777" w:rsidR="003C4CAE" w:rsidRPr="008B1CAA" w:rsidRDefault="003C4CAE" w:rsidP="007E5E90">
      <w:pPr>
        <w:keepNext/>
        <w:spacing w:after="108" w:line="265" w:lineRule="auto"/>
        <w:jc w:val="center"/>
        <w:rPr>
          <w:b/>
          <w:bCs/>
          <w:noProof/>
        </w:rPr>
      </w:pPr>
      <w:r w:rsidRPr="008B1CAA">
        <w:rPr>
          <w:b/>
          <w:noProof/>
        </w:rPr>
        <w:t xml:space="preserve">Tallettaja </w:t>
      </w:r>
    </w:p>
    <w:p w14:paraId="1759AD7D" w14:textId="033A02EC" w:rsidR="005C4D21" w:rsidRPr="008B1CAA" w:rsidRDefault="00ED0DE2" w:rsidP="00ED0DE2">
      <w:pPr>
        <w:pStyle w:val="Point0"/>
        <w:rPr>
          <w:noProof/>
        </w:rPr>
      </w:pPr>
      <w:r>
        <w:rPr>
          <w:noProof/>
        </w:rPr>
        <w:t>1)</w:t>
      </w:r>
      <w:r>
        <w:rPr>
          <w:noProof/>
        </w:rPr>
        <w:tab/>
      </w:r>
      <w:r w:rsidR="003C4CAE" w:rsidRPr="008B1CAA">
        <w:rPr>
          <w:noProof/>
        </w:rPr>
        <w:t xml:space="preserve">Euroopan unionin neuvoston pääsihteeri on tämän sopimuksen tallettaja. </w:t>
      </w:r>
    </w:p>
    <w:p w14:paraId="00AB6CB3" w14:textId="63AD526A" w:rsidR="005C4D21" w:rsidRPr="008B1CAA" w:rsidRDefault="00ED0DE2" w:rsidP="00ED0DE2">
      <w:pPr>
        <w:pStyle w:val="Point0"/>
        <w:rPr>
          <w:noProof/>
        </w:rPr>
      </w:pPr>
      <w:r>
        <w:rPr>
          <w:noProof/>
        </w:rPr>
        <w:t>2)</w:t>
      </w:r>
      <w:r>
        <w:rPr>
          <w:noProof/>
        </w:rPr>
        <w:tab/>
      </w:r>
      <w:r w:rsidR="003C4CAE" w:rsidRPr="008B1CAA">
        <w:rPr>
          <w:noProof/>
        </w:rPr>
        <w:t xml:space="preserve">Euroopan unionin neuvoston pääsihteeri ilmoittaa sopimuspuolille </w:t>
      </w:r>
    </w:p>
    <w:p w14:paraId="3FDF2580" w14:textId="6E40B8FC" w:rsidR="005C4D21" w:rsidRPr="008B1CAA" w:rsidRDefault="00ED0DE2" w:rsidP="00ED0DE2">
      <w:pPr>
        <w:pStyle w:val="Point1"/>
        <w:rPr>
          <w:noProof/>
        </w:rPr>
      </w:pPr>
      <w:r>
        <w:rPr>
          <w:noProof/>
        </w:rPr>
        <w:t>a)</w:t>
      </w:r>
      <w:r>
        <w:rPr>
          <w:noProof/>
        </w:rPr>
        <w:tab/>
      </w:r>
      <w:r w:rsidR="003C4CAE" w:rsidRPr="008B1CAA">
        <w:rPr>
          <w:noProof/>
        </w:rPr>
        <w:t xml:space="preserve">ratifioimis- tai hyväksymiskirjojen tallettamisesta 5 artiklan mukaisesti; </w:t>
      </w:r>
    </w:p>
    <w:p w14:paraId="3E2C0C6C" w14:textId="39221E1A" w:rsidR="005C4D21" w:rsidRPr="008B1CAA" w:rsidRDefault="00ED0DE2" w:rsidP="00ED0DE2">
      <w:pPr>
        <w:pStyle w:val="Point1"/>
        <w:rPr>
          <w:noProof/>
        </w:rPr>
      </w:pPr>
      <w:r>
        <w:rPr>
          <w:noProof/>
        </w:rPr>
        <w:t>b)</w:t>
      </w:r>
      <w:r>
        <w:rPr>
          <w:noProof/>
        </w:rPr>
        <w:tab/>
      </w:r>
      <w:r w:rsidR="003C4CAE" w:rsidRPr="008B1CAA">
        <w:rPr>
          <w:noProof/>
        </w:rPr>
        <w:t xml:space="preserve">tämän sopimuksen 6 artiklan 1 kohdan mukaisesta voimaantulopäivästä; </w:t>
      </w:r>
    </w:p>
    <w:p w14:paraId="11A85B30" w14:textId="3C1FB367" w:rsidR="005C4D21" w:rsidRPr="008B1CAA" w:rsidRDefault="00ED0DE2" w:rsidP="00ED0DE2">
      <w:pPr>
        <w:pStyle w:val="Point1"/>
        <w:rPr>
          <w:noProof/>
        </w:rPr>
      </w:pPr>
      <w:r>
        <w:rPr>
          <w:noProof/>
        </w:rPr>
        <w:t>c)</w:t>
      </w:r>
      <w:r>
        <w:rPr>
          <w:noProof/>
        </w:rPr>
        <w:tab/>
      </w:r>
      <w:r w:rsidR="003C4CAE" w:rsidRPr="008B1CAA">
        <w:rPr>
          <w:noProof/>
        </w:rPr>
        <w:t xml:space="preserve">tämän sopimuksen 6 artiklan 2 kohdan mukaisesta voimaantulopäivästä kunkin sopimuspuolen osalta. </w:t>
      </w:r>
    </w:p>
    <w:p w14:paraId="3A4881E5" w14:textId="368D8D06" w:rsidR="005C4D21" w:rsidRPr="008B1CAA" w:rsidRDefault="00ED0DE2" w:rsidP="00ED0DE2">
      <w:pPr>
        <w:pStyle w:val="Point0"/>
        <w:rPr>
          <w:noProof/>
        </w:rPr>
      </w:pPr>
      <w:r>
        <w:rPr>
          <w:noProof/>
        </w:rPr>
        <w:t>3)</w:t>
      </w:r>
      <w:r>
        <w:rPr>
          <w:noProof/>
        </w:rPr>
        <w:tab/>
      </w:r>
      <w:r w:rsidR="003C4CAE" w:rsidRPr="008B1CAA">
        <w:rPr>
          <w:noProof/>
        </w:rPr>
        <w:t xml:space="preserve">Euroopan unionin neuvoston pääsihteeri julkaisee sopimuksen </w:t>
      </w:r>
      <w:r w:rsidR="003C4CAE" w:rsidRPr="008B1CAA">
        <w:rPr>
          <w:i/>
          <w:iCs/>
          <w:noProof/>
        </w:rPr>
        <w:t>Euroopan unionin virallisessa lehdessä</w:t>
      </w:r>
      <w:r w:rsidR="003C4CAE" w:rsidRPr="008B1CAA">
        <w:rPr>
          <w:noProof/>
        </w:rPr>
        <w:t xml:space="preserve"> ja ilmoittaa energiaperuskirjaa koskevan sopimuksen tallettajalle ja energiaperuskirjan sihteeristölle sen hyväksymisestä ja voimaantulosta. Tämän sopimuksen tallettajaa pyydetään ilmoittamaan sopimuksesta muille energiaperuskirjaa koskevan sopimuksen sopimuspuolille.</w:t>
      </w:r>
    </w:p>
    <w:p w14:paraId="7FA4E234" w14:textId="5CF3E734" w:rsidR="005C4D21" w:rsidRPr="008B1CAA" w:rsidRDefault="00ED0DE2" w:rsidP="00ED0DE2">
      <w:pPr>
        <w:pStyle w:val="Point0"/>
        <w:rPr>
          <w:noProof/>
        </w:rPr>
      </w:pPr>
      <w:r>
        <w:rPr>
          <w:noProof/>
        </w:rPr>
        <w:t>4)</w:t>
      </w:r>
      <w:r>
        <w:rPr>
          <w:noProof/>
        </w:rPr>
        <w:tab/>
      </w:r>
      <w:r w:rsidR="003C4CAE" w:rsidRPr="008B1CAA">
        <w:rPr>
          <w:noProof/>
        </w:rPr>
        <w:t>Tallettaja kirjaa tämän sopimuksen Yhdistyneiden kansakuntien sihteeristöön Yhdistyneiden kansakuntien peruskirjan 102 artiklan mukaisesti sopimuksen tultua voimaan.</w:t>
      </w:r>
    </w:p>
    <w:p w14:paraId="6BCE753F" w14:textId="77777777" w:rsidR="003C4CAE" w:rsidRPr="008B1CAA" w:rsidRDefault="003C4CAE" w:rsidP="007E5E90">
      <w:pPr>
        <w:spacing w:after="108" w:line="265" w:lineRule="auto"/>
        <w:jc w:val="center"/>
        <w:rPr>
          <w:b/>
          <w:bCs/>
          <w:noProof/>
        </w:rPr>
      </w:pPr>
      <w:r w:rsidRPr="008B1CAA">
        <w:rPr>
          <w:b/>
          <w:noProof/>
        </w:rPr>
        <w:t xml:space="preserve">4 ARTIKLA </w:t>
      </w:r>
    </w:p>
    <w:p w14:paraId="6A74CFEB" w14:textId="77777777" w:rsidR="003C4CAE" w:rsidRPr="008B1CAA" w:rsidRDefault="003C4CAE" w:rsidP="007E5E90">
      <w:pPr>
        <w:spacing w:after="108" w:line="265" w:lineRule="auto"/>
        <w:jc w:val="center"/>
        <w:rPr>
          <w:b/>
          <w:bCs/>
          <w:noProof/>
        </w:rPr>
      </w:pPr>
      <w:r w:rsidRPr="008B1CAA">
        <w:rPr>
          <w:b/>
          <w:noProof/>
        </w:rPr>
        <w:t xml:space="preserve">Varaumat </w:t>
      </w:r>
    </w:p>
    <w:p w14:paraId="1E596914" w14:textId="77777777" w:rsidR="003C4CAE" w:rsidRPr="008B1CAA" w:rsidRDefault="003C4CAE" w:rsidP="003C4CAE">
      <w:pPr>
        <w:rPr>
          <w:noProof/>
        </w:rPr>
      </w:pPr>
      <w:r w:rsidRPr="008B1CAA">
        <w:rPr>
          <w:noProof/>
        </w:rPr>
        <w:t xml:space="preserve">Tähän sopimukseen ei tehdä varaumia. </w:t>
      </w:r>
    </w:p>
    <w:p w14:paraId="6720DDA9" w14:textId="77777777" w:rsidR="003C4CAE" w:rsidRPr="008B1CAA" w:rsidRDefault="003C4CAE" w:rsidP="007E5E90">
      <w:pPr>
        <w:spacing w:after="108" w:line="265" w:lineRule="auto"/>
        <w:jc w:val="center"/>
        <w:rPr>
          <w:b/>
          <w:bCs/>
          <w:noProof/>
        </w:rPr>
      </w:pPr>
      <w:r w:rsidRPr="008B1CAA">
        <w:rPr>
          <w:b/>
          <w:noProof/>
        </w:rPr>
        <w:t xml:space="preserve">5 ARTIKLA </w:t>
      </w:r>
    </w:p>
    <w:p w14:paraId="72E47B7A" w14:textId="77777777" w:rsidR="003C4CAE" w:rsidRPr="008B1CAA" w:rsidRDefault="003C4CAE" w:rsidP="003C4CAE">
      <w:pPr>
        <w:jc w:val="center"/>
        <w:rPr>
          <w:b/>
          <w:bCs/>
          <w:noProof/>
        </w:rPr>
      </w:pPr>
      <w:r w:rsidRPr="008B1CAA">
        <w:rPr>
          <w:b/>
          <w:noProof/>
        </w:rPr>
        <w:t>Ratifiointi tai hyväksyminen</w:t>
      </w:r>
    </w:p>
    <w:p w14:paraId="4261E46B" w14:textId="77777777" w:rsidR="003C4CAE" w:rsidRPr="008B1CAA" w:rsidRDefault="003C4CAE" w:rsidP="003C4CAE">
      <w:pPr>
        <w:rPr>
          <w:noProof/>
        </w:rPr>
      </w:pPr>
      <w:r w:rsidRPr="008B1CAA">
        <w:rPr>
          <w:noProof/>
        </w:rPr>
        <w:t xml:space="preserve">Tämä sopimus on ratifioitava tai hyväksyttävä. </w:t>
      </w:r>
    </w:p>
    <w:p w14:paraId="4084A254" w14:textId="77777777" w:rsidR="003C4CAE" w:rsidRPr="008B1CAA" w:rsidRDefault="003C4CAE" w:rsidP="007E5E90">
      <w:pPr>
        <w:spacing w:after="0" w:line="358" w:lineRule="auto"/>
        <w:rPr>
          <w:noProof/>
        </w:rPr>
      </w:pPr>
      <w:r w:rsidRPr="008B1CAA">
        <w:rPr>
          <w:noProof/>
        </w:rPr>
        <w:t xml:space="preserve">Sopimuspuolet tallettavat ratifioimis- tai hyväksymiskirjansa tallettajan huostaan. </w:t>
      </w:r>
    </w:p>
    <w:p w14:paraId="3B5458F7" w14:textId="77777777" w:rsidR="003C4CAE" w:rsidRPr="008B1CAA" w:rsidRDefault="003C4CAE" w:rsidP="007E5E90">
      <w:pPr>
        <w:keepNext/>
        <w:spacing w:after="112"/>
        <w:jc w:val="center"/>
        <w:rPr>
          <w:b/>
          <w:bCs/>
          <w:noProof/>
        </w:rPr>
      </w:pPr>
      <w:r w:rsidRPr="008B1CAA">
        <w:rPr>
          <w:b/>
          <w:noProof/>
        </w:rPr>
        <w:lastRenderedPageBreak/>
        <w:t>6 ARTIKLA</w:t>
      </w:r>
    </w:p>
    <w:p w14:paraId="2DE5DD83" w14:textId="77777777" w:rsidR="003C4CAE" w:rsidRPr="008B1CAA" w:rsidRDefault="003C4CAE" w:rsidP="003C4CAE">
      <w:pPr>
        <w:jc w:val="center"/>
        <w:rPr>
          <w:b/>
          <w:bCs/>
          <w:noProof/>
        </w:rPr>
      </w:pPr>
      <w:r w:rsidRPr="008B1CAA">
        <w:rPr>
          <w:b/>
          <w:noProof/>
        </w:rPr>
        <w:t>Voimaantulo</w:t>
      </w:r>
    </w:p>
    <w:p w14:paraId="3669A498" w14:textId="59BCD2B0" w:rsidR="00096BF4" w:rsidRPr="008B1CAA" w:rsidRDefault="00ED0DE2" w:rsidP="00ED0DE2">
      <w:pPr>
        <w:pStyle w:val="Point0"/>
        <w:rPr>
          <w:noProof/>
        </w:rPr>
      </w:pPr>
      <w:r>
        <w:rPr>
          <w:noProof/>
        </w:rPr>
        <w:t>1)</w:t>
      </w:r>
      <w:r>
        <w:rPr>
          <w:noProof/>
        </w:rPr>
        <w:tab/>
      </w:r>
      <w:r w:rsidR="003C4CAE" w:rsidRPr="008B1CAA">
        <w:rPr>
          <w:noProof/>
        </w:rPr>
        <w:t xml:space="preserve">Tämä sopimus tulee voimaan 30 kalenteripäivän kuluttua päivästä, jona tallettaja vastaanottaa toisen ratifioimis- tai hyväksymiskirjan. </w:t>
      </w:r>
    </w:p>
    <w:p w14:paraId="7FFEE969" w14:textId="6AD4EE35" w:rsidR="00096BF4" w:rsidRPr="008B1CAA" w:rsidRDefault="00ED0DE2" w:rsidP="00ED0DE2">
      <w:pPr>
        <w:pStyle w:val="Point0"/>
        <w:rPr>
          <w:noProof/>
        </w:rPr>
      </w:pPr>
      <w:r>
        <w:rPr>
          <w:noProof/>
        </w:rPr>
        <w:t>2)</w:t>
      </w:r>
      <w:r>
        <w:rPr>
          <w:noProof/>
        </w:rPr>
        <w:tab/>
      </w:r>
      <w:r w:rsidR="003C4CAE" w:rsidRPr="008B1CAA">
        <w:rPr>
          <w:noProof/>
        </w:rPr>
        <w:t xml:space="preserve">Kunkin sellaisen sopimuspuolen osalta, joka ratifioi tai hyväksyy sopimuksen 1 kohdan mukaisen voimaantulon jälkeen, sopimus tulee voimaan 30 kalenteripäivän kuluttua kyseisen sopimuspuolen ratifioimis- tai hyväksymiskirjan tallettamispäivästä. </w:t>
      </w:r>
    </w:p>
    <w:p w14:paraId="0773ACF3" w14:textId="77777777" w:rsidR="003C4CAE" w:rsidRPr="008B1CAA" w:rsidRDefault="003C4CAE" w:rsidP="007E5E90">
      <w:pPr>
        <w:spacing w:after="108" w:line="265" w:lineRule="auto"/>
        <w:jc w:val="center"/>
        <w:rPr>
          <w:b/>
          <w:noProof/>
        </w:rPr>
      </w:pPr>
      <w:r w:rsidRPr="008B1CAA">
        <w:rPr>
          <w:b/>
          <w:noProof/>
        </w:rPr>
        <w:t xml:space="preserve">7 ARTIKLA </w:t>
      </w:r>
    </w:p>
    <w:p w14:paraId="7BBE9601" w14:textId="77777777" w:rsidR="003C4CAE" w:rsidRPr="008B1CAA" w:rsidRDefault="003C4CAE" w:rsidP="003C4CAE">
      <w:pPr>
        <w:jc w:val="center"/>
        <w:rPr>
          <w:b/>
          <w:bCs/>
          <w:noProof/>
        </w:rPr>
      </w:pPr>
      <w:r w:rsidRPr="008B1CAA">
        <w:rPr>
          <w:b/>
          <w:noProof/>
        </w:rPr>
        <w:t>Todistusvoimaiset tekstit</w:t>
      </w:r>
    </w:p>
    <w:p w14:paraId="598D9940" w14:textId="77777777" w:rsidR="003C4CAE" w:rsidRPr="008B1CAA" w:rsidRDefault="003C4CAE" w:rsidP="003C4CAE">
      <w:pPr>
        <w:rPr>
          <w:noProof/>
        </w:rPr>
      </w:pPr>
      <w:r w:rsidRPr="008B1CAA">
        <w:rPr>
          <w:noProof/>
        </w:rPr>
        <w:t xml:space="preserve">Tämä sopimus, joka on laadittu yhtenä alkuperäisenä kappaleena bulgarian, englannin, espanjan, hollannin, iirin, italian, kreikan, kroaatin, latvian, liettuan, maltan, portugalin, puolan, ranskan, romanian, ruotsin, saksan, slovakin, sloveenin, suomen, tanskan, tšekin, unkarin ja viron kielellä ja jonka teksti on yhtä todistusvoimainen kullakin näistä kielistä, talletetaan tallettajan arkistoon. </w:t>
      </w:r>
    </w:p>
    <w:p w14:paraId="4A305A3B" w14:textId="5683CDAD" w:rsidR="0075443E" w:rsidRPr="008B1CAA" w:rsidRDefault="003C4CAE" w:rsidP="007E5E90">
      <w:pPr>
        <w:spacing w:after="0"/>
        <w:rPr>
          <w:noProof/>
        </w:rPr>
      </w:pPr>
      <w:r w:rsidRPr="008B1CAA">
        <w:rPr>
          <w:noProof/>
        </w:rPr>
        <w:t xml:space="preserve">Tehty Brysselissä …………………….. </w:t>
      </w:r>
    </w:p>
    <w:sectPr w:rsidR="0075443E" w:rsidRPr="008B1CAA" w:rsidSect="00A6087B">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CF3F6" w14:textId="77777777" w:rsidR="00687E34" w:rsidRDefault="00687E34" w:rsidP="0075443E">
      <w:pPr>
        <w:spacing w:before="0" w:after="0"/>
      </w:pPr>
      <w:r>
        <w:separator/>
      </w:r>
    </w:p>
  </w:endnote>
  <w:endnote w:type="continuationSeparator" w:id="0">
    <w:p w14:paraId="20B1A553" w14:textId="77777777" w:rsidR="00687E34" w:rsidRDefault="00687E34" w:rsidP="0075443E">
      <w:pPr>
        <w:spacing w:before="0" w:after="0"/>
      </w:pPr>
      <w:r>
        <w:continuationSeparator/>
      </w:r>
    </w:p>
  </w:endnote>
  <w:endnote w:type="continuationNotice" w:id="1">
    <w:p w14:paraId="7842EF39" w14:textId="77777777" w:rsidR="00687E34" w:rsidRDefault="00687E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F87B5" w14:textId="3BFB713E" w:rsidR="00A6087B" w:rsidRPr="00A6087B" w:rsidRDefault="00A6087B" w:rsidP="00A6087B">
    <w:pPr>
      <w:pStyle w:val="Footer"/>
      <w:rPr>
        <w:rFonts w:ascii="Arial" w:hAnsi="Arial" w:cs="Arial"/>
        <w:b/>
        <w:sz w:val="48"/>
      </w:rPr>
    </w:pPr>
    <w:r w:rsidRPr="00A6087B">
      <w:rPr>
        <w:rFonts w:ascii="Arial" w:hAnsi="Arial" w:cs="Arial"/>
        <w:b/>
        <w:sz w:val="48"/>
      </w:rPr>
      <w:t>FI</w:t>
    </w:r>
    <w:r w:rsidRPr="00A6087B">
      <w:rPr>
        <w:rFonts w:ascii="Arial" w:hAnsi="Arial" w:cs="Arial"/>
        <w:b/>
        <w:sz w:val="48"/>
      </w:rPr>
      <w:tab/>
    </w:r>
    <w:r w:rsidRPr="00A6087B">
      <w:rPr>
        <w:rFonts w:ascii="Arial" w:hAnsi="Arial" w:cs="Arial"/>
        <w:b/>
        <w:sz w:val="48"/>
      </w:rPr>
      <w:tab/>
    </w:r>
    <w:r w:rsidRPr="00A6087B">
      <w:tab/>
    </w:r>
    <w:r w:rsidRPr="00A6087B">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B29A" w14:textId="33F55016" w:rsidR="00A6087B" w:rsidRPr="00A6087B" w:rsidRDefault="00A6087B" w:rsidP="00A6087B">
    <w:pPr>
      <w:pStyle w:val="Footer"/>
      <w:rPr>
        <w:rFonts w:ascii="Arial" w:hAnsi="Arial" w:cs="Arial"/>
        <w:b/>
        <w:sz w:val="48"/>
      </w:rPr>
    </w:pPr>
    <w:r w:rsidRPr="00A6087B">
      <w:rPr>
        <w:rFonts w:ascii="Arial" w:hAnsi="Arial" w:cs="Arial"/>
        <w:b/>
        <w:sz w:val="48"/>
      </w:rPr>
      <w:t>FI</w:t>
    </w:r>
    <w:r w:rsidRPr="00A6087B">
      <w:rPr>
        <w:rFonts w:ascii="Arial" w:hAnsi="Arial" w:cs="Arial"/>
        <w:b/>
        <w:sz w:val="48"/>
      </w:rPr>
      <w:tab/>
    </w:r>
    <w:r w:rsidRPr="00A6087B">
      <w:rPr>
        <w:rFonts w:ascii="Arial" w:hAnsi="Arial" w:cs="Arial"/>
        <w:b/>
        <w:sz w:val="48"/>
      </w:rPr>
      <w:tab/>
    </w:r>
    <w:r w:rsidRPr="00A6087B">
      <w:tab/>
    </w:r>
    <w:r w:rsidRPr="00A6087B">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6F73" w14:textId="77777777" w:rsidR="00A6087B" w:rsidRPr="00A6087B" w:rsidRDefault="00A6087B" w:rsidP="00A608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46EC" w14:textId="77777777" w:rsidR="00A6087B" w:rsidRDefault="00A608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8394" w14:textId="4B81D9D7" w:rsidR="00A6087B" w:rsidRPr="00A6087B" w:rsidRDefault="00A6087B" w:rsidP="00A6087B">
    <w:pPr>
      <w:pStyle w:val="Footer"/>
      <w:rPr>
        <w:rFonts w:ascii="Arial" w:hAnsi="Arial" w:cs="Arial"/>
        <w:b/>
        <w:sz w:val="48"/>
      </w:rPr>
    </w:pPr>
    <w:r w:rsidRPr="00A6087B">
      <w:rPr>
        <w:rFonts w:ascii="Arial" w:hAnsi="Arial" w:cs="Arial"/>
        <w:b/>
        <w:sz w:val="48"/>
      </w:rPr>
      <w:t>FI</w:t>
    </w:r>
    <w:r w:rsidRPr="00A6087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6087B">
      <w:tab/>
    </w:r>
    <w:r w:rsidRPr="00A6087B">
      <w:rPr>
        <w:rFonts w:ascii="Arial" w:hAnsi="Arial" w:cs="Arial"/>
        <w:b/>
        <w:sz w:val="48"/>
      </w:rPr>
      <w:t>FI</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EB89" w14:textId="77777777" w:rsidR="00A6087B" w:rsidRDefault="00A6087B" w:rsidP="00A6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DE038" w14:textId="77777777" w:rsidR="00687E34" w:rsidRDefault="00687E34" w:rsidP="0075443E">
      <w:pPr>
        <w:spacing w:before="0" w:after="0"/>
      </w:pPr>
      <w:r>
        <w:separator/>
      </w:r>
    </w:p>
  </w:footnote>
  <w:footnote w:type="continuationSeparator" w:id="0">
    <w:p w14:paraId="7E7EA85C" w14:textId="77777777" w:rsidR="00687E34" w:rsidRDefault="00687E34" w:rsidP="0075443E">
      <w:pPr>
        <w:spacing w:before="0" w:after="0"/>
      </w:pPr>
      <w:r>
        <w:continuationSeparator/>
      </w:r>
    </w:p>
  </w:footnote>
  <w:footnote w:type="continuationNotice" w:id="1">
    <w:p w14:paraId="5F7404F2" w14:textId="77777777" w:rsidR="00687E34" w:rsidRDefault="00687E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403E" w14:textId="77777777" w:rsidR="00A6087B" w:rsidRPr="00A6087B" w:rsidRDefault="00A6087B" w:rsidP="00A60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B952" w14:textId="77777777" w:rsidR="00A6087B" w:rsidRPr="00A6087B" w:rsidRDefault="00A6087B" w:rsidP="00A60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3548" w14:textId="77777777" w:rsidR="00A6087B" w:rsidRPr="00A6087B" w:rsidRDefault="00A6087B" w:rsidP="00A608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2E33" w14:textId="77777777" w:rsidR="00A6087B" w:rsidRDefault="00A608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1A1A" w14:textId="77777777" w:rsidR="00A6087B" w:rsidRDefault="00A60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8F0055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BB6AA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1227EC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81E4B1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5"/>
  </w:num>
  <w:num w:numId="6">
    <w:abstractNumId w:val="8"/>
  </w:num>
  <w:num w:numId="7">
    <w:abstractNumId w:val="17"/>
  </w:num>
  <w:num w:numId="8">
    <w:abstractNumId w:val="7"/>
  </w:num>
  <w:num w:numId="9">
    <w:abstractNumId w:val="9"/>
  </w:num>
  <w:num w:numId="10">
    <w:abstractNumId w:val="10"/>
  </w:num>
  <w:num w:numId="11">
    <w:abstractNumId w:val="5"/>
  </w:num>
  <w:num w:numId="12">
    <w:abstractNumId w:val="16"/>
  </w:num>
  <w:num w:numId="13">
    <w:abstractNumId w:val="4"/>
  </w:num>
  <w:num w:numId="14">
    <w:abstractNumId w:val="11"/>
  </w:num>
  <w:num w:numId="15">
    <w:abstractNumId w:val="13"/>
  </w:num>
  <w:num w:numId="16">
    <w:abstractNumId w:val="14"/>
  </w:num>
  <w:num w:numId="17">
    <w:abstractNumId w:val="6"/>
  </w:num>
  <w:num w:numId="18">
    <w:abstractNumId w:val="12"/>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6-26 10.02.0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asiakirjaan"/>
    <w:docVar w:name="LW_ACCOMPAGNANT.CP" w:val="asiakirjaan"/>
    <w:docVar w:name="LW_ANNEX_NBR_FIRST" w:val="1"/>
    <w:docVar w:name="LW_ANNEX_NBR_LAST" w:val="1"/>
    <w:docVar w:name="LW_ANNEX_UNIQUE" w:val="1"/>
    <w:docVar w:name="LW_CORRIGENDUM" w:val="&lt;UNUSED&gt;"/>
    <w:docVar w:name="LW_COVERPAGE_EXISTS" w:val="True"/>
    <w:docVar w:name="LW_COVERPAGE_GUID" w:val="A5282897-5D42-4139-AF0B-EFECEB7F6F3D"/>
    <w:docVar w:name="LW_COVERPAGE_TYPE" w:val="1"/>
    <w:docVar w:name="LW_CROSSREFERENCE" w:val="&lt;UNUSED&gt;"/>
    <w:docVar w:name="LW_DocType" w:val="ANNEX"/>
    <w:docVar w:name="LW_EMISSION" w:val="2.7.2024"/>
    <w:docVar w:name="LW_EMISSION_ISODATE" w:val="2024-07-02"/>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lt;FMT:Bold&gt;energiaperuskirjaa koskevan sopimuksen tulkinnasta ja soveltamisesta tehdyn Euroopan unionin, Euroopan atomienergiayhteisön ja niiden jäsenvaltioiden välisen sopimuksen hyväksymisestä unionin puolesta&lt;/FMT&gt;_x000d__x000b__x000d__x000b__x000d__x000d__x000b_"/>
    <w:docVar w:name="LW_OBJETACTEPRINCIPAL.CP" w:val="&lt;FMT:Bold&gt;energiaperuskirjaa koskevan sopimuksen tulkinnasta ja soveltamisesta tehdyn Euroopan unionin, Euroopan atomienergiayhteisön ja niiden jäsenvaltioiden välisen sopimuksen hyväksymisestä unionin puolesta&lt;/FMT&gt;_x000d__x000b__x000d__x000b__x000d__x000d__x000b_"/>
    <w:docVar w:name="LW_PART_NBR" w:val="1"/>
    <w:docVar w:name="LW_PART_NBR_TOTAL" w:val="1"/>
    <w:docVar w:name="LW_REF.INST.NEW" w:val="COM"/>
    <w:docVar w:name="LW_REF.INST.NEW_ADOPTED" w:val="final"/>
    <w:docVar w:name="LW_REF.INST.NEW_TEXT" w:val="(2024) 25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E"/>
    <w:docVar w:name="LW_TYPE.DOC.CP" w:val="LIITE"/>
    <w:docVar w:name="LW_TYPEACTEPRINCIPAL" w:val="Ehdotus_x000b_EUROOPAN PARLAMENTIN JA NEUVOSTON PÄÄTÖS"/>
    <w:docVar w:name="LW_TYPEACTEPRINCIPAL.CP" w:val="Ehdotus_x000b_EUROOPAN PARLAMENTIN JA NEUVOSTON PÄÄTÖS"/>
    <w:docVar w:name="LwApiVersions" w:val="LW4CoDe 1.24.5.0; LW 9.0, Build 20240221"/>
  </w:docVars>
  <w:rsids>
    <w:rsidRoot w:val="0075443E"/>
    <w:rsid w:val="0001173F"/>
    <w:rsid w:val="00096BF4"/>
    <w:rsid w:val="000B54FD"/>
    <w:rsid w:val="000C435D"/>
    <w:rsid w:val="001243AD"/>
    <w:rsid w:val="00162078"/>
    <w:rsid w:val="00165C4F"/>
    <w:rsid w:val="001F1268"/>
    <w:rsid w:val="001F343E"/>
    <w:rsid w:val="00252E85"/>
    <w:rsid w:val="00283429"/>
    <w:rsid w:val="002D6DC3"/>
    <w:rsid w:val="00344B6A"/>
    <w:rsid w:val="00352A50"/>
    <w:rsid w:val="00394649"/>
    <w:rsid w:val="003C4606"/>
    <w:rsid w:val="003C4CAE"/>
    <w:rsid w:val="003C7AD2"/>
    <w:rsid w:val="003E7675"/>
    <w:rsid w:val="00403B01"/>
    <w:rsid w:val="004114FA"/>
    <w:rsid w:val="004406EF"/>
    <w:rsid w:val="00461FC7"/>
    <w:rsid w:val="00492EB7"/>
    <w:rsid w:val="00494571"/>
    <w:rsid w:val="00540889"/>
    <w:rsid w:val="00587333"/>
    <w:rsid w:val="005A51A1"/>
    <w:rsid w:val="005C4D21"/>
    <w:rsid w:val="005C72CE"/>
    <w:rsid w:val="00626E37"/>
    <w:rsid w:val="00647E16"/>
    <w:rsid w:val="0067459B"/>
    <w:rsid w:val="00687E34"/>
    <w:rsid w:val="006A405C"/>
    <w:rsid w:val="006A6BCB"/>
    <w:rsid w:val="0075443E"/>
    <w:rsid w:val="007D62D9"/>
    <w:rsid w:val="007E5E90"/>
    <w:rsid w:val="008A39EE"/>
    <w:rsid w:val="008B1CAA"/>
    <w:rsid w:val="008D6398"/>
    <w:rsid w:val="00905D22"/>
    <w:rsid w:val="00986C65"/>
    <w:rsid w:val="00991B1A"/>
    <w:rsid w:val="009B68E9"/>
    <w:rsid w:val="009C73BA"/>
    <w:rsid w:val="00A00B18"/>
    <w:rsid w:val="00A119D5"/>
    <w:rsid w:val="00A509EC"/>
    <w:rsid w:val="00A6087B"/>
    <w:rsid w:val="00A6243B"/>
    <w:rsid w:val="00A7092B"/>
    <w:rsid w:val="00A71F6D"/>
    <w:rsid w:val="00B07BE4"/>
    <w:rsid w:val="00B65352"/>
    <w:rsid w:val="00B770FD"/>
    <w:rsid w:val="00B95C68"/>
    <w:rsid w:val="00BA4F3C"/>
    <w:rsid w:val="00BA73DE"/>
    <w:rsid w:val="00BB30BC"/>
    <w:rsid w:val="00BE3E08"/>
    <w:rsid w:val="00C953CA"/>
    <w:rsid w:val="00D012DE"/>
    <w:rsid w:val="00D25CBB"/>
    <w:rsid w:val="00D328C4"/>
    <w:rsid w:val="00D33986"/>
    <w:rsid w:val="00D544A7"/>
    <w:rsid w:val="00D56F07"/>
    <w:rsid w:val="00D708DF"/>
    <w:rsid w:val="00DB42B1"/>
    <w:rsid w:val="00DF0257"/>
    <w:rsid w:val="00E00F5D"/>
    <w:rsid w:val="00E1779B"/>
    <w:rsid w:val="00E93A9D"/>
    <w:rsid w:val="00ED0DE2"/>
    <w:rsid w:val="00F65630"/>
    <w:rsid w:val="00F7024E"/>
    <w:rsid w:val="00F82260"/>
    <w:rsid w:val="00F9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0196B"/>
  <w15:docId w15:val="{ECE2891D-BD49-40DB-B9E4-CAFBC25A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1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E85"/>
    <w:rPr>
      <w:color w:val="0000FF" w:themeColor="hyperlink"/>
      <w:u w:val="single"/>
    </w:rPr>
  </w:style>
  <w:style w:type="character" w:styleId="CommentReference">
    <w:name w:val="annotation reference"/>
    <w:basedOn w:val="DefaultParagraphFont"/>
    <w:uiPriority w:val="99"/>
    <w:semiHidden/>
    <w:unhideWhenUsed/>
    <w:rsid w:val="00252E85"/>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sid w:val="00991B1A"/>
    <w:rPr>
      <w:b/>
      <w:bCs/>
    </w:rPr>
  </w:style>
  <w:style w:type="character" w:customStyle="1" w:styleId="CommentSubjectChar">
    <w:name w:val="Comment Subject Char"/>
    <w:basedOn w:val="CommentTextChar"/>
    <w:link w:val="CommentSubject"/>
    <w:uiPriority w:val="99"/>
    <w:semiHidden/>
    <w:rsid w:val="00991B1A"/>
    <w:rPr>
      <w:rFonts w:ascii="Times New Roman" w:hAnsi="Times New Roman" w:cs="Times New Roman"/>
      <w:b/>
      <w:bCs/>
      <w:sz w:val="20"/>
      <w:szCs w:val="20"/>
      <w:lang w:val="fi-FI"/>
    </w:rPr>
  </w:style>
  <w:style w:type="character" w:customStyle="1" w:styleId="UnresolvedMention">
    <w:name w:val="Unresolved Mention"/>
    <w:basedOn w:val="DefaultParagraphFont"/>
    <w:uiPriority w:val="99"/>
    <w:semiHidden/>
    <w:unhideWhenUsed/>
    <w:rsid w:val="00991B1A"/>
    <w:rPr>
      <w:color w:val="605E5C"/>
      <w:shd w:val="clear" w:color="auto" w:fill="E1DFDD"/>
    </w:rPr>
  </w:style>
  <w:style w:type="paragraph" w:styleId="ListBullet">
    <w:name w:val="List Bullet"/>
    <w:basedOn w:val="Normal"/>
    <w:uiPriority w:val="99"/>
    <w:semiHidden/>
    <w:unhideWhenUsed/>
    <w:rsid w:val="00E93A9D"/>
    <w:pPr>
      <w:numPr>
        <w:numId w:val="1"/>
      </w:numPr>
      <w:contextualSpacing/>
    </w:pPr>
  </w:style>
  <w:style w:type="paragraph" w:styleId="ListBullet2">
    <w:name w:val="List Bullet 2"/>
    <w:basedOn w:val="Normal"/>
    <w:uiPriority w:val="99"/>
    <w:semiHidden/>
    <w:unhideWhenUsed/>
    <w:rsid w:val="00E93A9D"/>
    <w:pPr>
      <w:numPr>
        <w:numId w:val="2"/>
      </w:numPr>
      <w:contextualSpacing/>
    </w:pPr>
  </w:style>
  <w:style w:type="paragraph" w:styleId="ListBullet3">
    <w:name w:val="List Bullet 3"/>
    <w:basedOn w:val="Normal"/>
    <w:uiPriority w:val="99"/>
    <w:semiHidden/>
    <w:unhideWhenUsed/>
    <w:rsid w:val="00E93A9D"/>
    <w:pPr>
      <w:numPr>
        <w:numId w:val="3"/>
      </w:numPr>
      <w:contextualSpacing/>
    </w:pPr>
  </w:style>
  <w:style w:type="paragraph" w:styleId="ListBullet4">
    <w:name w:val="List Bullet 4"/>
    <w:basedOn w:val="Normal"/>
    <w:uiPriority w:val="99"/>
    <w:semiHidden/>
    <w:unhideWhenUsed/>
    <w:rsid w:val="00E93A9D"/>
    <w:pPr>
      <w:numPr>
        <w:numId w:val="4"/>
      </w:numPr>
      <w:contextualSpacing/>
    </w:pPr>
  </w:style>
  <w:style w:type="paragraph" w:styleId="Revision">
    <w:name w:val="Revision"/>
    <w:hidden/>
    <w:uiPriority w:val="99"/>
    <w:semiHidden/>
    <w:rsid w:val="00D25CBB"/>
    <w:pPr>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rsid w:val="00A6087B"/>
    <w:rPr>
      <w:rFonts w:ascii="Times New Roman" w:hAnsi="Times New Roman" w:cs="Times New Roman"/>
      <w:sz w:val="24"/>
      <w:lang w:val="fi-FI"/>
    </w:rPr>
  </w:style>
  <w:style w:type="character" w:customStyle="1" w:styleId="FooterChar">
    <w:name w:val="Footer Char"/>
    <w:basedOn w:val="DefaultParagraphFont"/>
    <w:link w:val="Footer"/>
    <w:uiPriority w:val="99"/>
    <w:rsid w:val="00A6087B"/>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6087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6087B"/>
    <w:pPr>
      <w:spacing w:before="0"/>
      <w:jc w:val="right"/>
    </w:pPr>
    <w:rPr>
      <w:sz w:val="28"/>
    </w:rPr>
  </w:style>
  <w:style w:type="paragraph" w:customStyle="1" w:styleId="FooterSensitivity">
    <w:name w:val="Footer Sensitivity"/>
    <w:basedOn w:val="Normal"/>
    <w:rsid w:val="00A6087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Tiret5">
    <w:name w:val="Tiret 5"/>
    <w:basedOn w:val="Point5"/>
    <w:pPr>
      <w:numPr>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
      </w:numPr>
    </w:pPr>
  </w:style>
  <w:style w:type="paragraph" w:customStyle="1" w:styleId="NumPar2">
    <w:name w:val="NumPar 2"/>
    <w:basedOn w:val="Normal"/>
    <w:next w:val="Text1"/>
    <w:pPr>
      <w:numPr>
        <w:ilvl w:val="1"/>
        <w:numId w:val="11"/>
      </w:numPr>
    </w:pPr>
  </w:style>
  <w:style w:type="paragraph" w:customStyle="1" w:styleId="NumPar3">
    <w:name w:val="NumPar 3"/>
    <w:basedOn w:val="Normal"/>
    <w:next w:val="Text1"/>
    <w:pPr>
      <w:numPr>
        <w:ilvl w:val="2"/>
        <w:numId w:val="11"/>
      </w:numPr>
    </w:pPr>
  </w:style>
  <w:style w:type="paragraph" w:customStyle="1" w:styleId="NumPar4">
    <w:name w:val="NumPar 4"/>
    <w:basedOn w:val="Normal"/>
    <w:next w:val="Text1"/>
    <w:pPr>
      <w:numPr>
        <w:ilvl w:val="3"/>
        <w:numId w:val="11"/>
      </w:numPr>
    </w:pPr>
  </w:style>
  <w:style w:type="paragraph" w:customStyle="1" w:styleId="NumPar5">
    <w:name w:val="NumPar 5"/>
    <w:basedOn w:val="Normal"/>
    <w:next w:val="Text2"/>
    <w:pPr>
      <w:numPr>
        <w:ilvl w:val="4"/>
        <w:numId w:val="11"/>
      </w:numPr>
    </w:pPr>
  </w:style>
  <w:style w:type="paragraph" w:customStyle="1" w:styleId="NumPar6">
    <w:name w:val="NumPar 6"/>
    <w:basedOn w:val="Normal"/>
    <w:next w:val="Text2"/>
    <w:pPr>
      <w:numPr>
        <w:ilvl w:val="5"/>
        <w:numId w:val="11"/>
      </w:numPr>
    </w:pPr>
  </w:style>
  <w:style w:type="paragraph" w:customStyle="1" w:styleId="NumPar7">
    <w:name w:val="NumPar 7"/>
    <w:basedOn w:val="Normal"/>
    <w:next w:val="Text2"/>
    <w:pPr>
      <w:numPr>
        <w:ilvl w:val="6"/>
        <w:numId w:val="1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3"/>
      </w:numPr>
    </w:pPr>
  </w:style>
  <w:style w:type="paragraph" w:customStyle="1" w:styleId="Point1number">
    <w:name w:val="Point 1 (number)"/>
    <w:basedOn w:val="Normal"/>
    <w:pPr>
      <w:numPr>
        <w:ilvl w:val="2"/>
        <w:numId w:val="13"/>
      </w:numPr>
    </w:pPr>
  </w:style>
  <w:style w:type="paragraph" w:customStyle="1" w:styleId="Point2number">
    <w:name w:val="Point 2 (number)"/>
    <w:basedOn w:val="Normal"/>
    <w:pPr>
      <w:numPr>
        <w:ilvl w:val="4"/>
        <w:numId w:val="13"/>
      </w:numPr>
    </w:pPr>
  </w:style>
  <w:style w:type="paragraph" w:customStyle="1" w:styleId="Point3number">
    <w:name w:val="Point 3 (number)"/>
    <w:basedOn w:val="Normal"/>
    <w:pPr>
      <w:numPr>
        <w:ilvl w:val="6"/>
        <w:numId w:val="13"/>
      </w:numPr>
    </w:pPr>
  </w:style>
  <w:style w:type="paragraph" w:customStyle="1" w:styleId="Point0letter">
    <w:name w:val="Point 0 (letter)"/>
    <w:basedOn w:val="Normal"/>
    <w:pPr>
      <w:numPr>
        <w:ilvl w:val="1"/>
        <w:numId w:val="13"/>
      </w:numPr>
    </w:pPr>
  </w:style>
  <w:style w:type="paragraph" w:customStyle="1" w:styleId="Point1letter">
    <w:name w:val="Point 1 (letter)"/>
    <w:basedOn w:val="Normal"/>
    <w:pPr>
      <w:numPr>
        <w:ilvl w:val="3"/>
        <w:numId w:val="13"/>
      </w:numPr>
    </w:pPr>
  </w:style>
  <w:style w:type="paragraph" w:customStyle="1" w:styleId="Point2letter">
    <w:name w:val="Point 2 (letter)"/>
    <w:basedOn w:val="Normal"/>
    <w:pPr>
      <w:numPr>
        <w:ilvl w:val="5"/>
        <w:numId w:val="13"/>
      </w:numPr>
    </w:pPr>
  </w:style>
  <w:style w:type="paragraph" w:customStyle="1" w:styleId="Point3letter">
    <w:name w:val="Point 3 (letter)"/>
    <w:basedOn w:val="Normal"/>
    <w:pPr>
      <w:numPr>
        <w:ilvl w:val="7"/>
        <w:numId w:val="13"/>
      </w:numPr>
    </w:pPr>
  </w:style>
  <w:style w:type="paragraph" w:customStyle="1" w:styleId="Point4letter">
    <w:name w:val="Point 4 (letter)"/>
    <w:basedOn w:val="Normal"/>
    <w:pPr>
      <w:numPr>
        <w:ilvl w:val="8"/>
        <w:numId w:val="13"/>
      </w:numPr>
    </w:pPr>
  </w:style>
  <w:style w:type="paragraph" w:customStyle="1" w:styleId="Bullet0">
    <w:name w:val="Bullet 0"/>
    <w:basedOn w:val="Normal"/>
    <w:pPr>
      <w:numPr>
        <w:numId w:val="14"/>
      </w:numPr>
    </w:pPr>
  </w:style>
  <w:style w:type="paragraph" w:customStyle="1" w:styleId="Bullet1">
    <w:name w:val="Bullet 1"/>
    <w:basedOn w:val="Normal"/>
    <w:pPr>
      <w:numPr>
        <w:numId w:val="15"/>
      </w:numPr>
    </w:pPr>
  </w:style>
  <w:style w:type="paragraph" w:customStyle="1" w:styleId="Bullet2">
    <w:name w:val="Bullet 2"/>
    <w:basedOn w:val="Normal"/>
    <w:pPr>
      <w:numPr>
        <w:numId w:val="16"/>
      </w:numPr>
    </w:pPr>
  </w:style>
  <w:style w:type="paragraph" w:customStyle="1" w:styleId="Bullet3">
    <w:name w:val="Bullet 3"/>
    <w:basedOn w:val="Normal"/>
    <w:pPr>
      <w:numPr>
        <w:numId w:val="17"/>
      </w:numPr>
    </w:pPr>
  </w:style>
  <w:style w:type="paragraph" w:customStyle="1" w:styleId="Bullet4">
    <w:name w:val="Bullet 4"/>
    <w:basedOn w:val="Normal"/>
    <w:pPr>
      <w:numPr>
        <w:numId w:val="1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A6087B"/>
    <w:pPr>
      <w:tabs>
        <w:tab w:val="center" w:pos="4535"/>
        <w:tab w:val="right" w:pos="9071"/>
      </w:tabs>
      <w:spacing w:before="0"/>
    </w:pPr>
  </w:style>
  <w:style w:type="paragraph" w:customStyle="1" w:styleId="HeaderLandscape">
    <w:name w:val="HeaderLandscape"/>
    <w:basedOn w:val="Normal"/>
    <w:rsid w:val="00A6087B"/>
    <w:pPr>
      <w:tabs>
        <w:tab w:val="center" w:pos="7285"/>
        <w:tab w:val="right" w:pos="14003"/>
      </w:tabs>
      <w:spacing w:before="0"/>
    </w:pPr>
  </w:style>
  <w:style w:type="paragraph" w:styleId="Footer">
    <w:name w:val="footer"/>
    <w:basedOn w:val="Normal"/>
    <w:link w:val="FooterChar"/>
    <w:uiPriority w:val="99"/>
    <w:unhideWhenUsed/>
    <w:rsid w:val="00A6087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A6087B"/>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56</TotalTime>
  <Pages>10</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RILEA Radu (SJ)</dc:creator>
  <cp:keywords/>
  <dc:description/>
  <cp:lastModifiedBy>EC CoDe</cp:lastModifiedBy>
  <cp:revision>14</cp:revision>
  <dcterms:created xsi:type="dcterms:W3CDTF">2024-06-24T15:00:00Z</dcterms:created>
  <dcterms:modified xsi:type="dcterms:W3CDTF">2024-07-01T08:58:00Z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2024-05-21T16:47:09Z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99425013-dcf7-409d-a575-3c5513a24e19</vt:lpwstr>
  </property>
  <property fmtid="{D5CDD505-2E9C-101B-9397-08002B2CF9AE}" pid="19" name="MSIP_Label_6bd9ddd1-4d20-43f6-abfa-fc3c07406f94_ContentBits">
    <vt:lpwstr>0</vt:lpwstr>
  </property>
  <property fmtid="{D5CDD505-2E9C-101B-9397-08002B2CF9AE}" pid="20" name="DQCStatus">
    <vt:lpwstr>Yellow (DQC version 03)</vt:lpwstr>
  </property>
</Properties>
</file>